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0"/>
          <w:szCs w:val="20"/>
          <w:color w:val="auto"/>
        </w:rPr>
        <w:t>United States</w:t>
      </w:r>
    </w:p>
    <w:p>
      <w:pPr>
        <w:spacing w:after="0" w:line="2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color w:val="auto"/>
        </w:rPr>
        <w:t>SECURITIES AND EXCHANGE COMMISSION</w:t>
      </w:r>
    </w:p>
    <w:p>
      <w:pPr>
        <w:jc w:val="center"/>
        <w:spacing w:after="0"/>
        <w:rPr>
          <w:sz w:val="20"/>
          <w:szCs w:val="20"/>
          <w:color w:val="auto"/>
        </w:rPr>
      </w:pPr>
      <w:r>
        <w:rPr>
          <w:rFonts w:ascii="Times New Roman" w:cs="Times New Roman" w:eastAsia="Times New Roman" w:hAnsi="Times New Roman"/>
          <w:sz w:val="20"/>
          <w:szCs w:val="20"/>
          <w:color w:val="auto"/>
        </w:rPr>
        <w:t>Washington, D.C. 20549</w:t>
      </w:r>
    </w:p>
    <w:p>
      <w:pPr>
        <w:spacing w:after="0" w:line="7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FORM 10-Q</w:t>
      </w:r>
    </w:p>
    <w:p>
      <w:pPr>
        <w:spacing w:after="0" w:line="136"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(Mark One)</w:t>
      </w:r>
    </w:p>
    <w:p>
      <w:pPr>
        <w:spacing w:after="0" w:line="127" w:lineRule="exact"/>
        <w:rPr>
          <w:sz w:val="24"/>
          <w:szCs w:val="24"/>
          <w:color w:val="auto"/>
        </w:rPr>
      </w:pPr>
    </w:p>
    <w:p>
      <w:pPr>
        <w:ind w:left="640" w:hanging="632"/>
        <w:spacing w:after="0"/>
        <w:tabs>
          <w:tab w:leader="none" w:pos="640"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Quarterly Report pursuant to Section 13 or 15(d) of the Securities Exchange Act of 1934 for the quarterly period ended:</w:t>
      </w:r>
    </w:p>
    <w:p>
      <w:pPr>
        <w:spacing w:after="0" w:line="124" w:lineRule="exact"/>
        <w:rPr>
          <w:rFonts w:ascii="MS PGothic" w:cs="MS PGothic" w:eastAsia="MS PGothic" w:hAnsi="MS PGothic"/>
          <w:sz w:val="16"/>
          <w:szCs w:val="16"/>
          <w:color w:val="auto"/>
        </w:rPr>
      </w:pPr>
    </w:p>
    <w:p>
      <w:pPr>
        <w:ind w:left="5120"/>
        <w:spacing w:after="0"/>
        <w:rPr>
          <w:rFonts w:ascii="MS PGothic" w:cs="MS PGothic" w:eastAsia="MS PGothic" w:hAnsi="MS PGothic"/>
          <w:sz w:val="16"/>
          <w:szCs w:val="16"/>
          <w:color w:val="auto"/>
        </w:rPr>
      </w:pPr>
      <w:r>
        <w:rPr>
          <w:rFonts w:ascii="Times New Roman" w:cs="Times New Roman" w:eastAsia="Times New Roman" w:hAnsi="Times New Roman"/>
          <w:sz w:val="16"/>
          <w:szCs w:val="16"/>
          <w:b w:val="1"/>
          <w:bCs w:val="1"/>
          <w:color w:val="auto"/>
        </w:rPr>
        <w:t>June 30, 2024</w:t>
      </w:r>
    </w:p>
    <w:p>
      <w:pPr>
        <w:spacing w:after="0" w:line="12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color w:val="auto"/>
        </w:rPr>
        <w:t>or</w:t>
      </w:r>
    </w:p>
    <w:p>
      <w:pPr>
        <w:spacing w:after="0" w:line="127" w:lineRule="exact"/>
        <w:rPr>
          <w:sz w:val="24"/>
          <w:szCs w:val="24"/>
          <w:color w:val="auto"/>
        </w:rPr>
      </w:pPr>
    </w:p>
    <w:p>
      <w:pPr>
        <w:ind w:left="640" w:hanging="632"/>
        <w:spacing w:after="0"/>
        <w:tabs>
          <w:tab w:leader="none" w:pos="640" w:val="left"/>
        </w:tabs>
        <w:numPr>
          <w:ilvl w:val="0"/>
          <w:numId w:val="2"/>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Transition Report pursuant to Section 13 or 15(d) of the Securities Exchange Act of 1934 for the transition period from: ______to______</w:t>
      </w:r>
    </w:p>
    <w:p>
      <w:pPr>
        <w:spacing w:after="0" w:line="126" w:lineRule="exact"/>
        <w:rPr>
          <w:rFonts w:ascii="MS PGothic" w:cs="MS PGothic" w:eastAsia="MS PGothic" w:hAnsi="MS PGothic"/>
          <w:sz w:val="16"/>
          <w:szCs w:val="16"/>
          <w:color w:val="auto"/>
        </w:rPr>
      </w:pPr>
    </w:p>
    <w:p>
      <w:pPr>
        <w:ind w:left="4500"/>
        <w:spacing w:after="0"/>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Commission file number: 1-10686</w:t>
      </w:r>
    </w:p>
    <w:p>
      <w:pPr>
        <w:spacing w:after="0" w:line="10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MANPOWERGROUP INC.</w:t>
      </w:r>
    </w:p>
    <w:p>
      <w:pPr>
        <w:spacing w:after="0" w:line="4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color w:val="auto"/>
        </w:rPr>
        <w:t>(Exact name of registrant as specified in its charter)</w:t>
      </w:r>
    </w:p>
    <w:p>
      <w:pPr>
        <w:sectPr>
          <w:pgSz w:w="11900" w:h="16838" w:orient="portrait"/>
          <w:cols w:equalWidth="0" w:num="1">
            <w:col w:w="11240"/>
          </w:cols>
          <w:pgMar w:left="320" w:top="1291" w:right="339" w:bottom="1440" w:gutter="0" w:footer="0" w:header="0"/>
        </w:sectPr>
      </w:pPr>
    </w:p>
    <w:p>
      <w:pPr>
        <w:spacing w:after="0" w:line="161" w:lineRule="exact"/>
        <w:rPr>
          <w:sz w:val="24"/>
          <w:szCs w:val="24"/>
          <w:color w:val="auto"/>
        </w:rPr>
      </w:pPr>
    </w:p>
    <w:p>
      <w:pPr>
        <w:ind w:left="1520"/>
        <w:spacing w:after="0"/>
        <w:rPr>
          <w:sz w:val="20"/>
          <w:szCs w:val="20"/>
          <w:color w:val="auto"/>
        </w:rPr>
      </w:pPr>
      <w:r>
        <w:rPr>
          <w:rFonts w:ascii="Times New Roman" w:cs="Times New Roman" w:eastAsia="Times New Roman" w:hAnsi="Times New Roman"/>
          <w:sz w:val="15"/>
          <w:szCs w:val="15"/>
          <w:b w:val="1"/>
          <w:bCs w:val="1"/>
          <w:color w:val="auto"/>
        </w:rPr>
        <w:t>Wisconsin</w:t>
      </w:r>
    </w:p>
    <w:p>
      <w:pPr>
        <w:spacing w:after="0" w:line="20" w:lineRule="exact"/>
        <w:rPr>
          <w:sz w:val="24"/>
          <w:szCs w:val="24"/>
          <w:color w:val="auto"/>
        </w:rPr>
      </w:pPr>
      <w:r>
        <w:rPr>
          <w:sz w:val="24"/>
          <w:szCs w:val="24"/>
          <w:color w:val="auto"/>
        </w:rPr>
        <w:br w:type="column"/>
      </w:r>
    </w:p>
    <w:p>
      <w:pPr>
        <w:spacing w:after="0" w:line="141"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39-1672779</w:t>
      </w:r>
    </w:p>
    <w:p>
      <w:pPr>
        <w:spacing w:after="0" w:line="115" w:lineRule="exact"/>
        <w:rPr>
          <w:sz w:val="24"/>
          <w:szCs w:val="24"/>
          <w:color w:val="auto"/>
        </w:rPr>
      </w:pPr>
    </w:p>
    <w:p>
      <w:pPr>
        <w:sectPr>
          <w:pgSz w:w="11900" w:h="16838" w:orient="portrait"/>
          <w:cols w:equalWidth="0" w:num="2">
            <w:col w:w="7420" w:space="720"/>
            <w:col w:w="3100"/>
          </w:cols>
          <w:pgMar w:left="320" w:top="1291" w:right="339" w:bottom="1440" w:gutter="0" w:footer="0" w:header="0"/>
          <w:type w:val="continuous"/>
        </w:sectPr>
      </w:pPr>
    </w:p>
    <w:p>
      <w:pPr>
        <w:ind w:left="1520"/>
        <w:spacing w:after="0"/>
        <w:rPr>
          <w:sz w:val="20"/>
          <w:szCs w:val="20"/>
          <w:color w:val="auto"/>
        </w:rPr>
      </w:pPr>
      <w:r>
        <w:rPr>
          <w:rFonts w:ascii="Times New Roman" w:cs="Times New Roman" w:eastAsia="Times New Roman" w:hAnsi="Times New Roman"/>
          <w:sz w:val="16"/>
          <w:szCs w:val="16"/>
          <w:color w:val="auto"/>
        </w:rPr>
        <w:t>(State or other jurisdiction of incorporation)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6"/>
          <w:szCs w:val="16"/>
          <w:color w:val="auto"/>
        </w:rPr>
        <w:t>(IRS Employer Identification No.)</w:t>
      </w:r>
    </w:p>
    <w:p>
      <w:pPr>
        <w:spacing w:after="0" w:line="200" w:lineRule="exact"/>
        <w:rPr>
          <w:sz w:val="24"/>
          <w:szCs w:val="24"/>
          <w:color w:val="auto"/>
        </w:rPr>
      </w:pPr>
    </w:p>
    <w:p>
      <w:pPr>
        <w:sectPr>
          <w:pgSz w:w="11900" w:h="16838" w:orient="portrait"/>
          <w:cols w:equalWidth="0" w:num="2">
            <w:col w:w="7420" w:space="720"/>
            <w:col w:w="3100"/>
          </w:cols>
          <w:pgMar w:left="320" w:top="1291" w:right="339" w:bottom="1440" w:gutter="0" w:footer="0" w:header="0"/>
          <w:type w:val="continuous"/>
        </w:sectPr>
      </w:pPr>
    </w:p>
    <w:p>
      <w:pPr>
        <w:spacing w:after="0" w:line="208" w:lineRule="exact"/>
        <w:rPr>
          <w:sz w:val="24"/>
          <w:szCs w:val="24"/>
          <w:color w:val="auto"/>
        </w:rPr>
      </w:pPr>
    </w:p>
    <w:p>
      <w:pPr>
        <w:ind w:left="1520"/>
        <w:spacing w:after="0"/>
        <w:rPr>
          <w:sz w:val="20"/>
          <w:szCs w:val="20"/>
          <w:color w:val="auto"/>
        </w:rPr>
      </w:pPr>
      <w:r>
        <w:rPr>
          <w:rFonts w:ascii="Times New Roman" w:cs="Times New Roman" w:eastAsia="Times New Roman" w:hAnsi="Times New Roman"/>
          <w:sz w:val="16"/>
          <w:szCs w:val="16"/>
          <w:b w:val="1"/>
          <w:bCs w:val="1"/>
          <w:color w:val="auto"/>
        </w:rPr>
        <w:t>100 Manpower Place</w:t>
      </w:r>
    </w:p>
    <w:p>
      <w:pPr>
        <w:sectPr>
          <w:pgSz w:w="11900" w:h="16838" w:orient="portrait"/>
          <w:cols w:equalWidth="0" w:num="1">
            <w:col w:w="11240"/>
          </w:cols>
          <w:pgMar w:left="320" w:top="1291" w:right="339" w:bottom="1440" w:gutter="0" w:footer="0" w:header="0"/>
          <w:type w:val="continuous"/>
        </w:sectPr>
      </w:pPr>
    </w:p>
    <w:p>
      <w:pPr>
        <w:spacing w:after="0" w:line="113" w:lineRule="exact"/>
        <w:rPr>
          <w:sz w:val="24"/>
          <w:szCs w:val="24"/>
          <w:color w:val="auto"/>
        </w:rPr>
      </w:pPr>
    </w:p>
    <w:p>
      <w:pPr>
        <w:ind w:left="1520"/>
        <w:spacing w:after="0"/>
        <w:rPr>
          <w:sz w:val="20"/>
          <w:szCs w:val="20"/>
          <w:color w:val="auto"/>
        </w:rPr>
      </w:pPr>
      <w:r>
        <w:rPr>
          <w:rFonts w:ascii="Times New Roman" w:cs="Times New Roman" w:eastAsia="Times New Roman" w:hAnsi="Times New Roman"/>
          <w:sz w:val="16"/>
          <w:szCs w:val="16"/>
          <w:b w:val="1"/>
          <w:bCs w:val="1"/>
          <w:color w:val="auto"/>
        </w:rPr>
        <w:t>Milwaukee, Wisconsin</w:t>
      </w:r>
    </w:p>
    <w:p>
      <w:pPr>
        <w:spacing w:after="0" w:line="20" w:lineRule="exact"/>
        <w:rPr>
          <w:sz w:val="24"/>
          <w:szCs w:val="24"/>
          <w:color w:val="auto"/>
        </w:rPr>
      </w:pPr>
      <w:r>
        <w:rPr>
          <w:sz w:val="24"/>
          <w:szCs w:val="24"/>
          <w:color w:val="auto"/>
        </w:rPr>
        <w:br w:type="column"/>
      </w:r>
    </w:p>
    <w:p>
      <w:pPr>
        <w:spacing w:after="0" w:line="93"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53212</w:t>
      </w:r>
    </w:p>
    <w:p>
      <w:pPr>
        <w:spacing w:after="0" w:line="115" w:lineRule="exact"/>
        <w:rPr>
          <w:sz w:val="24"/>
          <w:szCs w:val="24"/>
          <w:color w:val="auto"/>
        </w:rPr>
      </w:pPr>
    </w:p>
    <w:p>
      <w:pPr>
        <w:sectPr>
          <w:pgSz w:w="11900" w:h="16838" w:orient="portrait"/>
          <w:cols w:equalWidth="0" w:num="2">
            <w:col w:w="7420" w:space="720"/>
            <w:col w:w="3100"/>
          </w:cols>
          <w:pgMar w:left="320" w:top="1291" w:right="339" w:bottom="1440" w:gutter="0" w:footer="0" w:header="0"/>
          <w:type w:val="continuous"/>
        </w:sectPr>
      </w:pPr>
    </w:p>
    <w:p>
      <w:pPr>
        <w:ind w:left="1520"/>
        <w:spacing w:after="0"/>
        <w:rPr>
          <w:sz w:val="20"/>
          <w:szCs w:val="20"/>
          <w:color w:val="auto"/>
        </w:rPr>
      </w:pPr>
      <w:r>
        <w:rPr>
          <w:rFonts w:ascii="Times New Roman" w:cs="Times New Roman" w:eastAsia="Times New Roman" w:hAnsi="Times New Roman"/>
          <w:sz w:val="16"/>
          <w:szCs w:val="16"/>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6"/>
          <w:szCs w:val="16"/>
          <w:color w:val="auto"/>
        </w:rPr>
        <w:t>(Zip Code)</w:t>
      </w:r>
    </w:p>
    <w:p>
      <w:pPr>
        <w:spacing w:after="0" w:line="192" w:lineRule="exact"/>
        <w:rPr>
          <w:sz w:val="24"/>
          <w:szCs w:val="24"/>
          <w:color w:val="auto"/>
        </w:rPr>
      </w:pPr>
    </w:p>
    <w:p>
      <w:pPr>
        <w:sectPr>
          <w:pgSz w:w="11900" w:h="16838" w:orient="portrait"/>
          <w:cols w:equalWidth="0" w:num="2">
            <w:col w:w="7420" w:space="720"/>
            <w:col w:w="3100"/>
          </w:cols>
          <w:pgMar w:left="320" w:top="1291" w:right="339" w:bottom="1440" w:gutter="0" w:footer="0" w:header="0"/>
          <w:type w:val="continuous"/>
        </w:sectPr>
      </w:pPr>
    </w:p>
    <w:p>
      <w:pPr>
        <w:jc w:val="center"/>
        <w:spacing w:after="0"/>
        <w:rPr>
          <w:sz w:val="20"/>
          <w:szCs w:val="20"/>
          <w:color w:val="auto"/>
        </w:rPr>
      </w:pPr>
      <w:r>
        <w:rPr>
          <w:rFonts w:ascii="Times New Roman" w:cs="Times New Roman" w:eastAsia="Times New Roman" w:hAnsi="Times New Roman"/>
          <w:sz w:val="16"/>
          <w:szCs w:val="16"/>
          <w:color w:val="auto"/>
        </w:rPr>
        <w:t xml:space="preserve">Registrant’s telephone number, including area code: </w:t>
      </w:r>
      <w:r>
        <w:rPr>
          <w:rFonts w:ascii="Times New Roman" w:cs="Times New Roman" w:eastAsia="Times New Roman" w:hAnsi="Times New Roman"/>
          <w:sz w:val="16"/>
          <w:szCs w:val="16"/>
          <w:b w:val="1"/>
          <w:bCs w:val="1"/>
          <w:color w:val="auto"/>
        </w:rPr>
        <w:t>(414) 961-1000</w:t>
      </w:r>
    </w:p>
    <w:p>
      <w:pPr>
        <w:spacing w:after="0" w:line="129" w:lineRule="exact"/>
        <w:rPr>
          <w:sz w:val="24"/>
          <w:szCs w:val="24"/>
          <w:color w:val="auto"/>
        </w:rPr>
      </w:pPr>
    </w:p>
    <w:tbl>
      <w:tblPr>
        <w:tblLayout w:type="fixed"/>
        <w:tblInd w:w="0" w:type="dxa"/>
        <w:tblCellMar>
          <w:top w:w="0" w:type="dxa"/>
          <w:left w:w="0" w:type="dxa"/>
          <w:bottom w:w="0" w:type="dxa"/>
          <w:right w:w="0" w:type="dxa"/>
        </w:tblCellMar>
      </w:tblPr>
      <w:tr>
        <w:trPr>
          <w:trHeight w:val="210"/>
        </w:trPr>
        <w:tc>
          <w:tcPr>
            <w:tcW w:w="420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Securities registered pursuant to Section 12(b) of the Act:</w:t>
            </w:r>
          </w:p>
        </w:tc>
        <w:tc>
          <w:tcPr>
            <w:tcW w:w="2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20" w:type="dxa"/>
            <w:vAlign w:val="bottom"/>
          </w:tcPr>
          <w:p>
            <w:pPr>
              <w:spacing w:after="0"/>
              <w:rPr>
                <w:sz w:val="18"/>
                <w:szCs w:val="18"/>
                <w:color w:val="auto"/>
              </w:rPr>
            </w:pPr>
          </w:p>
        </w:tc>
      </w:tr>
      <w:tr>
        <w:trPr>
          <w:trHeight w:val="350"/>
        </w:trPr>
        <w:tc>
          <w:tcPr>
            <w:tcW w:w="35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Title of each class</w:t>
            </w:r>
          </w:p>
        </w:tc>
        <w:tc>
          <w:tcPr>
            <w:tcW w:w="120" w:type="dxa"/>
            <w:vAlign w:val="bottom"/>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2700" w:type="dxa"/>
            <w:vAlign w:val="bottom"/>
            <w:tcBorders>
              <w:bottom w:val="single" w:sz="8" w:color="auto"/>
            </w:tcBorders>
          </w:tcPr>
          <w:p>
            <w:pPr>
              <w:jc w:val="center"/>
              <w:ind w:right="479"/>
              <w:spacing w:after="0"/>
              <w:rPr>
                <w:sz w:val="20"/>
                <w:szCs w:val="20"/>
                <w:color w:val="auto"/>
              </w:rPr>
            </w:pPr>
            <w:r>
              <w:rPr>
                <w:rFonts w:ascii="Times New Roman" w:cs="Times New Roman" w:eastAsia="Times New Roman" w:hAnsi="Times New Roman"/>
                <w:sz w:val="16"/>
                <w:szCs w:val="16"/>
                <w:color w:val="auto"/>
              </w:rPr>
              <w:t>Trading Symbol(s)</w:t>
            </w:r>
          </w:p>
        </w:tc>
        <w:tc>
          <w:tcPr>
            <w:tcW w:w="120" w:type="dxa"/>
            <w:vAlign w:val="bottom"/>
          </w:tcPr>
          <w:p>
            <w:pPr>
              <w:spacing w:after="0"/>
              <w:rPr>
                <w:sz w:val="24"/>
                <w:szCs w:val="24"/>
                <w:color w:val="auto"/>
              </w:rPr>
            </w:pPr>
          </w:p>
        </w:tc>
        <w:tc>
          <w:tcPr>
            <w:tcW w:w="42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Name of each exchange on which registered</w:t>
            </w:r>
          </w:p>
        </w:tc>
      </w:tr>
      <w:tr>
        <w:trPr>
          <w:trHeight w:val="305"/>
        </w:trPr>
        <w:tc>
          <w:tcPr>
            <w:tcW w:w="4200" w:type="dxa"/>
            <w:vAlign w:val="bottom"/>
            <w:gridSpan w:val="3"/>
          </w:tcPr>
          <w:p>
            <w:pPr>
              <w:jc w:val="center"/>
              <w:ind w:right="660"/>
              <w:spacing w:after="0"/>
              <w:rPr>
                <w:sz w:val="20"/>
                <w:szCs w:val="20"/>
                <w:color w:val="auto"/>
              </w:rPr>
            </w:pPr>
            <w:r>
              <w:rPr>
                <w:rFonts w:ascii="Times New Roman" w:cs="Times New Roman" w:eastAsia="Times New Roman" w:hAnsi="Times New Roman"/>
                <w:sz w:val="16"/>
                <w:szCs w:val="16"/>
                <w:color w:val="auto"/>
              </w:rPr>
              <w:t>Common Stock, $.01 par value</w:t>
            </w:r>
          </w:p>
        </w:tc>
        <w:tc>
          <w:tcPr>
            <w:tcW w:w="2700" w:type="dxa"/>
            <w:vAlign w:val="bottom"/>
          </w:tcPr>
          <w:p>
            <w:pPr>
              <w:jc w:val="center"/>
              <w:ind w:right="479"/>
              <w:spacing w:after="0"/>
              <w:rPr>
                <w:sz w:val="20"/>
                <w:szCs w:val="20"/>
                <w:color w:val="auto"/>
              </w:rPr>
            </w:pPr>
            <w:r>
              <w:rPr>
                <w:rFonts w:ascii="Times New Roman" w:cs="Times New Roman" w:eastAsia="Times New Roman" w:hAnsi="Times New Roman"/>
                <w:sz w:val="16"/>
                <w:szCs w:val="16"/>
                <w:color w:val="auto"/>
              </w:rPr>
              <w:t>MAN</w:t>
            </w:r>
          </w:p>
        </w:tc>
        <w:tc>
          <w:tcPr>
            <w:tcW w:w="120" w:type="dxa"/>
            <w:vAlign w:val="bottom"/>
          </w:tcPr>
          <w:p>
            <w:pPr>
              <w:spacing w:after="0"/>
              <w:rPr>
                <w:sz w:val="24"/>
                <w:szCs w:val="24"/>
                <w:color w:val="auto"/>
              </w:rPr>
            </w:pPr>
          </w:p>
        </w:tc>
        <w:tc>
          <w:tcPr>
            <w:tcW w:w="42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New York Stock Exchange</w:t>
            </w:r>
          </w:p>
        </w:tc>
      </w:tr>
    </w:tbl>
    <w:p>
      <w:pPr>
        <w:spacing w:after="0" w:line="127" w:lineRule="exact"/>
        <w:rPr>
          <w:sz w:val="24"/>
          <w:szCs w:val="24"/>
          <w:color w:val="auto"/>
        </w:rPr>
      </w:pPr>
    </w:p>
    <w:p>
      <w:pPr>
        <w:ind w:right="320"/>
        <w:spacing w:after="0" w:line="214"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76" w:lineRule="exact"/>
        <w:rPr>
          <w:sz w:val="24"/>
          <w:szCs w:val="24"/>
          <w:color w:val="auto"/>
        </w:rPr>
      </w:pPr>
    </w:p>
    <w:p>
      <w:pPr>
        <w:ind w:right="360"/>
        <w:spacing w:after="0" w:line="220"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has submitted electronically every Interactive Data File required to be submitted pursuant to Rule 405 of Regulation S-T (Section 232.405 of this chapter) during the preceding 12 months (or for such shorter period that the Registrant was required to submit such files).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75" w:lineRule="exact"/>
        <w:rPr>
          <w:sz w:val="24"/>
          <w:szCs w:val="24"/>
          <w:color w:val="auto"/>
        </w:rPr>
      </w:pPr>
    </w:p>
    <w:p>
      <w:pPr>
        <w:jc w:val="both"/>
        <w:ind w:right="120"/>
        <w:spacing w:after="0" w:line="281" w:lineRule="auto"/>
        <w:rPr>
          <w:sz w:val="20"/>
          <w:szCs w:val="20"/>
          <w:color w:val="auto"/>
        </w:rPr>
      </w:pPr>
      <w:r>
        <w:rPr>
          <w:rFonts w:ascii="Times New Roman" w:cs="Times New Roman" w:eastAsia="Times New Roman" w:hAnsi="Times New Roman"/>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47" w:lineRule="exact"/>
        <w:rPr>
          <w:sz w:val="24"/>
          <w:szCs w:val="24"/>
          <w:color w:val="auto"/>
        </w:rPr>
      </w:pPr>
    </w:p>
    <w:tbl>
      <w:tblPr>
        <w:tblLayout w:type="fixed"/>
        <w:tblInd w:w="20" w:type="dxa"/>
        <w:tblCellMar>
          <w:top w:w="0" w:type="dxa"/>
          <w:left w:w="0" w:type="dxa"/>
          <w:bottom w:w="0" w:type="dxa"/>
          <w:right w:w="0" w:type="dxa"/>
        </w:tblCellMar>
      </w:tblPr>
      <w:tr>
        <w:trPr>
          <w:trHeight w:val="216"/>
        </w:trPr>
        <w:tc>
          <w:tcPr>
            <w:tcW w:w="2360" w:type="dxa"/>
            <w:vAlign w:val="bottom"/>
          </w:tcPr>
          <w:p>
            <w:pPr>
              <w:spacing w:after="0"/>
              <w:rPr>
                <w:sz w:val="20"/>
                <w:szCs w:val="20"/>
                <w:color w:val="auto"/>
              </w:rPr>
            </w:pPr>
            <w:r>
              <w:rPr>
                <w:rFonts w:ascii="Times New Roman" w:cs="Times New Roman" w:eastAsia="Times New Roman" w:hAnsi="Times New Roman"/>
                <w:sz w:val="16"/>
                <w:szCs w:val="16"/>
                <w:color w:val="auto"/>
              </w:rPr>
              <w:t>Large accelerated filer</w:t>
            </w:r>
          </w:p>
        </w:tc>
        <w:tc>
          <w:tcPr>
            <w:tcW w:w="3260" w:type="dxa"/>
            <w:vAlign w:val="bottom"/>
          </w:tcPr>
          <w:p>
            <w:pPr>
              <w:ind w:left="600"/>
              <w:spacing w:after="0" w:line="161" w:lineRule="exact"/>
              <w:rPr>
                <w:sz w:val="20"/>
                <w:szCs w:val="20"/>
                <w:color w:val="auto"/>
              </w:rPr>
            </w:pPr>
            <w:r>
              <w:rPr>
                <w:rFonts w:ascii="MS PGothic" w:cs="MS PGothic" w:eastAsia="MS PGothic" w:hAnsi="MS PGothic"/>
                <w:sz w:val="16"/>
                <w:szCs w:val="16"/>
                <w:color w:val="auto"/>
              </w:rPr>
              <w:t>☒</w:t>
            </w:r>
          </w:p>
        </w:tc>
        <w:tc>
          <w:tcPr>
            <w:tcW w:w="4780" w:type="dxa"/>
            <w:vAlign w:val="bottom"/>
          </w:tcPr>
          <w:p>
            <w:pPr>
              <w:ind w:left="2500"/>
              <w:spacing w:after="0"/>
              <w:rPr>
                <w:sz w:val="20"/>
                <w:szCs w:val="20"/>
                <w:color w:val="auto"/>
              </w:rPr>
            </w:pPr>
            <w:r>
              <w:rPr>
                <w:rFonts w:ascii="Times New Roman" w:cs="Times New Roman" w:eastAsia="Times New Roman" w:hAnsi="Times New Roman"/>
                <w:sz w:val="16"/>
                <w:szCs w:val="16"/>
                <w:color w:val="auto"/>
              </w:rPr>
              <w:t>Accelerated filer</w:t>
            </w:r>
          </w:p>
        </w:tc>
        <w:tc>
          <w:tcPr>
            <w:tcW w:w="640" w:type="dxa"/>
            <w:vAlign w:val="bottom"/>
          </w:tcPr>
          <w:p>
            <w:pPr>
              <w:ind w:left="480"/>
              <w:spacing w:after="0" w:line="161" w:lineRule="exact"/>
              <w:rPr>
                <w:sz w:val="20"/>
                <w:szCs w:val="20"/>
                <w:color w:val="auto"/>
              </w:rPr>
            </w:pPr>
            <w:r>
              <w:rPr>
                <w:rFonts w:ascii="MS PGothic" w:cs="MS PGothic" w:eastAsia="MS PGothic" w:hAnsi="MS PGothic"/>
                <w:sz w:val="16"/>
                <w:szCs w:val="16"/>
                <w:color w:val="auto"/>
                <w:w w:val="87"/>
              </w:rPr>
              <w:t>☐</w:t>
            </w:r>
          </w:p>
        </w:tc>
      </w:tr>
      <w:tr>
        <w:trPr>
          <w:trHeight w:val="216"/>
        </w:trPr>
        <w:tc>
          <w:tcPr>
            <w:tcW w:w="2360" w:type="dxa"/>
            <w:vAlign w:val="bottom"/>
          </w:tcPr>
          <w:p>
            <w:pPr>
              <w:spacing w:after="0"/>
              <w:rPr>
                <w:sz w:val="20"/>
                <w:szCs w:val="20"/>
                <w:color w:val="auto"/>
              </w:rPr>
            </w:pPr>
            <w:r>
              <w:rPr>
                <w:rFonts w:ascii="Times New Roman" w:cs="Times New Roman" w:eastAsia="Times New Roman" w:hAnsi="Times New Roman"/>
                <w:sz w:val="16"/>
                <w:szCs w:val="16"/>
                <w:color w:val="auto"/>
              </w:rPr>
              <w:t>Non-accelerated filer</w:t>
            </w:r>
          </w:p>
        </w:tc>
        <w:tc>
          <w:tcPr>
            <w:tcW w:w="3260" w:type="dxa"/>
            <w:vAlign w:val="bottom"/>
          </w:tcPr>
          <w:p>
            <w:pPr>
              <w:ind w:left="600"/>
              <w:spacing w:after="0" w:line="161" w:lineRule="exact"/>
              <w:rPr>
                <w:sz w:val="20"/>
                <w:szCs w:val="20"/>
                <w:color w:val="auto"/>
              </w:rPr>
            </w:pPr>
            <w:r>
              <w:rPr>
                <w:rFonts w:ascii="MS PGothic" w:cs="MS PGothic" w:eastAsia="MS PGothic" w:hAnsi="MS PGothic"/>
                <w:sz w:val="16"/>
                <w:szCs w:val="16"/>
                <w:color w:val="auto"/>
              </w:rPr>
              <w:t>☐</w:t>
            </w:r>
          </w:p>
        </w:tc>
        <w:tc>
          <w:tcPr>
            <w:tcW w:w="4780" w:type="dxa"/>
            <w:vAlign w:val="bottom"/>
          </w:tcPr>
          <w:p>
            <w:pPr>
              <w:ind w:left="2500"/>
              <w:spacing w:after="0"/>
              <w:rPr>
                <w:sz w:val="20"/>
                <w:szCs w:val="20"/>
                <w:color w:val="auto"/>
              </w:rPr>
            </w:pPr>
            <w:r>
              <w:rPr>
                <w:rFonts w:ascii="Times New Roman" w:cs="Times New Roman" w:eastAsia="Times New Roman" w:hAnsi="Times New Roman"/>
                <w:sz w:val="16"/>
                <w:szCs w:val="16"/>
                <w:color w:val="auto"/>
              </w:rPr>
              <w:t>Smaller reporting company</w:t>
            </w:r>
          </w:p>
        </w:tc>
        <w:tc>
          <w:tcPr>
            <w:tcW w:w="640" w:type="dxa"/>
            <w:vAlign w:val="bottom"/>
          </w:tcPr>
          <w:p>
            <w:pPr>
              <w:ind w:left="480"/>
              <w:spacing w:after="0" w:line="161" w:lineRule="exact"/>
              <w:rPr>
                <w:sz w:val="20"/>
                <w:szCs w:val="20"/>
                <w:color w:val="auto"/>
              </w:rPr>
            </w:pPr>
            <w:r>
              <w:rPr>
                <w:rFonts w:ascii="MS PGothic" w:cs="MS PGothic" w:eastAsia="MS PGothic" w:hAnsi="MS PGothic"/>
                <w:sz w:val="16"/>
                <w:szCs w:val="16"/>
                <w:color w:val="auto"/>
                <w:w w:val="87"/>
              </w:rPr>
              <w:t>☐</w:t>
            </w:r>
          </w:p>
        </w:tc>
      </w:tr>
      <w:tr>
        <w:trPr>
          <w:trHeight w:val="272"/>
        </w:trPr>
        <w:tc>
          <w:tcPr>
            <w:tcW w:w="2360" w:type="dxa"/>
            <w:vAlign w:val="bottom"/>
          </w:tcPr>
          <w:p>
            <w:pPr>
              <w:spacing w:after="0"/>
              <w:rPr>
                <w:sz w:val="20"/>
                <w:szCs w:val="20"/>
                <w:color w:val="auto"/>
              </w:rPr>
            </w:pPr>
            <w:r>
              <w:rPr>
                <w:rFonts w:ascii="Times New Roman" w:cs="Times New Roman" w:eastAsia="Times New Roman" w:hAnsi="Times New Roman"/>
                <w:sz w:val="16"/>
                <w:szCs w:val="16"/>
                <w:color w:val="auto"/>
              </w:rPr>
              <w:t>Emerging growth company</w:t>
            </w:r>
          </w:p>
        </w:tc>
        <w:tc>
          <w:tcPr>
            <w:tcW w:w="3260" w:type="dxa"/>
            <w:vAlign w:val="bottom"/>
          </w:tcPr>
          <w:p>
            <w:pPr>
              <w:ind w:left="600"/>
              <w:spacing w:after="0" w:line="161" w:lineRule="exact"/>
              <w:rPr>
                <w:sz w:val="20"/>
                <w:szCs w:val="20"/>
                <w:color w:val="auto"/>
              </w:rPr>
            </w:pPr>
            <w:r>
              <w:rPr>
                <w:rFonts w:ascii="MS PGothic" w:cs="MS PGothic" w:eastAsia="MS PGothic" w:hAnsi="MS PGothic"/>
                <w:sz w:val="16"/>
                <w:szCs w:val="16"/>
                <w:color w:val="auto"/>
              </w:rPr>
              <w:t>☐</w:t>
            </w:r>
          </w:p>
        </w:tc>
        <w:tc>
          <w:tcPr>
            <w:tcW w:w="4780" w:type="dxa"/>
            <w:vAlign w:val="bottom"/>
          </w:tcPr>
          <w:p>
            <w:pPr>
              <w:spacing w:after="0"/>
              <w:rPr>
                <w:sz w:val="23"/>
                <w:szCs w:val="23"/>
                <w:color w:val="auto"/>
              </w:rPr>
            </w:pPr>
          </w:p>
        </w:tc>
        <w:tc>
          <w:tcPr>
            <w:tcW w:w="640" w:type="dxa"/>
            <w:vAlign w:val="bottom"/>
          </w:tcPr>
          <w:p>
            <w:pPr>
              <w:spacing w:after="0"/>
              <w:rPr>
                <w:sz w:val="23"/>
                <w:szCs w:val="23"/>
                <w:color w:val="auto"/>
              </w:rPr>
            </w:pPr>
          </w:p>
        </w:tc>
      </w:tr>
    </w:tbl>
    <w:p>
      <w:pPr>
        <w:spacing w:after="0" w:line="101" w:lineRule="exact"/>
        <w:rPr>
          <w:sz w:val="24"/>
          <w:szCs w:val="24"/>
          <w:color w:val="auto"/>
        </w:rPr>
      </w:pPr>
    </w:p>
    <w:p>
      <w:pPr>
        <w:ind w:right="580"/>
        <w:spacing w:after="0" w:line="220" w:lineRule="exact"/>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39" w:lineRule="exact"/>
        <w:rPr>
          <w:sz w:val="24"/>
          <w:szCs w:val="24"/>
          <w:color w:val="auto"/>
        </w:rPr>
      </w:pPr>
    </w:p>
    <w:p>
      <w:pPr>
        <w:ind w:right="2880"/>
        <w:spacing w:after="0" w:line="224"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is a shell company (as defined in Rule 12b-2 of the Exchange Act).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Indicate the number of shares outstanding of each of the issuer’s classes of common stock, as of the latest practicable date.</w:t>
      </w:r>
    </w:p>
    <w:p>
      <w:pPr>
        <w:spacing w:after="0" w:line="126" w:lineRule="exact"/>
        <w:rPr>
          <w:sz w:val="24"/>
          <w:szCs w:val="24"/>
          <w:color w:val="auto"/>
        </w:rPr>
      </w:pPr>
    </w:p>
    <w:tbl>
      <w:tblPr>
        <w:tblLayout w:type="fixed"/>
        <w:tblInd w:w="0" w:type="dxa"/>
        <w:tblCellMar>
          <w:top w:w="0" w:type="dxa"/>
          <w:left w:w="0" w:type="dxa"/>
          <w:bottom w:w="0" w:type="dxa"/>
          <w:right w:w="0" w:type="dxa"/>
        </w:tblCellMar>
      </w:tblPr>
      <w:tr>
        <w:trPr>
          <w:trHeight w:val="212"/>
        </w:trPr>
        <w:tc>
          <w:tcPr>
            <w:tcW w:w="5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4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Shares Outstanding</w:t>
            </w:r>
          </w:p>
        </w:tc>
      </w:tr>
      <w:tr>
        <w:trPr>
          <w:trHeight w:val="243"/>
        </w:trPr>
        <w:tc>
          <w:tcPr>
            <w:tcW w:w="55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Class</w:t>
            </w:r>
          </w:p>
        </w:tc>
        <w:tc>
          <w:tcPr>
            <w:tcW w:w="220" w:type="dxa"/>
            <w:vAlign w:val="bottom"/>
          </w:tcPr>
          <w:p>
            <w:pPr>
              <w:spacing w:after="0"/>
              <w:rPr>
                <w:sz w:val="21"/>
                <w:szCs w:val="21"/>
                <w:color w:val="auto"/>
              </w:rPr>
            </w:pPr>
          </w:p>
        </w:tc>
        <w:tc>
          <w:tcPr>
            <w:tcW w:w="54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at July 31, 2024</w:t>
            </w:r>
          </w:p>
        </w:tc>
      </w:tr>
      <w:tr>
        <w:trPr>
          <w:trHeight w:val="210"/>
        </w:trPr>
        <w:tc>
          <w:tcPr>
            <w:tcW w:w="55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Common Stock, $.01 par value</w:t>
            </w:r>
          </w:p>
        </w:tc>
        <w:tc>
          <w:tcPr>
            <w:tcW w:w="220" w:type="dxa"/>
            <w:vAlign w:val="bottom"/>
          </w:tcPr>
          <w:p>
            <w:pPr>
              <w:spacing w:after="0"/>
              <w:rPr>
                <w:sz w:val="18"/>
                <w:szCs w:val="18"/>
                <w:color w:val="auto"/>
              </w:rPr>
            </w:pPr>
          </w:p>
        </w:tc>
        <w:tc>
          <w:tcPr>
            <w:tcW w:w="54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47,447,886</w:t>
            </w:r>
          </w:p>
        </w:tc>
      </w:tr>
      <w:tr>
        <w:trPr>
          <w:trHeight w:val="1430"/>
        </w:trPr>
        <w:tc>
          <w:tcPr>
            <w:tcW w:w="556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5460" w:type="dxa"/>
            <w:vAlign w:val="bottom"/>
            <w:tcBorders>
              <w:bottom w:val="single" w:sz="8" w:color="9A9A9A"/>
            </w:tcBorders>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91" w:right="33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540" w:type="dxa"/>
            <w:vAlign w:val="bottom"/>
            <w:gridSpan w:val="9"/>
          </w:tcPr>
          <w:p>
            <w:pPr>
              <w:jc w:val="center"/>
              <w:ind w:right="3860"/>
              <w:spacing w:after="0"/>
              <w:rPr>
                <w:sz w:val="20"/>
                <w:szCs w:val="20"/>
                <w:color w:val="auto"/>
              </w:rPr>
            </w:pPr>
            <w:r>
              <w:rPr>
                <w:rFonts w:ascii="Times New Roman" w:cs="Times New Roman" w:eastAsia="Times New Roman" w:hAnsi="Times New Roman"/>
                <w:sz w:val="18"/>
                <w:szCs w:val="18"/>
                <w:b w:val="1"/>
                <w:bCs w:val="1"/>
                <w:color w:val="auto"/>
                <w:w w:val="99"/>
              </w:rPr>
              <w:t>ManpowerGroup Inc.</w:t>
            </w:r>
          </w:p>
        </w:tc>
        <w:tc>
          <w:tcPr>
            <w:tcW w:w="920" w:type="dxa"/>
            <w:vAlign w:val="bottom"/>
          </w:tcPr>
          <w:p>
            <w:pPr>
              <w:spacing w:after="0"/>
              <w:rPr>
                <w:sz w:val="17"/>
                <w:szCs w:val="17"/>
                <w:color w:val="auto"/>
              </w:rPr>
            </w:pPr>
          </w:p>
        </w:tc>
      </w:tr>
      <w:tr>
        <w:trPr>
          <w:trHeight w:val="453"/>
        </w:trPr>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60" w:type="dxa"/>
            <w:vAlign w:val="bottom"/>
            <w:tcBorders>
              <w:top w:val="single" w:sz="8" w:color="auto"/>
            </w:tcBorders>
          </w:tcPr>
          <w:p>
            <w:pPr>
              <w:spacing w:after="0"/>
              <w:rPr>
                <w:sz w:val="24"/>
                <w:szCs w:val="24"/>
                <w:color w:val="auto"/>
              </w:rPr>
            </w:pPr>
          </w:p>
        </w:tc>
        <w:tc>
          <w:tcPr>
            <w:tcW w:w="1300" w:type="dxa"/>
            <w:vAlign w:val="bottom"/>
            <w:tcBorders>
              <w:top w:val="single" w:sz="8" w:color="auto"/>
            </w:tcBorders>
            <w:gridSpan w:val="4"/>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9"/>
              </w:rPr>
              <w:t>INDEX</w:t>
            </w:r>
          </w:p>
        </w:tc>
        <w:tc>
          <w:tcPr>
            <w:tcW w:w="3860" w:type="dxa"/>
            <w:vAlign w:val="bottom"/>
            <w:gridSpan w:val="3"/>
          </w:tcPr>
          <w:p>
            <w:pPr>
              <w:spacing w:after="0"/>
              <w:rPr>
                <w:sz w:val="24"/>
                <w:szCs w:val="24"/>
                <w:color w:val="auto"/>
              </w:rPr>
            </w:pPr>
          </w:p>
        </w:tc>
        <w:tc>
          <w:tcPr>
            <w:tcW w:w="920" w:type="dxa"/>
            <w:vAlign w:val="bottom"/>
          </w:tcPr>
          <w:p>
            <w:pPr>
              <w:spacing w:after="0"/>
              <w:rPr>
                <w:sz w:val="24"/>
                <w:szCs w:val="24"/>
                <w:color w:val="auto"/>
              </w:rPr>
            </w:pPr>
          </w:p>
        </w:tc>
      </w:tr>
      <w:tr>
        <w:trPr>
          <w:trHeight w:val="353"/>
        </w:trPr>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920" w:type="dxa"/>
            <w:vAlign w:val="bottom"/>
          </w:tcPr>
          <w:p>
            <w:pPr>
              <w:jc w:val="right"/>
              <w:ind w:right="232"/>
              <w:spacing w:after="0"/>
              <w:rPr>
                <w:sz w:val="20"/>
                <w:szCs w:val="20"/>
                <w:color w:val="auto"/>
              </w:rPr>
            </w:pPr>
            <w:r>
              <w:rPr>
                <w:rFonts w:ascii="Times New Roman" w:cs="Times New Roman" w:eastAsia="Times New Roman" w:hAnsi="Times New Roman"/>
                <w:sz w:val="14"/>
                <w:szCs w:val="14"/>
                <w:b w:val="1"/>
                <w:bCs w:val="1"/>
                <w:color w:val="auto"/>
              </w:rPr>
              <w:t>Page</w:t>
            </w:r>
          </w:p>
        </w:tc>
      </w:tr>
      <w:tr>
        <w:trPr>
          <w:trHeight w:val="187"/>
        </w:trPr>
        <w:tc>
          <w:tcPr>
            <w:tcW w:w="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12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920" w:type="dxa"/>
            <w:vAlign w:val="bottom"/>
            <w:tcBorders>
              <w:bottom w:val="single" w:sz="8" w:color="auto"/>
            </w:tcBorders>
          </w:tcPr>
          <w:p>
            <w:pPr>
              <w:jc w:val="right"/>
              <w:ind w:right="112"/>
              <w:spacing w:after="0"/>
              <w:rPr>
                <w:sz w:val="20"/>
                <w:szCs w:val="20"/>
                <w:color w:val="auto"/>
              </w:rPr>
            </w:pPr>
            <w:r>
              <w:rPr>
                <w:rFonts w:ascii="Times New Roman" w:cs="Times New Roman" w:eastAsia="Times New Roman" w:hAnsi="Times New Roman"/>
                <w:sz w:val="14"/>
                <w:szCs w:val="14"/>
                <w:b w:val="1"/>
                <w:bCs w:val="1"/>
                <w:color w:val="auto"/>
              </w:rPr>
              <w:t>Number</w:t>
            </w:r>
          </w:p>
        </w:tc>
      </w:tr>
      <w:tr>
        <w:trPr>
          <w:trHeight w:val="183"/>
        </w:trPr>
        <w:tc>
          <w:tcPr>
            <w:tcW w:w="20" w:type="dxa"/>
            <w:vAlign w:val="bottom"/>
          </w:tcPr>
          <w:p>
            <w:pPr>
              <w:spacing w:after="0"/>
              <w:rPr>
                <w:sz w:val="15"/>
                <w:szCs w:val="15"/>
                <w:color w:val="auto"/>
              </w:rPr>
            </w:pPr>
          </w:p>
        </w:tc>
        <w:tc>
          <w:tcPr>
            <w:tcW w:w="2260" w:type="dxa"/>
            <w:vAlign w:val="bottom"/>
            <w:gridSpan w:val="6"/>
          </w:tcPr>
          <w:p>
            <w:pPr>
              <w:spacing w:after="0" w:line="182" w:lineRule="exact"/>
              <w:rPr>
                <w:sz w:val="20"/>
                <w:szCs w:val="20"/>
                <w:color w:val="auto"/>
              </w:rPr>
            </w:pPr>
            <w:r>
              <w:rPr>
                <w:rFonts w:ascii="Times New Roman" w:cs="Times New Roman" w:eastAsia="Times New Roman" w:hAnsi="Times New Roman"/>
                <w:sz w:val="18"/>
                <w:szCs w:val="18"/>
                <w:b w:val="1"/>
                <w:bCs w:val="1"/>
                <w:color w:val="auto"/>
              </w:rPr>
              <w:t>PART I</w:t>
            </w:r>
          </w:p>
        </w:tc>
        <w:tc>
          <w:tcPr>
            <w:tcW w:w="8040" w:type="dxa"/>
            <w:vAlign w:val="bottom"/>
            <w:gridSpan w:val="17"/>
          </w:tcPr>
          <w:p>
            <w:pPr>
              <w:spacing w:after="0" w:line="182" w:lineRule="exact"/>
              <w:rPr>
                <w:sz w:val="20"/>
                <w:szCs w:val="20"/>
                <w:color w:val="auto"/>
              </w:rPr>
            </w:pPr>
            <w:r>
              <w:rPr>
                <w:rFonts w:ascii="Times New Roman" w:cs="Times New Roman" w:eastAsia="Times New Roman" w:hAnsi="Times New Roman"/>
                <w:sz w:val="18"/>
                <w:szCs w:val="18"/>
                <w:b w:val="1"/>
                <w:bCs w:val="1"/>
                <w:color w:val="auto"/>
              </w:rPr>
              <w:t>FINANCIAL INFORMATION</w:t>
            </w:r>
          </w:p>
        </w:tc>
        <w:tc>
          <w:tcPr>
            <w:tcW w:w="920" w:type="dxa"/>
            <w:vAlign w:val="bottom"/>
          </w:tcPr>
          <w:p>
            <w:pPr>
              <w:spacing w:after="0"/>
              <w:rPr>
                <w:sz w:val="15"/>
                <w:szCs w:val="15"/>
                <w:color w:val="auto"/>
              </w:rPr>
            </w:pPr>
          </w:p>
        </w:tc>
      </w:tr>
      <w:tr>
        <w:trPr>
          <w:trHeight w:val="223"/>
        </w:trPr>
        <w:tc>
          <w:tcPr>
            <w:tcW w:w="20" w:type="dxa"/>
            <w:vAlign w:val="bottom"/>
          </w:tcPr>
          <w:p>
            <w:pPr>
              <w:spacing w:after="0"/>
              <w:rPr>
                <w:sz w:val="19"/>
                <w:szCs w:val="19"/>
                <w:color w:val="auto"/>
              </w:rPr>
            </w:pPr>
          </w:p>
        </w:tc>
        <w:tc>
          <w:tcPr>
            <w:tcW w:w="580" w:type="dxa"/>
            <w:vAlign w:val="bottom"/>
            <w:tcBorders>
              <w:top w:val="single" w:sz="8" w:color="0000EE"/>
            </w:tcBorders>
            <w:gridSpan w:val="2"/>
          </w:tcPr>
          <w:p>
            <w:pPr>
              <w:spacing w:after="0"/>
              <w:rPr>
                <w:sz w:val="20"/>
                <w:szCs w:val="20"/>
                <w:color w:val="auto"/>
              </w:rPr>
            </w:pPr>
            <w:r>
              <w:rPr>
                <w:rFonts w:ascii="Times New Roman" w:cs="Times New Roman" w:eastAsia="Times New Roman" w:hAnsi="Times New Roman"/>
                <w:sz w:val="18"/>
                <w:szCs w:val="18"/>
                <w:color w:val="auto"/>
              </w:rPr>
              <w:t>Item 1</w:t>
            </w:r>
          </w:p>
        </w:tc>
        <w:tc>
          <w:tcPr>
            <w:tcW w:w="1680" w:type="dxa"/>
            <w:vAlign w:val="bottom"/>
            <w:gridSpan w:val="4"/>
          </w:tcPr>
          <w:p>
            <w:pPr>
              <w:spacing w:after="0"/>
              <w:rPr>
                <w:sz w:val="19"/>
                <w:szCs w:val="19"/>
                <w:color w:val="auto"/>
              </w:rPr>
            </w:pPr>
          </w:p>
        </w:tc>
        <w:tc>
          <w:tcPr>
            <w:tcW w:w="2400" w:type="dxa"/>
            <w:vAlign w:val="bottom"/>
            <w:tcBorders>
              <w:top w:val="single" w:sz="8" w:color="0000EE"/>
            </w:tcBorders>
            <w:gridSpan w:val="7"/>
          </w:tcPr>
          <w:p>
            <w:pPr>
              <w:spacing w:after="0"/>
              <w:rPr>
                <w:sz w:val="20"/>
                <w:szCs w:val="20"/>
                <w:color w:val="auto"/>
              </w:rPr>
            </w:pPr>
            <w:r>
              <w:rPr>
                <w:rFonts w:ascii="Times New Roman" w:cs="Times New Roman" w:eastAsia="Times New Roman" w:hAnsi="Times New Roman"/>
                <w:sz w:val="18"/>
                <w:szCs w:val="18"/>
                <w:color w:val="0000FF"/>
                <w:w w:val="99"/>
              </w:rPr>
              <w:t>Financial Statements (unaudited)</w:t>
            </w:r>
          </w:p>
        </w:tc>
        <w:tc>
          <w:tcPr>
            <w:tcW w:w="5640" w:type="dxa"/>
            <w:vAlign w:val="bottom"/>
            <w:gridSpan w:val="10"/>
          </w:tcPr>
          <w:p>
            <w:pPr>
              <w:spacing w:after="0"/>
              <w:rPr>
                <w:sz w:val="19"/>
                <w:szCs w:val="19"/>
                <w:color w:val="auto"/>
              </w:rPr>
            </w:pPr>
          </w:p>
        </w:tc>
        <w:tc>
          <w:tcPr>
            <w:tcW w:w="920" w:type="dxa"/>
            <w:vAlign w:val="bottom"/>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460" w:type="dxa"/>
            <w:vAlign w:val="bottom"/>
            <w:tcBorders>
              <w:top w:val="single" w:sz="8" w:color="0000EE"/>
            </w:tcBorders>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380" w:type="dxa"/>
            <w:vAlign w:val="bottom"/>
            <w:tcBorders>
              <w:top w:val="single" w:sz="8" w:color="0000FF"/>
            </w:tcBorders>
            <w:gridSpan w:val="6"/>
          </w:tcPr>
          <w:p>
            <w:pPr>
              <w:spacing w:after="0"/>
              <w:rPr>
                <w:sz w:val="20"/>
                <w:szCs w:val="20"/>
                <w:color w:val="auto"/>
              </w:rPr>
            </w:pPr>
            <w:r>
              <w:rPr>
                <w:rFonts w:ascii="Times New Roman" w:cs="Times New Roman" w:eastAsia="Times New Roman" w:hAnsi="Times New Roman"/>
                <w:sz w:val="18"/>
                <w:szCs w:val="18"/>
                <w:color w:val="0000FF"/>
              </w:rPr>
              <w:t>Consolidated Balance Sheets</w:t>
            </w:r>
          </w:p>
        </w:tc>
        <w:tc>
          <w:tcPr>
            <w:tcW w:w="5660" w:type="dxa"/>
            <w:vAlign w:val="bottom"/>
            <w:gridSpan w:val="11"/>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r>
      <w:tr>
        <w:trPr>
          <w:trHeight w:val="20"/>
        </w:trPr>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340" w:type="dxa"/>
            <w:vAlign w:val="bottom"/>
            <w:tcBorders>
              <w:right w:val="single" w:sz="8" w:color="0000EE"/>
            </w:tcBorders>
            <w:shd w:val="clear" w:color="auto" w:fill="0000FF"/>
          </w:tcPr>
          <w:p>
            <w:pPr>
              <w:spacing w:after="0" w:line="20" w:lineRule="exact"/>
              <w:rPr>
                <w:sz w:val="1"/>
                <w:szCs w:val="1"/>
                <w:color w:val="auto"/>
              </w:rPr>
            </w:pPr>
          </w:p>
        </w:tc>
        <w:tc>
          <w:tcPr>
            <w:tcW w:w="720" w:type="dxa"/>
            <w:vAlign w:val="bottom"/>
            <w:gridSpan w:val="4"/>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8040" w:type="dxa"/>
            <w:vAlign w:val="bottom"/>
            <w:gridSpan w:val="17"/>
          </w:tcPr>
          <w:p>
            <w:pPr>
              <w:spacing w:after="0"/>
              <w:rPr>
                <w:sz w:val="20"/>
                <w:szCs w:val="20"/>
                <w:color w:val="auto"/>
              </w:rPr>
            </w:pPr>
            <w:r>
              <w:rPr>
                <w:rFonts w:ascii="Times New Roman" w:cs="Times New Roman" w:eastAsia="Times New Roman" w:hAnsi="Times New Roman"/>
                <w:sz w:val="18"/>
                <w:szCs w:val="18"/>
                <w:color w:val="0000FF"/>
              </w:rPr>
              <w:t>Consolidated Statements of Operations</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20"/>
        </w:trPr>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340" w:type="dxa"/>
            <w:vAlign w:val="bottom"/>
            <w:tcBorders>
              <w:right w:val="single" w:sz="8" w:color="0000FF"/>
            </w:tcBorders>
            <w:shd w:val="clear" w:color="auto" w:fill="0000FF"/>
          </w:tcPr>
          <w:p>
            <w:pPr>
              <w:spacing w:after="0" w:line="20" w:lineRule="exact"/>
              <w:rPr>
                <w:sz w:val="1"/>
                <w:szCs w:val="1"/>
                <w:color w:val="auto"/>
              </w:rPr>
            </w:pPr>
          </w:p>
        </w:tc>
        <w:tc>
          <w:tcPr>
            <w:tcW w:w="720" w:type="dxa"/>
            <w:vAlign w:val="bottom"/>
            <w:tcBorders>
              <w:right w:val="single" w:sz="8" w:color="0000EE"/>
            </w:tcBorders>
            <w:gridSpan w:val="4"/>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3740" w:type="dxa"/>
            <w:vAlign w:val="bottom"/>
            <w:tcBorders>
              <w:bottom w:val="single" w:sz="8" w:color="0000FF"/>
            </w:tcBorders>
            <w:gridSpan w:val="13"/>
          </w:tcPr>
          <w:p>
            <w:pPr>
              <w:spacing w:after="0"/>
              <w:rPr>
                <w:sz w:val="20"/>
                <w:szCs w:val="20"/>
                <w:color w:val="auto"/>
              </w:rPr>
            </w:pPr>
            <w:r>
              <w:rPr>
                <w:rFonts w:ascii="Times New Roman" w:cs="Times New Roman" w:eastAsia="Times New Roman" w:hAnsi="Times New Roman"/>
                <w:sz w:val="18"/>
                <w:szCs w:val="18"/>
                <w:color w:val="0000FF"/>
                <w:w w:val="99"/>
              </w:rPr>
              <w:t>Consolidated Statements of Comprehensive Income</w:t>
            </w:r>
          </w:p>
        </w:tc>
        <w:tc>
          <w:tcPr>
            <w:tcW w:w="4300" w:type="dxa"/>
            <w:vAlign w:val="bottom"/>
            <w:gridSpan w:val="4"/>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223"/>
        </w:trPr>
        <w:tc>
          <w:tcPr>
            <w:tcW w:w="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8040" w:type="dxa"/>
            <w:vAlign w:val="bottom"/>
            <w:gridSpan w:val="17"/>
          </w:tcPr>
          <w:p>
            <w:pPr>
              <w:spacing w:after="0"/>
              <w:rPr>
                <w:sz w:val="20"/>
                <w:szCs w:val="20"/>
                <w:color w:val="auto"/>
              </w:rPr>
            </w:pPr>
            <w:r>
              <w:rPr>
                <w:rFonts w:ascii="Times New Roman" w:cs="Times New Roman" w:eastAsia="Times New Roman" w:hAnsi="Times New Roman"/>
                <w:sz w:val="18"/>
                <w:szCs w:val="18"/>
                <w:color w:val="0000FF"/>
              </w:rPr>
              <w:t>Consolidated Statements of Cash Flows</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r>
      <w:tr>
        <w:trPr>
          <w:trHeight w:val="20"/>
        </w:trPr>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340" w:type="dxa"/>
            <w:vAlign w:val="bottom"/>
            <w:tcBorders>
              <w:right w:val="single" w:sz="8" w:color="0000FF"/>
            </w:tcBorders>
            <w:shd w:val="clear" w:color="auto" w:fill="0000FF"/>
          </w:tcPr>
          <w:p>
            <w:pPr>
              <w:spacing w:after="0" w:line="20" w:lineRule="exact"/>
              <w:rPr>
                <w:sz w:val="1"/>
                <w:szCs w:val="1"/>
                <w:color w:val="auto"/>
              </w:rPr>
            </w:pPr>
          </w:p>
        </w:tc>
        <w:tc>
          <w:tcPr>
            <w:tcW w:w="780" w:type="dxa"/>
            <w:vAlign w:val="bottom"/>
            <w:tcBorders>
              <w:right w:val="single" w:sz="8" w:color="0000EE"/>
            </w:tcBorders>
            <w:gridSpan w:val="5"/>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20" w:type="dxa"/>
            <w:vAlign w:val="bottom"/>
            <w:gridSpan w:val="3"/>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3520" w:type="dxa"/>
            <w:vAlign w:val="bottom"/>
            <w:tcBorders>
              <w:bottom w:val="single" w:sz="8" w:color="0000FF"/>
            </w:tcBorders>
            <w:gridSpan w:val="12"/>
          </w:tcPr>
          <w:p>
            <w:pPr>
              <w:spacing w:after="0"/>
              <w:rPr>
                <w:sz w:val="20"/>
                <w:szCs w:val="20"/>
                <w:color w:val="auto"/>
              </w:rPr>
            </w:pPr>
            <w:r>
              <w:rPr>
                <w:rFonts w:ascii="Times New Roman" w:cs="Times New Roman" w:eastAsia="Times New Roman" w:hAnsi="Times New Roman"/>
                <w:sz w:val="18"/>
                <w:szCs w:val="18"/>
                <w:color w:val="0000FF"/>
                <w:w w:val="99"/>
              </w:rPr>
              <w:t>Consolidated Statements of Shareholders' Equity</w:t>
            </w:r>
          </w:p>
        </w:tc>
        <w:tc>
          <w:tcPr>
            <w:tcW w:w="4520" w:type="dxa"/>
            <w:vAlign w:val="bottom"/>
            <w:gridSpan w:val="5"/>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r>
      <w:tr>
        <w:trPr>
          <w:trHeight w:val="223"/>
        </w:trPr>
        <w:tc>
          <w:tcPr>
            <w:tcW w:w="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8040" w:type="dxa"/>
            <w:vAlign w:val="bottom"/>
            <w:gridSpan w:val="17"/>
          </w:tcPr>
          <w:p>
            <w:pPr>
              <w:spacing w:after="0"/>
              <w:rPr>
                <w:sz w:val="20"/>
                <w:szCs w:val="20"/>
                <w:color w:val="auto"/>
              </w:rPr>
            </w:pPr>
            <w:r>
              <w:rPr>
                <w:rFonts w:ascii="Times New Roman" w:cs="Times New Roman" w:eastAsia="Times New Roman" w:hAnsi="Times New Roman"/>
                <w:sz w:val="18"/>
                <w:szCs w:val="18"/>
                <w:color w:val="0000FF"/>
              </w:rPr>
              <w:t>Notes to Consolidated Financial Statements</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8-21</w:t>
            </w:r>
          </w:p>
        </w:tc>
      </w:tr>
      <w:tr>
        <w:trPr>
          <w:trHeight w:val="20"/>
        </w:trPr>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340" w:type="dxa"/>
            <w:vAlign w:val="bottom"/>
            <w:tcBorders>
              <w:right w:val="single" w:sz="8" w:color="0000FF"/>
            </w:tcBorders>
            <w:shd w:val="clear" w:color="auto" w:fill="0000FF"/>
          </w:tcPr>
          <w:p>
            <w:pPr>
              <w:spacing w:after="0" w:line="20" w:lineRule="exact"/>
              <w:rPr>
                <w:sz w:val="1"/>
                <w:szCs w:val="1"/>
                <w:color w:val="auto"/>
              </w:rPr>
            </w:pPr>
          </w:p>
        </w:tc>
        <w:tc>
          <w:tcPr>
            <w:tcW w:w="1060" w:type="dxa"/>
            <w:vAlign w:val="bottom"/>
            <w:tcBorders>
              <w:right w:val="single" w:sz="8" w:color="0000EE"/>
            </w:tcBorders>
            <w:gridSpan w:val="6"/>
            <w:shd w:val="clear" w:color="auto" w:fill="0000FF"/>
          </w:tcPr>
          <w:p>
            <w:pPr>
              <w:spacing w:after="0" w:line="20" w:lineRule="exact"/>
              <w:rPr>
                <w:sz w:val="1"/>
                <w:szCs w:val="1"/>
                <w:color w:val="auto"/>
              </w:rPr>
            </w:pPr>
          </w:p>
        </w:tc>
        <w:tc>
          <w:tcPr>
            <w:tcW w:w="1180" w:type="dxa"/>
            <w:vAlign w:val="bottom"/>
            <w:gridSpan w:val="4"/>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226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Item 2</w:t>
            </w:r>
          </w:p>
        </w:tc>
        <w:tc>
          <w:tcPr>
            <w:tcW w:w="8040" w:type="dxa"/>
            <w:vAlign w:val="bottom"/>
            <w:gridSpan w:val="17"/>
          </w:tcPr>
          <w:p>
            <w:pPr>
              <w:spacing w:after="0"/>
              <w:rPr>
                <w:sz w:val="20"/>
                <w:szCs w:val="20"/>
                <w:color w:val="auto"/>
              </w:rPr>
            </w:pPr>
            <w:r>
              <w:rPr>
                <w:rFonts w:ascii="Times New Roman" w:cs="Times New Roman" w:eastAsia="Times New Roman" w:hAnsi="Times New Roman"/>
                <w:sz w:val="18"/>
                <w:szCs w:val="18"/>
                <w:color w:val="0000FF"/>
              </w:rPr>
              <w:t>Management’s Discussion and Analysis of Financial Condition and Results of Operations</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22-38</w:t>
            </w:r>
          </w:p>
        </w:tc>
      </w:tr>
      <w:tr>
        <w:trPr>
          <w:trHeight w:val="20"/>
        </w:trPr>
        <w:tc>
          <w:tcPr>
            <w:tcW w:w="20" w:type="dxa"/>
            <w:vAlign w:val="bottom"/>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340" w:type="dxa"/>
            <w:vAlign w:val="bottom"/>
            <w:tcBorders>
              <w:right w:val="single" w:sz="8" w:color="0000FF"/>
            </w:tcBorders>
            <w:shd w:val="clear" w:color="auto" w:fill="0000FF"/>
          </w:tcPr>
          <w:p>
            <w:pPr>
              <w:spacing w:after="0" w:line="20" w:lineRule="exact"/>
              <w:rPr>
                <w:sz w:val="1"/>
                <w:szCs w:val="1"/>
                <w:color w:val="auto"/>
              </w:rPr>
            </w:pPr>
          </w:p>
        </w:tc>
        <w:tc>
          <w:tcPr>
            <w:tcW w:w="2240" w:type="dxa"/>
            <w:vAlign w:val="bottom"/>
            <w:gridSpan w:val="10"/>
            <w:shd w:val="clear" w:color="auto" w:fill="0000FF"/>
          </w:tcPr>
          <w:p>
            <w:pPr>
              <w:spacing w:after="0" w:line="20" w:lineRule="exact"/>
              <w:rPr>
                <w:sz w:val="1"/>
                <w:szCs w:val="1"/>
                <w:color w:val="auto"/>
              </w:rPr>
            </w:pPr>
          </w:p>
        </w:tc>
        <w:tc>
          <w:tcPr>
            <w:tcW w:w="2120" w:type="dxa"/>
            <w:vAlign w:val="bottom"/>
            <w:tcBorders>
              <w:left w:val="single" w:sz="8" w:color="0000FF"/>
            </w:tcBorders>
            <w:shd w:val="clear" w:color="auto" w:fill="0000FF"/>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226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Item 3</w:t>
            </w:r>
          </w:p>
        </w:tc>
        <w:tc>
          <w:tcPr>
            <w:tcW w:w="8040" w:type="dxa"/>
            <w:vAlign w:val="bottom"/>
            <w:gridSpan w:val="17"/>
          </w:tcPr>
          <w:p>
            <w:pPr>
              <w:spacing w:after="0"/>
              <w:rPr>
                <w:sz w:val="20"/>
                <w:szCs w:val="20"/>
                <w:color w:val="auto"/>
              </w:rPr>
            </w:pPr>
            <w:r>
              <w:rPr>
                <w:rFonts w:ascii="Times New Roman" w:cs="Times New Roman" w:eastAsia="Times New Roman" w:hAnsi="Times New Roman"/>
                <w:sz w:val="18"/>
                <w:szCs w:val="18"/>
                <w:color w:val="0000FF"/>
              </w:rPr>
              <w:t>Quantitative and Qualitative Disclosures About Market Risk</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r>
      <w:tr>
        <w:trPr>
          <w:trHeight w:val="20"/>
        </w:trPr>
        <w:tc>
          <w:tcPr>
            <w:tcW w:w="20" w:type="dxa"/>
            <w:vAlign w:val="bottom"/>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340" w:type="dxa"/>
            <w:vAlign w:val="bottom"/>
            <w:tcBorders>
              <w:right w:val="single" w:sz="8" w:color="0000FF"/>
            </w:tcBorders>
            <w:shd w:val="clear" w:color="auto" w:fill="0000FF"/>
          </w:tcPr>
          <w:p>
            <w:pPr>
              <w:spacing w:after="0" w:line="20" w:lineRule="exact"/>
              <w:rPr>
                <w:sz w:val="1"/>
                <w:szCs w:val="1"/>
                <w:color w:val="auto"/>
              </w:rPr>
            </w:pPr>
          </w:p>
        </w:tc>
        <w:tc>
          <w:tcPr>
            <w:tcW w:w="2240" w:type="dxa"/>
            <w:vAlign w:val="bottom"/>
            <w:gridSpan w:val="10"/>
            <w:shd w:val="clear" w:color="auto" w:fill="0000FF"/>
          </w:tcPr>
          <w:p>
            <w:pPr>
              <w:spacing w:after="0" w:line="20" w:lineRule="exact"/>
              <w:rPr>
                <w:sz w:val="1"/>
                <w:szCs w:val="1"/>
                <w:color w:val="auto"/>
              </w:rPr>
            </w:pPr>
          </w:p>
        </w:tc>
        <w:tc>
          <w:tcPr>
            <w:tcW w:w="3700" w:type="dxa"/>
            <w:vAlign w:val="bottom"/>
            <w:tcBorders>
              <w:left w:val="single" w:sz="8" w:color="0000FF"/>
            </w:tcBorders>
            <w:gridSpan w:val="2"/>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226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Item 4</w:t>
            </w:r>
          </w:p>
        </w:tc>
        <w:tc>
          <w:tcPr>
            <w:tcW w:w="8040" w:type="dxa"/>
            <w:vAlign w:val="bottom"/>
            <w:gridSpan w:val="17"/>
          </w:tcPr>
          <w:p>
            <w:pPr>
              <w:spacing w:after="0"/>
              <w:rPr>
                <w:sz w:val="20"/>
                <w:szCs w:val="20"/>
                <w:color w:val="auto"/>
              </w:rPr>
            </w:pPr>
            <w:r>
              <w:rPr>
                <w:rFonts w:ascii="Times New Roman" w:cs="Times New Roman" w:eastAsia="Times New Roman" w:hAnsi="Times New Roman"/>
                <w:sz w:val="18"/>
                <w:szCs w:val="18"/>
                <w:color w:val="0000FF"/>
              </w:rPr>
              <w:t>Controls and Procedures</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r>
      <w:tr>
        <w:trPr>
          <w:trHeight w:val="20"/>
        </w:trPr>
        <w:tc>
          <w:tcPr>
            <w:tcW w:w="20" w:type="dxa"/>
            <w:vAlign w:val="bottom"/>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40" w:type="dxa"/>
            <w:vAlign w:val="bottom"/>
            <w:gridSpan w:val="10"/>
          </w:tcPr>
          <w:p>
            <w:pPr>
              <w:spacing w:after="0" w:line="20" w:lineRule="exact"/>
              <w:rPr>
                <w:sz w:val="1"/>
                <w:szCs w:val="1"/>
                <w:color w:val="auto"/>
              </w:rPr>
            </w:pPr>
          </w:p>
        </w:tc>
        <w:tc>
          <w:tcPr>
            <w:tcW w:w="3700" w:type="dxa"/>
            <w:vAlign w:val="bottom"/>
            <w:gridSpan w:val="2"/>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r>
      <w:tr>
        <w:trPr>
          <w:trHeight w:val="466"/>
        </w:trPr>
        <w:tc>
          <w:tcPr>
            <w:tcW w:w="20" w:type="dxa"/>
            <w:vAlign w:val="bottom"/>
          </w:tcPr>
          <w:p>
            <w:pPr>
              <w:spacing w:after="0"/>
              <w:rPr>
                <w:sz w:val="24"/>
                <w:szCs w:val="24"/>
                <w:color w:val="auto"/>
              </w:rPr>
            </w:pPr>
          </w:p>
        </w:tc>
        <w:tc>
          <w:tcPr>
            <w:tcW w:w="660" w:type="dxa"/>
            <w:vAlign w:val="bottom"/>
            <w:tcBorders>
              <w:bottom w:val="single" w:sz="8" w:color="0000EE"/>
            </w:tcBorders>
            <w:gridSpan w:val="4"/>
          </w:tcPr>
          <w:p>
            <w:pPr>
              <w:spacing w:after="0"/>
              <w:rPr>
                <w:sz w:val="20"/>
                <w:szCs w:val="20"/>
                <w:color w:val="auto"/>
              </w:rPr>
            </w:pPr>
            <w:r>
              <w:rPr>
                <w:rFonts w:ascii="Times New Roman" w:cs="Times New Roman" w:eastAsia="Times New Roman" w:hAnsi="Times New Roman"/>
                <w:sz w:val="18"/>
                <w:szCs w:val="18"/>
                <w:b w:val="1"/>
                <w:bCs w:val="1"/>
                <w:color w:val="auto"/>
                <w:w w:val="94"/>
              </w:rPr>
              <w:t>PART II</w:t>
            </w:r>
          </w:p>
        </w:tc>
        <w:tc>
          <w:tcPr>
            <w:tcW w:w="1600" w:type="dxa"/>
            <w:vAlign w:val="bottom"/>
            <w:gridSpan w:val="2"/>
          </w:tcPr>
          <w:p>
            <w:pPr>
              <w:spacing w:after="0"/>
              <w:rPr>
                <w:sz w:val="24"/>
                <w:szCs w:val="24"/>
                <w:color w:val="auto"/>
              </w:rPr>
            </w:pPr>
          </w:p>
        </w:tc>
        <w:tc>
          <w:tcPr>
            <w:tcW w:w="2100" w:type="dxa"/>
            <w:vAlign w:val="bottom"/>
            <w:tcBorders>
              <w:bottom w:val="single" w:sz="8" w:color="0000EE"/>
            </w:tcBorders>
            <w:gridSpan w:val="5"/>
          </w:tcPr>
          <w:p>
            <w:pPr>
              <w:spacing w:after="0"/>
              <w:rPr>
                <w:sz w:val="20"/>
                <w:szCs w:val="20"/>
                <w:color w:val="auto"/>
              </w:rPr>
            </w:pPr>
            <w:r>
              <w:rPr>
                <w:rFonts w:ascii="Times New Roman" w:cs="Times New Roman" w:eastAsia="Times New Roman" w:hAnsi="Times New Roman"/>
                <w:sz w:val="18"/>
                <w:szCs w:val="18"/>
                <w:b w:val="1"/>
                <w:bCs w:val="1"/>
                <w:color w:val="auto"/>
              </w:rPr>
              <w:t>OTHER INFORMATION</w:t>
            </w:r>
          </w:p>
        </w:tc>
        <w:tc>
          <w:tcPr>
            <w:tcW w:w="5940" w:type="dxa"/>
            <w:vAlign w:val="bottom"/>
            <w:gridSpan w:val="12"/>
          </w:tcPr>
          <w:p>
            <w:pPr>
              <w:spacing w:after="0"/>
              <w:rPr>
                <w:sz w:val="24"/>
                <w:szCs w:val="24"/>
                <w:color w:val="auto"/>
              </w:rPr>
            </w:pPr>
          </w:p>
        </w:tc>
        <w:tc>
          <w:tcPr>
            <w:tcW w:w="920" w:type="dxa"/>
            <w:vAlign w:val="bottom"/>
          </w:tcPr>
          <w:p>
            <w:pPr>
              <w:spacing w:after="0"/>
              <w:rPr>
                <w:sz w:val="24"/>
                <w:szCs w:val="24"/>
                <w:color w:val="auto"/>
              </w:rPr>
            </w:pPr>
          </w:p>
        </w:tc>
      </w:tr>
      <w:tr>
        <w:trPr>
          <w:trHeight w:val="223"/>
        </w:trPr>
        <w:tc>
          <w:tcPr>
            <w:tcW w:w="20" w:type="dxa"/>
            <w:vAlign w:val="bottom"/>
          </w:tcPr>
          <w:p>
            <w:pPr>
              <w:spacing w:after="0"/>
              <w:rPr>
                <w:sz w:val="19"/>
                <w:szCs w:val="19"/>
                <w:color w:val="auto"/>
              </w:rPr>
            </w:pPr>
          </w:p>
        </w:tc>
        <w:tc>
          <w:tcPr>
            <w:tcW w:w="600" w:type="dxa"/>
            <w:vAlign w:val="bottom"/>
            <w:gridSpan w:val="3"/>
          </w:tcPr>
          <w:p>
            <w:pPr>
              <w:spacing w:after="0"/>
              <w:rPr>
                <w:sz w:val="20"/>
                <w:szCs w:val="20"/>
                <w:color w:val="auto"/>
              </w:rPr>
            </w:pPr>
            <w:r>
              <w:rPr>
                <w:rFonts w:ascii="Times New Roman" w:cs="Times New Roman" w:eastAsia="Times New Roman" w:hAnsi="Times New Roman"/>
                <w:sz w:val="18"/>
                <w:szCs w:val="18"/>
                <w:color w:val="auto"/>
                <w:w w:val="97"/>
              </w:rPr>
              <w:t>Item 1A</w:t>
            </w:r>
          </w:p>
        </w:tc>
        <w:tc>
          <w:tcPr>
            <w:tcW w:w="1660" w:type="dxa"/>
            <w:vAlign w:val="bottom"/>
            <w:gridSpan w:val="3"/>
          </w:tcPr>
          <w:p>
            <w:pPr>
              <w:spacing w:after="0"/>
              <w:rPr>
                <w:sz w:val="19"/>
                <w:szCs w:val="19"/>
                <w:color w:val="auto"/>
              </w:rPr>
            </w:pPr>
          </w:p>
        </w:tc>
        <w:tc>
          <w:tcPr>
            <w:tcW w:w="8040" w:type="dxa"/>
            <w:vAlign w:val="bottom"/>
            <w:gridSpan w:val="17"/>
          </w:tcPr>
          <w:p>
            <w:pPr>
              <w:spacing w:after="0"/>
              <w:rPr>
                <w:sz w:val="20"/>
                <w:szCs w:val="20"/>
                <w:color w:val="auto"/>
              </w:rPr>
            </w:pPr>
            <w:r>
              <w:rPr>
                <w:rFonts w:ascii="Times New Roman" w:cs="Times New Roman" w:eastAsia="Times New Roman" w:hAnsi="Times New Roman"/>
                <w:sz w:val="18"/>
                <w:szCs w:val="18"/>
                <w:color w:val="0000FF"/>
              </w:rPr>
              <w:t>Risk Factors</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w:t>
            </w:r>
          </w:p>
        </w:tc>
      </w:tr>
      <w:tr>
        <w:trPr>
          <w:trHeight w:val="20"/>
        </w:trPr>
        <w:tc>
          <w:tcPr>
            <w:tcW w:w="20" w:type="dxa"/>
            <w:vAlign w:val="bottom"/>
          </w:tcPr>
          <w:p>
            <w:pPr>
              <w:spacing w:after="0" w:line="20" w:lineRule="exact"/>
              <w:rPr>
                <w:sz w:val="1"/>
                <w:szCs w:val="1"/>
                <w:color w:val="auto"/>
              </w:rPr>
            </w:pPr>
          </w:p>
        </w:tc>
        <w:tc>
          <w:tcPr>
            <w:tcW w:w="600" w:type="dxa"/>
            <w:vAlign w:val="bottom"/>
            <w:gridSpan w:val="3"/>
            <w:shd w:val="clear" w:color="auto" w:fill="0000EE"/>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040" w:type="dxa"/>
            <w:vAlign w:val="bottom"/>
            <w:gridSpan w:val="12"/>
          </w:tcPr>
          <w:p>
            <w:pPr>
              <w:spacing w:after="0" w:line="20" w:lineRule="exact"/>
              <w:rPr>
                <w:sz w:val="1"/>
                <w:szCs w:val="1"/>
                <w:color w:val="auto"/>
              </w:rPr>
            </w:pPr>
          </w:p>
        </w:tc>
        <w:tc>
          <w:tcPr>
            <w:tcW w:w="3700" w:type="dxa"/>
            <w:vAlign w:val="bottom"/>
            <w:gridSpan w:val="2"/>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6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Item 2</w:t>
            </w:r>
          </w:p>
        </w:tc>
        <w:tc>
          <w:tcPr>
            <w:tcW w:w="1660" w:type="dxa"/>
            <w:vAlign w:val="bottom"/>
            <w:gridSpan w:val="3"/>
          </w:tcPr>
          <w:p>
            <w:pPr>
              <w:spacing w:after="0"/>
              <w:rPr>
                <w:sz w:val="19"/>
                <w:szCs w:val="19"/>
                <w:color w:val="auto"/>
              </w:rPr>
            </w:pPr>
          </w:p>
        </w:tc>
        <w:tc>
          <w:tcPr>
            <w:tcW w:w="8040" w:type="dxa"/>
            <w:vAlign w:val="bottom"/>
            <w:gridSpan w:val="17"/>
          </w:tcPr>
          <w:p>
            <w:pPr>
              <w:spacing w:after="0"/>
              <w:rPr>
                <w:sz w:val="20"/>
                <w:szCs w:val="20"/>
                <w:color w:val="auto"/>
              </w:rPr>
            </w:pPr>
            <w:r>
              <w:rPr>
                <w:rFonts w:ascii="Times New Roman" w:cs="Times New Roman" w:eastAsia="Times New Roman" w:hAnsi="Times New Roman"/>
                <w:sz w:val="18"/>
                <w:szCs w:val="18"/>
                <w:color w:val="0000FF"/>
              </w:rPr>
              <w:t>Unregistered Sales of Equity Securities and Use of Proceeds</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w:t>
            </w:r>
          </w:p>
        </w:tc>
      </w:tr>
      <w:tr>
        <w:trPr>
          <w:trHeight w:val="20"/>
        </w:trPr>
        <w:tc>
          <w:tcPr>
            <w:tcW w:w="20" w:type="dxa"/>
            <w:vAlign w:val="bottom"/>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700" w:type="dxa"/>
            <w:vAlign w:val="bottom"/>
            <w:gridSpan w:val="4"/>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700" w:type="dxa"/>
            <w:vAlign w:val="bottom"/>
            <w:gridSpan w:val="2"/>
            <w:shd w:val="clear" w:color="auto" w:fill="0000FF"/>
          </w:tcPr>
          <w:p>
            <w:pPr>
              <w:spacing w:after="0" w:line="20" w:lineRule="exact"/>
              <w:rPr>
                <w:sz w:val="1"/>
                <w:szCs w:val="1"/>
                <w:color w:val="auto"/>
              </w:rPr>
            </w:pPr>
          </w:p>
        </w:tc>
        <w:tc>
          <w:tcPr>
            <w:tcW w:w="3040" w:type="dxa"/>
            <w:vAlign w:val="bottom"/>
            <w:gridSpan w:val="12"/>
            <w:shd w:val="clear" w:color="auto" w:fill="0000FF"/>
          </w:tcPr>
          <w:p>
            <w:pPr>
              <w:spacing w:after="0" w:line="20" w:lineRule="exact"/>
              <w:rPr>
                <w:sz w:val="1"/>
                <w:szCs w:val="1"/>
                <w:color w:val="auto"/>
              </w:rPr>
            </w:pPr>
          </w:p>
        </w:tc>
        <w:tc>
          <w:tcPr>
            <w:tcW w:w="3700" w:type="dxa"/>
            <w:vAlign w:val="bottom"/>
            <w:gridSpan w:val="2"/>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226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Item 5</w:t>
            </w:r>
          </w:p>
        </w:tc>
        <w:tc>
          <w:tcPr>
            <w:tcW w:w="8040" w:type="dxa"/>
            <w:vAlign w:val="bottom"/>
            <w:gridSpan w:val="17"/>
          </w:tcPr>
          <w:p>
            <w:pPr>
              <w:spacing w:after="0"/>
              <w:rPr>
                <w:sz w:val="20"/>
                <w:szCs w:val="20"/>
                <w:color w:val="auto"/>
              </w:rPr>
            </w:pPr>
            <w:r>
              <w:rPr>
                <w:rFonts w:ascii="Times New Roman" w:cs="Times New Roman" w:eastAsia="Times New Roman" w:hAnsi="Times New Roman"/>
                <w:sz w:val="18"/>
                <w:szCs w:val="18"/>
                <w:color w:val="0000FF"/>
              </w:rPr>
              <w:t>Other Information</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w:t>
            </w:r>
          </w:p>
        </w:tc>
      </w:tr>
      <w:tr>
        <w:trPr>
          <w:trHeight w:val="20"/>
        </w:trPr>
        <w:tc>
          <w:tcPr>
            <w:tcW w:w="20" w:type="dxa"/>
            <w:vAlign w:val="bottom"/>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700" w:type="dxa"/>
            <w:vAlign w:val="bottom"/>
            <w:gridSpan w:val="4"/>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700" w:type="dxa"/>
            <w:vAlign w:val="bottom"/>
            <w:gridSpan w:val="2"/>
            <w:shd w:val="clear" w:color="auto" w:fill="0000FF"/>
          </w:tcPr>
          <w:p>
            <w:pPr>
              <w:spacing w:after="0" w:line="20" w:lineRule="exact"/>
              <w:rPr>
                <w:sz w:val="1"/>
                <w:szCs w:val="1"/>
                <w:color w:val="auto"/>
              </w:rPr>
            </w:pPr>
          </w:p>
        </w:tc>
        <w:tc>
          <w:tcPr>
            <w:tcW w:w="6740" w:type="dxa"/>
            <w:vAlign w:val="bottom"/>
            <w:gridSpan w:val="14"/>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226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Item 6</w:t>
            </w:r>
          </w:p>
        </w:tc>
        <w:tc>
          <w:tcPr>
            <w:tcW w:w="8040" w:type="dxa"/>
            <w:vAlign w:val="bottom"/>
            <w:gridSpan w:val="17"/>
          </w:tcPr>
          <w:p>
            <w:pPr>
              <w:spacing w:after="0"/>
              <w:rPr>
                <w:sz w:val="20"/>
                <w:szCs w:val="20"/>
                <w:color w:val="auto"/>
              </w:rPr>
            </w:pPr>
            <w:r>
              <w:rPr>
                <w:rFonts w:ascii="Times New Roman" w:cs="Times New Roman" w:eastAsia="Times New Roman" w:hAnsi="Times New Roman"/>
                <w:sz w:val="18"/>
                <w:szCs w:val="18"/>
                <w:color w:val="0000FF"/>
              </w:rPr>
              <w:t>Exhibits</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r>
      <w:tr>
        <w:trPr>
          <w:trHeight w:val="20"/>
        </w:trPr>
        <w:tc>
          <w:tcPr>
            <w:tcW w:w="20" w:type="dxa"/>
            <w:vAlign w:val="bottom"/>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700" w:type="dxa"/>
            <w:vAlign w:val="bottom"/>
            <w:gridSpan w:val="4"/>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r>
      <w:tr>
        <w:trPr>
          <w:trHeight w:val="466"/>
        </w:trPr>
        <w:tc>
          <w:tcPr>
            <w:tcW w:w="20" w:type="dxa"/>
            <w:vAlign w:val="bottom"/>
          </w:tcPr>
          <w:p>
            <w:pPr>
              <w:spacing w:after="0"/>
              <w:rPr>
                <w:sz w:val="24"/>
                <w:szCs w:val="24"/>
                <w:color w:val="auto"/>
              </w:rPr>
            </w:pPr>
          </w:p>
        </w:tc>
        <w:tc>
          <w:tcPr>
            <w:tcW w:w="2260" w:type="dxa"/>
            <w:vAlign w:val="bottom"/>
            <w:gridSpan w:val="6"/>
          </w:tcPr>
          <w:p>
            <w:pPr>
              <w:spacing w:after="0"/>
              <w:rPr>
                <w:sz w:val="20"/>
                <w:szCs w:val="20"/>
                <w:color w:val="auto"/>
              </w:rPr>
            </w:pPr>
            <w:r>
              <w:rPr>
                <w:rFonts w:ascii="Times New Roman" w:cs="Times New Roman" w:eastAsia="Times New Roman" w:hAnsi="Times New Roman"/>
                <w:sz w:val="18"/>
                <w:szCs w:val="18"/>
                <w:b w:val="1"/>
                <w:bCs w:val="1"/>
                <w:color w:val="auto"/>
              </w:rPr>
              <w:t>SIGNATURES</w:t>
            </w:r>
          </w:p>
        </w:tc>
        <w:tc>
          <w:tcPr>
            <w:tcW w:w="6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w:t>
            </w:r>
          </w:p>
        </w:tc>
      </w:tr>
      <w:tr>
        <w:trPr>
          <w:trHeight w:val="682"/>
        </w:trPr>
        <w:tc>
          <w:tcPr>
            <w:tcW w:w="20" w:type="dxa"/>
            <w:vAlign w:val="bottom"/>
          </w:tcPr>
          <w:p>
            <w:pPr>
              <w:spacing w:after="0"/>
              <w:rPr>
                <w:sz w:val="24"/>
                <w:szCs w:val="24"/>
                <w:color w:val="auto"/>
              </w:rPr>
            </w:pPr>
          </w:p>
        </w:tc>
        <w:tc>
          <w:tcPr>
            <w:tcW w:w="46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500" w:type="dxa"/>
            <w:vAlign w:val="bottom"/>
            <w:tcBorders>
              <w:top w:val="single" w:sz="8" w:color="0000EE"/>
            </w:tcBorders>
          </w:tcPr>
          <w:p>
            <w:pPr>
              <w:spacing w:after="0"/>
              <w:rPr>
                <w:sz w:val="24"/>
                <w:szCs w:val="24"/>
                <w:color w:val="auto"/>
              </w:rPr>
            </w:pPr>
          </w:p>
        </w:tc>
        <w:tc>
          <w:tcPr>
            <w:tcW w:w="1100" w:type="dxa"/>
            <w:vAlign w:val="bottom"/>
          </w:tcPr>
          <w:p>
            <w:pPr>
              <w:spacing w:after="0"/>
              <w:rPr>
                <w:sz w:val="24"/>
                <w:szCs w:val="24"/>
                <w:color w:val="auto"/>
              </w:rPr>
            </w:pPr>
          </w:p>
        </w:tc>
        <w:tc>
          <w:tcPr>
            <w:tcW w:w="3520" w:type="dxa"/>
            <w:vAlign w:val="bottom"/>
            <w:gridSpan w:val="12"/>
          </w:tcPr>
          <w:p>
            <w:pPr>
              <w:jc w:val="center"/>
              <w:ind w:left="3070"/>
              <w:spacing w:after="0"/>
              <w:rPr>
                <w:sz w:val="20"/>
                <w:szCs w:val="20"/>
                <w:color w:val="auto"/>
              </w:rPr>
            </w:pPr>
            <w:r>
              <w:rPr>
                <w:rFonts w:ascii="Times New Roman" w:cs="Times New Roman" w:eastAsia="Times New Roman" w:hAnsi="Times New Roman"/>
                <w:sz w:val="18"/>
                <w:szCs w:val="18"/>
                <w:color w:val="auto"/>
                <w:w w:val="88"/>
              </w:rPr>
              <w:t>2</w:t>
            </w:r>
          </w:p>
        </w:tc>
        <w:tc>
          <w:tcPr>
            <w:tcW w:w="2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763"/>
        </w:trPr>
        <w:tc>
          <w:tcPr>
            <w:tcW w:w="20" w:type="dxa"/>
            <w:vAlign w:val="bottom"/>
            <w:tcBorders>
              <w:bottom w:val="single" w:sz="8" w:color="9A9A9A"/>
            </w:tcBorders>
          </w:tcPr>
          <w:p>
            <w:pPr>
              <w:spacing w:after="0"/>
              <w:rPr>
                <w:sz w:val="24"/>
                <w:szCs w:val="24"/>
                <w:color w:val="auto"/>
              </w:rPr>
            </w:pPr>
          </w:p>
        </w:tc>
        <w:tc>
          <w:tcPr>
            <w:tcW w:w="46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500" w:type="dxa"/>
            <w:vAlign w:val="bottom"/>
            <w:tcBorders>
              <w:bottom w:val="single" w:sz="8" w:color="9A9A9A"/>
            </w:tcBorders>
          </w:tcPr>
          <w:p>
            <w:pPr>
              <w:spacing w:after="0"/>
              <w:rPr>
                <w:sz w:val="24"/>
                <w:szCs w:val="24"/>
                <w:color w:val="auto"/>
              </w:rPr>
            </w:pPr>
          </w:p>
        </w:tc>
        <w:tc>
          <w:tcPr>
            <w:tcW w:w="1100" w:type="dxa"/>
            <w:vAlign w:val="bottom"/>
            <w:tcBorders>
              <w:bottom w:val="single" w:sz="8" w:color="9A9A9A"/>
            </w:tcBorders>
          </w:tcPr>
          <w:p>
            <w:pPr>
              <w:spacing w:after="0"/>
              <w:rPr>
                <w:sz w:val="24"/>
                <w:szCs w:val="24"/>
                <w:color w:val="auto"/>
              </w:rPr>
            </w:pPr>
          </w:p>
        </w:tc>
        <w:tc>
          <w:tcPr>
            <w:tcW w:w="60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46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2120" w:type="dxa"/>
            <w:vAlign w:val="bottom"/>
            <w:tcBorders>
              <w:bottom w:val="single" w:sz="8" w:color="9A9A9A"/>
            </w:tcBorders>
          </w:tcPr>
          <w:p>
            <w:pPr>
              <w:spacing w:after="0"/>
              <w:rPr>
                <w:sz w:val="24"/>
                <w:szCs w:val="24"/>
                <w:color w:val="auto"/>
              </w:rPr>
            </w:pPr>
          </w:p>
        </w:tc>
        <w:tc>
          <w:tcPr>
            <w:tcW w:w="1580" w:type="dxa"/>
            <w:vAlign w:val="bottom"/>
            <w:tcBorders>
              <w:bottom w:val="single" w:sz="8" w:color="9A9A9A"/>
            </w:tcBorders>
          </w:tcPr>
          <w:p>
            <w:pPr>
              <w:spacing w:after="0"/>
              <w:rPr>
                <w:sz w:val="24"/>
                <w:szCs w:val="24"/>
                <w:color w:val="auto"/>
              </w:rPr>
            </w:pPr>
          </w:p>
        </w:tc>
        <w:tc>
          <w:tcPr>
            <w:tcW w:w="9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337" w:right="3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07"/>
        </w:trPr>
        <w:tc>
          <w:tcPr>
            <w:tcW w:w="30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3680" w:type="dxa"/>
            <w:vAlign w:val="bottom"/>
            <w:gridSpan w:val="2"/>
          </w:tcPr>
          <w:p>
            <w:pPr>
              <w:jc w:val="center"/>
              <w:ind w:right="560"/>
              <w:spacing w:after="0"/>
              <w:rPr>
                <w:sz w:val="20"/>
                <w:szCs w:val="20"/>
                <w:color w:val="auto"/>
              </w:rPr>
            </w:pPr>
            <w:r>
              <w:rPr>
                <w:rFonts w:ascii="Times New Roman" w:cs="Times New Roman" w:eastAsia="Times New Roman" w:hAnsi="Times New Roman"/>
                <w:sz w:val="18"/>
                <w:szCs w:val="18"/>
                <w:b w:val="1"/>
                <w:bCs w:val="1"/>
                <w:color w:val="auto"/>
                <w:w w:val="98"/>
              </w:rPr>
              <w:t>PART I - FINANCIAL INFORMATION</w:t>
            </w:r>
          </w:p>
        </w:tc>
        <w:tc>
          <w:tcPr>
            <w:tcW w:w="30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71"/>
        </w:trPr>
        <w:tc>
          <w:tcPr>
            <w:tcW w:w="4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1 – Financial Statements (unaudited)</w:t>
            </w:r>
          </w:p>
        </w:tc>
        <w:tc>
          <w:tcPr>
            <w:tcW w:w="3120" w:type="dxa"/>
            <w:vAlign w:val="bottom"/>
            <w:tcBorders>
              <w:top w:val="single" w:sz="8" w:color="auto"/>
            </w:tcBorders>
          </w:tcPr>
          <w:p>
            <w:pPr>
              <w:spacing w:after="0"/>
              <w:rPr>
                <w:sz w:val="24"/>
                <w:szCs w:val="24"/>
                <w:color w:val="auto"/>
              </w:rPr>
            </w:pPr>
          </w:p>
        </w:tc>
        <w:tc>
          <w:tcPr>
            <w:tcW w:w="5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6"/>
        </w:trPr>
        <w:tc>
          <w:tcPr>
            <w:tcW w:w="3040" w:type="dxa"/>
            <w:vAlign w:val="bottom"/>
            <w:tcBorders>
              <w:top w:val="single" w:sz="8" w:color="auto"/>
            </w:tcBorders>
          </w:tcPr>
          <w:p>
            <w:pPr>
              <w:spacing w:after="0"/>
              <w:rPr>
                <w:sz w:val="24"/>
                <w:szCs w:val="24"/>
                <w:color w:val="auto"/>
              </w:rPr>
            </w:pPr>
          </w:p>
        </w:tc>
        <w:tc>
          <w:tcPr>
            <w:tcW w:w="1020" w:type="dxa"/>
            <w:vAlign w:val="bottom"/>
          </w:tcPr>
          <w:p>
            <w:pPr>
              <w:spacing w:after="0"/>
              <w:rPr>
                <w:sz w:val="24"/>
                <w:szCs w:val="24"/>
                <w:color w:val="auto"/>
              </w:rPr>
            </w:pPr>
          </w:p>
        </w:tc>
        <w:tc>
          <w:tcPr>
            <w:tcW w:w="3680" w:type="dxa"/>
            <w:vAlign w:val="bottom"/>
            <w:gridSpan w:val="2"/>
          </w:tcPr>
          <w:p>
            <w:pPr>
              <w:jc w:val="center"/>
              <w:ind w:right="560"/>
              <w:spacing w:after="0"/>
              <w:rPr>
                <w:sz w:val="20"/>
                <w:szCs w:val="20"/>
                <w:color w:val="auto"/>
              </w:rPr>
            </w:pPr>
            <w:r>
              <w:rPr>
                <w:rFonts w:ascii="Times New Roman" w:cs="Times New Roman" w:eastAsia="Times New Roman" w:hAnsi="Times New Roman"/>
                <w:sz w:val="18"/>
                <w:szCs w:val="18"/>
                <w:b w:val="1"/>
                <w:bCs w:val="1"/>
                <w:color w:val="auto"/>
                <w:w w:val="99"/>
              </w:rPr>
              <w:t>ManpowerGroup Inc.</w:t>
            </w:r>
          </w:p>
        </w:tc>
        <w:tc>
          <w:tcPr>
            <w:tcW w:w="3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9"/>
        </w:trPr>
        <w:tc>
          <w:tcPr>
            <w:tcW w:w="3040" w:type="dxa"/>
            <w:vAlign w:val="bottom"/>
          </w:tcPr>
          <w:p>
            <w:pPr>
              <w:spacing w:after="0"/>
              <w:rPr>
                <w:sz w:val="24"/>
                <w:szCs w:val="24"/>
                <w:color w:val="auto"/>
              </w:rPr>
            </w:pPr>
          </w:p>
        </w:tc>
        <w:tc>
          <w:tcPr>
            <w:tcW w:w="4700" w:type="dxa"/>
            <w:vAlign w:val="bottom"/>
            <w:gridSpan w:val="3"/>
          </w:tcPr>
          <w:p>
            <w:pPr>
              <w:jc w:val="center"/>
              <w:ind w:left="390"/>
              <w:spacing w:after="0"/>
              <w:rPr>
                <w:sz w:val="20"/>
                <w:szCs w:val="20"/>
                <w:color w:val="auto"/>
              </w:rPr>
            </w:pPr>
            <w:r>
              <w:rPr>
                <w:rFonts w:ascii="Times New Roman" w:cs="Times New Roman" w:eastAsia="Times New Roman" w:hAnsi="Times New Roman"/>
                <w:sz w:val="18"/>
                <w:szCs w:val="18"/>
                <w:b w:val="1"/>
                <w:bCs w:val="1"/>
                <w:color w:val="auto"/>
              </w:rPr>
              <w:t>Consolidated Balance Sheets (Unaudited)</w:t>
            </w:r>
          </w:p>
        </w:tc>
        <w:tc>
          <w:tcPr>
            <w:tcW w:w="3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8"/>
        </w:trPr>
        <w:tc>
          <w:tcPr>
            <w:tcW w:w="30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3680" w:type="dxa"/>
            <w:vAlign w:val="bottom"/>
            <w:gridSpan w:val="2"/>
          </w:tcPr>
          <w:p>
            <w:pPr>
              <w:jc w:val="center"/>
              <w:ind w:right="560"/>
              <w:spacing w:after="0"/>
              <w:rPr>
                <w:sz w:val="20"/>
                <w:szCs w:val="20"/>
                <w:color w:val="auto"/>
              </w:rPr>
            </w:pPr>
            <w:r>
              <w:rPr>
                <w:rFonts w:ascii="Times New Roman" w:cs="Times New Roman" w:eastAsia="Times New Roman" w:hAnsi="Times New Roman"/>
                <w:sz w:val="18"/>
                <w:szCs w:val="18"/>
                <w:b w:val="1"/>
                <w:bCs w:val="1"/>
                <w:color w:val="auto"/>
                <w:w w:val="99"/>
              </w:rPr>
              <w:t>(in millions)</w:t>
            </w:r>
          </w:p>
        </w:tc>
        <w:tc>
          <w:tcPr>
            <w:tcW w:w="30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2"/>
        </w:trPr>
        <w:tc>
          <w:tcPr>
            <w:tcW w:w="30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680" w:type="dxa"/>
            <w:vAlign w:val="bottom"/>
            <w:gridSpan w:val="2"/>
          </w:tcPr>
          <w:p>
            <w:pPr>
              <w:jc w:val="center"/>
              <w:ind w:right="56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300" w:type="dxa"/>
            <w:vAlign w:val="bottom"/>
          </w:tcPr>
          <w:p>
            <w:pPr>
              <w:spacing w:after="0"/>
              <w:rPr>
                <w:sz w:val="24"/>
                <w:szCs w:val="24"/>
                <w:color w:val="auto"/>
              </w:rPr>
            </w:pPr>
          </w:p>
        </w:tc>
        <w:tc>
          <w:tcPr>
            <w:tcW w:w="1400" w:type="dxa"/>
            <w:vAlign w:val="bottom"/>
            <w:vMerge w:val="restart"/>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00" w:type="dxa"/>
            <w:vAlign w:val="bottom"/>
            <w:vMerge w:val="restart"/>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0" w:type="dxa"/>
            <w:vAlign w:val="bottom"/>
          </w:tcPr>
          <w:p>
            <w:pPr>
              <w:spacing w:after="0"/>
              <w:rPr>
                <w:sz w:val="1"/>
                <w:szCs w:val="1"/>
                <w:color w:val="auto"/>
              </w:rPr>
            </w:pPr>
          </w:p>
        </w:tc>
      </w:tr>
      <w:tr>
        <w:trPr>
          <w:trHeight w:val="207"/>
        </w:trPr>
        <w:tc>
          <w:tcPr>
            <w:tcW w:w="30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45"/>
        </w:trPr>
        <w:tc>
          <w:tcPr>
            <w:tcW w:w="30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31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400" w:type="dxa"/>
            <w:vAlign w:val="bottom"/>
            <w:tcBorders>
              <w:bottom w:val="single" w:sz="8" w:color="auto"/>
            </w:tcBorders>
          </w:tcPr>
          <w:p>
            <w:pPr>
              <w:jc w:val="right"/>
              <w:ind w:right="6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2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500" w:type="dxa"/>
            <w:vAlign w:val="bottom"/>
            <w:tcBorders>
              <w:bottom w:val="single" w:sz="8" w:color="auto"/>
            </w:tcBorders>
          </w:tcPr>
          <w:p>
            <w:pPr>
              <w:jc w:val="right"/>
              <w:ind w:right="630"/>
              <w:spacing w:after="0"/>
              <w:rPr>
                <w:sz w:val="20"/>
                <w:szCs w:val="20"/>
                <w:color w:val="auto"/>
              </w:rPr>
            </w:pPr>
            <w:r>
              <w:rPr>
                <w:rFonts w:ascii="Times New Roman" w:cs="Times New Roman" w:eastAsia="Times New Roman" w:hAnsi="Times New Roman"/>
                <w:sz w:val="18"/>
                <w:szCs w:val="18"/>
                <w:b w:val="1"/>
                <w:bCs w:val="1"/>
                <w:color w:val="auto"/>
              </w:rPr>
              <w:t>2023</w:t>
            </w:r>
          </w:p>
        </w:tc>
        <w:tc>
          <w:tcPr>
            <w:tcW w:w="0" w:type="dxa"/>
            <w:vAlign w:val="bottom"/>
          </w:tcPr>
          <w:p>
            <w:pPr>
              <w:spacing w:after="0"/>
              <w:rPr>
                <w:sz w:val="1"/>
                <w:szCs w:val="1"/>
                <w:color w:val="auto"/>
              </w:rPr>
            </w:pPr>
          </w:p>
        </w:tc>
      </w:tr>
      <w:tr>
        <w:trPr>
          <w:trHeight w:val="243"/>
        </w:trPr>
        <w:tc>
          <w:tcPr>
            <w:tcW w:w="7740" w:type="dxa"/>
            <w:vAlign w:val="bottom"/>
            <w:gridSpan w:val="4"/>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30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468.9</w:t>
            </w:r>
          </w:p>
        </w:tc>
        <w:tc>
          <w:tcPr>
            <w:tcW w:w="3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581.3</w:t>
            </w:r>
          </w:p>
        </w:tc>
        <w:tc>
          <w:tcPr>
            <w:tcW w:w="0" w:type="dxa"/>
            <w:vAlign w:val="bottom"/>
          </w:tcPr>
          <w:p>
            <w:pPr>
              <w:spacing w:after="0"/>
              <w:rPr>
                <w:sz w:val="1"/>
                <w:szCs w:val="1"/>
                <w:color w:val="auto"/>
              </w:rPr>
            </w:pPr>
          </w:p>
        </w:tc>
      </w:tr>
      <w:tr>
        <w:trPr>
          <w:trHeight w:val="211"/>
        </w:trPr>
        <w:tc>
          <w:tcPr>
            <w:tcW w:w="774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Accounts receivable, less allowance for expected credit losses of</w:t>
            </w:r>
          </w:p>
        </w:tc>
        <w:tc>
          <w:tcPr>
            <w:tcW w:w="30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774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$94.2 and $99.2, respectively</w:t>
            </w:r>
          </w:p>
        </w:tc>
        <w:tc>
          <w:tcPr>
            <w:tcW w:w="300" w:type="dxa"/>
            <w:vAlign w:val="bottom"/>
          </w:tcPr>
          <w:p>
            <w:pPr>
              <w:spacing w:after="0"/>
              <w:rPr>
                <w:sz w:val="20"/>
                <w:szCs w:val="20"/>
                <w:color w:val="auto"/>
              </w:rPr>
            </w:pPr>
          </w:p>
        </w:tc>
        <w:tc>
          <w:tcPr>
            <w:tcW w:w="14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4,595.7</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4,830.0</w:t>
            </w:r>
          </w:p>
        </w:tc>
        <w:tc>
          <w:tcPr>
            <w:tcW w:w="0" w:type="dxa"/>
            <w:vAlign w:val="bottom"/>
          </w:tcPr>
          <w:p>
            <w:pPr>
              <w:spacing w:after="0"/>
              <w:rPr>
                <w:sz w:val="1"/>
                <w:szCs w:val="1"/>
                <w:color w:val="auto"/>
              </w:rPr>
            </w:pPr>
          </w:p>
        </w:tc>
      </w:tr>
      <w:tr>
        <w:trPr>
          <w:trHeight w:val="245"/>
        </w:trPr>
        <w:tc>
          <w:tcPr>
            <w:tcW w:w="7740" w:type="dxa"/>
            <w:vAlign w:val="bottom"/>
            <w:tcBorders>
              <w:bottom w:val="single" w:sz="8" w:color="CFF0FC"/>
            </w:tcBorders>
            <w:gridSpan w:val="4"/>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Prepaid expenses and other assets</w:t>
            </w:r>
          </w:p>
        </w:tc>
        <w:tc>
          <w:tcPr>
            <w:tcW w:w="300" w:type="dxa"/>
            <w:vAlign w:val="bottom"/>
            <w:tcBorders>
              <w:bottom w:val="single" w:sz="8" w:color="auto"/>
            </w:tcBorders>
            <w:shd w:val="clear" w:color="auto" w:fill="CFF0FC"/>
          </w:tcPr>
          <w:p>
            <w:pPr>
              <w:spacing w:after="0"/>
              <w:rPr>
                <w:sz w:val="21"/>
                <w:szCs w:val="21"/>
                <w:color w:val="auto"/>
              </w:rPr>
            </w:pPr>
          </w:p>
        </w:tc>
        <w:tc>
          <w:tcPr>
            <w:tcW w:w="140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168.7</w:t>
            </w:r>
          </w:p>
        </w:tc>
        <w:tc>
          <w:tcPr>
            <w:tcW w:w="12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bottom w:val="single" w:sz="8" w:color="auto"/>
            </w:tcBorders>
            <w:shd w:val="clear" w:color="auto" w:fill="CFF0FC"/>
          </w:tcPr>
          <w:p>
            <w:pPr>
              <w:spacing w:after="0"/>
              <w:rPr>
                <w:sz w:val="21"/>
                <w:szCs w:val="21"/>
                <w:color w:val="auto"/>
              </w:rPr>
            </w:pPr>
          </w:p>
        </w:tc>
        <w:tc>
          <w:tcPr>
            <w:tcW w:w="150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160.8</w:t>
            </w:r>
          </w:p>
        </w:tc>
        <w:tc>
          <w:tcPr>
            <w:tcW w:w="0" w:type="dxa"/>
            <w:vAlign w:val="bottom"/>
          </w:tcPr>
          <w:p>
            <w:pPr>
              <w:spacing w:after="0"/>
              <w:rPr>
                <w:sz w:val="1"/>
                <w:szCs w:val="1"/>
                <w:color w:val="auto"/>
              </w:rPr>
            </w:pPr>
          </w:p>
        </w:tc>
      </w:tr>
      <w:tr>
        <w:trPr>
          <w:trHeight w:val="236"/>
        </w:trPr>
        <w:tc>
          <w:tcPr>
            <w:tcW w:w="7740" w:type="dxa"/>
            <w:vAlign w:val="bottom"/>
            <w:gridSpan w:val="4"/>
          </w:tcPr>
          <w:p>
            <w:pPr>
              <w:ind w:left="300"/>
              <w:spacing w:after="0"/>
              <w:rPr>
                <w:sz w:val="20"/>
                <w:szCs w:val="20"/>
                <w:color w:val="auto"/>
              </w:rPr>
            </w:pPr>
            <w:r>
              <w:rPr>
                <w:rFonts w:ascii="Times New Roman" w:cs="Times New Roman" w:eastAsia="Times New Roman" w:hAnsi="Times New Roman"/>
                <w:sz w:val="18"/>
                <w:szCs w:val="18"/>
                <w:color w:val="auto"/>
              </w:rPr>
              <w:t>Total current assets</w:t>
            </w:r>
          </w:p>
        </w:tc>
        <w:tc>
          <w:tcPr>
            <w:tcW w:w="300" w:type="dxa"/>
            <w:vAlign w:val="bottom"/>
          </w:tcPr>
          <w:p>
            <w:pPr>
              <w:spacing w:after="0"/>
              <w:rPr>
                <w:sz w:val="20"/>
                <w:szCs w:val="20"/>
                <w:color w:val="auto"/>
              </w:rPr>
            </w:pPr>
          </w:p>
        </w:tc>
        <w:tc>
          <w:tcPr>
            <w:tcW w:w="14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5,233.3</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5,572.1</w:t>
            </w:r>
          </w:p>
        </w:tc>
        <w:tc>
          <w:tcPr>
            <w:tcW w:w="0" w:type="dxa"/>
            <w:vAlign w:val="bottom"/>
          </w:tcPr>
          <w:p>
            <w:pPr>
              <w:spacing w:after="0"/>
              <w:rPr>
                <w:sz w:val="1"/>
                <w:szCs w:val="1"/>
                <w:color w:val="auto"/>
              </w:rPr>
            </w:pPr>
          </w:p>
        </w:tc>
      </w:tr>
      <w:tr>
        <w:trPr>
          <w:trHeight w:val="247"/>
        </w:trPr>
        <w:tc>
          <w:tcPr>
            <w:tcW w:w="3040" w:type="dxa"/>
            <w:vAlign w:val="bottom"/>
            <w:shd w:val="clear" w:color="auto" w:fill="CFF0FC"/>
          </w:tcPr>
          <w:p>
            <w:pPr>
              <w:spacing w:after="0"/>
              <w:rPr>
                <w:sz w:val="21"/>
                <w:szCs w:val="21"/>
                <w:color w:val="auto"/>
              </w:rPr>
            </w:pPr>
          </w:p>
        </w:tc>
        <w:tc>
          <w:tcPr>
            <w:tcW w:w="1020" w:type="dxa"/>
            <w:vAlign w:val="bottom"/>
            <w:shd w:val="clear" w:color="auto" w:fill="CFF0FC"/>
          </w:tcPr>
          <w:p>
            <w:pPr>
              <w:spacing w:after="0"/>
              <w:rPr>
                <w:sz w:val="21"/>
                <w:szCs w:val="21"/>
                <w:color w:val="auto"/>
              </w:rPr>
            </w:pPr>
          </w:p>
        </w:tc>
        <w:tc>
          <w:tcPr>
            <w:tcW w:w="3120" w:type="dxa"/>
            <w:vAlign w:val="bottom"/>
            <w:shd w:val="clear" w:color="auto" w:fill="CFF0FC"/>
          </w:tcPr>
          <w:p>
            <w:pPr>
              <w:spacing w:after="0"/>
              <w:rPr>
                <w:sz w:val="21"/>
                <w:szCs w:val="21"/>
                <w:color w:val="auto"/>
              </w:rPr>
            </w:pPr>
          </w:p>
        </w:tc>
        <w:tc>
          <w:tcPr>
            <w:tcW w:w="56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40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5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1"/>
        </w:trPr>
        <w:tc>
          <w:tcPr>
            <w:tcW w:w="7740" w:type="dxa"/>
            <w:vAlign w:val="bottom"/>
            <w:gridSpan w:val="4"/>
          </w:tcPr>
          <w:p>
            <w:pPr>
              <w:ind w:left="20"/>
              <w:spacing w:after="0"/>
              <w:rPr>
                <w:sz w:val="20"/>
                <w:szCs w:val="20"/>
                <w:color w:val="auto"/>
              </w:rPr>
            </w:pPr>
            <w:r>
              <w:rPr>
                <w:rFonts w:ascii="Times New Roman" w:cs="Times New Roman" w:eastAsia="Times New Roman" w:hAnsi="Times New Roman"/>
                <w:sz w:val="18"/>
                <w:szCs w:val="18"/>
                <w:b w:val="1"/>
                <w:bCs w:val="1"/>
                <w:color w:val="auto"/>
              </w:rPr>
              <w:t>Other Assets:</w:t>
            </w:r>
          </w:p>
        </w:tc>
        <w:tc>
          <w:tcPr>
            <w:tcW w:w="30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5"/>
        </w:trPr>
        <w:tc>
          <w:tcPr>
            <w:tcW w:w="7740" w:type="dxa"/>
            <w:vAlign w:val="bottom"/>
            <w:gridSpan w:val="4"/>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Goodwill</w:t>
            </w:r>
          </w:p>
        </w:tc>
        <w:tc>
          <w:tcPr>
            <w:tcW w:w="300" w:type="dxa"/>
            <w:vAlign w:val="bottom"/>
            <w:shd w:val="clear" w:color="auto" w:fill="CFF0FC"/>
          </w:tcPr>
          <w:p>
            <w:pPr>
              <w:spacing w:after="0"/>
              <w:rPr>
                <w:sz w:val="21"/>
                <w:szCs w:val="21"/>
                <w:color w:val="auto"/>
              </w:rPr>
            </w:pPr>
          </w:p>
        </w:tc>
        <w:tc>
          <w:tcPr>
            <w:tcW w:w="140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1,573.2</w:t>
            </w:r>
          </w:p>
        </w:tc>
        <w:tc>
          <w:tcPr>
            <w:tcW w:w="12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50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1,586.8</w:t>
            </w:r>
          </w:p>
        </w:tc>
        <w:tc>
          <w:tcPr>
            <w:tcW w:w="0" w:type="dxa"/>
            <w:vAlign w:val="bottom"/>
          </w:tcPr>
          <w:p>
            <w:pPr>
              <w:spacing w:after="0"/>
              <w:rPr>
                <w:sz w:val="1"/>
                <w:szCs w:val="1"/>
                <w:color w:val="auto"/>
              </w:rPr>
            </w:pPr>
          </w:p>
        </w:tc>
      </w:tr>
      <w:tr>
        <w:trPr>
          <w:trHeight w:val="211"/>
        </w:trPr>
        <w:tc>
          <w:tcPr>
            <w:tcW w:w="774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Intangible assets, less accumulated amortization of</w:t>
            </w:r>
          </w:p>
        </w:tc>
        <w:tc>
          <w:tcPr>
            <w:tcW w:w="30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7740" w:type="dxa"/>
            <w:vAlign w:val="bottom"/>
            <w:gridSpan w:val="4"/>
          </w:tcPr>
          <w:p>
            <w:pPr>
              <w:ind w:left="60"/>
              <w:spacing w:after="0"/>
              <w:rPr>
                <w:sz w:val="20"/>
                <w:szCs w:val="20"/>
                <w:color w:val="auto"/>
              </w:rPr>
            </w:pPr>
            <w:r>
              <w:rPr>
                <w:rFonts w:ascii="Times New Roman" w:cs="Times New Roman" w:eastAsia="Times New Roman" w:hAnsi="Times New Roman"/>
                <w:sz w:val="18"/>
                <w:szCs w:val="18"/>
                <w:color w:val="auto"/>
              </w:rPr>
              <w:t>$519.2 and $507.2, respectively</w:t>
            </w:r>
          </w:p>
        </w:tc>
        <w:tc>
          <w:tcPr>
            <w:tcW w:w="300" w:type="dxa"/>
            <w:vAlign w:val="bottom"/>
          </w:tcPr>
          <w:p>
            <w:pPr>
              <w:spacing w:after="0"/>
              <w:rPr>
                <w:sz w:val="20"/>
                <w:szCs w:val="20"/>
                <w:color w:val="auto"/>
              </w:rPr>
            </w:pPr>
          </w:p>
        </w:tc>
        <w:tc>
          <w:tcPr>
            <w:tcW w:w="14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499.8</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519.6</w:t>
            </w:r>
          </w:p>
        </w:tc>
        <w:tc>
          <w:tcPr>
            <w:tcW w:w="0" w:type="dxa"/>
            <w:vAlign w:val="bottom"/>
          </w:tcPr>
          <w:p>
            <w:pPr>
              <w:spacing w:after="0"/>
              <w:rPr>
                <w:sz w:val="1"/>
                <w:szCs w:val="1"/>
                <w:color w:val="auto"/>
              </w:rPr>
            </w:pPr>
          </w:p>
        </w:tc>
      </w:tr>
      <w:tr>
        <w:trPr>
          <w:trHeight w:val="250"/>
        </w:trPr>
        <w:tc>
          <w:tcPr>
            <w:tcW w:w="7740" w:type="dxa"/>
            <w:vAlign w:val="bottom"/>
            <w:gridSpan w:val="4"/>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300" w:type="dxa"/>
            <w:vAlign w:val="bottom"/>
            <w:shd w:val="clear" w:color="auto" w:fill="CFF0FC"/>
          </w:tcPr>
          <w:p>
            <w:pPr>
              <w:spacing w:after="0"/>
              <w:rPr>
                <w:sz w:val="21"/>
                <w:szCs w:val="21"/>
                <w:color w:val="auto"/>
              </w:rPr>
            </w:pPr>
          </w:p>
        </w:tc>
        <w:tc>
          <w:tcPr>
            <w:tcW w:w="140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381.5</w:t>
            </w:r>
          </w:p>
        </w:tc>
        <w:tc>
          <w:tcPr>
            <w:tcW w:w="12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50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414.0</w:t>
            </w:r>
          </w:p>
        </w:tc>
        <w:tc>
          <w:tcPr>
            <w:tcW w:w="0" w:type="dxa"/>
            <w:vAlign w:val="bottom"/>
          </w:tcPr>
          <w:p>
            <w:pPr>
              <w:spacing w:after="0"/>
              <w:rPr>
                <w:sz w:val="1"/>
                <w:szCs w:val="1"/>
                <w:color w:val="auto"/>
              </w:rPr>
            </w:pPr>
          </w:p>
        </w:tc>
      </w:tr>
      <w:tr>
        <w:trPr>
          <w:trHeight w:val="239"/>
        </w:trPr>
        <w:tc>
          <w:tcPr>
            <w:tcW w:w="774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Other assets</w:t>
            </w:r>
          </w:p>
        </w:tc>
        <w:tc>
          <w:tcPr>
            <w:tcW w:w="30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643.7</w:t>
            </w:r>
          </w:p>
        </w:tc>
        <w:tc>
          <w:tcPr>
            <w:tcW w:w="1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607.8</w:t>
            </w:r>
          </w:p>
        </w:tc>
        <w:tc>
          <w:tcPr>
            <w:tcW w:w="0" w:type="dxa"/>
            <w:vAlign w:val="bottom"/>
          </w:tcPr>
          <w:p>
            <w:pPr>
              <w:spacing w:after="0"/>
              <w:rPr>
                <w:sz w:val="1"/>
                <w:szCs w:val="1"/>
                <w:color w:val="auto"/>
              </w:rPr>
            </w:pPr>
          </w:p>
        </w:tc>
      </w:tr>
      <w:tr>
        <w:trPr>
          <w:trHeight w:val="241"/>
        </w:trPr>
        <w:tc>
          <w:tcPr>
            <w:tcW w:w="7740" w:type="dxa"/>
            <w:vAlign w:val="bottom"/>
            <w:gridSpan w:val="4"/>
            <w:shd w:val="clear" w:color="auto" w:fill="CFF0FC"/>
          </w:tcPr>
          <w:p>
            <w:pPr>
              <w:ind w:left="300"/>
              <w:spacing w:after="0"/>
              <w:rPr>
                <w:sz w:val="20"/>
                <w:szCs w:val="20"/>
                <w:color w:val="auto"/>
              </w:rPr>
            </w:pPr>
            <w:r>
              <w:rPr>
                <w:rFonts w:ascii="Times New Roman" w:cs="Times New Roman" w:eastAsia="Times New Roman" w:hAnsi="Times New Roman"/>
                <w:sz w:val="18"/>
                <w:szCs w:val="18"/>
                <w:color w:val="auto"/>
              </w:rPr>
              <w:t>Total other assets</w:t>
            </w:r>
          </w:p>
        </w:tc>
        <w:tc>
          <w:tcPr>
            <w:tcW w:w="300" w:type="dxa"/>
            <w:vAlign w:val="bottom"/>
            <w:shd w:val="clear" w:color="auto" w:fill="CFF0FC"/>
          </w:tcPr>
          <w:p>
            <w:pPr>
              <w:spacing w:after="0"/>
              <w:rPr>
                <w:sz w:val="20"/>
                <w:szCs w:val="20"/>
                <w:color w:val="auto"/>
              </w:rPr>
            </w:pPr>
          </w:p>
        </w:tc>
        <w:tc>
          <w:tcPr>
            <w:tcW w:w="140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3,098.2</w:t>
            </w:r>
          </w:p>
        </w:tc>
        <w:tc>
          <w:tcPr>
            <w:tcW w:w="12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50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3,128.2</w:t>
            </w:r>
          </w:p>
        </w:tc>
        <w:tc>
          <w:tcPr>
            <w:tcW w:w="0" w:type="dxa"/>
            <w:vAlign w:val="bottom"/>
          </w:tcPr>
          <w:p>
            <w:pPr>
              <w:spacing w:after="0"/>
              <w:rPr>
                <w:sz w:val="1"/>
                <w:szCs w:val="1"/>
                <w:color w:val="auto"/>
              </w:rPr>
            </w:pPr>
          </w:p>
        </w:tc>
      </w:tr>
      <w:tr>
        <w:trPr>
          <w:trHeight w:val="243"/>
        </w:trPr>
        <w:tc>
          <w:tcPr>
            <w:tcW w:w="30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31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740" w:type="dxa"/>
            <w:vAlign w:val="bottom"/>
            <w:gridSpan w:val="4"/>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Property and Equipment:</w:t>
            </w:r>
          </w:p>
        </w:tc>
        <w:tc>
          <w:tcPr>
            <w:tcW w:w="300" w:type="dxa"/>
            <w:vAlign w:val="bottom"/>
            <w:shd w:val="clear" w:color="auto" w:fill="CFF0FC"/>
          </w:tcPr>
          <w:p>
            <w:pPr>
              <w:spacing w:after="0"/>
              <w:rPr>
                <w:sz w:val="21"/>
                <w:szCs w:val="21"/>
                <w:color w:val="auto"/>
              </w:rPr>
            </w:pPr>
          </w:p>
        </w:tc>
        <w:tc>
          <w:tcPr>
            <w:tcW w:w="140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5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774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Land, buildings, leasehold improvements and equipment</w:t>
            </w:r>
          </w:p>
        </w:tc>
        <w:tc>
          <w:tcPr>
            <w:tcW w:w="300" w:type="dxa"/>
            <w:vAlign w:val="bottom"/>
          </w:tcPr>
          <w:p>
            <w:pPr>
              <w:spacing w:after="0"/>
              <w:rPr>
                <w:sz w:val="20"/>
                <w:szCs w:val="20"/>
                <w:color w:val="auto"/>
              </w:rPr>
            </w:pPr>
          </w:p>
        </w:tc>
        <w:tc>
          <w:tcPr>
            <w:tcW w:w="14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513.7</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526.5</w:t>
            </w:r>
          </w:p>
        </w:tc>
        <w:tc>
          <w:tcPr>
            <w:tcW w:w="0" w:type="dxa"/>
            <w:vAlign w:val="bottom"/>
          </w:tcPr>
          <w:p>
            <w:pPr>
              <w:spacing w:after="0"/>
              <w:rPr>
                <w:sz w:val="1"/>
                <w:szCs w:val="1"/>
                <w:color w:val="auto"/>
              </w:rPr>
            </w:pPr>
          </w:p>
        </w:tc>
      </w:tr>
      <w:tr>
        <w:trPr>
          <w:trHeight w:val="243"/>
        </w:trPr>
        <w:tc>
          <w:tcPr>
            <w:tcW w:w="7740" w:type="dxa"/>
            <w:vAlign w:val="bottom"/>
            <w:tcBorders>
              <w:bottom w:val="single" w:sz="8" w:color="CFF0FC"/>
            </w:tcBorders>
            <w:gridSpan w:val="4"/>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Less: accumulated depreciation and amortization</w:t>
            </w:r>
          </w:p>
        </w:tc>
        <w:tc>
          <w:tcPr>
            <w:tcW w:w="300" w:type="dxa"/>
            <w:vAlign w:val="bottom"/>
            <w:tcBorders>
              <w:bottom w:val="single" w:sz="8" w:color="auto"/>
            </w:tcBorders>
            <w:shd w:val="clear" w:color="auto" w:fill="CFF0FC"/>
          </w:tcPr>
          <w:p>
            <w:pPr>
              <w:spacing w:after="0"/>
              <w:rPr>
                <w:sz w:val="21"/>
                <w:szCs w:val="21"/>
                <w:color w:val="auto"/>
              </w:rPr>
            </w:pPr>
          </w:p>
        </w:tc>
        <w:tc>
          <w:tcPr>
            <w:tcW w:w="140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391.6</w:t>
            </w:r>
          </w:p>
        </w:tc>
        <w:tc>
          <w:tcPr>
            <w:tcW w:w="12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bottom w:val="single" w:sz="8" w:color="auto"/>
            </w:tcBorders>
            <w:shd w:val="clear" w:color="auto" w:fill="CFF0FC"/>
          </w:tcPr>
          <w:p>
            <w:pPr>
              <w:spacing w:after="0"/>
              <w:rPr>
                <w:sz w:val="21"/>
                <w:szCs w:val="21"/>
                <w:color w:val="auto"/>
              </w:rPr>
            </w:pPr>
          </w:p>
        </w:tc>
        <w:tc>
          <w:tcPr>
            <w:tcW w:w="150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396.6</w:t>
            </w:r>
          </w:p>
        </w:tc>
        <w:tc>
          <w:tcPr>
            <w:tcW w:w="0" w:type="dxa"/>
            <w:vAlign w:val="bottom"/>
          </w:tcPr>
          <w:p>
            <w:pPr>
              <w:spacing w:after="0"/>
              <w:rPr>
                <w:sz w:val="1"/>
                <w:szCs w:val="1"/>
                <w:color w:val="auto"/>
              </w:rPr>
            </w:pPr>
          </w:p>
        </w:tc>
      </w:tr>
      <w:tr>
        <w:trPr>
          <w:trHeight w:val="237"/>
        </w:trPr>
        <w:tc>
          <w:tcPr>
            <w:tcW w:w="7740" w:type="dxa"/>
            <w:vAlign w:val="bottom"/>
            <w:gridSpan w:val="4"/>
          </w:tcPr>
          <w:p>
            <w:pPr>
              <w:ind w:left="300"/>
              <w:spacing w:after="0"/>
              <w:rPr>
                <w:sz w:val="20"/>
                <w:szCs w:val="20"/>
                <w:color w:val="auto"/>
              </w:rPr>
            </w:pPr>
            <w:r>
              <w:rPr>
                <w:rFonts w:ascii="Times New Roman" w:cs="Times New Roman" w:eastAsia="Times New Roman" w:hAnsi="Times New Roman"/>
                <w:sz w:val="18"/>
                <w:szCs w:val="18"/>
                <w:color w:val="auto"/>
              </w:rPr>
              <w:t>Net property and equipment</w:t>
            </w:r>
          </w:p>
        </w:tc>
        <w:tc>
          <w:tcPr>
            <w:tcW w:w="30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122.1</w:t>
            </w:r>
          </w:p>
        </w:tc>
        <w:tc>
          <w:tcPr>
            <w:tcW w:w="1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129.9</w:t>
            </w:r>
          </w:p>
        </w:tc>
        <w:tc>
          <w:tcPr>
            <w:tcW w:w="0" w:type="dxa"/>
            <w:vAlign w:val="bottom"/>
          </w:tcPr>
          <w:p>
            <w:pPr>
              <w:spacing w:after="0"/>
              <w:rPr>
                <w:sz w:val="1"/>
                <w:szCs w:val="1"/>
                <w:color w:val="auto"/>
              </w:rPr>
            </w:pPr>
          </w:p>
        </w:tc>
      </w:tr>
      <w:tr>
        <w:trPr>
          <w:trHeight w:val="276"/>
        </w:trPr>
        <w:tc>
          <w:tcPr>
            <w:tcW w:w="7740" w:type="dxa"/>
            <w:vAlign w:val="bottom"/>
            <w:tcBorders>
              <w:bottom w:val="single" w:sz="8" w:color="CFF0FC"/>
            </w:tcBorders>
            <w:gridSpan w:val="4"/>
            <w:shd w:val="clear" w:color="auto" w:fill="CFF0FC"/>
          </w:tcPr>
          <w:p>
            <w:pPr>
              <w:ind w:left="480"/>
              <w:spacing w:after="0"/>
              <w:rPr>
                <w:sz w:val="20"/>
                <w:szCs w:val="20"/>
                <w:color w:val="auto"/>
              </w:rPr>
            </w:pPr>
            <w:r>
              <w:rPr>
                <w:rFonts w:ascii="Times New Roman" w:cs="Times New Roman" w:eastAsia="Times New Roman" w:hAnsi="Times New Roman"/>
                <w:sz w:val="18"/>
                <w:szCs w:val="18"/>
                <w:color w:val="auto"/>
              </w:rPr>
              <w:t>Total assets</w:t>
            </w:r>
          </w:p>
        </w:tc>
        <w:tc>
          <w:tcPr>
            <w:tcW w:w="300" w:type="dxa"/>
            <w:vAlign w:val="bottom"/>
            <w:tcBorders>
              <w:bottom w:val="single" w:sz="8" w:color="auto"/>
            </w:tcBorders>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8,453.6</w:t>
            </w:r>
          </w:p>
        </w:tc>
        <w:tc>
          <w:tcPr>
            <w:tcW w:w="120" w:type="dxa"/>
            <w:vAlign w:val="bottom"/>
            <w:tcBorders>
              <w:bottom w:val="single" w:sz="8" w:color="CFF0FC"/>
            </w:tcBorders>
            <w:shd w:val="clear" w:color="auto" w:fill="CFF0FC"/>
          </w:tcPr>
          <w:p>
            <w:pPr>
              <w:spacing w:after="0"/>
              <w:rPr>
                <w:sz w:val="24"/>
                <w:szCs w:val="24"/>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8,830.2</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5996940</wp:posOffset>
            </wp:positionH>
            <wp:positionV relativeFrom="paragraph">
              <wp:posOffset>-2356485</wp:posOffset>
            </wp:positionV>
            <wp:extent cx="6858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5996940</wp:posOffset>
            </wp:positionH>
            <wp:positionV relativeFrom="paragraph">
              <wp:posOffset>-351155</wp:posOffset>
            </wp:positionV>
            <wp:extent cx="6858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5996940</wp:posOffset>
            </wp:positionH>
            <wp:positionV relativeFrom="paragraph">
              <wp:posOffset>-25400</wp:posOffset>
            </wp:positionV>
            <wp:extent cx="6858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5996940</wp:posOffset>
            </wp:positionH>
            <wp:positionV relativeFrom="paragraph">
              <wp:posOffset>-8255</wp:posOffset>
            </wp:positionV>
            <wp:extent cx="6858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accompanying Notes to Consolidated Financial Statements are an integral part of these statements.</w:t>
      </w:r>
    </w:p>
    <w:p>
      <w:pPr>
        <w:spacing w:after="0" w:line="225"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72" w:right="33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38"/>
        </w:trPr>
        <w:tc>
          <w:tcPr>
            <w:tcW w:w="7740" w:type="dxa"/>
            <w:vAlign w:val="bottom"/>
          </w:tcPr>
          <w:p>
            <w:pPr>
              <w:jc w:val="center"/>
              <w:ind w:left="3410"/>
              <w:spacing w:after="0"/>
              <w:rPr>
                <w:sz w:val="20"/>
                <w:szCs w:val="20"/>
                <w:color w:val="auto"/>
              </w:rPr>
            </w:pPr>
            <w:r>
              <w:rPr>
                <w:rFonts w:ascii="Times New Roman" w:cs="Times New Roman" w:eastAsia="Times New Roman" w:hAnsi="Times New Roman"/>
                <w:sz w:val="18"/>
                <w:szCs w:val="18"/>
                <w:b w:val="1"/>
                <w:bCs w:val="1"/>
                <w:color w:val="auto"/>
                <w:w w:val="99"/>
              </w:rPr>
              <w:t>ManpowerGroup Inc.</w:t>
            </w:r>
          </w:p>
        </w:tc>
        <w:tc>
          <w:tcPr>
            <w:tcW w:w="30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00" w:type="dxa"/>
            <w:vAlign w:val="bottom"/>
          </w:tcPr>
          <w:p>
            <w:pPr>
              <w:spacing w:after="0"/>
              <w:rPr>
                <w:sz w:val="20"/>
                <w:szCs w:val="20"/>
                <w:color w:val="auto"/>
              </w:rPr>
            </w:pPr>
          </w:p>
        </w:tc>
      </w:tr>
      <w:tr>
        <w:trPr>
          <w:trHeight w:val="410"/>
        </w:trPr>
        <w:tc>
          <w:tcPr>
            <w:tcW w:w="7740" w:type="dxa"/>
            <w:vAlign w:val="bottom"/>
          </w:tcPr>
          <w:p>
            <w:pPr>
              <w:jc w:val="center"/>
              <w:ind w:left="3430"/>
              <w:spacing w:after="0"/>
              <w:rPr>
                <w:sz w:val="20"/>
                <w:szCs w:val="20"/>
                <w:color w:val="auto"/>
              </w:rPr>
            </w:pPr>
            <w:r>
              <w:rPr>
                <w:rFonts w:ascii="Times New Roman" w:cs="Times New Roman" w:eastAsia="Times New Roman" w:hAnsi="Times New Roman"/>
                <w:sz w:val="18"/>
                <w:szCs w:val="18"/>
                <w:b w:val="1"/>
                <w:bCs w:val="1"/>
                <w:color w:val="auto"/>
              </w:rPr>
              <w:t>Consolidated Balance Sheets (Unaudited)</w:t>
            </w:r>
          </w:p>
        </w:tc>
        <w:tc>
          <w:tcPr>
            <w:tcW w:w="3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00" w:type="dxa"/>
            <w:vAlign w:val="bottom"/>
          </w:tcPr>
          <w:p>
            <w:pPr>
              <w:spacing w:after="0"/>
              <w:rPr>
                <w:sz w:val="24"/>
                <w:szCs w:val="24"/>
                <w:color w:val="auto"/>
              </w:rPr>
            </w:pPr>
          </w:p>
        </w:tc>
      </w:tr>
      <w:tr>
        <w:trPr>
          <w:trHeight w:val="238"/>
        </w:trPr>
        <w:tc>
          <w:tcPr>
            <w:tcW w:w="7740" w:type="dxa"/>
            <w:vAlign w:val="bottom"/>
          </w:tcPr>
          <w:p>
            <w:pPr>
              <w:jc w:val="center"/>
              <w:ind w:left="3430"/>
              <w:spacing w:after="0"/>
              <w:rPr>
                <w:sz w:val="20"/>
                <w:szCs w:val="20"/>
                <w:color w:val="auto"/>
              </w:rPr>
            </w:pPr>
            <w:r>
              <w:rPr>
                <w:rFonts w:ascii="Times New Roman" w:cs="Times New Roman" w:eastAsia="Times New Roman" w:hAnsi="Times New Roman"/>
                <w:sz w:val="18"/>
                <w:szCs w:val="18"/>
                <w:b w:val="1"/>
                <w:bCs w:val="1"/>
                <w:color w:val="auto"/>
                <w:w w:val="99"/>
              </w:rPr>
              <w:t>(in millions, except share and per share data)</w:t>
            </w:r>
          </w:p>
        </w:tc>
        <w:tc>
          <w:tcPr>
            <w:tcW w:w="30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00" w:type="dxa"/>
            <w:vAlign w:val="bottom"/>
          </w:tcPr>
          <w:p>
            <w:pPr>
              <w:spacing w:after="0"/>
              <w:rPr>
                <w:sz w:val="20"/>
                <w:szCs w:val="20"/>
                <w:color w:val="auto"/>
              </w:rPr>
            </w:pPr>
          </w:p>
        </w:tc>
      </w:tr>
      <w:tr>
        <w:trPr>
          <w:trHeight w:val="392"/>
        </w:trPr>
        <w:tc>
          <w:tcPr>
            <w:tcW w:w="7740" w:type="dxa"/>
            <w:vAlign w:val="bottom"/>
          </w:tcPr>
          <w:p>
            <w:pPr>
              <w:jc w:val="center"/>
              <w:ind w:left="3430"/>
              <w:spacing w:after="0"/>
              <w:rPr>
                <w:sz w:val="20"/>
                <w:szCs w:val="20"/>
                <w:color w:val="auto"/>
              </w:rPr>
            </w:pPr>
            <w:r>
              <w:rPr>
                <w:rFonts w:ascii="Times New Roman" w:cs="Times New Roman" w:eastAsia="Times New Roman" w:hAnsi="Times New Roman"/>
                <w:sz w:val="18"/>
                <w:szCs w:val="18"/>
                <w:b w:val="1"/>
                <w:bCs w:val="1"/>
                <w:color w:val="auto"/>
                <w:w w:val="99"/>
              </w:rPr>
              <w:t>LIABILITIES AND SHAREHOLDERS’ EQUITY</w:t>
            </w:r>
          </w:p>
        </w:tc>
        <w:tc>
          <w:tcPr>
            <w:tcW w:w="3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00" w:type="dxa"/>
            <w:vAlign w:val="bottom"/>
          </w:tcPr>
          <w:p>
            <w:pPr>
              <w:spacing w:after="0"/>
              <w:rPr>
                <w:sz w:val="24"/>
                <w:szCs w:val="24"/>
                <w:color w:val="auto"/>
              </w:rPr>
            </w:pPr>
          </w:p>
        </w:tc>
      </w:tr>
      <w:tr>
        <w:trPr>
          <w:trHeight w:val="342"/>
        </w:trPr>
        <w:tc>
          <w:tcPr>
            <w:tcW w:w="77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0" w:type="dxa"/>
            <w:vAlign w:val="bottom"/>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0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45"/>
        </w:trPr>
        <w:tc>
          <w:tcPr>
            <w:tcW w:w="7740" w:type="dxa"/>
            <w:vAlign w:val="bottom"/>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400" w:type="dxa"/>
            <w:vAlign w:val="bottom"/>
            <w:tcBorders>
              <w:bottom w:val="single" w:sz="8" w:color="auto"/>
            </w:tcBorders>
          </w:tcPr>
          <w:p>
            <w:pPr>
              <w:jc w:val="right"/>
              <w:ind w:right="6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2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500" w:type="dxa"/>
            <w:vAlign w:val="bottom"/>
            <w:tcBorders>
              <w:bottom w:val="single" w:sz="8" w:color="auto"/>
            </w:tcBorders>
          </w:tcPr>
          <w:p>
            <w:pPr>
              <w:jc w:val="right"/>
              <w:ind w:right="63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43"/>
        </w:trPr>
        <w:tc>
          <w:tcPr>
            <w:tcW w:w="77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Current Liabilities:</w:t>
            </w:r>
          </w:p>
        </w:tc>
        <w:tc>
          <w:tcPr>
            <w:tcW w:w="300" w:type="dxa"/>
            <w:vAlign w:val="bottom"/>
            <w:shd w:val="clear" w:color="auto" w:fill="CFF0FC"/>
          </w:tcPr>
          <w:p>
            <w:pPr>
              <w:spacing w:after="0"/>
              <w:rPr>
                <w:sz w:val="21"/>
                <w:szCs w:val="21"/>
                <w:color w:val="auto"/>
              </w:rPr>
            </w:pPr>
          </w:p>
        </w:tc>
        <w:tc>
          <w:tcPr>
            <w:tcW w:w="140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500" w:type="dxa"/>
            <w:vAlign w:val="bottom"/>
            <w:shd w:val="clear" w:color="auto" w:fill="CFF0FC"/>
          </w:tcPr>
          <w:p>
            <w:pPr>
              <w:spacing w:after="0"/>
              <w:rPr>
                <w:sz w:val="21"/>
                <w:szCs w:val="21"/>
                <w:color w:val="auto"/>
              </w:rPr>
            </w:pPr>
          </w:p>
        </w:tc>
      </w:tr>
      <w:tr>
        <w:trPr>
          <w:trHeight w:val="239"/>
        </w:trPr>
        <w:tc>
          <w:tcPr>
            <w:tcW w:w="7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Accounts payable</w:t>
            </w:r>
          </w:p>
        </w:tc>
        <w:tc>
          <w:tcPr>
            <w:tcW w:w="300" w:type="dxa"/>
            <w:vAlign w:val="bottom"/>
          </w:tcPr>
          <w:p>
            <w:pPr>
              <w:spacing w:after="0"/>
              <w:rPr>
                <w:sz w:val="20"/>
                <w:szCs w:val="20"/>
                <w:color w:val="auto"/>
              </w:rPr>
            </w:pPr>
          </w:p>
        </w:tc>
        <w:tc>
          <w:tcPr>
            <w:tcW w:w="14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2,589.5</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2,723.0</w:t>
            </w:r>
          </w:p>
        </w:tc>
      </w:tr>
      <w:tr>
        <w:trPr>
          <w:trHeight w:val="247"/>
        </w:trPr>
        <w:tc>
          <w:tcPr>
            <w:tcW w:w="77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Employee compensation payable</w:t>
            </w:r>
          </w:p>
        </w:tc>
        <w:tc>
          <w:tcPr>
            <w:tcW w:w="300" w:type="dxa"/>
            <w:vAlign w:val="bottom"/>
            <w:shd w:val="clear" w:color="auto" w:fill="CFF0FC"/>
          </w:tcPr>
          <w:p>
            <w:pPr>
              <w:spacing w:after="0"/>
              <w:rPr>
                <w:sz w:val="21"/>
                <w:szCs w:val="21"/>
                <w:color w:val="auto"/>
              </w:rPr>
            </w:pPr>
          </w:p>
        </w:tc>
        <w:tc>
          <w:tcPr>
            <w:tcW w:w="140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221.3</w:t>
            </w:r>
          </w:p>
        </w:tc>
        <w:tc>
          <w:tcPr>
            <w:tcW w:w="12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50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243.1</w:t>
            </w:r>
          </w:p>
        </w:tc>
      </w:tr>
      <w:tr>
        <w:trPr>
          <w:trHeight w:val="239"/>
        </w:trPr>
        <w:tc>
          <w:tcPr>
            <w:tcW w:w="7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Accrued liabilities</w:t>
            </w:r>
          </w:p>
        </w:tc>
        <w:tc>
          <w:tcPr>
            <w:tcW w:w="300" w:type="dxa"/>
            <w:vAlign w:val="bottom"/>
          </w:tcPr>
          <w:p>
            <w:pPr>
              <w:spacing w:after="0"/>
              <w:rPr>
                <w:sz w:val="20"/>
                <w:szCs w:val="20"/>
                <w:color w:val="auto"/>
              </w:rPr>
            </w:pPr>
          </w:p>
        </w:tc>
        <w:tc>
          <w:tcPr>
            <w:tcW w:w="14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572.2</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693.0</w:t>
            </w:r>
          </w:p>
        </w:tc>
      </w:tr>
      <w:tr>
        <w:trPr>
          <w:trHeight w:val="247"/>
        </w:trPr>
        <w:tc>
          <w:tcPr>
            <w:tcW w:w="77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Accrued payroll taxes and insurance</w:t>
            </w:r>
          </w:p>
        </w:tc>
        <w:tc>
          <w:tcPr>
            <w:tcW w:w="300" w:type="dxa"/>
            <w:vAlign w:val="bottom"/>
            <w:shd w:val="clear" w:color="auto" w:fill="CFF0FC"/>
          </w:tcPr>
          <w:p>
            <w:pPr>
              <w:spacing w:after="0"/>
              <w:rPr>
                <w:sz w:val="21"/>
                <w:szCs w:val="21"/>
                <w:color w:val="auto"/>
              </w:rPr>
            </w:pPr>
          </w:p>
        </w:tc>
        <w:tc>
          <w:tcPr>
            <w:tcW w:w="140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656.8</w:t>
            </w:r>
          </w:p>
        </w:tc>
        <w:tc>
          <w:tcPr>
            <w:tcW w:w="12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50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695.8</w:t>
            </w:r>
          </w:p>
        </w:tc>
      </w:tr>
      <w:tr>
        <w:trPr>
          <w:trHeight w:val="239"/>
        </w:trPr>
        <w:tc>
          <w:tcPr>
            <w:tcW w:w="7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Value added taxes payable</w:t>
            </w:r>
          </w:p>
        </w:tc>
        <w:tc>
          <w:tcPr>
            <w:tcW w:w="300" w:type="dxa"/>
            <w:vAlign w:val="bottom"/>
          </w:tcPr>
          <w:p>
            <w:pPr>
              <w:spacing w:after="0"/>
              <w:rPr>
                <w:sz w:val="20"/>
                <w:szCs w:val="20"/>
                <w:color w:val="auto"/>
              </w:rPr>
            </w:pPr>
          </w:p>
        </w:tc>
        <w:tc>
          <w:tcPr>
            <w:tcW w:w="14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401.4</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432.7</w:t>
            </w:r>
          </w:p>
        </w:tc>
      </w:tr>
      <w:tr>
        <w:trPr>
          <w:trHeight w:val="243"/>
        </w:trPr>
        <w:tc>
          <w:tcPr>
            <w:tcW w:w="77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Short-term borrowings and current maturities of long-term debt</w:t>
            </w:r>
          </w:p>
        </w:tc>
        <w:tc>
          <w:tcPr>
            <w:tcW w:w="300" w:type="dxa"/>
            <w:vAlign w:val="bottom"/>
            <w:tcBorders>
              <w:bottom w:val="single" w:sz="8" w:color="auto"/>
            </w:tcBorders>
            <w:shd w:val="clear" w:color="auto" w:fill="CFF0FC"/>
          </w:tcPr>
          <w:p>
            <w:pPr>
              <w:spacing w:after="0"/>
              <w:rPr>
                <w:sz w:val="21"/>
                <w:szCs w:val="21"/>
                <w:color w:val="auto"/>
              </w:rPr>
            </w:pPr>
          </w:p>
        </w:tc>
        <w:tc>
          <w:tcPr>
            <w:tcW w:w="140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136.8</w:t>
            </w:r>
          </w:p>
        </w:tc>
        <w:tc>
          <w:tcPr>
            <w:tcW w:w="12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bottom w:val="single" w:sz="8" w:color="auto"/>
            </w:tcBorders>
            <w:shd w:val="clear" w:color="auto" w:fill="CFF0FC"/>
          </w:tcPr>
          <w:p>
            <w:pPr>
              <w:spacing w:after="0"/>
              <w:rPr>
                <w:sz w:val="21"/>
                <w:szCs w:val="21"/>
                <w:color w:val="auto"/>
              </w:rPr>
            </w:pPr>
          </w:p>
        </w:tc>
        <w:tc>
          <w:tcPr>
            <w:tcW w:w="150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12.1</w:t>
            </w:r>
          </w:p>
        </w:tc>
      </w:tr>
      <w:tr>
        <w:trPr>
          <w:trHeight w:val="236"/>
        </w:trPr>
        <w:tc>
          <w:tcPr>
            <w:tcW w:w="774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300" w:type="dxa"/>
            <w:vAlign w:val="bottom"/>
          </w:tcPr>
          <w:p>
            <w:pPr>
              <w:spacing w:after="0"/>
              <w:rPr>
                <w:sz w:val="20"/>
                <w:szCs w:val="20"/>
                <w:color w:val="auto"/>
              </w:rPr>
            </w:pPr>
          </w:p>
        </w:tc>
        <w:tc>
          <w:tcPr>
            <w:tcW w:w="14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4,578.0</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4,799.7</w:t>
            </w:r>
          </w:p>
        </w:tc>
      </w:tr>
      <w:tr>
        <w:trPr>
          <w:trHeight w:val="247"/>
        </w:trPr>
        <w:tc>
          <w:tcPr>
            <w:tcW w:w="774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40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500" w:type="dxa"/>
            <w:vAlign w:val="bottom"/>
            <w:shd w:val="clear" w:color="auto" w:fill="CFF0FC"/>
          </w:tcPr>
          <w:p>
            <w:pPr>
              <w:spacing w:after="0"/>
              <w:rPr>
                <w:sz w:val="21"/>
                <w:szCs w:val="21"/>
                <w:color w:val="auto"/>
              </w:rPr>
            </w:pPr>
          </w:p>
        </w:tc>
      </w:tr>
      <w:tr>
        <w:trPr>
          <w:trHeight w:val="241"/>
        </w:trPr>
        <w:tc>
          <w:tcPr>
            <w:tcW w:w="77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Other Liabilities:</w:t>
            </w:r>
          </w:p>
        </w:tc>
        <w:tc>
          <w:tcPr>
            <w:tcW w:w="30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00" w:type="dxa"/>
            <w:vAlign w:val="bottom"/>
          </w:tcPr>
          <w:p>
            <w:pPr>
              <w:spacing w:after="0"/>
              <w:rPr>
                <w:sz w:val="20"/>
                <w:szCs w:val="20"/>
                <w:color w:val="auto"/>
              </w:rPr>
            </w:pPr>
          </w:p>
        </w:tc>
      </w:tr>
      <w:tr>
        <w:trPr>
          <w:trHeight w:val="245"/>
        </w:trPr>
        <w:tc>
          <w:tcPr>
            <w:tcW w:w="77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Long-term debt</w:t>
            </w:r>
          </w:p>
        </w:tc>
        <w:tc>
          <w:tcPr>
            <w:tcW w:w="300" w:type="dxa"/>
            <w:vAlign w:val="bottom"/>
            <w:shd w:val="clear" w:color="auto" w:fill="CFF0FC"/>
          </w:tcPr>
          <w:p>
            <w:pPr>
              <w:spacing w:after="0"/>
              <w:rPr>
                <w:sz w:val="21"/>
                <w:szCs w:val="21"/>
                <w:color w:val="auto"/>
              </w:rPr>
            </w:pPr>
          </w:p>
        </w:tc>
        <w:tc>
          <w:tcPr>
            <w:tcW w:w="140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961.7</w:t>
            </w:r>
          </w:p>
        </w:tc>
        <w:tc>
          <w:tcPr>
            <w:tcW w:w="12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50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990.5</w:t>
            </w:r>
          </w:p>
        </w:tc>
      </w:tr>
      <w:tr>
        <w:trPr>
          <w:trHeight w:val="239"/>
        </w:trPr>
        <w:tc>
          <w:tcPr>
            <w:tcW w:w="7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Long-term operating lease liability</w:t>
            </w:r>
          </w:p>
        </w:tc>
        <w:tc>
          <w:tcPr>
            <w:tcW w:w="300" w:type="dxa"/>
            <w:vAlign w:val="bottom"/>
          </w:tcPr>
          <w:p>
            <w:pPr>
              <w:spacing w:after="0"/>
              <w:rPr>
                <w:sz w:val="20"/>
                <w:szCs w:val="20"/>
                <w:color w:val="auto"/>
              </w:rPr>
            </w:pPr>
          </w:p>
        </w:tc>
        <w:tc>
          <w:tcPr>
            <w:tcW w:w="14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294.8</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323.2</w:t>
            </w:r>
          </w:p>
        </w:tc>
      </w:tr>
      <w:tr>
        <w:trPr>
          <w:trHeight w:val="243"/>
        </w:trPr>
        <w:tc>
          <w:tcPr>
            <w:tcW w:w="77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300" w:type="dxa"/>
            <w:vAlign w:val="bottom"/>
            <w:tcBorders>
              <w:bottom w:val="single" w:sz="8" w:color="auto"/>
            </w:tcBorders>
            <w:shd w:val="clear" w:color="auto" w:fill="CFF0FC"/>
          </w:tcPr>
          <w:p>
            <w:pPr>
              <w:spacing w:after="0"/>
              <w:rPr>
                <w:sz w:val="21"/>
                <w:szCs w:val="21"/>
                <w:color w:val="auto"/>
              </w:rPr>
            </w:pPr>
          </w:p>
        </w:tc>
        <w:tc>
          <w:tcPr>
            <w:tcW w:w="140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473.2</w:t>
            </w:r>
          </w:p>
        </w:tc>
        <w:tc>
          <w:tcPr>
            <w:tcW w:w="12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bottom w:val="single" w:sz="8" w:color="auto"/>
            </w:tcBorders>
            <w:shd w:val="clear" w:color="auto" w:fill="CFF0FC"/>
          </w:tcPr>
          <w:p>
            <w:pPr>
              <w:spacing w:after="0"/>
              <w:rPr>
                <w:sz w:val="21"/>
                <w:szCs w:val="21"/>
                <w:color w:val="auto"/>
              </w:rPr>
            </w:pPr>
          </w:p>
        </w:tc>
        <w:tc>
          <w:tcPr>
            <w:tcW w:w="150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482.7</w:t>
            </w:r>
          </w:p>
        </w:tc>
      </w:tr>
      <w:tr>
        <w:trPr>
          <w:trHeight w:val="236"/>
        </w:trPr>
        <w:tc>
          <w:tcPr>
            <w:tcW w:w="774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Total other liabilities</w:t>
            </w:r>
          </w:p>
        </w:tc>
        <w:tc>
          <w:tcPr>
            <w:tcW w:w="300" w:type="dxa"/>
            <w:vAlign w:val="bottom"/>
          </w:tcPr>
          <w:p>
            <w:pPr>
              <w:spacing w:after="0"/>
              <w:rPr>
                <w:sz w:val="20"/>
                <w:szCs w:val="20"/>
                <w:color w:val="auto"/>
              </w:rPr>
            </w:pPr>
          </w:p>
        </w:tc>
        <w:tc>
          <w:tcPr>
            <w:tcW w:w="14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1,729.7</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1,796.4</w:t>
            </w:r>
          </w:p>
        </w:tc>
      </w:tr>
      <w:tr>
        <w:trPr>
          <w:trHeight w:val="247"/>
        </w:trPr>
        <w:tc>
          <w:tcPr>
            <w:tcW w:w="774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40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500" w:type="dxa"/>
            <w:vAlign w:val="bottom"/>
            <w:shd w:val="clear" w:color="auto" w:fill="CFF0FC"/>
          </w:tcPr>
          <w:p>
            <w:pPr>
              <w:spacing w:after="0"/>
              <w:rPr>
                <w:sz w:val="21"/>
                <w:szCs w:val="21"/>
                <w:color w:val="auto"/>
              </w:rPr>
            </w:pPr>
          </w:p>
        </w:tc>
      </w:tr>
      <w:tr>
        <w:trPr>
          <w:trHeight w:val="241"/>
        </w:trPr>
        <w:tc>
          <w:tcPr>
            <w:tcW w:w="77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Shareholders’ Equity:</w:t>
            </w:r>
          </w:p>
        </w:tc>
        <w:tc>
          <w:tcPr>
            <w:tcW w:w="30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00" w:type="dxa"/>
            <w:vAlign w:val="bottom"/>
          </w:tcPr>
          <w:p>
            <w:pPr>
              <w:spacing w:after="0"/>
              <w:rPr>
                <w:sz w:val="20"/>
                <w:szCs w:val="20"/>
                <w:color w:val="auto"/>
              </w:rPr>
            </w:pPr>
          </w:p>
        </w:tc>
      </w:tr>
      <w:tr>
        <w:trPr>
          <w:trHeight w:val="245"/>
        </w:trPr>
        <w:tc>
          <w:tcPr>
            <w:tcW w:w="77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ManpowerGroup shareholders' equity</w:t>
            </w:r>
          </w:p>
        </w:tc>
        <w:tc>
          <w:tcPr>
            <w:tcW w:w="300" w:type="dxa"/>
            <w:vAlign w:val="bottom"/>
            <w:shd w:val="clear" w:color="auto" w:fill="CFF0FC"/>
          </w:tcPr>
          <w:p>
            <w:pPr>
              <w:spacing w:after="0"/>
              <w:rPr>
                <w:sz w:val="21"/>
                <w:szCs w:val="21"/>
                <w:color w:val="auto"/>
              </w:rPr>
            </w:pPr>
          </w:p>
        </w:tc>
        <w:tc>
          <w:tcPr>
            <w:tcW w:w="140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500" w:type="dxa"/>
            <w:vAlign w:val="bottom"/>
            <w:shd w:val="clear" w:color="auto" w:fill="CFF0FC"/>
          </w:tcPr>
          <w:p>
            <w:pPr>
              <w:spacing w:after="0"/>
              <w:rPr>
                <w:sz w:val="21"/>
                <w:szCs w:val="21"/>
                <w:color w:val="auto"/>
              </w:rPr>
            </w:pPr>
          </w:p>
        </w:tc>
      </w:tr>
      <w:tr>
        <w:trPr>
          <w:trHeight w:val="239"/>
        </w:trPr>
        <w:tc>
          <w:tcPr>
            <w:tcW w:w="77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Preferred stock, $.01 par value, authorized 25,000,000 shares, none issued</w:t>
            </w:r>
          </w:p>
        </w:tc>
        <w:tc>
          <w:tcPr>
            <w:tcW w:w="300" w:type="dxa"/>
            <w:vAlign w:val="bottom"/>
          </w:tcPr>
          <w:p>
            <w:pPr>
              <w:spacing w:after="0"/>
              <w:rPr>
                <w:sz w:val="20"/>
                <w:szCs w:val="20"/>
                <w:color w:val="auto"/>
              </w:rPr>
            </w:pPr>
          </w:p>
        </w:tc>
        <w:tc>
          <w:tcPr>
            <w:tcW w:w="14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r>
      <w:tr>
        <w:trPr>
          <w:trHeight w:val="215"/>
        </w:trPr>
        <w:tc>
          <w:tcPr>
            <w:tcW w:w="774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Common stock, $.01 par value, authorized 125,000,000 shares, issued 118,844,046 and</w:t>
            </w:r>
          </w:p>
        </w:tc>
        <w:tc>
          <w:tcPr>
            <w:tcW w:w="300" w:type="dxa"/>
            <w:vAlign w:val="bottom"/>
            <w:shd w:val="clear" w:color="auto" w:fill="CFF0FC"/>
          </w:tcPr>
          <w:p>
            <w:pPr>
              <w:spacing w:after="0"/>
              <w:rPr>
                <w:sz w:val="18"/>
                <w:szCs w:val="18"/>
                <w:color w:val="auto"/>
              </w:rPr>
            </w:pPr>
          </w:p>
        </w:tc>
        <w:tc>
          <w:tcPr>
            <w:tcW w:w="14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500" w:type="dxa"/>
            <w:vAlign w:val="bottom"/>
            <w:shd w:val="clear" w:color="auto" w:fill="CFF0FC"/>
          </w:tcPr>
          <w:p>
            <w:pPr>
              <w:spacing w:after="0"/>
              <w:rPr>
                <w:sz w:val="18"/>
                <w:szCs w:val="18"/>
                <w:color w:val="auto"/>
              </w:rPr>
            </w:pPr>
          </w:p>
        </w:tc>
      </w:tr>
      <w:tr>
        <w:trPr>
          <w:trHeight w:val="248"/>
        </w:trPr>
        <w:tc>
          <w:tcPr>
            <w:tcW w:w="774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118,387,641 shares, respectively</w:t>
            </w:r>
          </w:p>
        </w:tc>
        <w:tc>
          <w:tcPr>
            <w:tcW w:w="300" w:type="dxa"/>
            <w:vAlign w:val="bottom"/>
            <w:shd w:val="clear" w:color="auto" w:fill="CFF0FC"/>
          </w:tcPr>
          <w:p>
            <w:pPr>
              <w:spacing w:after="0"/>
              <w:rPr>
                <w:sz w:val="21"/>
                <w:szCs w:val="21"/>
                <w:color w:val="auto"/>
              </w:rPr>
            </w:pPr>
          </w:p>
        </w:tc>
        <w:tc>
          <w:tcPr>
            <w:tcW w:w="140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1.2</w:t>
            </w:r>
          </w:p>
        </w:tc>
        <w:tc>
          <w:tcPr>
            <w:tcW w:w="12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50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1.2</w:t>
            </w:r>
          </w:p>
        </w:tc>
      </w:tr>
      <w:tr>
        <w:trPr>
          <w:trHeight w:val="239"/>
        </w:trPr>
        <w:tc>
          <w:tcPr>
            <w:tcW w:w="77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Capital in excess of par value</w:t>
            </w:r>
          </w:p>
        </w:tc>
        <w:tc>
          <w:tcPr>
            <w:tcW w:w="300" w:type="dxa"/>
            <w:vAlign w:val="bottom"/>
          </w:tcPr>
          <w:p>
            <w:pPr>
              <w:spacing w:after="0"/>
              <w:rPr>
                <w:sz w:val="20"/>
                <w:szCs w:val="20"/>
                <w:color w:val="auto"/>
              </w:rPr>
            </w:pPr>
          </w:p>
        </w:tc>
        <w:tc>
          <w:tcPr>
            <w:tcW w:w="14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3,524.3</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3,514.9</w:t>
            </w:r>
          </w:p>
        </w:tc>
      </w:tr>
      <w:tr>
        <w:trPr>
          <w:trHeight w:val="247"/>
        </w:trPr>
        <w:tc>
          <w:tcPr>
            <w:tcW w:w="774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Retained earnings</w:t>
            </w:r>
          </w:p>
        </w:tc>
        <w:tc>
          <w:tcPr>
            <w:tcW w:w="300" w:type="dxa"/>
            <w:vAlign w:val="bottom"/>
            <w:shd w:val="clear" w:color="auto" w:fill="CFF0FC"/>
          </w:tcPr>
          <w:p>
            <w:pPr>
              <w:spacing w:after="0"/>
              <w:rPr>
                <w:sz w:val="21"/>
                <w:szCs w:val="21"/>
                <w:color w:val="auto"/>
              </w:rPr>
            </w:pPr>
          </w:p>
        </w:tc>
        <w:tc>
          <w:tcPr>
            <w:tcW w:w="140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3,839.3</w:t>
            </w:r>
          </w:p>
        </w:tc>
        <w:tc>
          <w:tcPr>
            <w:tcW w:w="12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50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3,813.0</w:t>
            </w:r>
          </w:p>
        </w:tc>
      </w:tr>
      <w:tr>
        <w:trPr>
          <w:trHeight w:val="239"/>
        </w:trPr>
        <w:tc>
          <w:tcPr>
            <w:tcW w:w="77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30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(500.4 )</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(466.0 )</w:t>
            </w:r>
          </w:p>
        </w:tc>
      </w:tr>
      <w:tr>
        <w:trPr>
          <w:trHeight w:val="243"/>
        </w:trPr>
        <w:tc>
          <w:tcPr>
            <w:tcW w:w="7740" w:type="dxa"/>
            <w:vAlign w:val="bottom"/>
            <w:tcBorders>
              <w:bottom w:val="single" w:sz="8" w:color="CFF0FC"/>
            </w:tcBorders>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Treasury stock at cost, 71,136,605 and 69,963,649 shares, respectively</w:t>
            </w:r>
          </w:p>
        </w:tc>
        <w:tc>
          <w:tcPr>
            <w:tcW w:w="300" w:type="dxa"/>
            <w:vAlign w:val="bottom"/>
            <w:tcBorders>
              <w:bottom w:val="single" w:sz="8" w:color="auto"/>
            </w:tcBorders>
            <w:shd w:val="clear" w:color="auto" w:fill="CFF0FC"/>
          </w:tcPr>
          <w:p>
            <w:pPr>
              <w:spacing w:after="0"/>
              <w:rPr>
                <w:sz w:val="21"/>
                <w:szCs w:val="21"/>
                <w:color w:val="auto"/>
              </w:rPr>
            </w:pPr>
          </w:p>
        </w:tc>
        <w:tc>
          <w:tcPr>
            <w:tcW w:w="14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(4,727.5 )</w:t>
            </w:r>
          </w:p>
        </w:tc>
        <w:tc>
          <w:tcPr>
            <w:tcW w:w="12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bottom w:val="single" w:sz="8" w:color="auto"/>
            </w:tcBorders>
            <w:shd w:val="clear" w:color="auto" w:fill="CFF0FC"/>
          </w:tcPr>
          <w:p>
            <w:pPr>
              <w:spacing w:after="0"/>
              <w:rPr>
                <w:sz w:val="21"/>
                <w:szCs w:val="21"/>
                <w:color w:val="auto"/>
              </w:rPr>
            </w:pPr>
          </w:p>
        </w:tc>
        <w:tc>
          <w:tcPr>
            <w:tcW w:w="15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(4,639.8 )</w:t>
            </w:r>
          </w:p>
        </w:tc>
      </w:tr>
      <w:tr>
        <w:trPr>
          <w:trHeight w:val="236"/>
        </w:trPr>
        <w:tc>
          <w:tcPr>
            <w:tcW w:w="774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Total ManpowerGroup shareholders’ equity</w:t>
            </w:r>
          </w:p>
        </w:tc>
        <w:tc>
          <w:tcPr>
            <w:tcW w:w="30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2,136.9</w:t>
            </w:r>
          </w:p>
        </w:tc>
        <w:tc>
          <w:tcPr>
            <w:tcW w:w="1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2,223.3</w:t>
            </w:r>
          </w:p>
        </w:tc>
      </w:tr>
      <w:tr>
        <w:trPr>
          <w:trHeight w:val="237"/>
        </w:trPr>
        <w:tc>
          <w:tcPr>
            <w:tcW w:w="7740" w:type="dxa"/>
            <w:vAlign w:val="bottom"/>
            <w:tcBorders>
              <w:bottom w:val="single" w:sz="8" w:color="CFF0FC"/>
            </w:tcBorders>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Noncontrolling interests</w:t>
            </w:r>
          </w:p>
        </w:tc>
        <w:tc>
          <w:tcPr>
            <w:tcW w:w="300" w:type="dxa"/>
            <w:vAlign w:val="bottom"/>
            <w:tcBorders>
              <w:bottom w:val="single" w:sz="8" w:color="auto"/>
            </w:tcBorders>
            <w:shd w:val="clear" w:color="auto" w:fill="CFF0FC"/>
          </w:tcPr>
          <w:p>
            <w:pPr>
              <w:spacing w:after="0"/>
              <w:rPr>
                <w:sz w:val="20"/>
                <w:szCs w:val="20"/>
                <w:color w:val="auto"/>
              </w:rPr>
            </w:pPr>
          </w:p>
        </w:tc>
        <w:tc>
          <w:tcPr>
            <w:tcW w:w="140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9.0</w:t>
            </w:r>
          </w:p>
        </w:tc>
        <w:tc>
          <w:tcPr>
            <w:tcW w:w="120" w:type="dxa"/>
            <w:vAlign w:val="bottom"/>
            <w:tcBorders>
              <w:bottom w:val="single" w:sz="8" w:color="CFF0FC"/>
            </w:tcBorders>
            <w:shd w:val="clear" w:color="auto" w:fill="CFF0FC"/>
          </w:tcPr>
          <w:p>
            <w:pPr>
              <w:spacing w:after="0"/>
              <w:rPr>
                <w:sz w:val="20"/>
                <w:szCs w:val="20"/>
                <w:color w:val="auto"/>
              </w:rPr>
            </w:pPr>
          </w:p>
        </w:tc>
        <w:tc>
          <w:tcPr>
            <w:tcW w:w="180" w:type="dxa"/>
            <w:vAlign w:val="bottom"/>
            <w:tcBorders>
              <w:bottom w:val="single" w:sz="8" w:color="auto"/>
            </w:tcBorders>
            <w:shd w:val="clear" w:color="auto" w:fill="CFF0FC"/>
          </w:tcPr>
          <w:p>
            <w:pPr>
              <w:spacing w:after="0"/>
              <w:rPr>
                <w:sz w:val="20"/>
                <w:szCs w:val="20"/>
                <w:color w:val="auto"/>
              </w:rPr>
            </w:pPr>
          </w:p>
        </w:tc>
        <w:tc>
          <w:tcPr>
            <w:tcW w:w="150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10.8</w:t>
            </w:r>
          </w:p>
        </w:tc>
      </w:tr>
      <w:tr>
        <w:trPr>
          <w:trHeight w:val="236"/>
        </w:trPr>
        <w:tc>
          <w:tcPr>
            <w:tcW w:w="774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Total shareholders’ equity</w:t>
            </w:r>
          </w:p>
        </w:tc>
        <w:tc>
          <w:tcPr>
            <w:tcW w:w="30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2,145.9</w:t>
            </w:r>
          </w:p>
        </w:tc>
        <w:tc>
          <w:tcPr>
            <w:tcW w:w="1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2,234.1</w:t>
            </w:r>
          </w:p>
        </w:tc>
      </w:tr>
      <w:tr>
        <w:trPr>
          <w:trHeight w:val="277"/>
        </w:trPr>
        <w:tc>
          <w:tcPr>
            <w:tcW w:w="7740" w:type="dxa"/>
            <w:vAlign w:val="bottom"/>
            <w:tcBorders>
              <w:bottom w:val="single" w:sz="8" w:color="CFF0FC"/>
            </w:tcBorders>
            <w:shd w:val="clear" w:color="auto" w:fill="CFF0FC"/>
          </w:tcPr>
          <w:p>
            <w:pPr>
              <w:ind w:left="480"/>
              <w:spacing w:after="0"/>
              <w:rPr>
                <w:sz w:val="20"/>
                <w:szCs w:val="20"/>
                <w:color w:val="auto"/>
              </w:rPr>
            </w:pPr>
            <w:r>
              <w:rPr>
                <w:rFonts w:ascii="Times New Roman" w:cs="Times New Roman" w:eastAsia="Times New Roman" w:hAnsi="Times New Roman"/>
                <w:sz w:val="18"/>
                <w:szCs w:val="18"/>
                <w:color w:val="auto"/>
              </w:rPr>
              <w:t>Total liabilities and shareholders’ equity</w:t>
            </w:r>
          </w:p>
        </w:tc>
        <w:tc>
          <w:tcPr>
            <w:tcW w:w="300" w:type="dxa"/>
            <w:vAlign w:val="bottom"/>
            <w:tcBorders>
              <w:bottom w:val="single" w:sz="8" w:color="auto"/>
            </w:tcBorders>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8,453.6</w:t>
            </w:r>
          </w:p>
        </w:tc>
        <w:tc>
          <w:tcPr>
            <w:tcW w:w="120" w:type="dxa"/>
            <w:vAlign w:val="bottom"/>
            <w:tcBorders>
              <w:bottom w:val="single" w:sz="8" w:color="CFF0FC"/>
            </w:tcBorders>
            <w:shd w:val="clear" w:color="auto" w:fill="CFF0FC"/>
          </w:tcPr>
          <w:p>
            <w:pPr>
              <w:spacing w:after="0"/>
              <w:rPr>
                <w:sz w:val="24"/>
                <w:szCs w:val="24"/>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8,830.2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5996940</wp:posOffset>
            </wp:positionH>
            <wp:positionV relativeFrom="paragraph">
              <wp:posOffset>-3299460</wp:posOffset>
            </wp:positionV>
            <wp:extent cx="6858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5996940</wp:posOffset>
            </wp:positionH>
            <wp:positionV relativeFrom="paragraph">
              <wp:posOffset>-2365375</wp:posOffset>
            </wp:positionV>
            <wp:extent cx="6858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5996940</wp:posOffset>
            </wp:positionH>
            <wp:positionV relativeFrom="paragraph">
              <wp:posOffset>-676275</wp:posOffset>
            </wp:positionV>
            <wp:extent cx="6858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5996940</wp:posOffset>
            </wp:positionH>
            <wp:positionV relativeFrom="paragraph">
              <wp:posOffset>-350520</wp:posOffset>
            </wp:positionV>
            <wp:extent cx="6858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5996940</wp:posOffset>
            </wp:positionH>
            <wp:positionV relativeFrom="paragraph">
              <wp:posOffset>-24765</wp:posOffset>
            </wp:positionV>
            <wp:extent cx="6858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5996940</wp:posOffset>
            </wp:positionH>
            <wp:positionV relativeFrom="paragraph">
              <wp:posOffset>-7620</wp:posOffset>
            </wp:positionV>
            <wp:extent cx="6858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accompanying Notes to Consolidated Financial Statements are an integral part of these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38"/>
        </w:trPr>
        <w:tc>
          <w:tcPr>
            <w:tcW w:w="3160" w:type="dxa"/>
            <w:vAlign w:val="bottom"/>
          </w:tcPr>
          <w:p>
            <w:pPr>
              <w:spacing w:after="0"/>
              <w:rPr>
                <w:sz w:val="20"/>
                <w:szCs w:val="20"/>
                <w:color w:val="auto"/>
              </w:rPr>
            </w:pPr>
          </w:p>
        </w:tc>
        <w:tc>
          <w:tcPr>
            <w:tcW w:w="4080" w:type="dxa"/>
            <w:vAlign w:val="bottom"/>
            <w:gridSpan w:val="3"/>
          </w:tcPr>
          <w:p>
            <w:pPr>
              <w:jc w:val="center"/>
              <w:ind w:left="750"/>
              <w:spacing w:after="0"/>
              <w:rPr>
                <w:sz w:val="20"/>
                <w:szCs w:val="20"/>
                <w:color w:val="auto"/>
              </w:rPr>
            </w:pPr>
            <w:r>
              <w:rPr>
                <w:rFonts w:ascii="Times New Roman" w:cs="Times New Roman" w:eastAsia="Times New Roman" w:hAnsi="Times New Roman"/>
                <w:sz w:val="18"/>
                <w:szCs w:val="18"/>
                <w:b w:val="1"/>
                <w:bCs w:val="1"/>
                <w:color w:val="auto"/>
                <w:w w:val="99"/>
              </w:rPr>
              <w:t>ManpowerGroup Inc.</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spacing w:after="0"/>
              <w:rPr>
                <w:sz w:val="20"/>
                <w:szCs w:val="20"/>
                <w:color w:val="auto"/>
              </w:rPr>
            </w:pPr>
          </w:p>
        </w:tc>
      </w:tr>
      <w:tr>
        <w:trPr>
          <w:trHeight w:val="369"/>
        </w:trPr>
        <w:tc>
          <w:tcPr>
            <w:tcW w:w="3160" w:type="dxa"/>
            <w:vAlign w:val="bottom"/>
          </w:tcPr>
          <w:p>
            <w:pPr>
              <w:spacing w:after="0"/>
              <w:rPr>
                <w:sz w:val="24"/>
                <w:szCs w:val="24"/>
                <w:color w:val="auto"/>
              </w:rPr>
            </w:pPr>
          </w:p>
        </w:tc>
        <w:tc>
          <w:tcPr>
            <w:tcW w:w="4500" w:type="dxa"/>
            <w:vAlign w:val="bottom"/>
            <w:gridSpan w:val="5"/>
          </w:tcPr>
          <w:p>
            <w:pPr>
              <w:jc w:val="center"/>
              <w:ind w:left="350"/>
              <w:spacing w:after="0"/>
              <w:rPr>
                <w:sz w:val="20"/>
                <w:szCs w:val="20"/>
                <w:color w:val="auto"/>
              </w:rPr>
            </w:pPr>
            <w:r>
              <w:rPr>
                <w:rFonts w:ascii="Times New Roman" w:cs="Times New Roman" w:eastAsia="Times New Roman" w:hAnsi="Times New Roman"/>
                <w:sz w:val="18"/>
                <w:szCs w:val="18"/>
                <w:b w:val="1"/>
                <w:bCs w:val="1"/>
                <w:color w:val="auto"/>
                <w:w w:val="99"/>
              </w:rPr>
              <w:t>Consolidated Statements of Operations (Unaudited)</w:t>
            </w: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229"/>
        </w:trPr>
        <w:tc>
          <w:tcPr>
            <w:tcW w:w="3160" w:type="dxa"/>
            <w:vAlign w:val="bottom"/>
          </w:tcPr>
          <w:p>
            <w:pPr>
              <w:spacing w:after="0"/>
              <w:rPr>
                <w:sz w:val="19"/>
                <w:szCs w:val="19"/>
                <w:color w:val="auto"/>
              </w:rPr>
            </w:pPr>
          </w:p>
        </w:tc>
        <w:tc>
          <w:tcPr>
            <w:tcW w:w="4080" w:type="dxa"/>
            <w:vAlign w:val="bottom"/>
            <w:gridSpan w:val="3"/>
          </w:tcPr>
          <w:p>
            <w:pPr>
              <w:jc w:val="center"/>
              <w:ind w:left="770"/>
              <w:spacing w:after="0"/>
              <w:rPr>
                <w:sz w:val="20"/>
                <w:szCs w:val="20"/>
                <w:color w:val="auto"/>
              </w:rPr>
            </w:pPr>
            <w:r>
              <w:rPr>
                <w:rFonts w:ascii="Times New Roman" w:cs="Times New Roman" w:eastAsia="Times New Roman" w:hAnsi="Times New Roman"/>
                <w:sz w:val="18"/>
                <w:szCs w:val="18"/>
                <w:b w:val="1"/>
                <w:bCs w:val="1"/>
                <w:color w:val="auto"/>
                <w:w w:val="99"/>
              </w:rPr>
              <w:t>(in millions, except per share data)</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tcPr>
          <w:p>
            <w:pPr>
              <w:spacing w:after="0"/>
              <w:rPr>
                <w:sz w:val="19"/>
                <w:szCs w:val="19"/>
                <w:color w:val="auto"/>
              </w:rPr>
            </w:pPr>
          </w:p>
        </w:tc>
      </w:tr>
      <w:tr>
        <w:trPr>
          <w:trHeight w:val="238"/>
        </w:trPr>
        <w:tc>
          <w:tcPr>
            <w:tcW w:w="3160" w:type="dxa"/>
            <w:vAlign w:val="bottom"/>
          </w:tcPr>
          <w:p>
            <w:pPr>
              <w:spacing w:after="0"/>
              <w:rPr>
                <w:sz w:val="20"/>
                <w:szCs w:val="20"/>
                <w:color w:val="auto"/>
              </w:rPr>
            </w:pPr>
          </w:p>
        </w:tc>
        <w:tc>
          <w:tcPr>
            <w:tcW w:w="28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340" w:type="dxa"/>
            <w:vAlign w:val="bottom"/>
            <w:gridSpan w:val="4"/>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320" w:type="dxa"/>
            <w:vAlign w:val="bottom"/>
            <w:gridSpan w:val="4"/>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Six Months Ended</w:t>
            </w:r>
          </w:p>
        </w:tc>
      </w:tr>
      <w:tr>
        <w:trPr>
          <w:trHeight w:val="250"/>
        </w:trPr>
        <w:tc>
          <w:tcPr>
            <w:tcW w:w="3160" w:type="dxa"/>
            <w:vAlign w:val="bottom"/>
          </w:tcPr>
          <w:p>
            <w:pPr>
              <w:spacing w:after="0"/>
              <w:rPr>
                <w:sz w:val="21"/>
                <w:szCs w:val="21"/>
                <w:color w:val="auto"/>
              </w:rPr>
            </w:pPr>
          </w:p>
        </w:tc>
        <w:tc>
          <w:tcPr>
            <w:tcW w:w="282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440" w:type="dxa"/>
            <w:vAlign w:val="bottom"/>
            <w:tcBorders>
              <w:bottom w:val="single" w:sz="8" w:color="auto"/>
            </w:tcBorders>
            <w:gridSpan w:val="3"/>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900" w:type="dxa"/>
            <w:vAlign w:val="bottom"/>
            <w:tcBorders>
              <w:bottom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3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940" w:type="dxa"/>
            <w:vAlign w:val="bottom"/>
            <w:tcBorders>
              <w:bottom w:val="single" w:sz="8" w:color="auto"/>
            </w:tcBorders>
          </w:tcPr>
          <w:p>
            <w:pPr>
              <w:spacing w:after="0"/>
              <w:rPr>
                <w:sz w:val="21"/>
                <w:szCs w:val="21"/>
                <w:color w:val="auto"/>
              </w:rPr>
            </w:pPr>
          </w:p>
        </w:tc>
      </w:tr>
      <w:tr>
        <w:trPr>
          <w:trHeight w:val="241"/>
        </w:trPr>
        <w:tc>
          <w:tcPr>
            <w:tcW w:w="3160" w:type="dxa"/>
            <w:vAlign w:val="bottom"/>
          </w:tcPr>
          <w:p>
            <w:pPr>
              <w:spacing w:after="0"/>
              <w:rPr>
                <w:sz w:val="20"/>
                <w:szCs w:val="20"/>
                <w:color w:val="auto"/>
              </w:rPr>
            </w:pPr>
          </w:p>
        </w:tc>
        <w:tc>
          <w:tcPr>
            <w:tcW w:w="28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2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2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39"/>
        </w:trPr>
        <w:tc>
          <w:tcPr>
            <w:tcW w:w="31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Revenues from services</w:t>
            </w:r>
          </w:p>
        </w:tc>
        <w:tc>
          <w:tcPr>
            <w:tcW w:w="3060" w:type="dxa"/>
            <w:vAlign w:val="bottom"/>
            <w:gridSpan w:val="2"/>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4,520.7</w:t>
            </w:r>
          </w:p>
        </w:tc>
        <w:tc>
          <w:tcPr>
            <w:tcW w:w="420" w:type="dxa"/>
            <w:vAlign w:val="bottom"/>
            <w:gridSpan w:val="2"/>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4,856.1</w:t>
            </w:r>
          </w:p>
        </w:tc>
        <w:tc>
          <w:tcPr>
            <w:tcW w:w="360" w:type="dxa"/>
            <w:vAlign w:val="bottom"/>
            <w:gridSpan w:val="2"/>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8,924.0</w:t>
            </w:r>
          </w:p>
        </w:tc>
        <w:tc>
          <w:tcPr>
            <w:tcW w:w="420" w:type="dxa"/>
            <w:vAlign w:val="bottom"/>
            <w:gridSpan w:val="2"/>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9,608.4</w:t>
            </w:r>
          </w:p>
        </w:tc>
      </w:tr>
      <w:tr>
        <w:trPr>
          <w:trHeight w:val="239"/>
        </w:trPr>
        <w:tc>
          <w:tcPr>
            <w:tcW w:w="3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Cost of services</w:t>
            </w:r>
          </w:p>
        </w:tc>
        <w:tc>
          <w:tcPr>
            <w:tcW w:w="28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3,734.8</w:t>
            </w:r>
          </w:p>
        </w:tc>
        <w:tc>
          <w:tcPr>
            <w:tcW w:w="12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3,993.8</w:t>
            </w:r>
          </w:p>
        </w:tc>
        <w:tc>
          <w:tcPr>
            <w:tcW w:w="1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7,374.4</w:t>
            </w:r>
          </w:p>
        </w:tc>
        <w:tc>
          <w:tcPr>
            <w:tcW w:w="12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7,883.0</w:t>
            </w:r>
          </w:p>
        </w:tc>
      </w:tr>
      <w:tr>
        <w:trPr>
          <w:trHeight w:val="241"/>
        </w:trPr>
        <w:tc>
          <w:tcPr>
            <w:tcW w:w="31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Gross profit</w:t>
            </w:r>
          </w:p>
        </w:tc>
        <w:tc>
          <w:tcPr>
            <w:tcW w:w="282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02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785.9</w:t>
            </w:r>
          </w:p>
        </w:tc>
        <w:tc>
          <w:tcPr>
            <w:tcW w:w="12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90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862.3</w:t>
            </w:r>
          </w:p>
        </w:tc>
        <w:tc>
          <w:tcPr>
            <w:tcW w:w="12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96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1,549.6</w:t>
            </w:r>
          </w:p>
        </w:tc>
        <w:tc>
          <w:tcPr>
            <w:tcW w:w="12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9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1,725.4</w:t>
            </w:r>
          </w:p>
        </w:tc>
      </w:tr>
      <w:tr>
        <w:trPr>
          <w:trHeight w:val="239"/>
        </w:trPr>
        <w:tc>
          <w:tcPr>
            <w:tcW w:w="31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Selling and administrative expenses</w:t>
            </w:r>
          </w:p>
        </w:tc>
        <w:tc>
          <w:tcPr>
            <w:tcW w:w="28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684.8</w:t>
            </w:r>
          </w:p>
        </w:tc>
        <w:tc>
          <w:tcPr>
            <w:tcW w:w="12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754.7</w:t>
            </w:r>
          </w:p>
        </w:tc>
        <w:tc>
          <w:tcPr>
            <w:tcW w:w="1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1,382.6</w:t>
            </w:r>
          </w:p>
        </w:tc>
        <w:tc>
          <w:tcPr>
            <w:tcW w:w="12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1,499.9</w:t>
            </w:r>
          </w:p>
        </w:tc>
      </w:tr>
      <w:tr>
        <w:trPr>
          <w:trHeight w:val="241"/>
        </w:trPr>
        <w:tc>
          <w:tcPr>
            <w:tcW w:w="31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Operating profit</w:t>
            </w:r>
          </w:p>
        </w:tc>
        <w:tc>
          <w:tcPr>
            <w:tcW w:w="282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02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101.1</w:t>
            </w:r>
          </w:p>
        </w:tc>
        <w:tc>
          <w:tcPr>
            <w:tcW w:w="12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90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107.6</w:t>
            </w:r>
          </w:p>
        </w:tc>
        <w:tc>
          <w:tcPr>
            <w:tcW w:w="12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96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167.0</w:t>
            </w:r>
          </w:p>
        </w:tc>
        <w:tc>
          <w:tcPr>
            <w:tcW w:w="12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9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225.5</w:t>
            </w:r>
          </w:p>
        </w:tc>
      </w:tr>
      <w:tr>
        <w:trPr>
          <w:trHeight w:val="239"/>
        </w:trPr>
        <w:tc>
          <w:tcPr>
            <w:tcW w:w="3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and other expenses, net</w:t>
            </w:r>
          </w:p>
        </w:tc>
        <w:tc>
          <w:tcPr>
            <w:tcW w:w="28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8.7</w:t>
            </w:r>
          </w:p>
        </w:tc>
        <w:tc>
          <w:tcPr>
            <w:tcW w:w="12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11.8</w:t>
            </w:r>
          </w:p>
        </w:tc>
        <w:tc>
          <w:tcPr>
            <w:tcW w:w="1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17.1</w:t>
            </w:r>
          </w:p>
        </w:tc>
        <w:tc>
          <w:tcPr>
            <w:tcW w:w="12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19.3</w:t>
            </w:r>
          </w:p>
        </w:tc>
      </w:tr>
      <w:tr>
        <w:trPr>
          <w:trHeight w:val="241"/>
        </w:trPr>
        <w:tc>
          <w:tcPr>
            <w:tcW w:w="31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Earnings before income taxes</w:t>
            </w:r>
          </w:p>
        </w:tc>
        <w:tc>
          <w:tcPr>
            <w:tcW w:w="282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02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92.4</w:t>
            </w:r>
          </w:p>
        </w:tc>
        <w:tc>
          <w:tcPr>
            <w:tcW w:w="12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90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95.8</w:t>
            </w:r>
          </w:p>
        </w:tc>
        <w:tc>
          <w:tcPr>
            <w:tcW w:w="12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96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149.9</w:t>
            </w:r>
          </w:p>
        </w:tc>
        <w:tc>
          <w:tcPr>
            <w:tcW w:w="12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9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206.2</w:t>
            </w:r>
          </w:p>
        </w:tc>
      </w:tr>
      <w:tr>
        <w:trPr>
          <w:trHeight w:val="239"/>
        </w:trPr>
        <w:tc>
          <w:tcPr>
            <w:tcW w:w="3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28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32.3</w:t>
            </w:r>
          </w:p>
        </w:tc>
        <w:tc>
          <w:tcPr>
            <w:tcW w:w="12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30.6</w:t>
            </w:r>
          </w:p>
        </w:tc>
        <w:tc>
          <w:tcPr>
            <w:tcW w:w="1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50.1</w:t>
            </w:r>
          </w:p>
        </w:tc>
        <w:tc>
          <w:tcPr>
            <w:tcW w:w="12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63.2</w:t>
            </w:r>
          </w:p>
        </w:tc>
      </w:tr>
      <w:tr>
        <w:trPr>
          <w:trHeight w:val="276"/>
        </w:trPr>
        <w:tc>
          <w:tcPr>
            <w:tcW w:w="316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Net earnings</w:t>
            </w:r>
          </w:p>
        </w:tc>
        <w:tc>
          <w:tcPr>
            <w:tcW w:w="2820" w:type="dxa"/>
            <w:vAlign w:val="bottom"/>
            <w:tcBorders>
              <w:bottom w:val="single" w:sz="8" w:color="CFF0FC"/>
            </w:tcBorders>
            <w:shd w:val="clear" w:color="auto" w:fill="CFF0FC"/>
          </w:tcPr>
          <w:p>
            <w:pPr>
              <w:spacing w:after="0"/>
              <w:rPr>
                <w:sz w:val="24"/>
                <w:szCs w:val="24"/>
                <w:color w:val="auto"/>
              </w:rPr>
            </w:pP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60.1</w:t>
            </w:r>
          </w:p>
        </w:tc>
        <w:tc>
          <w:tcPr>
            <w:tcW w:w="120" w:type="dxa"/>
            <w:vAlign w:val="bottom"/>
            <w:tcBorders>
              <w:bottom w:val="single" w:sz="8" w:color="CFF0FC"/>
            </w:tcBorders>
            <w:shd w:val="clear" w:color="auto" w:fill="CFF0FC"/>
          </w:tcPr>
          <w:p>
            <w:pPr>
              <w:spacing w:after="0"/>
              <w:rPr>
                <w:sz w:val="24"/>
                <w:szCs w:val="24"/>
                <w:color w:val="auto"/>
              </w:rPr>
            </w:pPr>
          </w:p>
        </w:tc>
        <w:tc>
          <w:tcPr>
            <w:tcW w:w="300" w:type="dxa"/>
            <w:vAlign w:val="bottom"/>
            <w:tcBorders>
              <w:bottom w:val="single" w:sz="8" w:color="auto"/>
            </w:tcBorders>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65.2</w:t>
            </w:r>
          </w:p>
        </w:tc>
        <w:tc>
          <w:tcPr>
            <w:tcW w:w="120" w:type="dxa"/>
            <w:vAlign w:val="bottom"/>
            <w:tcBorders>
              <w:bottom w:val="single" w:sz="8" w:color="CFF0FC"/>
            </w:tcBorders>
            <w:shd w:val="clear" w:color="auto" w:fill="CFF0FC"/>
          </w:tcPr>
          <w:p>
            <w:pPr>
              <w:spacing w:after="0"/>
              <w:rPr>
                <w:sz w:val="24"/>
                <w:szCs w:val="24"/>
                <w:color w:val="auto"/>
              </w:rPr>
            </w:pP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99.8</w:t>
            </w:r>
          </w:p>
        </w:tc>
        <w:tc>
          <w:tcPr>
            <w:tcW w:w="120" w:type="dxa"/>
            <w:vAlign w:val="bottom"/>
            <w:tcBorders>
              <w:bottom w:val="single" w:sz="8" w:color="CFF0FC"/>
            </w:tcBorders>
            <w:shd w:val="clear" w:color="auto" w:fill="CFF0FC"/>
          </w:tcPr>
          <w:p>
            <w:pPr>
              <w:spacing w:after="0"/>
              <w:rPr>
                <w:sz w:val="24"/>
                <w:szCs w:val="24"/>
                <w:color w:val="auto"/>
              </w:rPr>
            </w:pPr>
          </w:p>
        </w:tc>
        <w:tc>
          <w:tcPr>
            <w:tcW w:w="300" w:type="dxa"/>
            <w:vAlign w:val="bottom"/>
            <w:tcBorders>
              <w:bottom w:val="single" w:sz="8" w:color="auto"/>
            </w:tcBorders>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143.0</w:t>
            </w:r>
          </w:p>
        </w:tc>
      </w:tr>
      <w:tr>
        <w:trPr>
          <w:trHeight w:val="224"/>
        </w:trPr>
        <w:tc>
          <w:tcPr>
            <w:tcW w:w="3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earnings per share – basic</w:t>
            </w:r>
          </w:p>
        </w:tc>
        <w:tc>
          <w:tcPr>
            <w:tcW w:w="306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1.25</w:t>
            </w:r>
          </w:p>
        </w:tc>
        <w:tc>
          <w:tcPr>
            <w:tcW w:w="42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1.30</w:t>
            </w:r>
          </w:p>
        </w:tc>
        <w:tc>
          <w:tcPr>
            <w:tcW w:w="36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2.07</w:t>
            </w:r>
          </w:p>
        </w:tc>
        <w:tc>
          <w:tcPr>
            <w:tcW w:w="42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2.84</w:t>
            </w:r>
          </w:p>
        </w:tc>
      </w:tr>
      <w:tr>
        <w:trPr>
          <w:trHeight w:val="20"/>
        </w:trPr>
        <w:tc>
          <w:tcPr>
            <w:tcW w:w="3160" w:type="dxa"/>
            <w:vAlign w:val="bottom"/>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r>
      <w:tr>
        <w:trPr>
          <w:trHeight w:val="263"/>
        </w:trPr>
        <w:tc>
          <w:tcPr>
            <w:tcW w:w="31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earnings per share – diluted</w:t>
            </w:r>
          </w:p>
        </w:tc>
        <w:tc>
          <w:tcPr>
            <w:tcW w:w="3060" w:type="dxa"/>
            <w:vAlign w:val="bottom"/>
            <w:gridSpan w:val="2"/>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1.24</w:t>
            </w:r>
          </w:p>
        </w:tc>
        <w:tc>
          <w:tcPr>
            <w:tcW w:w="420" w:type="dxa"/>
            <w:vAlign w:val="bottom"/>
            <w:gridSpan w:val="2"/>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1.29</w:t>
            </w:r>
          </w:p>
        </w:tc>
        <w:tc>
          <w:tcPr>
            <w:tcW w:w="360" w:type="dxa"/>
            <w:vAlign w:val="bottom"/>
            <w:gridSpan w:val="2"/>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2.05</w:t>
            </w:r>
          </w:p>
        </w:tc>
        <w:tc>
          <w:tcPr>
            <w:tcW w:w="420" w:type="dxa"/>
            <w:vAlign w:val="bottom"/>
            <w:gridSpan w:val="2"/>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2.80</w:t>
            </w:r>
          </w:p>
        </w:tc>
      </w:tr>
      <w:tr>
        <w:trPr>
          <w:trHeight w:val="223"/>
        </w:trPr>
        <w:tc>
          <w:tcPr>
            <w:tcW w:w="316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8"/>
                <w:szCs w:val="18"/>
                <w:color w:val="auto"/>
              </w:rPr>
              <w:t>Weighted average shares – basic</w:t>
            </w:r>
          </w:p>
        </w:tc>
        <w:tc>
          <w:tcPr>
            <w:tcW w:w="2820" w:type="dxa"/>
            <w:vAlign w:val="bottom"/>
            <w:tcBorders>
              <w:top w:val="single" w:sz="8" w:color="CFF0FC"/>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102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47.9</w:t>
            </w:r>
          </w:p>
        </w:tc>
        <w:tc>
          <w:tcPr>
            <w:tcW w:w="120" w:type="dxa"/>
            <w:vAlign w:val="bottom"/>
            <w:tcBorders>
              <w:top w:val="single" w:sz="8" w:color="CFF0FC"/>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50.2</w:t>
            </w:r>
          </w:p>
        </w:tc>
        <w:tc>
          <w:tcPr>
            <w:tcW w:w="120" w:type="dxa"/>
            <w:vAlign w:val="bottom"/>
            <w:tcBorders>
              <w:top w:val="single" w:sz="8" w:color="CFF0FC"/>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48.1</w:t>
            </w:r>
          </w:p>
        </w:tc>
        <w:tc>
          <w:tcPr>
            <w:tcW w:w="120" w:type="dxa"/>
            <w:vAlign w:val="bottom"/>
            <w:tcBorders>
              <w:top w:val="single" w:sz="8" w:color="CFF0FC"/>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50.4</w:t>
            </w:r>
          </w:p>
        </w:tc>
      </w:tr>
      <w:tr>
        <w:trPr>
          <w:trHeight w:val="20"/>
        </w:trPr>
        <w:tc>
          <w:tcPr>
            <w:tcW w:w="3160" w:type="dxa"/>
            <w:vAlign w:val="bottom"/>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r>
        <w:trPr>
          <w:trHeight w:val="263"/>
        </w:trPr>
        <w:tc>
          <w:tcPr>
            <w:tcW w:w="31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Weighted average shares – diluted</w:t>
            </w:r>
          </w:p>
        </w:tc>
        <w:tc>
          <w:tcPr>
            <w:tcW w:w="2820" w:type="dxa"/>
            <w:vAlign w:val="bottom"/>
            <w:tcBorders>
              <w:bottom w:val="single" w:sz="8" w:color="CFF0FC"/>
            </w:tcBorders>
            <w:shd w:val="clear" w:color="auto" w:fill="CFF0FC"/>
          </w:tcPr>
          <w:p>
            <w:pPr>
              <w:spacing w:after="0"/>
              <w:rPr>
                <w:sz w:val="22"/>
                <w:szCs w:val="22"/>
                <w:color w:val="auto"/>
              </w:rPr>
            </w:pPr>
          </w:p>
        </w:tc>
        <w:tc>
          <w:tcPr>
            <w:tcW w:w="240" w:type="dxa"/>
            <w:vAlign w:val="bottom"/>
            <w:tcBorders>
              <w:bottom w:val="single" w:sz="8" w:color="auto"/>
            </w:tcBorders>
            <w:shd w:val="clear" w:color="auto" w:fill="CFF0FC"/>
          </w:tcPr>
          <w:p>
            <w:pPr>
              <w:spacing w:after="0"/>
              <w:rPr>
                <w:sz w:val="22"/>
                <w:szCs w:val="22"/>
                <w:color w:val="auto"/>
              </w:rPr>
            </w:pPr>
          </w:p>
        </w:tc>
        <w:tc>
          <w:tcPr>
            <w:tcW w:w="102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48.4</w:t>
            </w:r>
          </w:p>
        </w:tc>
        <w:tc>
          <w:tcPr>
            <w:tcW w:w="120" w:type="dxa"/>
            <w:vAlign w:val="bottom"/>
            <w:tcBorders>
              <w:bottom w:val="single" w:sz="8" w:color="CFF0FC"/>
            </w:tcBorders>
            <w:shd w:val="clear" w:color="auto" w:fill="CFF0FC"/>
          </w:tcPr>
          <w:p>
            <w:pPr>
              <w:spacing w:after="0"/>
              <w:rPr>
                <w:sz w:val="22"/>
                <w:szCs w:val="22"/>
                <w:color w:val="auto"/>
              </w:rPr>
            </w:pPr>
          </w:p>
        </w:tc>
        <w:tc>
          <w:tcPr>
            <w:tcW w:w="300" w:type="dxa"/>
            <w:vAlign w:val="bottom"/>
            <w:tcBorders>
              <w:bottom w:val="single" w:sz="8" w:color="auto"/>
            </w:tcBorders>
            <w:shd w:val="clear" w:color="auto" w:fill="CFF0FC"/>
          </w:tcPr>
          <w:p>
            <w:pPr>
              <w:spacing w:after="0"/>
              <w:rPr>
                <w:sz w:val="22"/>
                <w:szCs w:val="22"/>
                <w:color w:val="auto"/>
              </w:rPr>
            </w:pPr>
          </w:p>
        </w:tc>
        <w:tc>
          <w:tcPr>
            <w:tcW w:w="90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50.7</w:t>
            </w:r>
          </w:p>
        </w:tc>
        <w:tc>
          <w:tcPr>
            <w:tcW w:w="120" w:type="dxa"/>
            <w:vAlign w:val="bottom"/>
            <w:tcBorders>
              <w:bottom w:val="single" w:sz="8" w:color="CFF0FC"/>
            </w:tcBorders>
            <w:shd w:val="clear" w:color="auto" w:fill="CFF0FC"/>
          </w:tcPr>
          <w:p>
            <w:pPr>
              <w:spacing w:after="0"/>
              <w:rPr>
                <w:sz w:val="22"/>
                <w:szCs w:val="22"/>
                <w:color w:val="auto"/>
              </w:rPr>
            </w:pPr>
          </w:p>
        </w:tc>
        <w:tc>
          <w:tcPr>
            <w:tcW w:w="240" w:type="dxa"/>
            <w:vAlign w:val="bottom"/>
            <w:tcBorders>
              <w:bottom w:val="single" w:sz="8" w:color="auto"/>
            </w:tcBorders>
            <w:shd w:val="clear" w:color="auto" w:fill="CFF0FC"/>
          </w:tcPr>
          <w:p>
            <w:pPr>
              <w:spacing w:after="0"/>
              <w:rPr>
                <w:sz w:val="22"/>
                <w:szCs w:val="22"/>
                <w:color w:val="auto"/>
              </w:rPr>
            </w:pPr>
          </w:p>
        </w:tc>
        <w:tc>
          <w:tcPr>
            <w:tcW w:w="96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48.7</w:t>
            </w:r>
          </w:p>
        </w:tc>
        <w:tc>
          <w:tcPr>
            <w:tcW w:w="120" w:type="dxa"/>
            <w:vAlign w:val="bottom"/>
            <w:tcBorders>
              <w:bottom w:val="single" w:sz="8" w:color="CFF0FC"/>
            </w:tcBorders>
            <w:shd w:val="clear" w:color="auto" w:fill="CFF0FC"/>
          </w:tcPr>
          <w:p>
            <w:pPr>
              <w:spacing w:after="0"/>
              <w:rPr>
                <w:sz w:val="22"/>
                <w:szCs w:val="22"/>
                <w:color w:val="auto"/>
              </w:rPr>
            </w:pPr>
          </w:p>
        </w:tc>
        <w:tc>
          <w:tcPr>
            <w:tcW w:w="300" w:type="dxa"/>
            <w:vAlign w:val="bottom"/>
            <w:tcBorders>
              <w:bottom w:val="single" w:sz="8" w:color="auto"/>
            </w:tcBorders>
            <w:shd w:val="clear" w:color="auto" w:fill="CFF0FC"/>
          </w:tcPr>
          <w:p>
            <w:pPr>
              <w:spacing w:after="0"/>
              <w:rPr>
                <w:sz w:val="22"/>
                <w:szCs w:val="22"/>
                <w:color w:val="auto"/>
              </w:rPr>
            </w:pPr>
          </w:p>
        </w:tc>
        <w:tc>
          <w:tcPr>
            <w:tcW w:w="94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51.0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4591050</wp:posOffset>
            </wp:positionH>
            <wp:positionV relativeFrom="paragraph">
              <wp:posOffset>-745490</wp:posOffset>
            </wp:positionV>
            <wp:extent cx="76835"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4591050</wp:posOffset>
            </wp:positionH>
            <wp:positionV relativeFrom="paragraph">
              <wp:posOffset>-728345</wp:posOffset>
            </wp:positionV>
            <wp:extent cx="76835"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5440045</wp:posOffset>
            </wp:positionH>
            <wp:positionV relativeFrom="paragraph">
              <wp:posOffset>-745490</wp:posOffset>
            </wp:positionV>
            <wp:extent cx="6858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5440045</wp:posOffset>
            </wp:positionH>
            <wp:positionV relativeFrom="paragraph">
              <wp:posOffset>-728345</wp:posOffset>
            </wp:positionV>
            <wp:extent cx="6858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6280150</wp:posOffset>
            </wp:positionH>
            <wp:positionV relativeFrom="paragraph">
              <wp:posOffset>-745490</wp:posOffset>
            </wp:positionV>
            <wp:extent cx="6858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6280150</wp:posOffset>
            </wp:positionH>
            <wp:positionV relativeFrom="paragraph">
              <wp:posOffset>-728345</wp:posOffset>
            </wp:positionV>
            <wp:extent cx="6858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4591050</wp:posOffset>
            </wp:positionH>
            <wp:positionV relativeFrom="paragraph">
              <wp:posOffset>-385445</wp:posOffset>
            </wp:positionV>
            <wp:extent cx="76835"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4591050</wp:posOffset>
            </wp:positionH>
            <wp:positionV relativeFrom="paragraph">
              <wp:posOffset>-368300</wp:posOffset>
            </wp:positionV>
            <wp:extent cx="76835"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5440045</wp:posOffset>
            </wp:positionH>
            <wp:positionV relativeFrom="paragraph">
              <wp:posOffset>-385445</wp:posOffset>
            </wp:positionV>
            <wp:extent cx="6858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5440045</wp:posOffset>
            </wp:positionH>
            <wp:positionV relativeFrom="paragraph">
              <wp:posOffset>-368300</wp:posOffset>
            </wp:positionV>
            <wp:extent cx="6858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6280150</wp:posOffset>
            </wp:positionH>
            <wp:positionV relativeFrom="paragraph">
              <wp:posOffset>-385445</wp:posOffset>
            </wp:positionV>
            <wp:extent cx="6858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6280150</wp:posOffset>
            </wp:positionH>
            <wp:positionV relativeFrom="paragraph">
              <wp:posOffset>-368300</wp:posOffset>
            </wp:positionV>
            <wp:extent cx="6858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4591050</wp:posOffset>
            </wp:positionH>
            <wp:positionV relativeFrom="paragraph">
              <wp:posOffset>-25400</wp:posOffset>
            </wp:positionV>
            <wp:extent cx="76835"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4591050</wp:posOffset>
            </wp:positionH>
            <wp:positionV relativeFrom="paragraph">
              <wp:posOffset>-8255</wp:posOffset>
            </wp:positionV>
            <wp:extent cx="76835"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5440045</wp:posOffset>
            </wp:positionH>
            <wp:positionV relativeFrom="paragraph">
              <wp:posOffset>-25400</wp:posOffset>
            </wp:positionV>
            <wp:extent cx="6858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5440045</wp:posOffset>
            </wp:positionH>
            <wp:positionV relativeFrom="paragraph">
              <wp:posOffset>-8255</wp:posOffset>
            </wp:positionV>
            <wp:extent cx="6858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6280150</wp:posOffset>
            </wp:positionH>
            <wp:positionV relativeFrom="paragraph">
              <wp:posOffset>-25400</wp:posOffset>
            </wp:positionV>
            <wp:extent cx="6858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6280150</wp:posOffset>
            </wp:positionH>
            <wp:positionV relativeFrom="paragraph">
              <wp:posOffset>-8255</wp:posOffset>
            </wp:positionV>
            <wp:extent cx="6858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accompanying Notes to Consolidated Financial Statements are an integral part of these statements.</w:t>
      </w:r>
    </w:p>
    <w:p>
      <w:pPr>
        <w:spacing w:after="0" w:line="200" w:lineRule="exact"/>
        <w:rPr>
          <w:sz w:val="20"/>
          <w:szCs w:val="20"/>
          <w:color w:val="auto"/>
        </w:rPr>
      </w:pP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780" w:type="dxa"/>
            <w:vAlign w:val="bottom"/>
          </w:tcPr>
          <w:p>
            <w:pPr>
              <w:jc w:val="center"/>
              <w:ind w:left="4370"/>
              <w:spacing w:after="0"/>
              <w:rPr>
                <w:sz w:val="20"/>
                <w:szCs w:val="20"/>
                <w:color w:val="auto"/>
              </w:rPr>
            </w:pPr>
            <w:r>
              <w:rPr>
                <w:rFonts w:ascii="Times New Roman" w:cs="Times New Roman" w:eastAsia="Times New Roman" w:hAnsi="Times New Roman"/>
                <w:sz w:val="18"/>
                <w:szCs w:val="18"/>
                <w:b w:val="1"/>
                <w:bCs w:val="1"/>
                <w:color w:val="auto"/>
                <w:w w:val="99"/>
              </w:rPr>
              <w:t>ManpowerGroup Inc.</w:t>
            </w:r>
          </w:p>
        </w:tc>
        <w:tc>
          <w:tcPr>
            <w:tcW w:w="1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83"/>
        </w:trPr>
        <w:tc>
          <w:tcPr>
            <w:tcW w:w="8180" w:type="dxa"/>
            <w:vAlign w:val="bottom"/>
            <w:gridSpan w:val="5"/>
          </w:tcPr>
          <w:p>
            <w:pPr>
              <w:jc w:val="center"/>
              <w:ind w:left="2970"/>
              <w:spacing w:after="0"/>
              <w:rPr>
                <w:sz w:val="20"/>
                <w:szCs w:val="20"/>
                <w:color w:val="auto"/>
              </w:rPr>
            </w:pPr>
            <w:r>
              <w:rPr>
                <w:rFonts w:ascii="Times New Roman" w:cs="Times New Roman" w:eastAsia="Times New Roman" w:hAnsi="Times New Roman"/>
                <w:sz w:val="18"/>
                <w:szCs w:val="18"/>
                <w:b w:val="1"/>
                <w:bCs w:val="1"/>
                <w:color w:val="auto"/>
                <w:w w:val="99"/>
              </w:rPr>
              <w:t>Consolidated Statements of Comprehensive Income (Unaudited)</w:t>
            </w: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8"/>
        </w:trPr>
        <w:tc>
          <w:tcPr>
            <w:tcW w:w="6780" w:type="dxa"/>
            <w:vAlign w:val="bottom"/>
          </w:tcPr>
          <w:p>
            <w:pPr>
              <w:jc w:val="center"/>
              <w:ind w:left="4370"/>
              <w:spacing w:after="0"/>
              <w:rPr>
                <w:sz w:val="20"/>
                <w:szCs w:val="20"/>
                <w:color w:val="auto"/>
              </w:rPr>
            </w:pPr>
            <w:r>
              <w:rPr>
                <w:rFonts w:ascii="Times New Roman" w:cs="Times New Roman" w:eastAsia="Times New Roman" w:hAnsi="Times New Roman"/>
                <w:sz w:val="18"/>
                <w:szCs w:val="18"/>
                <w:b w:val="1"/>
                <w:bCs w:val="1"/>
                <w:color w:val="auto"/>
                <w:w w:val="99"/>
              </w:rPr>
              <w:t>(in millions)</w:t>
            </w:r>
          </w:p>
        </w:tc>
        <w:tc>
          <w:tcPr>
            <w:tcW w:w="160" w:type="dxa"/>
            <w:vAlign w:val="bottom"/>
          </w:tcPr>
          <w:p>
            <w:pPr>
              <w:spacing w:after="0"/>
              <w:rPr>
                <w:sz w:val="20"/>
                <w:szCs w:val="20"/>
                <w:color w:val="auto"/>
              </w:rPr>
            </w:pPr>
          </w:p>
        </w:tc>
        <w:tc>
          <w:tcPr>
            <w:tcW w:w="2020" w:type="dxa"/>
            <w:vAlign w:val="bottom"/>
            <w:gridSpan w:val="4"/>
            <w:vMerge w:val="restart"/>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980" w:type="dxa"/>
            <w:vAlign w:val="bottom"/>
            <w:gridSpan w:val="4"/>
            <w:vMerge w:val="restart"/>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Six Months Ended</w:t>
            </w:r>
          </w:p>
        </w:tc>
        <w:tc>
          <w:tcPr>
            <w:tcW w:w="0" w:type="dxa"/>
            <w:vAlign w:val="bottom"/>
          </w:tcPr>
          <w:p>
            <w:pPr>
              <w:spacing w:after="0"/>
              <w:rPr>
                <w:sz w:val="1"/>
                <w:szCs w:val="1"/>
                <w:color w:val="auto"/>
              </w:rPr>
            </w:pPr>
          </w:p>
        </w:tc>
      </w:tr>
      <w:tr>
        <w:trPr>
          <w:trHeight w:val="230"/>
        </w:trPr>
        <w:tc>
          <w:tcPr>
            <w:tcW w:w="67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20" w:type="dxa"/>
            <w:vAlign w:val="bottom"/>
            <w:gridSpan w:val="4"/>
            <w:vMerge w:val="continue"/>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980" w:type="dxa"/>
            <w:vAlign w:val="bottom"/>
            <w:gridSpan w:val="4"/>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50"/>
        </w:trPr>
        <w:tc>
          <w:tcPr>
            <w:tcW w:w="678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78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80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41"/>
        </w:trPr>
        <w:tc>
          <w:tcPr>
            <w:tcW w:w="67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2023</w:t>
            </w:r>
          </w:p>
        </w:tc>
        <w:tc>
          <w:tcPr>
            <w:tcW w:w="0" w:type="dxa"/>
            <w:vAlign w:val="bottom"/>
          </w:tcPr>
          <w:p>
            <w:pPr>
              <w:spacing w:after="0"/>
              <w:rPr>
                <w:sz w:val="1"/>
                <w:szCs w:val="1"/>
                <w:color w:val="auto"/>
              </w:rPr>
            </w:pPr>
          </w:p>
        </w:tc>
      </w:tr>
      <w:tr>
        <w:trPr>
          <w:trHeight w:val="239"/>
        </w:trPr>
        <w:tc>
          <w:tcPr>
            <w:tcW w:w="67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earnings</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60.1</w:t>
            </w:r>
          </w:p>
        </w:tc>
        <w:tc>
          <w:tcPr>
            <w:tcW w:w="340" w:type="dxa"/>
            <w:vAlign w:val="bottom"/>
            <w:gridSpan w:val="2"/>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65.2</w:t>
            </w:r>
          </w:p>
        </w:tc>
        <w:tc>
          <w:tcPr>
            <w:tcW w:w="3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99.8</w:t>
            </w:r>
          </w:p>
        </w:tc>
        <w:tc>
          <w:tcPr>
            <w:tcW w:w="360" w:type="dxa"/>
            <w:vAlign w:val="bottom"/>
            <w:gridSpan w:val="2"/>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143.0</w:t>
            </w:r>
          </w:p>
        </w:tc>
        <w:tc>
          <w:tcPr>
            <w:tcW w:w="0" w:type="dxa"/>
            <w:vAlign w:val="bottom"/>
          </w:tcPr>
          <w:p>
            <w:pPr>
              <w:spacing w:after="0"/>
              <w:rPr>
                <w:sz w:val="1"/>
                <w:szCs w:val="1"/>
                <w:color w:val="auto"/>
              </w:rPr>
            </w:pPr>
          </w:p>
        </w:tc>
      </w:tr>
      <w:tr>
        <w:trPr>
          <w:trHeight w:val="239"/>
        </w:trPr>
        <w:tc>
          <w:tcPr>
            <w:tcW w:w="6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comprehensive loss:</w:t>
            </w:r>
          </w:p>
        </w:tc>
        <w:tc>
          <w:tcPr>
            <w:tcW w:w="1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67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Foreign currency translation</w:t>
            </w:r>
          </w:p>
        </w:tc>
        <w:tc>
          <w:tcPr>
            <w:tcW w:w="160" w:type="dxa"/>
            <w:vAlign w:val="bottom"/>
            <w:shd w:val="clear" w:color="auto" w:fill="CFF0FC"/>
          </w:tcPr>
          <w:p>
            <w:pPr>
              <w:spacing w:after="0"/>
              <w:rPr>
                <w:sz w:val="21"/>
                <w:szCs w:val="21"/>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(10.2 )</w:t>
            </w:r>
          </w:p>
        </w:tc>
        <w:tc>
          <w:tcPr>
            <w:tcW w:w="10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78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11.0</w:t>
            </w:r>
          </w:p>
        </w:tc>
        <w:tc>
          <w:tcPr>
            <w:tcW w:w="10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(78.5 )</w:t>
            </w:r>
          </w:p>
        </w:tc>
        <w:tc>
          <w:tcPr>
            <w:tcW w:w="10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80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58.0</w:t>
            </w:r>
          </w:p>
        </w:tc>
        <w:tc>
          <w:tcPr>
            <w:tcW w:w="0" w:type="dxa"/>
            <w:vAlign w:val="bottom"/>
          </w:tcPr>
          <w:p>
            <w:pPr>
              <w:spacing w:after="0"/>
              <w:rPr>
                <w:sz w:val="1"/>
                <w:szCs w:val="1"/>
                <w:color w:val="auto"/>
              </w:rPr>
            </w:pPr>
          </w:p>
        </w:tc>
      </w:tr>
      <w:tr>
        <w:trPr>
          <w:trHeight w:val="239"/>
        </w:trPr>
        <w:tc>
          <w:tcPr>
            <w:tcW w:w="67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Translation adjustments of long-term intercompany loans</w:t>
            </w:r>
          </w:p>
        </w:tc>
        <w:tc>
          <w:tcPr>
            <w:tcW w:w="160" w:type="dxa"/>
            <w:vAlign w:val="bottom"/>
          </w:tcPr>
          <w:p>
            <w:pPr>
              <w:spacing w:after="0"/>
              <w:rPr>
                <w:sz w:val="20"/>
                <w:szCs w:val="20"/>
                <w:color w:val="auto"/>
              </w:rPr>
            </w:pPr>
          </w:p>
        </w:tc>
        <w:tc>
          <w:tcPr>
            <w:tcW w:w="9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(0.1 )</w:t>
            </w:r>
          </w:p>
        </w:tc>
        <w:tc>
          <w:tcPr>
            <w:tcW w:w="0" w:type="dxa"/>
            <w:vAlign w:val="bottom"/>
          </w:tcPr>
          <w:p>
            <w:pPr>
              <w:spacing w:after="0"/>
              <w:rPr>
                <w:sz w:val="1"/>
                <w:szCs w:val="1"/>
                <w:color w:val="auto"/>
              </w:rPr>
            </w:pPr>
          </w:p>
        </w:tc>
      </w:tr>
      <w:tr>
        <w:trPr>
          <w:trHeight w:val="215"/>
        </w:trPr>
        <w:tc>
          <w:tcPr>
            <w:tcW w:w="67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Adjustments on derivative instruments, net of income taxes of $1.1, $(5.2), $13.0 and</w:t>
            </w:r>
          </w:p>
        </w:tc>
        <w:tc>
          <w:tcPr>
            <w:tcW w:w="16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48"/>
        </w:trPr>
        <w:tc>
          <w:tcPr>
            <w:tcW w:w="67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$(8.0), respectively</w:t>
            </w:r>
          </w:p>
        </w:tc>
        <w:tc>
          <w:tcPr>
            <w:tcW w:w="160" w:type="dxa"/>
            <w:vAlign w:val="bottom"/>
            <w:shd w:val="clear" w:color="auto" w:fill="CFF0FC"/>
          </w:tcPr>
          <w:p>
            <w:pPr>
              <w:spacing w:after="0"/>
              <w:rPr>
                <w:sz w:val="21"/>
                <w:szCs w:val="21"/>
                <w:color w:val="auto"/>
              </w:rPr>
            </w:pPr>
          </w:p>
        </w:tc>
        <w:tc>
          <w:tcPr>
            <w:tcW w:w="90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5.0</w:t>
            </w:r>
          </w:p>
        </w:tc>
        <w:tc>
          <w:tcPr>
            <w:tcW w:w="10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(17.8 )</w:t>
            </w:r>
          </w:p>
        </w:tc>
        <w:tc>
          <w:tcPr>
            <w:tcW w:w="10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8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45.3</w:t>
            </w:r>
          </w:p>
        </w:tc>
        <w:tc>
          <w:tcPr>
            <w:tcW w:w="10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(56.5 )</w:t>
            </w:r>
          </w:p>
        </w:tc>
        <w:tc>
          <w:tcPr>
            <w:tcW w:w="0" w:type="dxa"/>
            <w:vAlign w:val="bottom"/>
          </w:tcPr>
          <w:p>
            <w:pPr>
              <w:spacing w:after="0"/>
              <w:rPr>
                <w:sz w:val="1"/>
                <w:szCs w:val="1"/>
                <w:color w:val="auto"/>
              </w:rPr>
            </w:pPr>
          </w:p>
        </w:tc>
      </w:tr>
      <w:tr>
        <w:trPr>
          <w:trHeight w:val="239"/>
        </w:trPr>
        <w:tc>
          <w:tcPr>
            <w:tcW w:w="67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Unrealized adjustment on interest rate swap</w:t>
            </w:r>
          </w:p>
        </w:tc>
        <w:tc>
          <w:tcPr>
            <w:tcW w:w="1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(0.1 )</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(0.1 )</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(0.2 )</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(0.2 )</w:t>
            </w:r>
          </w:p>
        </w:tc>
        <w:tc>
          <w:tcPr>
            <w:tcW w:w="0" w:type="dxa"/>
            <w:vAlign w:val="bottom"/>
          </w:tcPr>
          <w:p>
            <w:pPr>
              <w:spacing w:after="0"/>
              <w:rPr>
                <w:sz w:val="1"/>
                <w:szCs w:val="1"/>
                <w:color w:val="auto"/>
              </w:rPr>
            </w:pPr>
          </w:p>
        </w:tc>
      </w:tr>
      <w:tr>
        <w:trPr>
          <w:trHeight w:val="215"/>
        </w:trPr>
        <w:tc>
          <w:tcPr>
            <w:tcW w:w="67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Defined benefit pension plans and retiree health care plan, net of income taxes of $0.3,</w:t>
            </w:r>
          </w:p>
        </w:tc>
        <w:tc>
          <w:tcPr>
            <w:tcW w:w="160" w:type="dxa"/>
            <w:vAlign w:val="bottom"/>
            <w:shd w:val="clear" w:color="auto" w:fill="CFF0FC"/>
          </w:tcPr>
          <w:p>
            <w:pPr>
              <w:spacing w:after="0"/>
              <w:rPr>
                <w:sz w:val="18"/>
                <w:szCs w:val="18"/>
                <w:color w:val="auto"/>
              </w:rPr>
            </w:pPr>
          </w:p>
        </w:tc>
        <w:tc>
          <w:tcPr>
            <w:tcW w:w="900" w:type="dxa"/>
            <w:vAlign w:val="bottom"/>
            <w:vMerge w:val="restart"/>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0.4</w:t>
            </w:r>
          </w:p>
        </w:tc>
        <w:tc>
          <w:tcPr>
            <w:tcW w:w="1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7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(1.0 )</w:t>
            </w:r>
          </w:p>
        </w:tc>
        <w:tc>
          <w:tcPr>
            <w:tcW w:w="1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(1.1 )</w:t>
            </w:r>
          </w:p>
        </w:tc>
        <w:tc>
          <w:tcPr>
            <w:tcW w:w="1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(2.0 )</w:t>
            </w:r>
          </w:p>
        </w:tc>
        <w:tc>
          <w:tcPr>
            <w:tcW w:w="0" w:type="dxa"/>
            <w:vAlign w:val="bottom"/>
          </w:tcPr>
          <w:p>
            <w:pPr>
              <w:spacing w:after="0"/>
              <w:rPr>
                <w:sz w:val="1"/>
                <w:szCs w:val="1"/>
                <w:color w:val="auto"/>
              </w:rPr>
            </w:pPr>
          </w:p>
        </w:tc>
      </w:tr>
      <w:tr>
        <w:trPr>
          <w:trHeight w:val="234"/>
        </w:trPr>
        <w:tc>
          <w:tcPr>
            <w:tcW w:w="678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$(0.1), $0.3 and $0.0, respectively</w:t>
            </w:r>
          </w:p>
        </w:tc>
        <w:tc>
          <w:tcPr>
            <w:tcW w:w="160" w:type="dxa"/>
            <w:vAlign w:val="bottom"/>
            <w:tcBorders>
              <w:bottom w:val="single" w:sz="8" w:color="auto"/>
            </w:tcBorders>
            <w:shd w:val="clear" w:color="auto" w:fill="CFF0FC"/>
          </w:tcPr>
          <w:p>
            <w:pPr>
              <w:spacing w:after="0"/>
              <w:rPr>
                <w:sz w:val="20"/>
                <w:szCs w:val="20"/>
                <w:color w:val="auto"/>
              </w:rPr>
            </w:pPr>
          </w:p>
        </w:tc>
        <w:tc>
          <w:tcPr>
            <w:tcW w:w="900" w:type="dxa"/>
            <w:vAlign w:val="bottom"/>
            <w:tcBorders>
              <w:bottom w:val="single" w:sz="8" w:color="auto"/>
            </w:tcBorders>
            <w:vMerge w:val="continue"/>
            <w:shd w:val="clear" w:color="auto" w:fill="CFF0FC"/>
          </w:tcPr>
          <w:p>
            <w:pPr>
              <w:spacing w:after="0"/>
              <w:rPr>
                <w:sz w:val="20"/>
                <w:szCs w:val="20"/>
                <w:color w:val="auto"/>
              </w:rPr>
            </w:pPr>
          </w:p>
        </w:tc>
        <w:tc>
          <w:tcPr>
            <w:tcW w:w="100" w:type="dxa"/>
            <w:vAlign w:val="bottom"/>
            <w:tcBorders>
              <w:bottom w:val="single" w:sz="8" w:color="CFF0FC"/>
            </w:tcBorders>
            <w:shd w:val="clear" w:color="auto" w:fill="CFF0FC"/>
          </w:tcPr>
          <w:p>
            <w:pPr>
              <w:spacing w:after="0"/>
              <w:rPr>
                <w:sz w:val="20"/>
                <w:szCs w:val="20"/>
                <w:color w:val="auto"/>
              </w:rPr>
            </w:pPr>
          </w:p>
        </w:tc>
        <w:tc>
          <w:tcPr>
            <w:tcW w:w="240" w:type="dxa"/>
            <w:vAlign w:val="bottom"/>
            <w:tcBorders>
              <w:bottom w:val="single" w:sz="8" w:color="auto"/>
            </w:tcBorders>
            <w:shd w:val="clear" w:color="auto" w:fill="CFF0FC"/>
          </w:tcPr>
          <w:p>
            <w:pPr>
              <w:spacing w:after="0"/>
              <w:rPr>
                <w:sz w:val="20"/>
                <w:szCs w:val="20"/>
                <w:color w:val="auto"/>
              </w:rPr>
            </w:pPr>
          </w:p>
        </w:tc>
        <w:tc>
          <w:tcPr>
            <w:tcW w:w="780" w:type="dxa"/>
            <w:vAlign w:val="bottom"/>
            <w:tcBorders>
              <w:bottom w:val="single" w:sz="8" w:color="auto"/>
            </w:tcBorders>
            <w:vMerge w:val="continue"/>
            <w:shd w:val="clear" w:color="auto" w:fill="CFF0FC"/>
          </w:tcPr>
          <w:p>
            <w:pPr>
              <w:spacing w:after="0"/>
              <w:rPr>
                <w:sz w:val="20"/>
                <w:szCs w:val="20"/>
                <w:color w:val="auto"/>
              </w:rPr>
            </w:pPr>
          </w:p>
        </w:tc>
        <w:tc>
          <w:tcPr>
            <w:tcW w:w="100" w:type="dxa"/>
            <w:vAlign w:val="bottom"/>
            <w:tcBorders>
              <w:bottom w:val="single" w:sz="8" w:color="CFF0FC"/>
            </w:tcBorders>
            <w:shd w:val="clear" w:color="auto" w:fill="CFF0FC"/>
          </w:tcPr>
          <w:p>
            <w:pPr>
              <w:spacing w:after="0"/>
              <w:rPr>
                <w:sz w:val="20"/>
                <w:szCs w:val="20"/>
                <w:color w:val="auto"/>
              </w:rPr>
            </w:pPr>
          </w:p>
        </w:tc>
        <w:tc>
          <w:tcPr>
            <w:tcW w:w="200" w:type="dxa"/>
            <w:vAlign w:val="bottom"/>
            <w:tcBorders>
              <w:bottom w:val="single" w:sz="8" w:color="auto"/>
            </w:tcBorders>
            <w:shd w:val="clear" w:color="auto" w:fill="CFF0FC"/>
          </w:tcPr>
          <w:p>
            <w:pPr>
              <w:spacing w:after="0"/>
              <w:rPr>
                <w:sz w:val="20"/>
                <w:szCs w:val="20"/>
                <w:color w:val="auto"/>
              </w:rPr>
            </w:pPr>
          </w:p>
        </w:tc>
        <w:tc>
          <w:tcPr>
            <w:tcW w:w="820" w:type="dxa"/>
            <w:vAlign w:val="bottom"/>
            <w:tcBorders>
              <w:bottom w:val="single" w:sz="8" w:color="auto"/>
            </w:tcBorders>
            <w:vMerge w:val="continue"/>
            <w:shd w:val="clear" w:color="auto" w:fill="CFF0FC"/>
          </w:tcPr>
          <w:p>
            <w:pPr>
              <w:spacing w:after="0"/>
              <w:rPr>
                <w:sz w:val="20"/>
                <w:szCs w:val="20"/>
                <w:color w:val="auto"/>
              </w:rPr>
            </w:pPr>
          </w:p>
        </w:tc>
        <w:tc>
          <w:tcPr>
            <w:tcW w:w="100" w:type="dxa"/>
            <w:vAlign w:val="bottom"/>
            <w:tcBorders>
              <w:bottom w:val="single" w:sz="8" w:color="CFF0FC"/>
            </w:tcBorders>
            <w:shd w:val="clear" w:color="auto" w:fill="CFF0FC"/>
          </w:tcPr>
          <w:p>
            <w:pPr>
              <w:spacing w:after="0"/>
              <w:rPr>
                <w:sz w:val="20"/>
                <w:szCs w:val="20"/>
                <w:color w:val="auto"/>
              </w:rPr>
            </w:pPr>
          </w:p>
        </w:tc>
        <w:tc>
          <w:tcPr>
            <w:tcW w:w="260" w:type="dxa"/>
            <w:vAlign w:val="bottom"/>
            <w:tcBorders>
              <w:bottom w:val="single" w:sz="8" w:color="auto"/>
            </w:tcBorders>
            <w:shd w:val="clear" w:color="auto" w:fill="CFF0FC"/>
          </w:tcPr>
          <w:p>
            <w:pPr>
              <w:spacing w:after="0"/>
              <w:rPr>
                <w:sz w:val="20"/>
                <w:szCs w:val="20"/>
                <w:color w:val="auto"/>
              </w:rPr>
            </w:pPr>
          </w:p>
        </w:tc>
        <w:tc>
          <w:tcPr>
            <w:tcW w:w="800" w:type="dxa"/>
            <w:vAlign w:val="bottom"/>
            <w:tcBorders>
              <w:bottom w:val="single" w:sz="8" w:color="auto"/>
            </w:tcBorders>
            <w:vMerge w:val="continue"/>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2"/>
        </w:trPr>
        <w:tc>
          <w:tcPr>
            <w:tcW w:w="6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other comprehensive loss</w:t>
            </w:r>
          </w:p>
        </w:tc>
        <w:tc>
          <w:tcPr>
            <w:tcW w:w="16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(4.9 )</w:t>
            </w:r>
          </w:p>
        </w:tc>
        <w:tc>
          <w:tcPr>
            <w:tcW w:w="1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(7.9 )</w:t>
            </w:r>
          </w:p>
        </w:tc>
        <w:tc>
          <w:tcPr>
            <w:tcW w:w="1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(34.4 )</w:t>
            </w:r>
          </w:p>
        </w:tc>
        <w:tc>
          <w:tcPr>
            <w:tcW w:w="10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(0.8 )</w:t>
            </w:r>
          </w:p>
        </w:tc>
        <w:tc>
          <w:tcPr>
            <w:tcW w:w="0" w:type="dxa"/>
            <w:vAlign w:val="bottom"/>
          </w:tcPr>
          <w:p>
            <w:pPr>
              <w:spacing w:after="0"/>
              <w:rPr>
                <w:sz w:val="1"/>
                <w:szCs w:val="1"/>
                <w:color w:val="auto"/>
              </w:rPr>
            </w:pPr>
          </w:p>
        </w:tc>
      </w:tr>
      <w:tr>
        <w:trPr>
          <w:trHeight w:val="276"/>
        </w:trPr>
        <w:tc>
          <w:tcPr>
            <w:tcW w:w="67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Comprehensive income</w:t>
            </w:r>
          </w:p>
        </w:tc>
        <w:tc>
          <w:tcPr>
            <w:tcW w:w="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55.2</w:t>
            </w:r>
          </w:p>
        </w:tc>
        <w:tc>
          <w:tcPr>
            <w:tcW w:w="100" w:type="dxa"/>
            <w:vAlign w:val="bottom"/>
            <w:tcBorders>
              <w:bottom w:val="single" w:sz="8" w:color="CFF0FC"/>
            </w:tcBorders>
            <w:shd w:val="clear" w:color="auto" w:fill="CFF0FC"/>
          </w:tcPr>
          <w:p>
            <w:pPr>
              <w:spacing w:after="0"/>
              <w:rPr>
                <w:sz w:val="24"/>
                <w:szCs w:val="24"/>
                <w:color w:val="auto"/>
              </w:rPr>
            </w:pP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57.3</w:t>
            </w:r>
          </w:p>
        </w:tc>
        <w:tc>
          <w:tcPr>
            <w:tcW w:w="100" w:type="dxa"/>
            <w:vAlign w:val="bottom"/>
            <w:tcBorders>
              <w:bottom w:val="single" w:sz="8" w:color="CFF0FC"/>
            </w:tcBorders>
            <w:shd w:val="clear" w:color="auto" w:fill="CFF0FC"/>
          </w:tcPr>
          <w:p>
            <w:pPr>
              <w:spacing w:after="0"/>
              <w:rPr>
                <w:sz w:val="24"/>
                <w:szCs w:val="24"/>
                <w:color w:val="auto"/>
              </w:rPr>
            </w:pPr>
          </w:p>
        </w:tc>
        <w:tc>
          <w:tcPr>
            <w:tcW w:w="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65.4</w:t>
            </w:r>
          </w:p>
        </w:tc>
        <w:tc>
          <w:tcPr>
            <w:tcW w:w="100" w:type="dxa"/>
            <w:vAlign w:val="bottom"/>
            <w:tcBorders>
              <w:bottom w:val="single" w:sz="8" w:color="CFF0FC"/>
            </w:tcBorders>
            <w:shd w:val="clear" w:color="auto" w:fill="CFF0FC"/>
          </w:tcPr>
          <w:p>
            <w:pPr>
              <w:spacing w:after="0"/>
              <w:rPr>
                <w:sz w:val="24"/>
                <w:szCs w:val="24"/>
                <w:color w:val="auto"/>
              </w:rPr>
            </w:pPr>
          </w:p>
        </w:tc>
        <w:tc>
          <w:tcPr>
            <w:tcW w:w="26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142.2</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4977130</wp:posOffset>
            </wp:positionH>
            <wp:positionV relativeFrom="paragraph">
              <wp:posOffset>-350520</wp:posOffset>
            </wp:positionV>
            <wp:extent cx="6858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5688330</wp:posOffset>
            </wp:positionH>
            <wp:positionV relativeFrom="paragraph">
              <wp:posOffset>-350520</wp:posOffset>
            </wp:positionV>
            <wp:extent cx="6858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6400165</wp:posOffset>
            </wp:positionH>
            <wp:positionV relativeFrom="paragraph">
              <wp:posOffset>-350520</wp:posOffset>
            </wp:positionV>
            <wp:extent cx="6858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4977130</wp:posOffset>
            </wp:positionH>
            <wp:positionV relativeFrom="paragraph">
              <wp:posOffset>-24765</wp:posOffset>
            </wp:positionV>
            <wp:extent cx="6858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4977130</wp:posOffset>
            </wp:positionH>
            <wp:positionV relativeFrom="paragraph">
              <wp:posOffset>-7620</wp:posOffset>
            </wp:positionV>
            <wp:extent cx="6858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5688330</wp:posOffset>
            </wp:positionH>
            <wp:positionV relativeFrom="paragraph">
              <wp:posOffset>-24765</wp:posOffset>
            </wp:positionV>
            <wp:extent cx="6858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5688330</wp:posOffset>
            </wp:positionH>
            <wp:positionV relativeFrom="paragraph">
              <wp:posOffset>-7620</wp:posOffset>
            </wp:positionV>
            <wp:extent cx="6858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6400165</wp:posOffset>
            </wp:positionH>
            <wp:positionV relativeFrom="paragraph">
              <wp:posOffset>-24765</wp:posOffset>
            </wp:positionV>
            <wp:extent cx="6858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6400165</wp:posOffset>
            </wp:positionH>
            <wp:positionV relativeFrom="paragraph">
              <wp:posOffset>-7620</wp:posOffset>
            </wp:positionV>
            <wp:extent cx="6858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accompanying Notes to Consolidated Financial Statements are an integral part of these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238"/>
        </w:trPr>
        <w:tc>
          <w:tcPr>
            <w:tcW w:w="8100" w:type="dxa"/>
            <w:vAlign w:val="bottom"/>
          </w:tcPr>
          <w:p>
            <w:pPr>
              <w:jc w:val="center"/>
              <w:ind w:left="3050"/>
              <w:spacing w:after="0"/>
              <w:rPr>
                <w:sz w:val="20"/>
                <w:szCs w:val="20"/>
                <w:color w:val="auto"/>
              </w:rPr>
            </w:pPr>
            <w:r>
              <w:rPr>
                <w:rFonts w:ascii="Times New Roman" w:cs="Times New Roman" w:eastAsia="Times New Roman" w:hAnsi="Times New Roman"/>
                <w:sz w:val="18"/>
                <w:szCs w:val="18"/>
                <w:b w:val="1"/>
                <w:bCs w:val="1"/>
                <w:color w:val="auto"/>
                <w:w w:val="99"/>
              </w:rPr>
              <w:t>ManpowerGroup Inc.</w:t>
            </w:r>
          </w:p>
        </w:tc>
        <w:tc>
          <w:tcPr>
            <w:tcW w:w="9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9"/>
        </w:trPr>
        <w:tc>
          <w:tcPr>
            <w:tcW w:w="8100" w:type="dxa"/>
            <w:vAlign w:val="bottom"/>
          </w:tcPr>
          <w:p>
            <w:pPr>
              <w:jc w:val="center"/>
              <w:ind w:left="3050"/>
              <w:spacing w:after="0"/>
              <w:rPr>
                <w:sz w:val="20"/>
                <w:szCs w:val="20"/>
                <w:color w:val="auto"/>
              </w:rPr>
            </w:pPr>
            <w:r>
              <w:rPr>
                <w:rFonts w:ascii="Times New Roman" w:cs="Times New Roman" w:eastAsia="Times New Roman" w:hAnsi="Times New Roman"/>
                <w:sz w:val="18"/>
                <w:szCs w:val="18"/>
                <w:b w:val="1"/>
                <w:bCs w:val="1"/>
                <w:color w:val="auto"/>
                <w:w w:val="99"/>
              </w:rPr>
              <w:t>Consolidated Statements of Cash Flows (Unaudited)</w:t>
            </w:r>
          </w:p>
        </w:tc>
        <w:tc>
          <w:tcPr>
            <w:tcW w:w="9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8"/>
        </w:trPr>
        <w:tc>
          <w:tcPr>
            <w:tcW w:w="8100" w:type="dxa"/>
            <w:vAlign w:val="bottom"/>
          </w:tcPr>
          <w:p>
            <w:pPr>
              <w:jc w:val="center"/>
              <w:ind w:left="3050"/>
              <w:spacing w:after="0"/>
              <w:rPr>
                <w:sz w:val="20"/>
                <w:szCs w:val="20"/>
                <w:color w:val="auto"/>
              </w:rPr>
            </w:pPr>
            <w:r>
              <w:rPr>
                <w:rFonts w:ascii="Times New Roman" w:cs="Times New Roman" w:eastAsia="Times New Roman" w:hAnsi="Times New Roman"/>
                <w:sz w:val="18"/>
                <w:szCs w:val="18"/>
                <w:b w:val="1"/>
                <w:bCs w:val="1"/>
                <w:color w:val="auto"/>
                <w:w w:val="99"/>
              </w:rPr>
              <w:t>(in millions)</w:t>
            </w:r>
          </w:p>
        </w:tc>
        <w:tc>
          <w:tcPr>
            <w:tcW w:w="2540" w:type="dxa"/>
            <w:vAlign w:val="bottom"/>
            <w:gridSpan w:val="4"/>
            <w:vMerge w:val="restart"/>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Six Months Ended</w:t>
            </w:r>
          </w:p>
        </w:tc>
        <w:tc>
          <w:tcPr>
            <w:tcW w:w="6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8100" w:type="dxa"/>
            <w:vAlign w:val="bottom"/>
          </w:tcPr>
          <w:p>
            <w:pPr>
              <w:spacing w:after="0"/>
              <w:rPr>
                <w:sz w:val="19"/>
                <w:szCs w:val="19"/>
                <w:color w:val="auto"/>
              </w:rPr>
            </w:pPr>
          </w:p>
        </w:tc>
        <w:tc>
          <w:tcPr>
            <w:tcW w:w="2540" w:type="dxa"/>
            <w:vAlign w:val="bottom"/>
            <w:gridSpan w:val="4"/>
            <w:vMerge w:val="continue"/>
          </w:tcPr>
          <w:p>
            <w:pPr>
              <w:spacing w:after="0"/>
              <w:rPr>
                <w:sz w:val="19"/>
                <w:szCs w:val="19"/>
                <w:color w:val="auto"/>
              </w:rPr>
            </w:pPr>
          </w:p>
        </w:tc>
        <w:tc>
          <w:tcPr>
            <w:tcW w:w="6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0"/>
        </w:trPr>
        <w:tc>
          <w:tcPr>
            <w:tcW w:w="8100" w:type="dxa"/>
            <w:vAlign w:val="bottom"/>
          </w:tcPr>
          <w:p>
            <w:pPr>
              <w:spacing w:after="0"/>
              <w:rPr>
                <w:sz w:val="21"/>
                <w:szCs w:val="21"/>
                <w:color w:val="auto"/>
              </w:rPr>
            </w:pPr>
          </w:p>
        </w:tc>
        <w:tc>
          <w:tcPr>
            <w:tcW w:w="900" w:type="dxa"/>
            <w:vAlign w:val="bottom"/>
            <w:tcBorders>
              <w:bottom w:val="single" w:sz="8" w:color="auto"/>
            </w:tcBorders>
          </w:tcPr>
          <w:p>
            <w:pPr>
              <w:spacing w:after="0"/>
              <w:rPr>
                <w:sz w:val="21"/>
                <w:szCs w:val="21"/>
                <w:color w:val="auto"/>
              </w:rPr>
            </w:pPr>
          </w:p>
        </w:tc>
        <w:tc>
          <w:tcPr>
            <w:tcW w:w="1640" w:type="dxa"/>
            <w:vAlign w:val="bottom"/>
            <w:tcBorders>
              <w:bottom w:val="single" w:sz="8" w:color="auto"/>
            </w:tcBorders>
            <w:gridSpan w:val="3"/>
          </w:tcPr>
          <w:p>
            <w:pPr>
              <w:jc w:val="right"/>
              <w:ind w:right="610"/>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60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41"/>
        </w:trPr>
        <w:tc>
          <w:tcPr>
            <w:tcW w:w="810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620" w:type="dxa"/>
            <w:vAlign w:val="bottom"/>
          </w:tcPr>
          <w:p>
            <w:pPr>
              <w:spacing w:after="0"/>
              <w:rPr>
                <w:sz w:val="20"/>
                <w:szCs w:val="20"/>
                <w:color w:val="auto"/>
              </w:rPr>
            </w:pP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2023</w:t>
            </w:r>
          </w:p>
        </w:tc>
        <w:tc>
          <w:tcPr>
            <w:tcW w:w="6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81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900" w:type="dxa"/>
            <w:vAlign w:val="bottom"/>
            <w:tcBorders>
              <w:top w:val="single" w:sz="8" w:color="auto"/>
            </w:tcBorders>
            <w:shd w:val="clear" w:color="auto" w:fill="CFF0FC"/>
          </w:tcPr>
          <w:p>
            <w:pPr>
              <w:spacing w:after="0"/>
              <w:rPr>
                <w:sz w:val="20"/>
                <w:szCs w:val="20"/>
                <w:color w:val="auto"/>
              </w:rPr>
            </w:pPr>
          </w:p>
        </w:tc>
        <w:tc>
          <w:tcPr>
            <w:tcW w:w="620" w:type="dxa"/>
            <w:vAlign w:val="bottom"/>
            <w:tcBorders>
              <w:top w:val="single" w:sz="8" w:color="auto"/>
            </w:tcBorders>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920" w:type="dxa"/>
            <w:vAlign w:val="bottom"/>
            <w:tcBorders>
              <w:top w:val="single" w:sz="8" w:color="auto"/>
            </w:tcBorders>
            <w:shd w:val="clear" w:color="auto" w:fill="CFF0FC"/>
          </w:tcPr>
          <w:p>
            <w:pPr>
              <w:spacing w:after="0"/>
              <w:rPr>
                <w:sz w:val="20"/>
                <w:szCs w:val="20"/>
                <w:color w:val="auto"/>
              </w:rPr>
            </w:pPr>
          </w:p>
        </w:tc>
        <w:tc>
          <w:tcPr>
            <w:tcW w:w="600" w:type="dxa"/>
            <w:vAlign w:val="bottom"/>
            <w:tcBorders>
              <w:top w:val="single" w:sz="8" w:color="auto"/>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81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Net earnings</w:t>
            </w:r>
          </w:p>
        </w:tc>
        <w:tc>
          <w:tcPr>
            <w:tcW w:w="900" w:type="dxa"/>
            <w:vAlign w:val="bottom"/>
          </w:tcPr>
          <w:p>
            <w:pPr>
              <w:jc w:val="right"/>
              <w:ind w:right="710"/>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99.8</w:t>
            </w:r>
          </w:p>
        </w:tc>
        <w:tc>
          <w:tcPr>
            <w:tcW w:w="1020" w:type="dxa"/>
            <w:vAlign w:val="bottom"/>
            <w:gridSpan w:val="2"/>
          </w:tcPr>
          <w:p>
            <w:pPr>
              <w:jc w:val="right"/>
              <w:ind w:right="71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143.0</w:t>
            </w:r>
          </w:p>
        </w:tc>
        <w:tc>
          <w:tcPr>
            <w:tcW w:w="0" w:type="dxa"/>
            <w:vAlign w:val="bottom"/>
          </w:tcPr>
          <w:p>
            <w:pPr>
              <w:spacing w:after="0"/>
              <w:rPr>
                <w:sz w:val="1"/>
                <w:szCs w:val="1"/>
                <w:color w:val="auto"/>
              </w:rPr>
            </w:pPr>
          </w:p>
        </w:tc>
      </w:tr>
      <w:tr>
        <w:trPr>
          <w:trHeight w:val="247"/>
        </w:trPr>
        <w:tc>
          <w:tcPr>
            <w:tcW w:w="810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Adjustments to reconcile net earnings to net cash provided by operating activities:</w:t>
            </w:r>
          </w:p>
        </w:tc>
        <w:tc>
          <w:tcPr>
            <w:tcW w:w="900" w:type="dxa"/>
            <w:vAlign w:val="bottom"/>
            <w:shd w:val="clear" w:color="auto" w:fill="CFF0FC"/>
          </w:tcPr>
          <w:p>
            <w:pPr>
              <w:spacing w:after="0"/>
              <w:rPr>
                <w:sz w:val="21"/>
                <w:szCs w:val="21"/>
                <w:color w:val="auto"/>
              </w:rPr>
            </w:pPr>
          </w:p>
        </w:tc>
        <w:tc>
          <w:tcPr>
            <w:tcW w:w="6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920" w:type="dxa"/>
            <w:vAlign w:val="bottom"/>
            <w:shd w:val="clear" w:color="auto" w:fill="CFF0FC"/>
          </w:tcPr>
          <w:p>
            <w:pPr>
              <w:spacing w:after="0"/>
              <w:rPr>
                <w:sz w:val="21"/>
                <w:szCs w:val="21"/>
                <w:color w:val="auto"/>
              </w:rPr>
            </w:pPr>
          </w:p>
        </w:tc>
        <w:tc>
          <w:tcPr>
            <w:tcW w:w="6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810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900" w:type="dxa"/>
            <w:vAlign w:val="bottom"/>
          </w:tcPr>
          <w:p>
            <w:pPr>
              <w:spacing w:after="0"/>
              <w:rPr>
                <w:sz w:val="20"/>
                <w:szCs w:val="20"/>
                <w:color w:val="auto"/>
              </w:rPr>
            </w:pPr>
          </w:p>
        </w:tc>
        <w:tc>
          <w:tcPr>
            <w:tcW w:w="6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43.0</w:t>
            </w:r>
          </w:p>
        </w:tc>
        <w:tc>
          <w:tcPr>
            <w:tcW w:w="1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6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42.6</w:t>
            </w:r>
          </w:p>
        </w:tc>
        <w:tc>
          <w:tcPr>
            <w:tcW w:w="0" w:type="dxa"/>
            <w:vAlign w:val="bottom"/>
          </w:tcPr>
          <w:p>
            <w:pPr>
              <w:spacing w:after="0"/>
              <w:rPr>
                <w:sz w:val="1"/>
                <w:szCs w:val="1"/>
                <w:color w:val="auto"/>
              </w:rPr>
            </w:pPr>
          </w:p>
        </w:tc>
      </w:tr>
      <w:tr>
        <w:trPr>
          <w:trHeight w:val="247"/>
        </w:trPr>
        <w:tc>
          <w:tcPr>
            <w:tcW w:w="810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18"/>
                <w:szCs w:val="18"/>
                <w:color w:val="auto"/>
              </w:rPr>
              <w:t>Deferred income taxes</w:t>
            </w:r>
          </w:p>
        </w:tc>
        <w:tc>
          <w:tcPr>
            <w:tcW w:w="900" w:type="dxa"/>
            <w:vAlign w:val="bottom"/>
            <w:shd w:val="clear" w:color="auto" w:fill="CFF0FC"/>
          </w:tcPr>
          <w:p>
            <w:pPr>
              <w:spacing w:after="0"/>
              <w:rPr>
                <w:sz w:val="21"/>
                <w:szCs w:val="21"/>
                <w:color w:val="auto"/>
              </w:rPr>
            </w:pPr>
          </w:p>
        </w:tc>
        <w:tc>
          <w:tcPr>
            <w:tcW w:w="6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7.8</w:t>
            </w:r>
          </w:p>
        </w:tc>
        <w:tc>
          <w:tcPr>
            <w:tcW w:w="100" w:type="dxa"/>
            <w:vAlign w:val="bottom"/>
            <w:shd w:val="clear" w:color="auto" w:fill="CFF0FC"/>
          </w:tcPr>
          <w:p>
            <w:pPr>
              <w:spacing w:after="0"/>
              <w:rPr>
                <w:sz w:val="21"/>
                <w:szCs w:val="21"/>
                <w:color w:val="auto"/>
              </w:rPr>
            </w:pPr>
          </w:p>
        </w:tc>
        <w:tc>
          <w:tcPr>
            <w:tcW w:w="920" w:type="dxa"/>
            <w:vAlign w:val="bottom"/>
            <w:shd w:val="clear" w:color="auto" w:fill="CFF0FC"/>
          </w:tcPr>
          <w:p>
            <w:pPr>
              <w:spacing w:after="0"/>
              <w:rPr>
                <w:sz w:val="21"/>
                <w:szCs w:val="21"/>
                <w:color w:val="auto"/>
              </w:rPr>
            </w:pPr>
          </w:p>
        </w:tc>
        <w:tc>
          <w:tcPr>
            <w:tcW w:w="60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14.3</w:t>
            </w:r>
          </w:p>
        </w:tc>
        <w:tc>
          <w:tcPr>
            <w:tcW w:w="0" w:type="dxa"/>
            <w:vAlign w:val="bottom"/>
          </w:tcPr>
          <w:p>
            <w:pPr>
              <w:spacing w:after="0"/>
              <w:rPr>
                <w:sz w:val="1"/>
                <w:szCs w:val="1"/>
                <w:color w:val="auto"/>
              </w:rPr>
            </w:pPr>
          </w:p>
        </w:tc>
      </w:tr>
      <w:tr>
        <w:trPr>
          <w:trHeight w:val="239"/>
        </w:trPr>
        <w:tc>
          <w:tcPr>
            <w:tcW w:w="810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Provision for expected credit losses</w:t>
            </w:r>
          </w:p>
        </w:tc>
        <w:tc>
          <w:tcPr>
            <w:tcW w:w="900" w:type="dxa"/>
            <w:vAlign w:val="bottom"/>
          </w:tcPr>
          <w:p>
            <w:pPr>
              <w:spacing w:after="0"/>
              <w:rPr>
                <w:sz w:val="20"/>
                <w:szCs w:val="20"/>
                <w:color w:val="auto"/>
              </w:rPr>
            </w:pPr>
          </w:p>
        </w:tc>
        <w:tc>
          <w:tcPr>
            <w:tcW w:w="6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3.7</w:t>
            </w:r>
          </w:p>
        </w:tc>
        <w:tc>
          <w:tcPr>
            <w:tcW w:w="1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6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2.9</w:t>
            </w:r>
          </w:p>
        </w:tc>
        <w:tc>
          <w:tcPr>
            <w:tcW w:w="0" w:type="dxa"/>
            <w:vAlign w:val="bottom"/>
          </w:tcPr>
          <w:p>
            <w:pPr>
              <w:spacing w:after="0"/>
              <w:rPr>
                <w:sz w:val="1"/>
                <w:szCs w:val="1"/>
                <w:color w:val="auto"/>
              </w:rPr>
            </w:pPr>
          </w:p>
        </w:tc>
      </w:tr>
      <w:tr>
        <w:trPr>
          <w:trHeight w:val="247"/>
        </w:trPr>
        <w:tc>
          <w:tcPr>
            <w:tcW w:w="810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18"/>
                <w:szCs w:val="18"/>
                <w:color w:val="auto"/>
              </w:rPr>
              <w:t>Share-based compensation</w:t>
            </w:r>
          </w:p>
        </w:tc>
        <w:tc>
          <w:tcPr>
            <w:tcW w:w="900" w:type="dxa"/>
            <w:vAlign w:val="bottom"/>
            <w:shd w:val="clear" w:color="auto" w:fill="CFF0FC"/>
          </w:tcPr>
          <w:p>
            <w:pPr>
              <w:spacing w:after="0"/>
              <w:rPr>
                <w:sz w:val="21"/>
                <w:szCs w:val="21"/>
                <w:color w:val="auto"/>
              </w:rPr>
            </w:pPr>
          </w:p>
        </w:tc>
        <w:tc>
          <w:tcPr>
            <w:tcW w:w="6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15.0</w:t>
            </w:r>
          </w:p>
        </w:tc>
        <w:tc>
          <w:tcPr>
            <w:tcW w:w="100" w:type="dxa"/>
            <w:vAlign w:val="bottom"/>
            <w:shd w:val="clear" w:color="auto" w:fill="CFF0FC"/>
          </w:tcPr>
          <w:p>
            <w:pPr>
              <w:spacing w:after="0"/>
              <w:rPr>
                <w:sz w:val="21"/>
                <w:szCs w:val="21"/>
                <w:color w:val="auto"/>
              </w:rPr>
            </w:pPr>
          </w:p>
        </w:tc>
        <w:tc>
          <w:tcPr>
            <w:tcW w:w="920" w:type="dxa"/>
            <w:vAlign w:val="bottom"/>
            <w:shd w:val="clear" w:color="auto" w:fill="CFF0FC"/>
          </w:tcPr>
          <w:p>
            <w:pPr>
              <w:spacing w:after="0"/>
              <w:rPr>
                <w:sz w:val="21"/>
                <w:szCs w:val="21"/>
                <w:color w:val="auto"/>
              </w:rPr>
            </w:pPr>
          </w:p>
        </w:tc>
        <w:tc>
          <w:tcPr>
            <w:tcW w:w="60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12.0</w:t>
            </w:r>
          </w:p>
        </w:tc>
        <w:tc>
          <w:tcPr>
            <w:tcW w:w="0" w:type="dxa"/>
            <w:vAlign w:val="bottom"/>
          </w:tcPr>
          <w:p>
            <w:pPr>
              <w:spacing w:after="0"/>
              <w:rPr>
                <w:sz w:val="1"/>
                <w:szCs w:val="1"/>
                <w:color w:val="auto"/>
              </w:rPr>
            </w:pPr>
          </w:p>
        </w:tc>
      </w:tr>
      <w:tr>
        <w:trPr>
          <w:trHeight w:val="239"/>
        </w:trPr>
        <w:tc>
          <w:tcPr>
            <w:tcW w:w="810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Changes in operating assets and liabilities:</w:t>
            </w:r>
          </w:p>
        </w:tc>
        <w:tc>
          <w:tcPr>
            <w:tcW w:w="9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8100" w:type="dxa"/>
            <w:vAlign w:val="bottom"/>
            <w:shd w:val="clear" w:color="auto" w:fill="CFF0FC"/>
          </w:tcPr>
          <w:p>
            <w:pPr>
              <w:ind w:left="500"/>
              <w:spacing w:after="0"/>
              <w:rPr>
                <w:sz w:val="20"/>
                <w:szCs w:val="20"/>
                <w:color w:val="auto"/>
              </w:rPr>
            </w:pPr>
            <w:r>
              <w:rPr>
                <w:rFonts w:ascii="Times New Roman" w:cs="Times New Roman" w:eastAsia="Times New Roman" w:hAnsi="Times New Roman"/>
                <w:sz w:val="18"/>
                <w:szCs w:val="18"/>
                <w:color w:val="auto"/>
              </w:rPr>
              <w:t>Accounts receivable</w:t>
            </w:r>
          </w:p>
        </w:tc>
        <w:tc>
          <w:tcPr>
            <w:tcW w:w="900" w:type="dxa"/>
            <w:vAlign w:val="bottom"/>
            <w:shd w:val="clear" w:color="auto" w:fill="CFF0FC"/>
          </w:tcPr>
          <w:p>
            <w:pPr>
              <w:spacing w:after="0"/>
              <w:rPr>
                <w:sz w:val="21"/>
                <w:szCs w:val="21"/>
                <w:color w:val="auto"/>
              </w:rPr>
            </w:pPr>
          </w:p>
        </w:tc>
        <w:tc>
          <w:tcPr>
            <w:tcW w:w="6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107.9</w:t>
            </w:r>
          </w:p>
        </w:tc>
        <w:tc>
          <w:tcPr>
            <w:tcW w:w="100" w:type="dxa"/>
            <w:vAlign w:val="bottom"/>
            <w:shd w:val="clear" w:color="auto" w:fill="CFF0FC"/>
          </w:tcPr>
          <w:p>
            <w:pPr>
              <w:spacing w:after="0"/>
              <w:rPr>
                <w:sz w:val="21"/>
                <w:szCs w:val="21"/>
                <w:color w:val="auto"/>
              </w:rPr>
            </w:pPr>
          </w:p>
        </w:tc>
        <w:tc>
          <w:tcPr>
            <w:tcW w:w="920" w:type="dxa"/>
            <w:vAlign w:val="bottom"/>
            <w:shd w:val="clear" w:color="auto" w:fill="CFF0FC"/>
          </w:tcPr>
          <w:p>
            <w:pPr>
              <w:spacing w:after="0"/>
              <w:rPr>
                <w:sz w:val="21"/>
                <w:szCs w:val="21"/>
                <w:color w:val="auto"/>
              </w:rPr>
            </w:pPr>
          </w:p>
        </w:tc>
        <w:tc>
          <w:tcPr>
            <w:tcW w:w="60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186.3</w:t>
            </w:r>
          </w:p>
        </w:tc>
        <w:tc>
          <w:tcPr>
            <w:tcW w:w="0" w:type="dxa"/>
            <w:vAlign w:val="bottom"/>
          </w:tcPr>
          <w:p>
            <w:pPr>
              <w:spacing w:after="0"/>
              <w:rPr>
                <w:sz w:val="1"/>
                <w:szCs w:val="1"/>
                <w:color w:val="auto"/>
              </w:rPr>
            </w:pPr>
          </w:p>
        </w:tc>
      </w:tr>
      <w:tr>
        <w:trPr>
          <w:trHeight w:val="239"/>
        </w:trPr>
        <w:tc>
          <w:tcPr>
            <w:tcW w:w="810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Other assets</w:t>
            </w:r>
          </w:p>
        </w:tc>
        <w:tc>
          <w:tcPr>
            <w:tcW w:w="90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(70.1 )</w:t>
            </w:r>
          </w:p>
        </w:tc>
        <w:tc>
          <w:tcPr>
            <w:tcW w:w="1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(63.2 )</w:t>
            </w:r>
          </w:p>
        </w:tc>
        <w:tc>
          <w:tcPr>
            <w:tcW w:w="0" w:type="dxa"/>
            <w:vAlign w:val="bottom"/>
          </w:tcPr>
          <w:p>
            <w:pPr>
              <w:spacing w:after="0"/>
              <w:rPr>
                <w:sz w:val="1"/>
                <w:szCs w:val="1"/>
                <w:color w:val="auto"/>
              </w:rPr>
            </w:pPr>
          </w:p>
        </w:tc>
      </w:tr>
      <w:tr>
        <w:trPr>
          <w:trHeight w:val="243"/>
        </w:trPr>
        <w:tc>
          <w:tcPr>
            <w:tcW w:w="8100" w:type="dxa"/>
            <w:vAlign w:val="bottom"/>
            <w:tcBorders>
              <w:bottom w:val="single" w:sz="8" w:color="CFF0FC"/>
            </w:tcBorders>
            <w:shd w:val="clear" w:color="auto" w:fill="CFF0FC"/>
          </w:tcPr>
          <w:p>
            <w:pPr>
              <w:ind w:left="520"/>
              <w:spacing w:after="0"/>
              <w:rPr>
                <w:sz w:val="20"/>
                <w:szCs w:val="20"/>
                <w:color w:val="auto"/>
              </w:rPr>
            </w:pPr>
            <w:r>
              <w:rPr>
                <w:rFonts w:ascii="Times New Roman" w:cs="Times New Roman" w:eastAsia="Times New Roman" w:hAnsi="Times New Roman"/>
                <w:sz w:val="18"/>
                <w:szCs w:val="18"/>
                <w:color w:val="auto"/>
              </w:rPr>
              <w:t>Other liabilities</w:t>
            </w:r>
          </w:p>
        </w:tc>
        <w:tc>
          <w:tcPr>
            <w:tcW w:w="900" w:type="dxa"/>
            <w:vAlign w:val="bottom"/>
            <w:tcBorders>
              <w:bottom w:val="single" w:sz="8" w:color="auto"/>
            </w:tcBorders>
            <w:shd w:val="clear" w:color="auto" w:fill="CFF0FC"/>
          </w:tcPr>
          <w:p>
            <w:pPr>
              <w:spacing w:after="0"/>
              <w:rPr>
                <w:sz w:val="21"/>
                <w:szCs w:val="21"/>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8"/>
              </w:rPr>
              <w:t>(229.0 )</w:t>
            </w:r>
          </w:p>
        </w:tc>
        <w:tc>
          <w:tcPr>
            <w:tcW w:w="100" w:type="dxa"/>
            <w:vAlign w:val="bottom"/>
            <w:tcBorders>
              <w:bottom w:val="single" w:sz="8" w:color="CFF0FC"/>
            </w:tcBorders>
            <w:shd w:val="clear" w:color="auto" w:fill="CFF0FC"/>
          </w:tcPr>
          <w:p>
            <w:pPr>
              <w:spacing w:after="0"/>
              <w:rPr>
                <w:sz w:val="21"/>
                <w:szCs w:val="21"/>
                <w:color w:val="auto"/>
              </w:rPr>
            </w:pPr>
          </w:p>
        </w:tc>
        <w:tc>
          <w:tcPr>
            <w:tcW w:w="920" w:type="dxa"/>
            <w:vAlign w:val="bottom"/>
            <w:tcBorders>
              <w:bottom w:val="single" w:sz="8" w:color="auto"/>
            </w:tcBorders>
            <w:shd w:val="clear" w:color="auto" w:fill="CFF0FC"/>
          </w:tcPr>
          <w:p>
            <w:pPr>
              <w:spacing w:after="0"/>
              <w:rPr>
                <w:sz w:val="21"/>
                <w:szCs w:val="21"/>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4"/>
              </w:rPr>
              <w:t>(369.1 )</w:t>
            </w:r>
          </w:p>
        </w:tc>
        <w:tc>
          <w:tcPr>
            <w:tcW w:w="0" w:type="dxa"/>
            <w:vAlign w:val="bottom"/>
          </w:tcPr>
          <w:p>
            <w:pPr>
              <w:spacing w:after="0"/>
              <w:rPr>
                <w:sz w:val="1"/>
                <w:szCs w:val="1"/>
                <w:color w:val="auto"/>
              </w:rPr>
            </w:pPr>
          </w:p>
        </w:tc>
      </w:tr>
      <w:tr>
        <w:trPr>
          <w:trHeight w:val="237"/>
        </w:trPr>
        <w:tc>
          <w:tcPr>
            <w:tcW w:w="8100" w:type="dxa"/>
            <w:vAlign w:val="bottom"/>
          </w:tcPr>
          <w:p>
            <w:pPr>
              <w:ind w:left="780"/>
              <w:spacing w:after="0"/>
              <w:rPr>
                <w:sz w:val="20"/>
                <w:szCs w:val="20"/>
                <w:color w:val="auto"/>
              </w:rPr>
            </w:pPr>
            <w:r>
              <w:rPr>
                <w:rFonts w:ascii="Times New Roman" w:cs="Times New Roman" w:eastAsia="Times New Roman" w:hAnsi="Times New Roman"/>
                <w:sz w:val="18"/>
                <w:szCs w:val="18"/>
                <w:color w:val="auto"/>
              </w:rPr>
              <w:t>Cash used in operating activities</w:t>
            </w:r>
          </w:p>
        </w:tc>
        <w:tc>
          <w:tcPr>
            <w:tcW w:w="90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(21.9 )</w:t>
            </w:r>
          </w:p>
        </w:tc>
        <w:tc>
          <w:tcPr>
            <w:tcW w:w="100" w:type="dxa"/>
            <w:vAlign w:val="bottom"/>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(31.2 )</w:t>
            </w:r>
          </w:p>
        </w:tc>
        <w:tc>
          <w:tcPr>
            <w:tcW w:w="0" w:type="dxa"/>
            <w:vAlign w:val="bottom"/>
          </w:tcPr>
          <w:p>
            <w:pPr>
              <w:spacing w:after="0"/>
              <w:rPr>
                <w:sz w:val="1"/>
                <w:szCs w:val="1"/>
                <w:color w:val="auto"/>
              </w:rPr>
            </w:pPr>
          </w:p>
        </w:tc>
      </w:tr>
      <w:tr>
        <w:trPr>
          <w:trHeight w:val="241"/>
        </w:trPr>
        <w:tc>
          <w:tcPr>
            <w:tcW w:w="8100" w:type="dxa"/>
            <w:vAlign w:val="bottom"/>
            <w:shd w:val="clear" w:color="auto" w:fill="CFF0FC"/>
          </w:tcPr>
          <w:p>
            <w:pPr>
              <w:spacing w:after="0"/>
              <w:rPr>
                <w:sz w:val="20"/>
                <w:szCs w:val="20"/>
                <w:color w:val="auto"/>
              </w:rPr>
            </w:pPr>
          </w:p>
        </w:tc>
        <w:tc>
          <w:tcPr>
            <w:tcW w:w="900" w:type="dxa"/>
            <w:vAlign w:val="bottom"/>
            <w:shd w:val="clear" w:color="auto" w:fill="CFF0FC"/>
          </w:tcPr>
          <w:p>
            <w:pPr>
              <w:spacing w:after="0"/>
              <w:rPr>
                <w:sz w:val="20"/>
                <w:szCs w:val="20"/>
                <w:color w:val="auto"/>
              </w:rPr>
            </w:pPr>
          </w:p>
        </w:tc>
        <w:tc>
          <w:tcPr>
            <w:tcW w:w="6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920" w:type="dxa"/>
            <w:vAlign w:val="bottom"/>
            <w:shd w:val="clear" w:color="auto" w:fill="CFF0FC"/>
          </w:tcPr>
          <w:p>
            <w:pPr>
              <w:spacing w:after="0"/>
              <w:rPr>
                <w:sz w:val="20"/>
                <w:szCs w:val="20"/>
                <w:color w:val="auto"/>
              </w:rPr>
            </w:pPr>
          </w:p>
        </w:tc>
        <w:tc>
          <w:tcPr>
            <w:tcW w:w="6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41"/>
        </w:trPr>
        <w:tc>
          <w:tcPr>
            <w:tcW w:w="81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9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5"/>
        </w:trPr>
        <w:tc>
          <w:tcPr>
            <w:tcW w:w="810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Capital expenditures</w:t>
            </w:r>
          </w:p>
        </w:tc>
        <w:tc>
          <w:tcPr>
            <w:tcW w:w="900" w:type="dxa"/>
            <w:vAlign w:val="bottom"/>
            <w:shd w:val="clear" w:color="auto" w:fill="CFF0FC"/>
          </w:tcPr>
          <w:p>
            <w:pPr>
              <w:spacing w:after="0"/>
              <w:rPr>
                <w:sz w:val="21"/>
                <w:szCs w:val="21"/>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(23.7 )</w:t>
            </w:r>
          </w:p>
        </w:tc>
        <w:tc>
          <w:tcPr>
            <w:tcW w:w="100" w:type="dxa"/>
            <w:vAlign w:val="bottom"/>
            <w:shd w:val="clear" w:color="auto" w:fill="CFF0FC"/>
          </w:tcPr>
          <w:p>
            <w:pPr>
              <w:spacing w:after="0"/>
              <w:rPr>
                <w:sz w:val="21"/>
                <w:szCs w:val="21"/>
                <w:color w:val="auto"/>
              </w:rPr>
            </w:pPr>
          </w:p>
        </w:tc>
        <w:tc>
          <w:tcPr>
            <w:tcW w:w="920" w:type="dxa"/>
            <w:vAlign w:val="bottom"/>
            <w:shd w:val="clear" w:color="auto" w:fill="CFF0FC"/>
          </w:tcPr>
          <w:p>
            <w:pPr>
              <w:spacing w:after="0"/>
              <w:rPr>
                <w:sz w:val="21"/>
                <w:szCs w:val="21"/>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(34.6 )</w:t>
            </w:r>
          </w:p>
        </w:tc>
        <w:tc>
          <w:tcPr>
            <w:tcW w:w="0" w:type="dxa"/>
            <w:vAlign w:val="bottom"/>
          </w:tcPr>
          <w:p>
            <w:pPr>
              <w:spacing w:after="0"/>
              <w:rPr>
                <w:sz w:val="1"/>
                <w:szCs w:val="1"/>
                <w:color w:val="auto"/>
              </w:rPr>
            </w:pPr>
          </w:p>
        </w:tc>
      </w:tr>
      <w:tr>
        <w:trPr>
          <w:trHeight w:val="239"/>
        </w:trPr>
        <w:tc>
          <w:tcPr>
            <w:tcW w:w="81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Net proceeds from the sales of subsidiaries and property and equipment</w:t>
            </w:r>
          </w:p>
        </w:tc>
        <w:tc>
          <w:tcPr>
            <w:tcW w:w="90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2.1</w:t>
            </w:r>
          </w:p>
        </w:tc>
        <w:tc>
          <w:tcPr>
            <w:tcW w:w="100" w:type="dxa"/>
            <w:vAlign w:val="bottom"/>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0.1</w:t>
            </w:r>
          </w:p>
        </w:tc>
        <w:tc>
          <w:tcPr>
            <w:tcW w:w="0" w:type="dxa"/>
            <w:vAlign w:val="bottom"/>
          </w:tcPr>
          <w:p>
            <w:pPr>
              <w:spacing w:after="0"/>
              <w:rPr>
                <w:sz w:val="1"/>
                <w:szCs w:val="1"/>
                <w:color w:val="auto"/>
              </w:rPr>
            </w:pPr>
          </w:p>
        </w:tc>
      </w:tr>
      <w:tr>
        <w:trPr>
          <w:trHeight w:val="237"/>
        </w:trPr>
        <w:tc>
          <w:tcPr>
            <w:tcW w:w="8100" w:type="dxa"/>
            <w:vAlign w:val="bottom"/>
            <w:tcBorders>
              <w:bottom w:val="single" w:sz="8" w:color="CFF0FC"/>
            </w:tcBorders>
            <w:shd w:val="clear" w:color="auto" w:fill="CFF0FC"/>
          </w:tcPr>
          <w:p>
            <w:pPr>
              <w:ind w:left="780"/>
              <w:spacing w:after="0"/>
              <w:rPr>
                <w:sz w:val="20"/>
                <w:szCs w:val="20"/>
                <w:color w:val="auto"/>
              </w:rPr>
            </w:pPr>
            <w:r>
              <w:rPr>
                <w:rFonts w:ascii="Times New Roman" w:cs="Times New Roman" w:eastAsia="Times New Roman" w:hAnsi="Times New Roman"/>
                <w:sz w:val="18"/>
                <w:szCs w:val="18"/>
                <w:color w:val="auto"/>
              </w:rPr>
              <w:t>Cash used in investing activities</w:t>
            </w:r>
          </w:p>
        </w:tc>
        <w:tc>
          <w:tcPr>
            <w:tcW w:w="900" w:type="dxa"/>
            <w:vAlign w:val="bottom"/>
            <w:tcBorders>
              <w:bottom w:val="single" w:sz="8" w:color="auto"/>
            </w:tcBorders>
            <w:shd w:val="clear" w:color="auto" w:fill="CFF0FC"/>
          </w:tcPr>
          <w:p>
            <w:pPr>
              <w:spacing w:after="0"/>
              <w:rPr>
                <w:sz w:val="20"/>
                <w:szCs w:val="20"/>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(21.6 )</w:t>
            </w:r>
          </w:p>
        </w:tc>
        <w:tc>
          <w:tcPr>
            <w:tcW w:w="100" w:type="dxa"/>
            <w:vAlign w:val="bottom"/>
            <w:tcBorders>
              <w:bottom w:val="single" w:sz="8" w:color="CFF0FC"/>
            </w:tcBorders>
            <w:shd w:val="clear" w:color="auto" w:fill="CFF0FC"/>
          </w:tcPr>
          <w:p>
            <w:pPr>
              <w:spacing w:after="0"/>
              <w:rPr>
                <w:sz w:val="20"/>
                <w:szCs w:val="20"/>
                <w:color w:val="auto"/>
              </w:rPr>
            </w:pPr>
          </w:p>
        </w:tc>
        <w:tc>
          <w:tcPr>
            <w:tcW w:w="920" w:type="dxa"/>
            <w:vAlign w:val="bottom"/>
            <w:tcBorders>
              <w:bottom w:val="single" w:sz="8" w:color="auto"/>
            </w:tcBorders>
            <w:shd w:val="clear" w:color="auto" w:fill="CFF0FC"/>
          </w:tcPr>
          <w:p>
            <w:pPr>
              <w:spacing w:after="0"/>
              <w:rPr>
                <w:sz w:val="20"/>
                <w:szCs w:val="20"/>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(34.5 )</w:t>
            </w:r>
          </w:p>
        </w:tc>
        <w:tc>
          <w:tcPr>
            <w:tcW w:w="0" w:type="dxa"/>
            <w:vAlign w:val="bottom"/>
          </w:tcPr>
          <w:p>
            <w:pPr>
              <w:spacing w:after="0"/>
              <w:rPr>
                <w:sz w:val="1"/>
                <w:szCs w:val="1"/>
                <w:color w:val="auto"/>
              </w:rPr>
            </w:pPr>
          </w:p>
        </w:tc>
      </w:tr>
      <w:tr>
        <w:trPr>
          <w:trHeight w:val="241"/>
        </w:trPr>
        <w:tc>
          <w:tcPr>
            <w:tcW w:w="81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81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900" w:type="dxa"/>
            <w:vAlign w:val="bottom"/>
            <w:shd w:val="clear" w:color="auto" w:fill="CFF0FC"/>
          </w:tcPr>
          <w:p>
            <w:pPr>
              <w:spacing w:after="0"/>
              <w:rPr>
                <w:sz w:val="21"/>
                <w:szCs w:val="21"/>
                <w:color w:val="auto"/>
              </w:rPr>
            </w:pPr>
          </w:p>
        </w:tc>
        <w:tc>
          <w:tcPr>
            <w:tcW w:w="6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920" w:type="dxa"/>
            <w:vAlign w:val="bottom"/>
            <w:shd w:val="clear" w:color="auto" w:fill="CFF0FC"/>
          </w:tcPr>
          <w:p>
            <w:pPr>
              <w:spacing w:after="0"/>
              <w:rPr>
                <w:sz w:val="21"/>
                <w:szCs w:val="21"/>
                <w:color w:val="auto"/>
              </w:rPr>
            </w:pPr>
          </w:p>
        </w:tc>
        <w:tc>
          <w:tcPr>
            <w:tcW w:w="6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81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Net change in short-term borrowings</w:t>
            </w:r>
          </w:p>
        </w:tc>
        <w:tc>
          <w:tcPr>
            <w:tcW w:w="900" w:type="dxa"/>
            <w:vAlign w:val="bottom"/>
          </w:tcPr>
          <w:p>
            <w:pPr>
              <w:spacing w:after="0"/>
              <w:rPr>
                <w:sz w:val="20"/>
                <w:szCs w:val="20"/>
                <w:color w:val="auto"/>
              </w:rPr>
            </w:pPr>
          </w:p>
        </w:tc>
        <w:tc>
          <w:tcPr>
            <w:tcW w:w="6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49.2</w:t>
            </w:r>
          </w:p>
        </w:tc>
        <w:tc>
          <w:tcPr>
            <w:tcW w:w="1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(9.5 )</w:t>
            </w:r>
          </w:p>
        </w:tc>
        <w:tc>
          <w:tcPr>
            <w:tcW w:w="0" w:type="dxa"/>
            <w:vAlign w:val="bottom"/>
          </w:tcPr>
          <w:p>
            <w:pPr>
              <w:spacing w:after="0"/>
              <w:rPr>
                <w:sz w:val="1"/>
                <w:szCs w:val="1"/>
                <w:color w:val="auto"/>
              </w:rPr>
            </w:pPr>
          </w:p>
        </w:tc>
      </w:tr>
      <w:tr>
        <w:trPr>
          <w:trHeight w:val="247"/>
        </w:trPr>
        <w:tc>
          <w:tcPr>
            <w:tcW w:w="810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Net proceeds from revolving debt facility</w:t>
            </w:r>
          </w:p>
        </w:tc>
        <w:tc>
          <w:tcPr>
            <w:tcW w:w="900" w:type="dxa"/>
            <w:vAlign w:val="bottom"/>
            <w:shd w:val="clear" w:color="auto" w:fill="CFF0FC"/>
          </w:tcPr>
          <w:p>
            <w:pPr>
              <w:spacing w:after="0"/>
              <w:rPr>
                <w:sz w:val="21"/>
                <w:szCs w:val="21"/>
                <w:color w:val="auto"/>
              </w:rPr>
            </w:pPr>
          </w:p>
        </w:tc>
        <w:tc>
          <w:tcPr>
            <w:tcW w:w="6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76.0</w:t>
            </w:r>
          </w:p>
        </w:tc>
        <w:tc>
          <w:tcPr>
            <w:tcW w:w="100" w:type="dxa"/>
            <w:vAlign w:val="bottom"/>
            <w:shd w:val="clear" w:color="auto" w:fill="CFF0FC"/>
          </w:tcPr>
          <w:p>
            <w:pPr>
              <w:spacing w:after="0"/>
              <w:rPr>
                <w:sz w:val="21"/>
                <w:szCs w:val="21"/>
                <w:color w:val="auto"/>
              </w:rPr>
            </w:pPr>
          </w:p>
        </w:tc>
        <w:tc>
          <w:tcPr>
            <w:tcW w:w="920" w:type="dxa"/>
            <w:vAlign w:val="bottom"/>
            <w:shd w:val="clear" w:color="auto" w:fill="CFF0FC"/>
          </w:tcPr>
          <w:p>
            <w:pPr>
              <w:spacing w:after="0"/>
              <w:rPr>
                <w:sz w:val="21"/>
                <w:szCs w:val="21"/>
                <w:color w:val="auto"/>
              </w:rPr>
            </w:pPr>
          </w:p>
        </w:tc>
        <w:tc>
          <w:tcPr>
            <w:tcW w:w="60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4.0</w:t>
            </w:r>
          </w:p>
        </w:tc>
        <w:tc>
          <w:tcPr>
            <w:tcW w:w="0" w:type="dxa"/>
            <w:vAlign w:val="bottom"/>
          </w:tcPr>
          <w:p>
            <w:pPr>
              <w:spacing w:after="0"/>
              <w:rPr>
                <w:sz w:val="1"/>
                <w:szCs w:val="1"/>
                <w:color w:val="auto"/>
              </w:rPr>
            </w:pPr>
          </w:p>
        </w:tc>
      </w:tr>
      <w:tr>
        <w:trPr>
          <w:trHeight w:val="239"/>
        </w:trPr>
        <w:tc>
          <w:tcPr>
            <w:tcW w:w="81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Proceeds from long-term debt</w:t>
            </w:r>
          </w:p>
        </w:tc>
        <w:tc>
          <w:tcPr>
            <w:tcW w:w="900" w:type="dxa"/>
            <w:vAlign w:val="bottom"/>
          </w:tcPr>
          <w:p>
            <w:pPr>
              <w:spacing w:after="0"/>
              <w:rPr>
                <w:sz w:val="20"/>
                <w:szCs w:val="20"/>
                <w:color w:val="auto"/>
              </w:rPr>
            </w:pPr>
          </w:p>
        </w:tc>
        <w:tc>
          <w:tcPr>
            <w:tcW w:w="6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0.5</w:t>
            </w:r>
          </w:p>
        </w:tc>
        <w:tc>
          <w:tcPr>
            <w:tcW w:w="1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6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0.4</w:t>
            </w:r>
          </w:p>
        </w:tc>
        <w:tc>
          <w:tcPr>
            <w:tcW w:w="0" w:type="dxa"/>
            <w:vAlign w:val="bottom"/>
          </w:tcPr>
          <w:p>
            <w:pPr>
              <w:spacing w:after="0"/>
              <w:rPr>
                <w:sz w:val="1"/>
                <w:szCs w:val="1"/>
                <w:color w:val="auto"/>
              </w:rPr>
            </w:pPr>
          </w:p>
        </w:tc>
      </w:tr>
      <w:tr>
        <w:trPr>
          <w:trHeight w:val="247"/>
        </w:trPr>
        <w:tc>
          <w:tcPr>
            <w:tcW w:w="810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Repayments of long-term debt</w:t>
            </w:r>
          </w:p>
        </w:tc>
        <w:tc>
          <w:tcPr>
            <w:tcW w:w="900" w:type="dxa"/>
            <w:vAlign w:val="bottom"/>
            <w:shd w:val="clear" w:color="auto" w:fill="CFF0FC"/>
          </w:tcPr>
          <w:p>
            <w:pPr>
              <w:spacing w:after="0"/>
              <w:rPr>
                <w:sz w:val="21"/>
                <w:szCs w:val="21"/>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(1.0 )</w:t>
            </w:r>
          </w:p>
        </w:tc>
        <w:tc>
          <w:tcPr>
            <w:tcW w:w="100" w:type="dxa"/>
            <w:vAlign w:val="bottom"/>
            <w:shd w:val="clear" w:color="auto" w:fill="CFF0FC"/>
          </w:tcPr>
          <w:p>
            <w:pPr>
              <w:spacing w:after="0"/>
              <w:rPr>
                <w:sz w:val="21"/>
                <w:szCs w:val="21"/>
                <w:color w:val="auto"/>
              </w:rPr>
            </w:pPr>
          </w:p>
        </w:tc>
        <w:tc>
          <w:tcPr>
            <w:tcW w:w="920" w:type="dxa"/>
            <w:vAlign w:val="bottom"/>
            <w:shd w:val="clear" w:color="auto" w:fill="CFF0FC"/>
          </w:tcPr>
          <w:p>
            <w:pPr>
              <w:spacing w:after="0"/>
              <w:rPr>
                <w:sz w:val="21"/>
                <w:szCs w:val="21"/>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(0.5 )</w:t>
            </w:r>
          </w:p>
        </w:tc>
        <w:tc>
          <w:tcPr>
            <w:tcW w:w="0" w:type="dxa"/>
            <w:vAlign w:val="bottom"/>
          </w:tcPr>
          <w:p>
            <w:pPr>
              <w:spacing w:after="0"/>
              <w:rPr>
                <w:sz w:val="1"/>
                <w:szCs w:val="1"/>
                <w:color w:val="auto"/>
              </w:rPr>
            </w:pPr>
          </w:p>
        </w:tc>
      </w:tr>
      <w:tr>
        <w:trPr>
          <w:trHeight w:val="239"/>
        </w:trPr>
        <w:tc>
          <w:tcPr>
            <w:tcW w:w="81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Payments of contingent consideration for acquisitions</w:t>
            </w:r>
          </w:p>
        </w:tc>
        <w:tc>
          <w:tcPr>
            <w:tcW w:w="90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(2.8 )</w:t>
            </w:r>
          </w:p>
        </w:tc>
        <w:tc>
          <w:tcPr>
            <w:tcW w:w="1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6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7"/>
        </w:trPr>
        <w:tc>
          <w:tcPr>
            <w:tcW w:w="810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Proceeds from share-based awards</w:t>
            </w:r>
          </w:p>
        </w:tc>
        <w:tc>
          <w:tcPr>
            <w:tcW w:w="900" w:type="dxa"/>
            <w:vAlign w:val="bottom"/>
            <w:shd w:val="clear" w:color="auto" w:fill="CFF0FC"/>
          </w:tcPr>
          <w:p>
            <w:pPr>
              <w:spacing w:after="0"/>
              <w:rPr>
                <w:sz w:val="21"/>
                <w:szCs w:val="21"/>
                <w:color w:val="auto"/>
              </w:rPr>
            </w:pPr>
          </w:p>
        </w:tc>
        <w:tc>
          <w:tcPr>
            <w:tcW w:w="6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0.7</w:t>
            </w:r>
          </w:p>
        </w:tc>
        <w:tc>
          <w:tcPr>
            <w:tcW w:w="100" w:type="dxa"/>
            <w:vAlign w:val="bottom"/>
            <w:shd w:val="clear" w:color="auto" w:fill="CFF0FC"/>
          </w:tcPr>
          <w:p>
            <w:pPr>
              <w:spacing w:after="0"/>
              <w:rPr>
                <w:sz w:val="21"/>
                <w:szCs w:val="21"/>
                <w:color w:val="auto"/>
              </w:rPr>
            </w:pPr>
          </w:p>
        </w:tc>
        <w:tc>
          <w:tcPr>
            <w:tcW w:w="920" w:type="dxa"/>
            <w:vAlign w:val="bottom"/>
            <w:shd w:val="clear" w:color="auto" w:fill="CFF0FC"/>
          </w:tcPr>
          <w:p>
            <w:pPr>
              <w:spacing w:after="0"/>
              <w:rPr>
                <w:sz w:val="21"/>
                <w:szCs w:val="21"/>
                <w:color w:val="auto"/>
              </w:rPr>
            </w:pPr>
          </w:p>
        </w:tc>
        <w:tc>
          <w:tcPr>
            <w:tcW w:w="60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1.7</w:t>
            </w:r>
          </w:p>
        </w:tc>
        <w:tc>
          <w:tcPr>
            <w:tcW w:w="0" w:type="dxa"/>
            <w:vAlign w:val="bottom"/>
          </w:tcPr>
          <w:p>
            <w:pPr>
              <w:spacing w:after="0"/>
              <w:rPr>
                <w:sz w:val="1"/>
                <w:szCs w:val="1"/>
                <w:color w:val="auto"/>
              </w:rPr>
            </w:pPr>
          </w:p>
        </w:tc>
      </w:tr>
      <w:tr>
        <w:trPr>
          <w:trHeight w:val="239"/>
        </w:trPr>
        <w:tc>
          <w:tcPr>
            <w:tcW w:w="81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Payments to noncontrolling interests</w:t>
            </w:r>
          </w:p>
        </w:tc>
        <w:tc>
          <w:tcPr>
            <w:tcW w:w="90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(0.2 )</w:t>
            </w:r>
          </w:p>
        </w:tc>
        <w:tc>
          <w:tcPr>
            <w:tcW w:w="1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(0.6 )</w:t>
            </w:r>
          </w:p>
        </w:tc>
        <w:tc>
          <w:tcPr>
            <w:tcW w:w="0" w:type="dxa"/>
            <w:vAlign w:val="bottom"/>
          </w:tcPr>
          <w:p>
            <w:pPr>
              <w:spacing w:after="0"/>
              <w:rPr>
                <w:sz w:val="1"/>
                <w:szCs w:val="1"/>
                <w:color w:val="auto"/>
              </w:rPr>
            </w:pPr>
          </w:p>
        </w:tc>
      </w:tr>
      <w:tr>
        <w:trPr>
          <w:trHeight w:val="247"/>
        </w:trPr>
        <w:tc>
          <w:tcPr>
            <w:tcW w:w="810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Other share-based award transactions</w:t>
            </w:r>
          </w:p>
        </w:tc>
        <w:tc>
          <w:tcPr>
            <w:tcW w:w="900" w:type="dxa"/>
            <w:vAlign w:val="bottom"/>
            <w:shd w:val="clear" w:color="auto" w:fill="CFF0FC"/>
          </w:tcPr>
          <w:p>
            <w:pPr>
              <w:spacing w:after="0"/>
              <w:rPr>
                <w:sz w:val="21"/>
                <w:szCs w:val="21"/>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(10.5 )</w:t>
            </w:r>
          </w:p>
        </w:tc>
        <w:tc>
          <w:tcPr>
            <w:tcW w:w="100" w:type="dxa"/>
            <w:vAlign w:val="bottom"/>
            <w:shd w:val="clear" w:color="auto" w:fill="CFF0FC"/>
          </w:tcPr>
          <w:p>
            <w:pPr>
              <w:spacing w:after="0"/>
              <w:rPr>
                <w:sz w:val="21"/>
                <w:szCs w:val="21"/>
                <w:color w:val="auto"/>
              </w:rPr>
            </w:pPr>
          </w:p>
        </w:tc>
        <w:tc>
          <w:tcPr>
            <w:tcW w:w="920" w:type="dxa"/>
            <w:vAlign w:val="bottom"/>
            <w:shd w:val="clear" w:color="auto" w:fill="CFF0FC"/>
          </w:tcPr>
          <w:p>
            <w:pPr>
              <w:spacing w:after="0"/>
              <w:rPr>
                <w:sz w:val="21"/>
                <w:szCs w:val="21"/>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(9.8 )</w:t>
            </w:r>
          </w:p>
        </w:tc>
        <w:tc>
          <w:tcPr>
            <w:tcW w:w="0" w:type="dxa"/>
            <w:vAlign w:val="bottom"/>
          </w:tcPr>
          <w:p>
            <w:pPr>
              <w:spacing w:after="0"/>
              <w:rPr>
                <w:sz w:val="1"/>
                <w:szCs w:val="1"/>
                <w:color w:val="auto"/>
              </w:rPr>
            </w:pPr>
          </w:p>
        </w:tc>
      </w:tr>
      <w:tr>
        <w:trPr>
          <w:trHeight w:val="239"/>
        </w:trPr>
        <w:tc>
          <w:tcPr>
            <w:tcW w:w="81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Repurchases of common stock</w:t>
            </w:r>
          </w:p>
        </w:tc>
        <w:tc>
          <w:tcPr>
            <w:tcW w:w="90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(77.0 )</w:t>
            </w:r>
          </w:p>
        </w:tc>
        <w:tc>
          <w:tcPr>
            <w:tcW w:w="1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(79.9 )</w:t>
            </w:r>
          </w:p>
        </w:tc>
        <w:tc>
          <w:tcPr>
            <w:tcW w:w="0" w:type="dxa"/>
            <w:vAlign w:val="bottom"/>
          </w:tcPr>
          <w:p>
            <w:pPr>
              <w:spacing w:after="0"/>
              <w:rPr>
                <w:sz w:val="1"/>
                <w:szCs w:val="1"/>
                <w:color w:val="auto"/>
              </w:rPr>
            </w:pPr>
          </w:p>
        </w:tc>
      </w:tr>
      <w:tr>
        <w:trPr>
          <w:trHeight w:val="243"/>
        </w:trPr>
        <w:tc>
          <w:tcPr>
            <w:tcW w:w="8100" w:type="dxa"/>
            <w:vAlign w:val="bottom"/>
            <w:tcBorders>
              <w:bottom w:val="single" w:sz="8" w:color="CFF0FC"/>
            </w:tcBorders>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Dividends paid</w:t>
            </w:r>
          </w:p>
        </w:tc>
        <w:tc>
          <w:tcPr>
            <w:tcW w:w="900" w:type="dxa"/>
            <w:vAlign w:val="bottom"/>
            <w:tcBorders>
              <w:bottom w:val="single" w:sz="8" w:color="auto"/>
            </w:tcBorders>
            <w:shd w:val="clear" w:color="auto" w:fill="CFF0FC"/>
          </w:tcPr>
          <w:p>
            <w:pPr>
              <w:spacing w:after="0"/>
              <w:rPr>
                <w:sz w:val="21"/>
                <w:szCs w:val="21"/>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(73.5 )</w:t>
            </w:r>
          </w:p>
        </w:tc>
        <w:tc>
          <w:tcPr>
            <w:tcW w:w="100" w:type="dxa"/>
            <w:vAlign w:val="bottom"/>
            <w:tcBorders>
              <w:bottom w:val="single" w:sz="8" w:color="CFF0FC"/>
            </w:tcBorders>
            <w:shd w:val="clear" w:color="auto" w:fill="CFF0FC"/>
          </w:tcPr>
          <w:p>
            <w:pPr>
              <w:spacing w:after="0"/>
              <w:rPr>
                <w:sz w:val="21"/>
                <w:szCs w:val="21"/>
                <w:color w:val="auto"/>
              </w:rPr>
            </w:pPr>
          </w:p>
        </w:tc>
        <w:tc>
          <w:tcPr>
            <w:tcW w:w="920" w:type="dxa"/>
            <w:vAlign w:val="bottom"/>
            <w:tcBorders>
              <w:bottom w:val="single" w:sz="8" w:color="auto"/>
            </w:tcBorders>
            <w:shd w:val="clear" w:color="auto" w:fill="CFF0FC"/>
          </w:tcPr>
          <w:p>
            <w:pPr>
              <w:spacing w:after="0"/>
              <w:rPr>
                <w:sz w:val="21"/>
                <w:szCs w:val="21"/>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(73.1 )</w:t>
            </w:r>
          </w:p>
        </w:tc>
        <w:tc>
          <w:tcPr>
            <w:tcW w:w="0" w:type="dxa"/>
            <w:vAlign w:val="bottom"/>
          </w:tcPr>
          <w:p>
            <w:pPr>
              <w:spacing w:after="0"/>
              <w:rPr>
                <w:sz w:val="1"/>
                <w:szCs w:val="1"/>
                <w:color w:val="auto"/>
              </w:rPr>
            </w:pPr>
          </w:p>
        </w:tc>
      </w:tr>
      <w:tr>
        <w:trPr>
          <w:trHeight w:val="237"/>
        </w:trPr>
        <w:tc>
          <w:tcPr>
            <w:tcW w:w="8100" w:type="dxa"/>
            <w:vAlign w:val="bottom"/>
          </w:tcPr>
          <w:p>
            <w:pPr>
              <w:ind w:left="780"/>
              <w:spacing w:after="0"/>
              <w:rPr>
                <w:sz w:val="20"/>
                <w:szCs w:val="20"/>
                <w:color w:val="auto"/>
              </w:rPr>
            </w:pPr>
            <w:r>
              <w:rPr>
                <w:rFonts w:ascii="Times New Roman" w:cs="Times New Roman" w:eastAsia="Times New Roman" w:hAnsi="Times New Roman"/>
                <w:sz w:val="18"/>
                <w:szCs w:val="18"/>
                <w:color w:val="auto"/>
              </w:rPr>
              <w:t>Cash used in financing activities</w:t>
            </w:r>
          </w:p>
        </w:tc>
        <w:tc>
          <w:tcPr>
            <w:tcW w:w="90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(38.6 )</w:t>
            </w:r>
          </w:p>
        </w:tc>
        <w:tc>
          <w:tcPr>
            <w:tcW w:w="100" w:type="dxa"/>
            <w:vAlign w:val="bottom"/>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4"/>
              </w:rPr>
              <w:t>(167.3 )</w:t>
            </w:r>
          </w:p>
        </w:tc>
        <w:tc>
          <w:tcPr>
            <w:tcW w:w="0" w:type="dxa"/>
            <w:vAlign w:val="bottom"/>
          </w:tcPr>
          <w:p>
            <w:pPr>
              <w:spacing w:after="0"/>
              <w:rPr>
                <w:sz w:val="1"/>
                <w:szCs w:val="1"/>
                <w:color w:val="auto"/>
              </w:rPr>
            </w:pPr>
          </w:p>
        </w:tc>
      </w:tr>
      <w:tr>
        <w:trPr>
          <w:trHeight w:val="241"/>
        </w:trPr>
        <w:tc>
          <w:tcPr>
            <w:tcW w:w="8100" w:type="dxa"/>
            <w:vAlign w:val="bottom"/>
            <w:shd w:val="clear" w:color="auto" w:fill="CFF0FC"/>
          </w:tcPr>
          <w:p>
            <w:pPr>
              <w:spacing w:after="0"/>
              <w:rPr>
                <w:sz w:val="20"/>
                <w:szCs w:val="20"/>
                <w:color w:val="auto"/>
              </w:rPr>
            </w:pPr>
          </w:p>
        </w:tc>
        <w:tc>
          <w:tcPr>
            <w:tcW w:w="900" w:type="dxa"/>
            <w:vAlign w:val="bottom"/>
            <w:shd w:val="clear" w:color="auto" w:fill="CFF0FC"/>
          </w:tcPr>
          <w:p>
            <w:pPr>
              <w:spacing w:after="0"/>
              <w:rPr>
                <w:sz w:val="20"/>
                <w:szCs w:val="20"/>
                <w:color w:val="auto"/>
              </w:rPr>
            </w:pPr>
          </w:p>
        </w:tc>
        <w:tc>
          <w:tcPr>
            <w:tcW w:w="6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920" w:type="dxa"/>
            <w:vAlign w:val="bottom"/>
            <w:shd w:val="clear" w:color="auto" w:fill="CFF0FC"/>
          </w:tcPr>
          <w:p>
            <w:pPr>
              <w:spacing w:after="0"/>
              <w:rPr>
                <w:sz w:val="20"/>
                <w:szCs w:val="20"/>
                <w:color w:val="auto"/>
              </w:rPr>
            </w:pPr>
          </w:p>
        </w:tc>
        <w:tc>
          <w:tcPr>
            <w:tcW w:w="6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8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Effect of exchange rate changes on cash</w:t>
            </w:r>
          </w:p>
        </w:tc>
        <w:tc>
          <w:tcPr>
            <w:tcW w:w="90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(30.3 )</w:t>
            </w:r>
          </w:p>
        </w:tc>
        <w:tc>
          <w:tcPr>
            <w:tcW w:w="100" w:type="dxa"/>
            <w:vAlign w:val="bottom"/>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1.6</w:t>
            </w:r>
          </w:p>
        </w:tc>
        <w:tc>
          <w:tcPr>
            <w:tcW w:w="0" w:type="dxa"/>
            <w:vAlign w:val="bottom"/>
          </w:tcPr>
          <w:p>
            <w:pPr>
              <w:spacing w:after="0"/>
              <w:rPr>
                <w:sz w:val="1"/>
                <w:szCs w:val="1"/>
                <w:color w:val="auto"/>
              </w:rPr>
            </w:pPr>
          </w:p>
        </w:tc>
      </w:tr>
      <w:tr>
        <w:trPr>
          <w:trHeight w:val="241"/>
        </w:trPr>
        <w:tc>
          <w:tcPr>
            <w:tcW w:w="81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Change in cash and cash equivalents</w:t>
            </w:r>
          </w:p>
        </w:tc>
        <w:tc>
          <w:tcPr>
            <w:tcW w:w="900" w:type="dxa"/>
            <w:vAlign w:val="bottom"/>
            <w:shd w:val="clear" w:color="auto" w:fill="CFF0FC"/>
          </w:tcPr>
          <w:p>
            <w:pPr>
              <w:spacing w:after="0"/>
              <w:rPr>
                <w:sz w:val="20"/>
                <w:szCs w:val="20"/>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8"/>
              </w:rPr>
              <w:t>(112.4 )</w:t>
            </w:r>
          </w:p>
        </w:tc>
        <w:tc>
          <w:tcPr>
            <w:tcW w:w="100" w:type="dxa"/>
            <w:vAlign w:val="bottom"/>
            <w:shd w:val="clear" w:color="auto" w:fill="CFF0FC"/>
          </w:tcPr>
          <w:p>
            <w:pPr>
              <w:spacing w:after="0"/>
              <w:rPr>
                <w:sz w:val="20"/>
                <w:szCs w:val="20"/>
                <w:color w:val="auto"/>
              </w:rPr>
            </w:pPr>
          </w:p>
        </w:tc>
        <w:tc>
          <w:tcPr>
            <w:tcW w:w="920" w:type="dxa"/>
            <w:vAlign w:val="bottom"/>
            <w:shd w:val="clear" w:color="auto" w:fill="CFF0FC"/>
          </w:tcPr>
          <w:p>
            <w:pPr>
              <w:spacing w:after="0"/>
              <w:rPr>
                <w:sz w:val="20"/>
                <w:szCs w:val="20"/>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4"/>
              </w:rPr>
              <w:t>(231.4 )</w:t>
            </w:r>
          </w:p>
        </w:tc>
        <w:tc>
          <w:tcPr>
            <w:tcW w:w="0" w:type="dxa"/>
            <w:vAlign w:val="bottom"/>
          </w:tcPr>
          <w:p>
            <w:pPr>
              <w:spacing w:after="0"/>
              <w:rPr>
                <w:sz w:val="1"/>
                <w:szCs w:val="1"/>
                <w:color w:val="auto"/>
              </w:rPr>
            </w:pPr>
          </w:p>
        </w:tc>
      </w:tr>
      <w:tr>
        <w:trPr>
          <w:trHeight w:val="243"/>
        </w:trPr>
        <w:tc>
          <w:tcPr>
            <w:tcW w:w="81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81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Cash and cash equivalents, beginning of period</w:t>
            </w:r>
          </w:p>
        </w:tc>
        <w:tc>
          <w:tcPr>
            <w:tcW w:w="900" w:type="dxa"/>
            <w:vAlign w:val="bottom"/>
            <w:tcBorders>
              <w:bottom w:val="single" w:sz="8" w:color="auto"/>
            </w:tcBorders>
            <w:shd w:val="clear" w:color="auto" w:fill="CFF0FC"/>
          </w:tcPr>
          <w:p>
            <w:pPr>
              <w:spacing w:after="0"/>
              <w:rPr>
                <w:sz w:val="20"/>
                <w:szCs w:val="20"/>
                <w:color w:val="auto"/>
              </w:rPr>
            </w:pPr>
          </w:p>
        </w:tc>
        <w:tc>
          <w:tcPr>
            <w:tcW w:w="62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581.3</w:t>
            </w:r>
          </w:p>
        </w:tc>
        <w:tc>
          <w:tcPr>
            <w:tcW w:w="100" w:type="dxa"/>
            <w:vAlign w:val="bottom"/>
            <w:tcBorders>
              <w:bottom w:val="single" w:sz="8" w:color="CFF0FC"/>
            </w:tcBorders>
            <w:shd w:val="clear" w:color="auto" w:fill="CFF0FC"/>
          </w:tcPr>
          <w:p>
            <w:pPr>
              <w:spacing w:after="0"/>
              <w:rPr>
                <w:sz w:val="20"/>
                <w:szCs w:val="20"/>
                <w:color w:val="auto"/>
              </w:rPr>
            </w:pPr>
          </w:p>
        </w:tc>
        <w:tc>
          <w:tcPr>
            <w:tcW w:w="920" w:type="dxa"/>
            <w:vAlign w:val="bottom"/>
            <w:tcBorders>
              <w:bottom w:val="single" w:sz="8" w:color="auto"/>
            </w:tcBorders>
            <w:shd w:val="clear" w:color="auto" w:fill="CFF0FC"/>
          </w:tcPr>
          <w:p>
            <w:pPr>
              <w:spacing w:after="0"/>
              <w:rPr>
                <w:sz w:val="20"/>
                <w:szCs w:val="20"/>
                <w:color w:val="auto"/>
              </w:rPr>
            </w:pPr>
          </w:p>
        </w:tc>
        <w:tc>
          <w:tcPr>
            <w:tcW w:w="60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639.0</w:t>
            </w:r>
          </w:p>
        </w:tc>
        <w:tc>
          <w:tcPr>
            <w:tcW w:w="0" w:type="dxa"/>
            <w:vAlign w:val="bottom"/>
          </w:tcPr>
          <w:p>
            <w:pPr>
              <w:spacing w:after="0"/>
              <w:rPr>
                <w:sz w:val="1"/>
                <w:szCs w:val="1"/>
                <w:color w:val="auto"/>
              </w:rPr>
            </w:pPr>
          </w:p>
        </w:tc>
      </w:tr>
      <w:tr>
        <w:trPr>
          <w:trHeight w:val="237"/>
        </w:trPr>
        <w:tc>
          <w:tcPr>
            <w:tcW w:w="8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and cash equivalents, end of period</w:t>
            </w:r>
          </w:p>
        </w:tc>
        <w:tc>
          <w:tcPr>
            <w:tcW w:w="900" w:type="dxa"/>
            <w:vAlign w:val="bottom"/>
          </w:tcPr>
          <w:p>
            <w:pPr>
              <w:jc w:val="right"/>
              <w:ind w:right="710"/>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468.9</w:t>
            </w:r>
          </w:p>
        </w:tc>
        <w:tc>
          <w:tcPr>
            <w:tcW w:w="1020" w:type="dxa"/>
            <w:vAlign w:val="bottom"/>
            <w:gridSpan w:val="2"/>
          </w:tcPr>
          <w:p>
            <w:pPr>
              <w:jc w:val="right"/>
              <w:ind w:right="71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407.6</w:t>
            </w:r>
          </w:p>
        </w:tc>
        <w:tc>
          <w:tcPr>
            <w:tcW w:w="0" w:type="dxa"/>
            <w:vAlign w:val="bottom"/>
          </w:tcPr>
          <w:p>
            <w:pPr>
              <w:spacing w:after="0"/>
              <w:rPr>
                <w:sz w:val="1"/>
                <w:szCs w:val="1"/>
                <w:color w:val="auto"/>
              </w:rPr>
            </w:pPr>
          </w:p>
        </w:tc>
      </w:tr>
      <w:tr>
        <w:trPr>
          <w:trHeight w:val="20"/>
        </w:trPr>
        <w:tc>
          <w:tcPr>
            <w:tcW w:w="810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8"/>
        </w:trPr>
        <w:tc>
          <w:tcPr>
            <w:tcW w:w="810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41"/>
        </w:trPr>
        <w:tc>
          <w:tcPr>
            <w:tcW w:w="81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Supplemental Cash Flow Information:</w:t>
            </w:r>
          </w:p>
        </w:tc>
        <w:tc>
          <w:tcPr>
            <w:tcW w:w="9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81"/>
        </w:trPr>
        <w:tc>
          <w:tcPr>
            <w:tcW w:w="81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Interest paid</w:t>
            </w:r>
          </w:p>
        </w:tc>
        <w:tc>
          <w:tcPr>
            <w:tcW w:w="900" w:type="dxa"/>
            <w:vAlign w:val="bottom"/>
            <w:tcBorders>
              <w:bottom w:val="single" w:sz="8" w:color="auto"/>
            </w:tcBorders>
            <w:shd w:val="clear" w:color="auto" w:fill="CFF0FC"/>
          </w:tcPr>
          <w:p>
            <w:pPr>
              <w:jc w:val="right"/>
              <w:ind w:right="710"/>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37.2</w:t>
            </w:r>
          </w:p>
        </w:tc>
        <w:tc>
          <w:tcPr>
            <w:tcW w:w="100" w:type="dxa"/>
            <w:vAlign w:val="bottom"/>
            <w:tcBorders>
              <w:bottom w:val="single" w:sz="8" w:color="CFF0FC"/>
            </w:tcBorders>
            <w:shd w:val="clear" w:color="auto" w:fill="CFF0FC"/>
          </w:tcPr>
          <w:p>
            <w:pPr>
              <w:spacing w:after="0"/>
              <w:rPr>
                <w:sz w:val="24"/>
                <w:szCs w:val="24"/>
                <w:color w:val="auto"/>
              </w:rPr>
            </w:pPr>
          </w:p>
        </w:tc>
        <w:tc>
          <w:tcPr>
            <w:tcW w:w="920" w:type="dxa"/>
            <w:vAlign w:val="bottom"/>
            <w:tcBorders>
              <w:bottom w:val="single" w:sz="8" w:color="auto"/>
            </w:tcBorders>
            <w:shd w:val="clear" w:color="auto" w:fill="CFF0FC"/>
          </w:tcPr>
          <w:p>
            <w:pPr>
              <w:jc w:val="right"/>
              <w:ind w:right="71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49.1</w:t>
            </w:r>
          </w:p>
        </w:tc>
        <w:tc>
          <w:tcPr>
            <w:tcW w:w="0" w:type="dxa"/>
            <w:vAlign w:val="bottom"/>
          </w:tcPr>
          <w:p>
            <w:pPr>
              <w:spacing w:after="0"/>
              <w:rPr>
                <w:sz w:val="1"/>
                <w:szCs w:val="1"/>
                <w:color w:val="auto"/>
              </w:rPr>
            </w:pPr>
          </w:p>
        </w:tc>
      </w:tr>
      <w:tr>
        <w:trPr>
          <w:trHeight w:val="223"/>
        </w:trPr>
        <w:tc>
          <w:tcPr>
            <w:tcW w:w="8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taxes paid, net</w:t>
            </w:r>
          </w:p>
        </w:tc>
        <w:tc>
          <w:tcPr>
            <w:tcW w:w="900" w:type="dxa"/>
            <w:vAlign w:val="bottom"/>
          </w:tcPr>
          <w:p>
            <w:pPr>
              <w:jc w:val="right"/>
              <w:ind w:right="710"/>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89.9</w:t>
            </w:r>
          </w:p>
        </w:tc>
        <w:tc>
          <w:tcPr>
            <w:tcW w:w="1020" w:type="dxa"/>
            <w:vAlign w:val="bottom"/>
            <w:gridSpan w:val="2"/>
          </w:tcPr>
          <w:p>
            <w:pPr>
              <w:jc w:val="right"/>
              <w:ind w:right="71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91.8</w:t>
            </w:r>
          </w:p>
        </w:tc>
        <w:tc>
          <w:tcPr>
            <w:tcW w:w="0" w:type="dxa"/>
            <w:vAlign w:val="bottom"/>
          </w:tcPr>
          <w:p>
            <w:pPr>
              <w:spacing w:after="0"/>
              <w:rPr>
                <w:sz w:val="1"/>
                <w:szCs w:val="1"/>
                <w:color w:val="auto"/>
              </w:rPr>
            </w:pPr>
          </w:p>
        </w:tc>
      </w:tr>
      <w:tr>
        <w:trPr>
          <w:trHeight w:val="20"/>
        </w:trPr>
        <w:tc>
          <w:tcPr>
            <w:tcW w:w="810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100" w:type="dxa"/>
            <w:vAlign w:val="bottom"/>
            <w:shd w:val="clear" w:color="auto" w:fill="CFF0FC"/>
          </w:tcPr>
          <w:p>
            <w:pPr>
              <w:ind w:left="20"/>
              <w:spacing w:after="0" w:line="196" w:lineRule="exact"/>
              <w:rPr>
                <w:sz w:val="20"/>
                <w:szCs w:val="20"/>
                <w:color w:val="auto"/>
              </w:rPr>
            </w:pPr>
            <w:r>
              <w:rPr>
                <w:rFonts w:ascii="Times New Roman" w:cs="Times New Roman" w:eastAsia="Times New Roman" w:hAnsi="Times New Roman"/>
                <w:sz w:val="18"/>
                <w:szCs w:val="18"/>
                <w:color w:val="auto"/>
              </w:rPr>
              <w:t>Non-cash operating activity:</w:t>
            </w:r>
          </w:p>
        </w:tc>
        <w:tc>
          <w:tcPr>
            <w:tcW w:w="900" w:type="dxa"/>
            <w:vAlign w:val="bottom"/>
            <w:vMerge w:val="restart"/>
            <w:shd w:val="clear" w:color="auto" w:fill="CFF0FC"/>
          </w:tcPr>
          <w:p>
            <w:pPr>
              <w:jc w:val="right"/>
              <w:ind w:right="710"/>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vMerge w:val="restart"/>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27.8</w:t>
            </w:r>
          </w:p>
        </w:tc>
        <w:tc>
          <w:tcPr>
            <w:tcW w:w="100" w:type="dxa"/>
            <w:vAlign w:val="bottom"/>
            <w:vMerge w:val="restart"/>
            <w:shd w:val="clear" w:color="auto" w:fill="CFF0FC"/>
          </w:tcPr>
          <w:p>
            <w:pPr>
              <w:spacing w:after="0"/>
              <w:rPr>
                <w:sz w:val="17"/>
                <w:szCs w:val="17"/>
                <w:color w:val="auto"/>
              </w:rPr>
            </w:pPr>
          </w:p>
        </w:tc>
        <w:tc>
          <w:tcPr>
            <w:tcW w:w="920" w:type="dxa"/>
            <w:vAlign w:val="bottom"/>
            <w:vMerge w:val="restart"/>
            <w:shd w:val="clear" w:color="auto" w:fill="CFF0FC"/>
          </w:tcPr>
          <w:p>
            <w:pPr>
              <w:jc w:val="right"/>
              <w:ind w:right="71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vMerge w:val="restart"/>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73.1</w:t>
            </w:r>
          </w:p>
        </w:tc>
        <w:tc>
          <w:tcPr>
            <w:tcW w:w="0" w:type="dxa"/>
            <w:vAlign w:val="bottom"/>
          </w:tcPr>
          <w:p>
            <w:pPr>
              <w:spacing w:after="0"/>
              <w:rPr>
                <w:sz w:val="1"/>
                <w:szCs w:val="1"/>
                <w:color w:val="auto"/>
              </w:rPr>
            </w:pPr>
          </w:p>
        </w:tc>
      </w:tr>
      <w:tr>
        <w:trPr>
          <w:trHeight w:val="247"/>
        </w:trPr>
        <w:tc>
          <w:tcPr>
            <w:tcW w:w="810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Right-of-use assets obtained in exchange for new operating lease liabilities</w:t>
            </w:r>
          </w:p>
        </w:tc>
        <w:tc>
          <w:tcPr>
            <w:tcW w:w="900" w:type="dxa"/>
            <w:vAlign w:val="bottom"/>
            <w:tcBorders>
              <w:bottom w:val="single" w:sz="8" w:color="auto"/>
            </w:tcBorders>
            <w:vMerge w:val="continue"/>
            <w:shd w:val="clear" w:color="auto" w:fill="CFF0FC"/>
          </w:tcPr>
          <w:p>
            <w:pPr>
              <w:spacing w:after="0"/>
              <w:rPr>
                <w:sz w:val="21"/>
                <w:szCs w:val="21"/>
                <w:color w:val="auto"/>
              </w:rPr>
            </w:pPr>
          </w:p>
        </w:tc>
        <w:tc>
          <w:tcPr>
            <w:tcW w:w="620" w:type="dxa"/>
            <w:vAlign w:val="bottom"/>
            <w:tcBorders>
              <w:bottom w:val="single" w:sz="8" w:color="auto"/>
            </w:tcBorders>
            <w:vMerge w:val="continue"/>
            <w:shd w:val="clear" w:color="auto" w:fill="CFF0FC"/>
          </w:tcPr>
          <w:p>
            <w:pPr>
              <w:spacing w:after="0"/>
              <w:rPr>
                <w:sz w:val="21"/>
                <w:szCs w:val="21"/>
                <w:color w:val="auto"/>
              </w:rPr>
            </w:pPr>
          </w:p>
        </w:tc>
        <w:tc>
          <w:tcPr>
            <w:tcW w:w="100" w:type="dxa"/>
            <w:vAlign w:val="bottom"/>
            <w:tcBorders>
              <w:bottom w:val="single" w:sz="8" w:color="CFF0FC"/>
            </w:tcBorders>
            <w:vMerge w:val="continue"/>
            <w:shd w:val="clear" w:color="auto" w:fill="CFF0FC"/>
          </w:tcPr>
          <w:p>
            <w:pPr>
              <w:spacing w:after="0"/>
              <w:rPr>
                <w:sz w:val="21"/>
                <w:szCs w:val="21"/>
                <w:color w:val="auto"/>
              </w:rPr>
            </w:pPr>
          </w:p>
        </w:tc>
        <w:tc>
          <w:tcPr>
            <w:tcW w:w="920" w:type="dxa"/>
            <w:vAlign w:val="bottom"/>
            <w:tcBorders>
              <w:bottom w:val="single" w:sz="8" w:color="auto"/>
            </w:tcBorders>
            <w:vMerge w:val="continue"/>
            <w:shd w:val="clear" w:color="auto" w:fill="CFF0FC"/>
          </w:tcPr>
          <w:p>
            <w:pPr>
              <w:spacing w:after="0"/>
              <w:rPr>
                <w:sz w:val="21"/>
                <w:szCs w:val="21"/>
                <w:color w:val="auto"/>
              </w:rPr>
            </w:pPr>
          </w:p>
        </w:tc>
        <w:tc>
          <w:tcPr>
            <w:tcW w:w="600" w:type="dxa"/>
            <w:vAlign w:val="bottom"/>
            <w:tcBorders>
              <w:bottom w:val="single" w:sz="8" w:color="auto"/>
            </w:tcBorders>
            <w:vMerge w:val="continue"/>
            <w:shd w:val="clear" w:color="auto" w:fill="CFF0FC"/>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6108700</wp:posOffset>
            </wp:positionH>
            <wp:positionV relativeFrom="paragraph">
              <wp:posOffset>-4911090</wp:posOffset>
            </wp:positionV>
            <wp:extent cx="6858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6108700</wp:posOffset>
            </wp:positionH>
            <wp:positionV relativeFrom="paragraph">
              <wp:posOffset>-3959860</wp:posOffset>
            </wp:positionV>
            <wp:extent cx="6858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6108700</wp:posOffset>
            </wp:positionH>
            <wp:positionV relativeFrom="paragraph">
              <wp:posOffset>-2099310</wp:posOffset>
            </wp:positionV>
            <wp:extent cx="6858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6108700</wp:posOffset>
            </wp:positionH>
            <wp:positionV relativeFrom="paragraph">
              <wp:posOffset>-1148080</wp:posOffset>
            </wp:positionV>
            <wp:extent cx="6858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6108700</wp:posOffset>
            </wp:positionH>
            <wp:positionV relativeFrom="paragraph">
              <wp:posOffset>-496570</wp:posOffset>
            </wp:positionV>
            <wp:extent cx="6858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6108700</wp:posOffset>
            </wp:positionH>
            <wp:positionV relativeFrom="paragraph">
              <wp:posOffset>-479425</wp:posOffset>
            </wp:positionV>
            <wp:extent cx="6858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6108700</wp:posOffset>
            </wp:positionH>
            <wp:positionV relativeFrom="paragraph">
              <wp:posOffset>-25400</wp:posOffset>
            </wp:positionV>
            <wp:extent cx="6858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6108700</wp:posOffset>
            </wp:positionH>
            <wp:positionV relativeFrom="paragraph">
              <wp:posOffset>-8255</wp:posOffset>
            </wp:positionV>
            <wp:extent cx="6858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accompanying Notes to Consolidated Financial Statements are an integral part of these statements.</w:t>
      </w:r>
    </w:p>
    <w:p>
      <w:pPr>
        <w:spacing w:after="0" w:line="225"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6" w:name="page7"/>
    <w:bookmarkEnd w:id="6"/>
    <w:p>
      <w:pPr>
        <w:ind w:left="4780"/>
        <w:spacing w:after="0"/>
        <w:rPr>
          <w:sz w:val="20"/>
          <w:szCs w:val="20"/>
          <w:color w:val="auto"/>
        </w:rPr>
      </w:pPr>
      <w:r>
        <w:rPr>
          <w:rFonts w:ascii="Times New Roman" w:cs="Times New Roman" w:eastAsia="Times New Roman" w:hAnsi="Times New Roman"/>
          <w:sz w:val="18"/>
          <w:szCs w:val="18"/>
          <w:b w:val="1"/>
          <w:bCs w:val="1"/>
          <w:color w:val="auto"/>
        </w:rPr>
        <w:t>ManpowerGroup Inc.</w:t>
      </w:r>
    </w:p>
    <w:p>
      <w:pPr>
        <w:spacing w:after="0" w:line="185"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18"/>
          <w:szCs w:val="18"/>
          <w:b w:val="1"/>
          <w:bCs w:val="1"/>
          <w:color w:val="auto"/>
        </w:rPr>
        <w:t>Consolidated Statements of Shareholders' Equity (Unaudited)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millions, except share and per share data)</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2780" w:type="dxa"/>
            <w:vAlign w:val="bottom"/>
          </w:tcPr>
          <w:p>
            <w:pPr>
              <w:spacing w:after="0"/>
              <w:rPr>
                <w:sz w:val="15"/>
                <w:szCs w:val="15"/>
                <w:color w:val="auto"/>
              </w:rPr>
            </w:pPr>
          </w:p>
        </w:tc>
        <w:tc>
          <w:tcPr>
            <w:tcW w:w="96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214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ManpowerGroup Shareholders</w:t>
            </w:r>
          </w:p>
        </w:tc>
        <w:tc>
          <w:tcPr>
            <w:tcW w:w="10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2780" w:type="dxa"/>
            <w:vAlign w:val="bottom"/>
          </w:tcPr>
          <w:p>
            <w:pPr>
              <w:spacing w:after="0"/>
              <w:rPr>
                <w:sz w:val="14"/>
                <w:szCs w:val="14"/>
                <w:color w:val="auto"/>
              </w:rPr>
            </w:pPr>
          </w:p>
        </w:tc>
        <w:tc>
          <w:tcPr>
            <w:tcW w:w="1680" w:type="dxa"/>
            <w:vAlign w:val="bottom"/>
            <w:tcBorders>
              <w:bottom w:val="single" w:sz="8" w:color="auto"/>
            </w:tcBorders>
            <w:gridSpan w:val="2"/>
          </w:tcPr>
          <w:p>
            <w:pPr>
              <w:jc w:val="right"/>
              <w:ind w:right="188"/>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32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20" w:type="dxa"/>
            <w:vAlign w:val="bottom"/>
            <w:vMerge w:val="restart"/>
          </w:tcPr>
          <w:p>
            <w:pPr>
              <w:jc w:val="center"/>
              <w:ind w:right="168"/>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1"/>
        </w:trPr>
        <w:tc>
          <w:tcPr>
            <w:tcW w:w="27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60" w:type="dxa"/>
            <w:vAlign w:val="bottom"/>
            <w:vMerge w:val="restart"/>
          </w:tcPr>
          <w:p>
            <w:pPr>
              <w:jc w:val="center"/>
              <w:ind w:right="168"/>
              <w:spacing w:after="0"/>
              <w:rPr>
                <w:sz w:val="20"/>
                <w:szCs w:val="20"/>
                <w:color w:val="auto"/>
              </w:rPr>
            </w:pPr>
            <w:r>
              <w:rPr>
                <w:rFonts w:ascii="Times New Roman" w:cs="Times New Roman" w:eastAsia="Times New Roman" w:hAnsi="Times New Roman"/>
                <w:sz w:val="14"/>
                <w:szCs w:val="14"/>
                <w:b w:val="1"/>
                <w:bCs w:val="1"/>
                <w:color w:val="auto"/>
              </w:rPr>
              <w:t>Capital in</w:t>
            </w:r>
          </w:p>
        </w:tc>
        <w:tc>
          <w:tcPr>
            <w:tcW w:w="1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20" w:type="dxa"/>
            <w:vAlign w:val="bottom"/>
            <w:vMerge w:val="continue"/>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vMerge w:val="restart"/>
          </w:tcPr>
          <w:p>
            <w:pPr>
              <w:jc w:val="center"/>
              <w:ind w:right="188"/>
              <w:spacing w:after="0"/>
              <w:rPr>
                <w:sz w:val="20"/>
                <w:szCs w:val="20"/>
                <w:color w:val="auto"/>
              </w:rPr>
            </w:pPr>
            <w:r>
              <w:rPr>
                <w:rFonts w:ascii="Times New Roman" w:cs="Times New Roman" w:eastAsia="Times New Roman" w:hAnsi="Times New Roman"/>
                <w:sz w:val="14"/>
                <w:szCs w:val="14"/>
                <w:b w:val="1"/>
                <w:bCs w:val="1"/>
                <w:color w:val="auto"/>
              </w:rPr>
              <w:t>Non-</w:t>
            </w:r>
          </w:p>
        </w:tc>
        <w:tc>
          <w:tcPr>
            <w:tcW w:w="2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780" w:type="dxa"/>
            <w:vAlign w:val="bottom"/>
          </w:tcPr>
          <w:p>
            <w:pPr>
              <w:spacing w:after="0"/>
              <w:rPr>
                <w:sz w:val="12"/>
                <w:szCs w:val="12"/>
                <w:color w:val="auto"/>
              </w:rPr>
            </w:pPr>
          </w:p>
        </w:tc>
        <w:tc>
          <w:tcPr>
            <w:tcW w:w="960" w:type="dxa"/>
            <w:vAlign w:val="bottom"/>
            <w:vMerge w:val="restart"/>
          </w:tcPr>
          <w:p>
            <w:pPr>
              <w:ind w:left="22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720" w:type="dxa"/>
            <w:vAlign w:val="bottom"/>
            <w:vMerge w:val="restart"/>
          </w:tcPr>
          <w:p>
            <w:pPr>
              <w:jc w:val="center"/>
              <w:ind w:left="268"/>
              <w:spacing w:after="0"/>
              <w:rPr>
                <w:sz w:val="20"/>
                <w:szCs w:val="20"/>
                <w:color w:val="auto"/>
              </w:rPr>
            </w:pPr>
            <w:r>
              <w:rPr>
                <w:rFonts w:ascii="Times New Roman" w:cs="Times New Roman" w:eastAsia="Times New Roman" w:hAnsi="Times New Roman"/>
                <w:sz w:val="14"/>
                <w:szCs w:val="14"/>
                <w:b w:val="1"/>
                <w:bCs w:val="1"/>
                <w:color w:val="auto"/>
              </w:rPr>
              <w:t>Par</w:t>
            </w:r>
          </w:p>
        </w:tc>
        <w:tc>
          <w:tcPr>
            <w:tcW w:w="3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6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880" w:type="dxa"/>
            <w:vAlign w:val="bottom"/>
            <w:vMerge w:val="restart"/>
          </w:tcPr>
          <w:p>
            <w:pPr>
              <w:jc w:val="right"/>
              <w:ind w:right="248"/>
              <w:spacing w:after="0"/>
              <w:rPr>
                <w:sz w:val="20"/>
                <w:szCs w:val="20"/>
                <w:color w:val="auto"/>
              </w:rPr>
            </w:pPr>
            <w:r>
              <w:rPr>
                <w:rFonts w:ascii="Times New Roman" w:cs="Times New Roman" w:eastAsia="Times New Roman" w:hAnsi="Times New Roman"/>
                <w:sz w:val="14"/>
                <w:szCs w:val="14"/>
                <w:b w:val="1"/>
                <w:bCs w:val="1"/>
                <w:color w:val="auto"/>
              </w:rPr>
              <w:t>Retained</w:t>
            </w:r>
          </w:p>
        </w:tc>
        <w:tc>
          <w:tcPr>
            <w:tcW w:w="100" w:type="dxa"/>
            <w:vAlign w:val="bottom"/>
          </w:tcPr>
          <w:p>
            <w:pPr>
              <w:spacing w:after="0"/>
              <w:rPr>
                <w:sz w:val="12"/>
                <w:szCs w:val="12"/>
                <w:color w:val="auto"/>
              </w:rPr>
            </w:pPr>
          </w:p>
        </w:tc>
        <w:tc>
          <w:tcPr>
            <w:tcW w:w="1220" w:type="dxa"/>
            <w:vAlign w:val="bottom"/>
          </w:tcPr>
          <w:p>
            <w:pPr>
              <w:jc w:val="center"/>
              <w:ind w:right="148"/>
              <w:spacing w:after="0" w:line="149" w:lineRule="exact"/>
              <w:rPr>
                <w:sz w:val="20"/>
                <w:szCs w:val="20"/>
                <w:color w:val="auto"/>
              </w:rPr>
            </w:pPr>
            <w:r>
              <w:rPr>
                <w:rFonts w:ascii="Times New Roman" w:cs="Times New Roman" w:eastAsia="Times New Roman" w:hAnsi="Times New Roman"/>
                <w:sz w:val="14"/>
                <w:szCs w:val="14"/>
                <w:b w:val="1"/>
                <w:bCs w:val="1"/>
                <w:color w:val="auto"/>
              </w:rPr>
              <w:t>Other</w:t>
            </w:r>
          </w:p>
        </w:tc>
        <w:tc>
          <w:tcPr>
            <w:tcW w:w="160" w:type="dxa"/>
            <w:vAlign w:val="bottom"/>
          </w:tcPr>
          <w:p>
            <w:pPr>
              <w:spacing w:after="0"/>
              <w:rPr>
                <w:sz w:val="12"/>
                <w:szCs w:val="12"/>
                <w:color w:val="auto"/>
              </w:rPr>
            </w:pPr>
          </w:p>
        </w:tc>
        <w:tc>
          <w:tcPr>
            <w:tcW w:w="780" w:type="dxa"/>
            <w:vAlign w:val="bottom"/>
            <w:vMerge w:val="restart"/>
          </w:tcPr>
          <w:p>
            <w:pPr>
              <w:jc w:val="center"/>
              <w:ind w:right="108"/>
              <w:spacing w:after="0"/>
              <w:rPr>
                <w:sz w:val="20"/>
                <w:szCs w:val="20"/>
                <w:color w:val="auto"/>
              </w:rPr>
            </w:pPr>
            <w:r>
              <w:rPr>
                <w:rFonts w:ascii="Times New Roman" w:cs="Times New Roman" w:eastAsia="Times New Roman" w:hAnsi="Times New Roman"/>
                <w:sz w:val="14"/>
                <w:szCs w:val="14"/>
                <w:b w:val="1"/>
                <w:bCs w:val="1"/>
                <w:color w:val="auto"/>
              </w:rPr>
              <w:t>Treasury</w:t>
            </w:r>
          </w:p>
        </w:tc>
        <w:tc>
          <w:tcPr>
            <w:tcW w:w="220" w:type="dxa"/>
            <w:vAlign w:val="bottom"/>
          </w:tcPr>
          <w:p>
            <w:pPr>
              <w:spacing w:after="0"/>
              <w:rPr>
                <w:sz w:val="12"/>
                <w:szCs w:val="12"/>
                <w:color w:val="auto"/>
              </w:rPr>
            </w:pPr>
          </w:p>
        </w:tc>
        <w:tc>
          <w:tcPr>
            <w:tcW w:w="820" w:type="dxa"/>
            <w:vAlign w:val="bottom"/>
            <w:vMerge w:val="continue"/>
          </w:tcPr>
          <w:p>
            <w:pPr>
              <w:spacing w:after="0"/>
              <w:rPr>
                <w:sz w:val="12"/>
                <w:szCs w:val="12"/>
                <w:color w:val="auto"/>
              </w:rPr>
            </w:pPr>
          </w:p>
        </w:tc>
        <w:tc>
          <w:tcPr>
            <w:tcW w:w="2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780" w:type="dxa"/>
            <w:vAlign w:val="bottom"/>
          </w:tcPr>
          <w:p>
            <w:pPr>
              <w:spacing w:after="0"/>
              <w:rPr>
                <w:sz w:val="12"/>
                <w:szCs w:val="12"/>
                <w:color w:val="auto"/>
              </w:rPr>
            </w:pPr>
          </w:p>
        </w:tc>
        <w:tc>
          <w:tcPr>
            <w:tcW w:w="960" w:type="dxa"/>
            <w:vAlign w:val="bottom"/>
            <w:vMerge w:val="continue"/>
          </w:tcPr>
          <w:p>
            <w:pPr>
              <w:spacing w:after="0"/>
              <w:rPr>
                <w:sz w:val="12"/>
                <w:szCs w:val="12"/>
                <w:color w:val="auto"/>
              </w:rPr>
            </w:pPr>
          </w:p>
        </w:tc>
        <w:tc>
          <w:tcPr>
            <w:tcW w:w="720" w:type="dxa"/>
            <w:vAlign w:val="bottom"/>
            <w:vMerge w:val="continue"/>
          </w:tcPr>
          <w:p>
            <w:pPr>
              <w:spacing w:after="0"/>
              <w:rPr>
                <w:sz w:val="12"/>
                <w:szCs w:val="12"/>
                <w:color w:val="auto"/>
              </w:rPr>
            </w:pPr>
          </w:p>
        </w:tc>
        <w:tc>
          <w:tcPr>
            <w:tcW w:w="3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60" w:type="dxa"/>
            <w:vAlign w:val="bottom"/>
          </w:tcPr>
          <w:p>
            <w:pPr>
              <w:jc w:val="center"/>
              <w:ind w:right="188"/>
              <w:spacing w:after="0" w:line="149" w:lineRule="exact"/>
              <w:rPr>
                <w:sz w:val="20"/>
                <w:szCs w:val="20"/>
                <w:color w:val="auto"/>
              </w:rPr>
            </w:pPr>
            <w:r>
              <w:rPr>
                <w:rFonts w:ascii="Times New Roman" w:cs="Times New Roman" w:eastAsia="Times New Roman" w:hAnsi="Times New Roman"/>
                <w:sz w:val="14"/>
                <w:szCs w:val="14"/>
                <w:b w:val="1"/>
                <w:bCs w:val="1"/>
                <w:color w:val="auto"/>
              </w:rPr>
              <w:t>Excess of</w:t>
            </w:r>
          </w:p>
        </w:tc>
        <w:tc>
          <w:tcPr>
            <w:tcW w:w="180" w:type="dxa"/>
            <w:vAlign w:val="bottom"/>
          </w:tcPr>
          <w:p>
            <w:pPr>
              <w:spacing w:after="0"/>
              <w:rPr>
                <w:sz w:val="12"/>
                <w:szCs w:val="12"/>
                <w:color w:val="auto"/>
              </w:rPr>
            </w:pPr>
          </w:p>
        </w:tc>
        <w:tc>
          <w:tcPr>
            <w:tcW w:w="88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220" w:type="dxa"/>
            <w:vAlign w:val="bottom"/>
          </w:tcPr>
          <w:p>
            <w:pPr>
              <w:jc w:val="center"/>
              <w:ind w:right="148"/>
              <w:spacing w:after="0" w:line="149"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160" w:type="dxa"/>
            <w:vAlign w:val="bottom"/>
          </w:tcPr>
          <w:p>
            <w:pPr>
              <w:spacing w:after="0"/>
              <w:rPr>
                <w:sz w:val="12"/>
                <w:szCs w:val="12"/>
                <w:color w:val="auto"/>
              </w:rPr>
            </w:pPr>
          </w:p>
        </w:tc>
        <w:tc>
          <w:tcPr>
            <w:tcW w:w="780" w:type="dxa"/>
            <w:vAlign w:val="bottom"/>
            <w:vMerge w:val="continue"/>
          </w:tcPr>
          <w:p>
            <w:pPr>
              <w:spacing w:after="0"/>
              <w:rPr>
                <w:sz w:val="12"/>
                <w:szCs w:val="12"/>
                <w:color w:val="auto"/>
              </w:rPr>
            </w:pPr>
          </w:p>
        </w:tc>
        <w:tc>
          <w:tcPr>
            <w:tcW w:w="1040" w:type="dxa"/>
            <w:vAlign w:val="bottom"/>
            <w:gridSpan w:val="2"/>
          </w:tcPr>
          <w:p>
            <w:pPr>
              <w:ind w:left="140"/>
              <w:spacing w:after="0" w:line="149" w:lineRule="exact"/>
              <w:rPr>
                <w:sz w:val="20"/>
                <w:szCs w:val="20"/>
                <w:color w:val="auto"/>
              </w:rPr>
            </w:pPr>
            <w:r>
              <w:rPr>
                <w:rFonts w:ascii="Times New Roman" w:cs="Times New Roman" w:eastAsia="Times New Roman" w:hAnsi="Times New Roman"/>
                <w:sz w:val="14"/>
                <w:szCs w:val="14"/>
                <w:b w:val="1"/>
                <w:bCs w:val="1"/>
                <w:color w:val="auto"/>
              </w:rPr>
              <w:t>Controlling</w:t>
            </w:r>
          </w:p>
        </w:tc>
        <w:tc>
          <w:tcPr>
            <w:tcW w:w="240" w:type="dxa"/>
            <w:vAlign w:val="bottom"/>
          </w:tcPr>
          <w:p>
            <w:pPr>
              <w:spacing w:after="0"/>
              <w:rPr>
                <w:sz w:val="12"/>
                <w:szCs w:val="12"/>
                <w:color w:val="auto"/>
              </w:rPr>
            </w:pPr>
          </w:p>
        </w:tc>
        <w:tc>
          <w:tcPr>
            <w:tcW w:w="780" w:type="dxa"/>
            <w:vAlign w:val="bottom"/>
            <w:vMerge w:val="restart"/>
          </w:tcPr>
          <w:p>
            <w:pPr>
              <w:jc w:val="right"/>
              <w:ind w:right="308"/>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87"/>
        </w:trPr>
        <w:tc>
          <w:tcPr>
            <w:tcW w:w="27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4"/>
                <w:szCs w:val="14"/>
                <w:b w:val="1"/>
                <w:bCs w:val="1"/>
                <w:color w:val="auto"/>
              </w:rPr>
              <w:t>Issued</w:t>
            </w:r>
          </w:p>
        </w:tc>
        <w:tc>
          <w:tcPr>
            <w:tcW w:w="720" w:type="dxa"/>
            <w:vAlign w:val="bottom"/>
            <w:tcBorders>
              <w:bottom w:val="single" w:sz="8" w:color="auto"/>
            </w:tcBorders>
          </w:tcPr>
          <w:p>
            <w:pPr>
              <w:jc w:val="center"/>
              <w:ind w:left="268"/>
              <w:spacing w:after="0"/>
              <w:rPr>
                <w:sz w:val="20"/>
                <w:szCs w:val="20"/>
                <w:color w:val="auto"/>
              </w:rPr>
            </w:pPr>
            <w:r>
              <w:rPr>
                <w:rFonts w:ascii="Times New Roman" w:cs="Times New Roman" w:eastAsia="Times New Roman" w:hAnsi="Times New Roman"/>
                <w:sz w:val="14"/>
                <w:szCs w:val="14"/>
                <w:b w:val="1"/>
                <w:bCs w:val="1"/>
                <w:color w:val="auto"/>
                <w:w w:val="97"/>
              </w:rPr>
              <w:t>Value</w:t>
            </w:r>
          </w:p>
        </w:tc>
        <w:tc>
          <w:tcPr>
            <w:tcW w:w="3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center"/>
              <w:ind w:right="188"/>
              <w:spacing w:after="0"/>
              <w:rPr>
                <w:sz w:val="20"/>
                <w:szCs w:val="20"/>
                <w:color w:val="auto"/>
              </w:rPr>
            </w:pPr>
            <w:r>
              <w:rPr>
                <w:rFonts w:ascii="Times New Roman" w:cs="Times New Roman" w:eastAsia="Times New Roman" w:hAnsi="Times New Roman"/>
                <w:sz w:val="14"/>
                <w:szCs w:val="14"/>
                <w:b w:val="1"/>
                <w:bCs w:val="1"/>
                <w:color w:val="auto"/>
                <w:w w:val="99"/>
              </w:rPr>
              <w:t>Par Value</w:t>
            </w:r>
          </w:p>
        </w:tc>
        <w:tc>
          <w:tcPr>
            <w:tcW w:w="18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228"/>
              <w:spacing w:after="0"/>
              <w:rPr>
                <w:sz w:val="20"/>
                <w:szCs w:val="20"/>
                <w:color w:val="auto"/>
              </w:rPr>
            </w:pPr>
            <w:r>
              <w:rPr>
                <w:rFonts w:ascii="Times New Roman" w:cs="Times New Roman" w:eastAsia="Times New Roman" w:hAnsi="Times New Roman"/>
                <w:sz w:val="14"/>
                <w:szCs w:val="14"/>
                <w:b w:val="1"/>
                <w:bCs w:val="1"/>
                <w:color w:val="auto"/>
              </w:rPr>
              <w:t>Earnings</w:t>
            </w:r>
          </w:p>
        </w:tc>
        <w:tc>
          <w:tcPr>
            <w:tcW w:w="10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center"/>
              <w:ind w:right="148"/>
              <w:spacing w:after="0"/>
              <w:rPr>
                <w:sz w:val="20"/>
                <w:szCs w:val="20"/>
                <w:color w:val="auto"/>
              </w:rPr>
            </w:pPr>
            <w:r>
              <w:rPr>
                <w:rFonts w:ascii="Times New Roman" w:cs="Times New Roman" w:eastAsia="Times New Roman" w:hAnsi="Times New Roman"/>
                <w:sz w:val="14"/>
                <w:szCs w:val="14"/>
                <w:b w:val="1"/>
                <w:bCs w:val="1"/>
                <w:color w:val="auto"/>
              </w:rPr>
              <w:t>Loss</w:t>
            </w:r>
          </w:p>
        </w:tc>
        <w:tc>
          <w:tcPr>
            <w:tcW w:w="16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center"/>
              <w:ind w:right="128"/>
              <w:spacing w:after="0"/>
              <w:rPr>
                <w:sz w:val="20"/>
                <w:szCs w:val="20"/>
                <w:color w:val="auto"/>
              </w:rPr>
            </w:pPr>
            <w:r>
              <w:rPr>
                <w:rFonts w:ascii="Times New Roman" w:cs="Times New Roman" w:eastAsia="Times New Roman" w:hAnsi="Times New Roman"/>
                <w:sz w:val="14"/>
                <w:szCs w:val="14"/>
                <w:b w:val="1"/>
                <w:bCs w:val="1"/>
                <w:color w:val="auto"/>
              </w:rPr>
              <w:t>Stock</w:t>
            </w:r>
          </w:p>
        </w:tc>
        <w:tc>
          <w:tcPr>
            <w:tcW w:w="22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center"/>
              <w:ind w:right="188"/>
              <w:spacing w:after="0"/>
              <w:rPr>
                <w:sz w:val="20"/>
                <w:szCs w:val="20"/>
                <w:color w:val="auto"/>
              </w:rPr>
            </w:pPr>
            <w:r>
              <w:rPr>
                <w:rFonts w:ascii="Times New Roman" w:cs="Times New Roman" w:eastAsia="Times New Roman" w:hAnsi="Times New Roman"/>
                <w:sz w:val="14"/>
                <w:szCs w:val="14"/>
                <w:b w:val="1"/>
                <w:bCs w:val="1"/>
                <w:color w:val="auto"/>
                <w:w w:val="99"/>
              </w:rPr>
              <w:t>Interests</w:t>
            </w:r>
          </w:p>
        </w:tc>
        <w:tc>
          <w:tcPr>
            <w:tcW w:w="24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33"/>
        </w:trPr>
        <w:tc>
          <w:tcPr>
            <w:tcW w:w="2780" w:type="dxa"/>
            <w:vAlign w:val="bottom"/>
            <w:shd w:val="clear" w:color="auto" w:fill="CFF0FC"/>
          </w:tcPr>
          <w:p>
            <w:pPr>
              <w:ind w:left="20"/>
              <w:spacing w:after="0" w:line="133" w:lineRule="exact"/>
              <w:rPr>
                <w:sz w:val="20"/>
                <w:szCs w:val="20"/>
                <w:color w:val="auto"/>
              </w:rPr>
            </w:pPr>
            <w:r>
              <w:rPr>
                <w:rFonts w:ascii="Times New Roman" w:cs="Times New Roman" w:eastAsia="Times New Roman" w:hAnsi="Times New Roman"/>
                <w:sz w:val="14"/>
                <w:szCs w:val="14"/>
                <w:color w:val="auto"/>
              </w:rPr>
              <w:t>Balance, December 31, 2023</w:t>
            </w:r>
          </w:p>
        </w:tc>
        <w:tc>
          <w:tcPr>
            <w:tcW w:w="960" w:type="dxa"/>
            <w:vAlign w:val="bottom"/>
            <w:shd w:val="clear" w:color="auto" w:fill="CFF0FC"/>
          </w:tcPr>
          <w:p>
            <w:pPr>
              <w:jc w:val="right"/>
              <w:ind w:right="68"/>
              <w:spacing w:after="0" w:line="133" w:lineRule="exact"/>
              <w:rPr>
                <w:sz w:val="20"/>
                <w:szCs w:val="20"/>
                <w:color w:val="auto"/>
              </w:rPr>
            </w:pPr>
            <w:r>
              <w:rPr>
                <w:rFonts w:ascii="Times New Roman" w:cs="Times New Roman" w:eastAsia="Times New Roman" w:hAnsi="Times New Roman"/>
                <w:sz w:val="14"/>
                <w:szCs w:val="14"/>
                <w:color w:val="auto"/>
              </w:rPr>
              <w:t>118,387,64</w:t>
            </w:r>
          </w:p>
        </w:tc>
        <w:tc>
          <w:tcPr>
            <w:tcW w:w="720" w:type="dxa"/>
            <w:vAlign w:val="bottom"/>
            <w:vMerge w:val="restart"/>
            <w:shd w:val="clear" w:color="auto" w:fill="CFF0FC"/>
          </w:tcPr>
          <w:p>
            <w:pPr>
              <w:jc w:val="right"/>
              <w:ind w:right="428"/>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vMerge w:val="restart"/>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1.2</w:t>
            </w:r>
          </w:p>
        </w:tc>
        <w:tc>
          <w:tcPr>
            <w:tcW w:w="220" w:type="dxa"/>
            <w:vAlign w:val="bottom"/>
            <w:vMerge w:val="restart"/>
            <w:shd w:val="clear" w:color="auto" w:fill="CFF0FC"/>
          </w:tcPr>
          <w:p>
            <w:pPr>
              <w:ind w:left="140"/>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vMerge w:val="restart"/>
            <w:shd w:val="clear" w:color="auto" w:fill="CFF0FC"/>
          </w:tcPr>
          <w:p>
            <w:pPr>
              <w:jc w:val="right"/>
              <w:ind w:right="88"/>
              <w:spacing w:after="0"/>
              <w:rPr>
                <w:sz w:val="20"/>
                <w:szCs w:val="20"/>
                <w:color w:val="auto"/>
              </w:rPr>
            </w:pPr>
            <w:r>
              <w:rPr>
                <w:rFonts w:ascii="Times New Roman" w:cs="Times New Roman" w:eastAsia="Times New Roman" w:hAnsi="Times New Roman"/>
                <w:sz w:val="14"/>
                <w:szCs w:val="14"/>
                <w:color w:val="auto"/>
              </w:rPr>
              <w:t>3,514.9</w:t>
            </w:r>
          </w:p>
        </w:tc>
        <w:tc>
          <w:tcPr>
            <w:tcW w:w="1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vMerge w:val="restart"/>
            <w:shd w:val="clear" w:color="auto" w:fill="CFF0FC"/>
          </w:tcPr>
          <w:p>
            <w:pPr>
              <w:jc w:val="right"/>
              <w:ind w:right="148"/>
              <w:spacing w:after="0"/>
              <w:rPr>
                <w:sz w:val="20"/>
                <w:szCs w:val="20"/>
                <w:color w:val="auto"/>
              </w:rPr>
            </w:pPr>
            <w:r>
              <w:rPr>
                <w:rFonts w:ascii="Times New Roman" w:cs="Times New Roman" w:eastAsia="Times New Roman" w:hAnsi="Times New Roman"/>
                <w:sz w:val="14"/>
                <w:szCs w:val="14"/>
                <w:color w:val="auto"/>
              </w:rPr>
              <w:t>3,813.0</w:t>
            </w:r>
          </w:p>
        </w:tc>
        <w:tc>
          <w:tcPr>
            <w:tcW w:w="1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vMerge w:val="restart"/>
            <w:shd w:val="clear" w:color="auto" w:fill="CFF0FC"/>
          </w:tcPr>
          <w:p>
            <w:pPr>
              <w:jc w:val="right"/>
              <w:ind w:right="8"/>
              <w:spacing w:after="0"/>
              <w:rPr>
                <w:sz w:val="20"/>
                <w:szCs w:val="20"/>
                <w:color w:val="auto"/>
              </w:rPr>
            </w:pPr>
            <w:r>
              <w:rPr>
                <w:rFonts w:ascii="Times New Roman" w:cs="Times New Roman" w:eastAsia="Times New Roman" w:hAnsi="Times New Roman"/>
                <w:sz w:val="14"/>
                <w:szCs w:val="14"/>
                <w:color w:val="auto"/>
              </w:rPr>
              <w:t>(466.0 )</w:t>
            </w:r>
          </w:p>
        </w:tc>
        <w:tc>
          <w:tcPr>
            <w:tcW w:w="1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(4,639.8 )</w:t>
            </w:r>
          </w:p>
        </w:tc>
        <w:tc>
          <w:tcPr>
            <w:tcW w:w="220" w:type="dxa"/>
            <w:vAlign w:val="bottom"/>
            <w:vMerge w:val="restart"/>
            <w:shd w:val="clear" w:color="auto" w:fill="CFF0FC"/>
          </w:tcPr>
          <w:p>
            <w:pPr>
              <w:ind w:left="12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vMerge w:val="restart"/>
            <w:shd w:val="clear" w:color="auto" w:fill="CFF0FC"/>
          </w:tcPr>
          <w:p>
            <w:pPr>
              <w:jc w:val="right"/>
              <w:ind w:right="88"/>
              <w:spacing w:after="0"/>
              <w:rPr>
                <w:sz w:val="20"/>
                <w:szCs w:val="20"/>
                <w:color w:val="auto"/>
              </w:rPr>
            </w:pPr>
            <w:r>
              <w:rPr>
                <w:rFonts w:ascii="Times New Roman" w:cs="Times New Roman" w:eastAsia="Times New Roman" w:hAnsi="Times New Roman"/>
                <w:sz w:val="14"/>
                <w:szCs w:val="14"/>
                <w:color w:val="auto"/>
              </w:rPr>
              <w:t>10.8</w:t>
            </w:r>
          </w:p>
        </w:tc>
        <w:tc>
          <w:tcPr>
            <w:tcW w:w="240" w:type="dxa"/>
            <w:vAlign w:val="bottom"/>
            <w:vMerge w:val="restart"/>
            <w:shd w:val="clear" w:color="auto" w:fill="CFF0FC"/>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vMerge w:val="restart"/>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2,234.1</w:t>
            </w:r>
          </w:p>
        </w:tc>
        <w:tc>
          <w:tcPr>
            <w:tcW w:w="0" w:type="dxa"/>
            <w:vAlign w:val="bottom"/>
          </w:tcPr>
          <w:p>
            <w:pPr>
              <w:spacing w:after="0"/>
              <w:rPr>
                <w:sz w:val="1"/>
                <w:szCs w:val="1"/>
                <w:color w:val="auto"/>
              </w:rPr>
            </w:pPr>
          </w:p>
        </w:tc>
      </w:tr>
      <w:tr>
        <w:trPr>
          <w:trHeight w:val="185"/>
        </w:trPr>
        <w:tc>
          <w:tcPr>
            <w:tcW w:w="2780" w:type="dxa"/>
            <w:vAlign w:val="bottom"/>
            <w:shd w:val="clear" w:color="auto" w:fill="CFF0FC"/>
          </w:tcPr>
          <w:p>
            <w:pPr>
              <w:spacing w:after="0"/>
              <w:rPr>
                <w:sz w:val="16"/>
                <w:szCs w:val="16"/>
                <w:color w:val="auto"/>
              </w:rPr>
            </w:pPr>
          </w:p>
        </w:tc>
        <w:tc>
          <w:tcPr>
            <w:tcW w:w="96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1</w:t>
            </w:r>
          </w:p>
        </w:tc>
        <w:tc>
          <w:tcPr>
            <w:tcW w:w="720" w:type="dxa"/>
            <w:vAlign w:val="bottom"/>
            <w:vMerge w:val="continue"/>
            <w:shd w:val="clear" w:color="auto" w:fill="CFF0FC"/>
          </w:tcPr>
          <w:p>
            <w:pPr>
              <w:spacing w:after="0"/>
              <w:rPr>
                <w:sz w:val="16"/>
                <w:szCs w:val="16"/>
                <w:color w:val="auto"/>
              </w:rPr>
            </w:pPr>
          </w:p>
        </w:tc>
        <w:tc>
          <w:tcPr>
            <w:tcW w:w="320" w:type="dxa"/>
            <w:vAlign w:val="bottom"/>
            <w:vMerge w:val="continue"/>
            <w:shd w:val="clear" w:color="auto" w:fill="CFF0FC"/>
          </w:tcPr>
          <w:p>
            <w:pPr>
              <w:spacing w:after="0"/>
              <w:rPr>
                <w:sz w:val="16"/>
                <w:szCs w:val="16"/>
                <w:color w:val="auto"/>
              </w:rPr>
            </w:pPr>
          </w:p>
        </w:tc>
        <w:tc>
          <w:tcPr>
            <w:tcW w:w="220" w:type="dxa"/>
            <w:vAlign w:val="bottom"/>
            <w:vMerge w:val="continue"/>
            <w:shd w:val="clear" w:color="auto" w:fill="CFF0FC"/>
          </w:tcPr>
          <w:p>
            <w:pPr>
              <w:spacing w:after="0"/>
              <w:rPr>
                <w:sz w:val="16"/>
                <w:szCs w:val="16"/>
                <w:color w:val="auto"/>
              </w:rPr>
            </w:pPr>
          </w:p>
        </w:tc>
        <w:tc>
          <w:tcPr>
            <w:tcW w:w="860" w:type="dxa"/>
            <w:vAlign w:val="bottom"/>
            <w:vMerge w:val="continue"/>
            <w:shd w:val="clear" w:color="auto" w:fill="CFF0FC"/>
          </w:tcPr>
          <w:p>
            <w:pPr>
              <w:spacing w:after="0"/>
              <w:rPr>
                <w:sz w:val="16"/>
                <w:szCs w:val="16"/>
                <w:color w:val="auto"/>
              </w:rPr>
            </w:pPr>
          </w:p>
        </w:tc>
        <w:tc>
          <w:tcPr>
            <w:tcW w:w="180" w:type="dxa"/>
            <w:vAlign w:val="bottom"/>
            <w:vMerge w:val="continue"/>
            <w:shd w:val="clear" w:color="auto" w:fill="CFF0FC"/>
          </w:tcPr>
          <w:p>
            <w:pPr>
              <w:spacing w:after="0"/>
              <w:rPr>
                <w:sz w:val="16"/>
                <w:szCs w:val="16"/>
                <w:color w:val="auto"/>
              </w:rPr>
            </w:pPr>
          </w:p>
        </w:tc>
        <w:tc>
          <w:tcPr>
            <w:tcW w:w="880" w:type="dxa"/>
            <w:vAlign w:val="bottom"/>
            <w:vMerge w:val="continue"/>
            <w:shd w:val="clear" w:color="auto" w:fill="CFF0FC"/>
          </w:tcPr>
          <w:p>
            <w:pPr>
              <w:spacing w:after="0"/>
              <w:rPr>
                <w:sz w:val="16"/>
                <w:szCs w:val="16"/>
                <w:color w:val="auto"/>
              </w:rPr>
            </w:pPr>
          </w:p>
        </w:tc>
        <w:tc>
          <w:tcPr>
            <w:tcW w:w="100" w:type="dxa"/>
            <w:vAlign w:val="bottom"/>
            <w:vMerge w:val="continue"/>
            <w:shd w:val="clear" w:color="auto" w:fill="CFF0FC"/>
          </w:tcPr>
          <w:p>
            <w:pPr>
              <w:spacing w:after="0"/>
              <w:rPr>
                <w:sz w:val="16"/>
                <w:szCs w:val="16"/>
                <w:color w:val="auto"/>
              </w:rPr>
            </w:pPr>
          </w:p>
        </w:tc>
        <w:tc>
          <w:tcPr>
            <w:tcW w:w="1220" w:type="dxa"/>
            <w:vAlign w:val="bottom"/>
            <w:vMerge w:val="continue"/>
            <w:shd w:val="clear" w:color="auto" w:fill="CFF0FC"/>
          </w:tcPr>
          <w:p>
            <w:pPr>
              <w:spacing w:after="0"/>
              <w:rPr>
                <w:sz w:val="16"/>
                <w:szCs w:val="16"/>
                <w:color w:val="auto"/>
              </w:rPr>
            </w:pPr>
          </w:p>
        </w:tc>
        <w:tc>
          <w:tcPr>
            <w:tcW w:w="160" w:type="dxa"/>
            <w:vAlign w:val="bottom"/>
            <w:vMerge w:val="continue"/>
            <w:shd w:val="clear" w:color="auto" w:fill="CFF0FC"/>
          </w:tcPr>
          <w:p>
            <w:pPr>
              <w:spacing w:after="0"/>
              <w:rPr>
                <w:sz w:val="16"/>
                <w:szCs w:val="16"/>
                <w:color w:val="auto"/>
              </w:rPr>
            </w:pPr>
          </w:p>
        </w:tc>
        <w:tc>
          <w:tcPr>
            <w:tcW w:w="780" w:type="dxa"/>
            <w:vAlign w:val="bottom"/>
            <w:vMerge w:val="continue"/>
            <w:shd w:val="clear" w:color="auto" w:fill="CFF0FC"/>
          </w:tcPr>
          <w:p>
            <w:pPr>
              <w:spacing w:after="0"/>
              <w:rPr>
                <w:sz w:val="16"/>
                <w:szCs w:val="16"/>
                <w:color w:val="auto"/>
              </w:rPr>
            </w:pPr>
          </w:p>
        </w:tc>
        <w:tc>
          <w:tcPr>
            <w:tcW w:w="220" w:type="dxa"/>
            <w:vAlign w:val="bottom"/>
            <w:vMerge w:val="continue"/>
            <w:shd w:val="clear" w:color="auto" w:fill="CFF0FC"/>
          </w:tcPr>
          <w:p>
            <w:pPr>
              <w:spacing w:after="0"/>
              <w:rPr>
                <w:sz w:val="16"/>
                <w:szCs w:val="16"/>
                <w:color w:val="auto"/>
              </w:rPr>
            </w:pPr>
          </w:p>
        </w:tc>
        <w:tc>
          <w:tcPr>
            <w:tcW w:w="820" w:type="dxa"/>
            <w:vAlign w:val="bottom"/>
            <w:vMerge w:val="continue"/>
            <w:shd w:val="clear" w:color="auto" w:fill="CFF0FC"/>
          </w:tcPr>
          <w:p>
            <w:pPr>
              <w:spacing w:after="0"/>
              <w:rPr>
                <w:sz w:val="16"/>
                <w:szCs w:val="16"/>
                <w:color w:val="auto"/>
              </w:rPr>
            </w:pPr>
          </w:p>
        </w:tc>
        <w:tc>
          <w:tcPr>
            <w:tcW w:w="240" w:type="dxa"/>
            <w:vAlign w:val="bottom"/>
            <w:vMerge w:val="continue"/>
            <w:shd w:val="clear" w:color="auto" w:fill="CFF0FC"/>
          </w:tcPr>
          <w:p>
            <w:pPr>
              <w:spacing w:after="0"/>
              <w:rPr>
                <w:sz w:val="16"/>
                <w:szCs w:val="16"/>
                <w:color w:val="auto"/>
              </w:rPr>
            </w:pPr>
          </w:p>
        </w:tc>
        <w:tc>
          <w:tcPr>
            <w:tcW w:w="780" w:type="dxa"/>
            <w:vAlign w:val="bottom"/>
            <w:vMerge w:val="continue"/>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278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Net earnings</w:t>
            </w:r>
          </w:p>
        </w:tc>
        <w:tc>
          <w:tcPr>
            <w:tcW w:w="9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80" w:type="dxa"/>
            <w:vAlign w:val="bottom"/>
          </w:tcPr>
          <w:p>
            <w:pPr>
              <w:jc w:val="right"/>
              <w:ind w:right="148"/>
              <w:spacing w:after="0"/>
              <w:rPr>
                <w:sz w:val="20"/>
                <w:szCs w:val="20"/>
                <w:color w:val="auto"/>
              </w:rPr>
            </w:pPr>
            <w:r>
              <w:rPr>
                <w:rFonts w:ascii="Times New Roman" w:cs="Times New Roman" w:eastAsia="Times New Roman" w:hAnsi="Times New Roman"/>
                <w:sz w:val="14"/>
                <w:szCs w:val="14"/>
                <w:color w:val="auto"/>
              </w:rPr>
              <w:t>39.7</w:t>
            </w:r>
          </w:p>
        </w:tc>
        <w:tc>
          <w:tcPr>
            <w:tcW w:w="10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39.7</w:t>
            </w:r>
          </w:p>
        </w:tc>
        <w:tc>
          <w:tcPr>
            <w:tcW w:w="0" w:type="dxa"/>
            <w:vAlign w:val="bottom"/>
          </w:tcPr>
          <w:p>
            <w:pPr>
              <w:spacing w:after="0"/>
              <w:rPr>
                <w:sz w:val="1"/>
                <w:szCs w:val="1"/>
                <w:color w:val="auto"/>
              </w:rPr>
            </w:pPr>
          </w:p>
        </w:tc>
      </w:tr>
      <w:tr>
        <w:trPr>
          <w:trHeight w:val="175"/>
        </w:trPr>
        <w:tc>
          <w:tcPr>
            <w:tcW w:w="27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4"/>
                <w:szCs w:val="14"/>
                <w:color w:val="auto"/>
              </w:rPr>
              <w:t>Other comprehensive loss</w:t>
            </w:r>
          </w:p>
        </w:tc>
        <w:tc>
          <w:tcPr>
            <w:tcW w:w="960" w:type="dxa"/>
            <w:vAlign w:val="bottom"/>
            <w:shd w:val="clear" w:color="auto" w:fill="CFF0FC"/>
          </w:tcPr>
          <w:p>
            <w:pPr>
              <w:spacing w:after="0"/>
              <w:rPr>
                <w:sz w:val="15"/>
                <w:szCs w:val="15"/>
                <w:color w:val="auto"/>
              </w:rPr>
            </w:pPr>
          </w:p>
        </w:tc>
        <w:tc>
          <w:tcPr>
            <w:tcW w:w="720" w:type="dxa"/>
            <w:vAlign w:val="bottom"/>
            <w:shd w:val="clear" w:color="auto" w:fill="CFF0FC"/>
          </w:tcPr>
          <w:p>
            <w:pPr>
              <w:spacing w:after="0"/>
              <w:rPr>
                <w:sz w:val="15"/>
                <w:szCs w:val="15"/>
                <w:color w:val="auto"/>
              </w:rPr>
            </w:pPr>
          </w:p>
        </w:tc>
        <w:tc>
          <w:tcPr>
            <w:tcW w:w="32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86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8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220" w:type="dxa"/>
            <w:vAlign w:val="bottom"/>
            <w:shd w:val="clear" w:color="auto" w:fill="CFF0FC"/>
          </w:tcPr>
          <w:p>
            <w:pPr>
              <w:jc w:val="right"/>
              <w:ind w:right="8"/>
              <w:spacing w:after="0"/>
              <w:rPr>
                <w:sz w:val="20"/>
                <w:szCs w:val="20"/>
                <w:color w:val="auto"/>
              </w:rPr>
            </w:pPr>
            <w:r>
              <w:rPr>
                <w:rFonts w:ascii="Times New Roman" w:cs="Times New Roman" w:eastAsia="Times New Roman" w:hAnsi="Times New Roman"/>
                <w:sz w:val="14"/>
                <w:szCs w:val="14"/>
                <w:color w:val="auto"/>
              </w:rPr>
              <w:t>(29.5 )</w:t>
            </w:r>
          </w:p>
        </w:tc>
        <w:tc>
          <w:tcPr>
            <w:tcW w:w="160" w:type="dxa"/>
            <w:vAlign w:val="bottom"/>
            <w:shd w:val="clear" w:color="auto" w:fill="CFF0FC"/>
          </w:tcPr>
          <w:p>
            <w:pPr>
              <w:spacing w:after="0"/>
              <w:rPr>
                <w:sz w:val="15"/>
                <w:szCs w:val="15"/>
                <w:color w:val="auto"/>
              </w:rPr>
            </w:pPr>
          </w:p>
        </w:tc>
        <w:tc>
          <w:tcPr>
            <w:tcW w:w="78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82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(29.5 )</w:t>
            </w:r>
          </w:p>
        </w:tc>
        <w:tc>
          <w:tcPr>
            <w:tcW w:w="0" w:type="dxa"/>
            <w:vAlign w:val="bottom"/>
          </w:tcPr>
          <w:p>
            <w:pPr>
              <w:spacing w:after="0"/>
              <w:rPr>
                <w:sz w:val="1"/>
                <w:szCs w:val="1"/>
                <w:color w:val="auto"/>
              </w:rPr>
            </w:pPr>
          </w:p>
        </w:tc>
      </w:tr>
      <w:tr>
        <w:trPr>
          <w:trHeight w:val="176"/>
        </w:trPr>
        <w:tc>
          <w:tcPr>
            <w:tcW w:w="278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Issuances under equity plans</w:t>
            </w:r>
          </w:p>
        </w:tc>
        <w:tc>
          <w:tcPr>
            <w:tcW w:w="96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420,210</w:t>
            </w:r>
          </w:p>
        </w:tc>
        <w:tc>
          <w:tcPr>
            <w:tcW w:w="7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(10.3 )</w:t>
            </w:r>
          </w:p>
        </w:tc>
        <w:tc>
          <w:tcPr>
            <w:tcW w:w="2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(10.3 )</w:t>
            </w:r>
          </w:p>
        </w:tc>
        <w:tc>
          <w:tcPr>
            <w:tcW w:w="0" w:type="dxa"/>
            <w:vAlign w:val="bottom"/>
          </w:tcPr>
          <w:p>
            <w:pPr>
              <w:spacing w:after="0"/>
              <w:rPr>
                <w:sz w:val="1"/>
                <w:szCs w:val="1"/>
                <w:color w:val="auto"/>
              </w:rPr>
            </w:pPr>
          </w:p>
        </w:tc>
      </w:tr>
      <w:tr>
        <w:trPr>
          <w:trHeight w:val="175"/>
        </w:trPr>
        <w:tc>
          <w:tcPr>
            <w:tcW w:w="27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4"/>
                <w:szCs w:val="14"/>
                <w:color w:val="auto"/>
              </w:rPr>
              <w:t>Share-based compensation expense</w:t>
            </w:r>
          </w:p>
        </w:tc>
        <w:tc>
          <w:tcPr>
            <w:tcW w:w="960" w:type="dxa"/>
            <w:vAlign w:val="bottom"/>
            <w:shd w:val="clear" w:color="auto" w:fill="CFF0FC"/>
          </w:tcPr>
          <w:p>
            <w:pPr>
              <w:spacing w:after="0"/>
              <w:rPr>
                <w:sz w:val="15"/>
                <w:szCs w:val="15"/>
                <w:color w:val="auto"/>
              </w:rPr>
            </w:pPr>
          </w:p>
        </w:tc>
        <w:tc>
          <w:tcPr>
            <w:tcW w:w="720" w:type="dxa"/>
            <w:vAlign w:val="bottom"/>
            <w:shd w:val="clear" w:color="auto" w:fill="CFF0FC"/>
          </w:tcPr>
          <w:p>
            <w:pPr>
              <w:spacing w:after="0"/>
              <w:rPr>
                <w:sz w:val="15"/>
                <w:szCs w:val="15"/>
                <w:color w:val="auto"/>
              </w:rPr>
            </w:pPr>
          </w:p>
        </w:tc>
        <w:tc>
          <w:tcPr>
            <w:tcW w:w="32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860" w:type="dxa"/>
            <w:vAlign w:val="bottom"/>
            <w:shd w:val="clear" w:color="auto" w:fill="CFF0FC"/>
          </w:tcPr>
          <w:p>
            <w:pPr>
              <w:jc w:val="right"/>
              <w:ind w:right="88"/>
              <w:spacing w:after="0"/>
              <w:rPr>
                <w:sz w:val="20"/>
                <w:szCs w:val="20"/>
                <w:color w:val="auto"/>
              </w:rPr>
            </w:pPr>
            <w:r>
              <w:rPr>
                <w:rFonts w:ascii="Times New Roman" w:cs="Times New Roman" w:eastAsia="Times New Roman" w:hAnsi="Times New Roman"/>
                <w:sz w:val="14"/>
                <w:szCs w:val="14"/>
                <w:color w:val="auto"/>
              </w:rPr>
              <w:t>7.5</w:t>
            </w:r>
          </w:p>
        </w:tc>
        <w:tc>
          <w:tcPr>
            <w:tcW w:w="180" w:type="dxa"/>
            <w:vAlign w:val="bottom"/>
            <w:shd w:val="clear" w:color="auto" w:fill="CFF0FC"/>
          </w:tcPr>
          <w:p>
            <w:pPr>
              <w:spacing w:after="0"/>
              <w:rPr>
                <w:sz w:val="15"/>
                <w:szCs w:val="15"/>
                <w:color w:val="auto"/>
              </w:rPr>
            </w:pPr>
          </w:p>
        </w:tc>
        <w:tc>
          <w:tcPr>
            <w:tcW w:w="8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22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78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82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78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7.5</w:t>
            </w:r>
          </w:p>
        </w:tc>
        <w:tc>
          <w:tcPr>
            <w:tcW w:w="0" w:type="dxa"/>
            <w:vAlign w:val="bottom"/>
          </w:tcPr>
          <w:p>
            <w:pPr>
              <w:spacing w:after="0"/>
              <w:rPr>
                <w:sz w:val="1"/>
                <w:szCs w:val="1"/>
                <w:color w:val="auto"/>
              </w:rPr>
            </w:pPr>
          </w:p>
        </w:tc>
      </w:tr>
      <w:tr>
        <w:trPr>
          <w:trHeight w:val="139"/>
        </w:trPr>
        <w:tc>
          <w:tcPr>
            <w:tcW w:w="2780" w:type="dxa"/>
            <w:vAlign w:val="bottom"/>
          </w:tcPr>
          <w:p>
            <w:pPr>
              <w:ind w:left="200"/>
              <w:spacing w:after="0" w:line="139" w:lineRule="exact"/>
              <w:rPr>
                <w:sz w:val="20"/>
                <w:szCs w:val="20"/>
                <w:color w:val="auto"/>
              </w:rPr>
            </w:pPr>
            <w:r>
              <w:rPr>
                <w:rFonts w:ascii="Times New Roman" w:cs="Times New Roman" w:eastAsia="Times New Roman" w:hAnsi="Times New Roman"/>
                <w:sz w:val="14"/>
                <w:szCs w:val="14"/>
                <w:color w:val="auto"/>
              </w:rPr>
              <w:t>Repurchases of common stock, including</w:t>
            </w:r>
          </w:p>
        </w:tc>
        <w:tc>
          <w:tcPr>
            <w:tcW w:w="9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(50.3 )</w:t>
            </w:r>
          </w:p>
        </w:tc>
        <w:tc>
          <w:tcPr>
            <w:tcW w:w="2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(50.3 )</w:t>
            </w:r>
          </w:p>
        </w:tc>
        <w:tc>
          <w:tcPr>
            <w:tcW w:w="0" w:type="dxa"/>
            <w:vAlign w:val="bottom"/>
          </w:tcPr>
          <w:p>
            <w:pPr>
              <w:spacing w:after="0"/>
              <w:rPr>
                <w:sz w:val="1"/>
                <w:szCs w:val="1"/>
                <w:color w:val="auto"/>
              </w:rPr>
            </w:pPr>
          </w:p>
        </w:tc>
      </w:tr>
      <w:tr>
        <w:trPr>
          <w:trHeight w:val="185"/>
        </w:trPr>
        <w:tc>
          <w:tcPr>
            <w:tcW w:w="278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excise tax</w:t>
            </w:r>
          </w:p>
        </w:tc>
        <w:tc>
          <w:tcPr>
            <w:tcW w:w="9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8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2780" w:type="dxa"/>
            <w:vAlign w:val="bottom"/>
            <w:tcBorders>
              <w:bottom w:val="single" w:sz="8" w:color="auto"/>
            </w:tcBorders>
            <w:shd w:val="clear" w:color="auto" w:fill="CFF0FC"/>
          </w:tcPr>
          <w:p>
            <w:pPr>
              <w:ind w:left="200"/>
              <w:spacing w:after="0"/>
              <w:rPr>
                <w:sz w:val="20"/>
                <w:szCs w:val="20"/>
                <w:color w:val="auto"/>
              </w:rPr>
            </w:pPr>
            <w:r>
              <w:rPr>
                <w:rFonts w:ascii="Times New Roman" w:cs="Times New Roman" w:eastAsia="Times New Roman" w:hAnsi="Times New Roman"/>
                <w:sz w:val="14"/>
                <w:szCs w:val="14"/>
                <w:color w:val="auto"/>
              </w:rPr>
              <w:t>Noncontrolling interest transactions</w:t>
            </w:r>
          </w:p>
        </w:tc>
        <w:tc>
          <w:tcPr>
            <w:tcW w:w="960" w:type="dxa"/>
            <w:vAlign w:val="bottom"/>
            <w:tcBorders>
              <w:bottom w:val="single" w:sz="8" w:color="auto"/>
            </w:tcBorders>
            <w:shd w:val="clear" w:color="auto" w:fill="CFF0FC"/>
          </w:tcPr>
          <w:p>
            <w:pPr>
              <w:spacing w:after="0"/>
              <w:rPr>
                <w:sz w:val="15"/>
                <w:szCs w:val="15"/>
                <w:color w:val="auto"/>
              </w:rPr>
            </w:pPr>
          </w:p>
        </w:tc>
        <w:tc>
          <w:tcPr>
            <w:tcW w:w="720" w:type="dxa"/>
            <w:vAlign w:val="bottom"/>
            <w:tcBorders>
              <w:bottom w:val="single" w:sz="8" w:color="auto"/>
            </w:tcBorders>
            <w:shd w:val="clear" w:color="auto" w:fill="CFF0FC"/>
          </w:tcPr>
          <w:p>
            <w:pPr>
              <w:spacing w:after="0"/>
              <w:rPr>
                <w:sz w:val="15"/>
                <w:szCs w:val="15"/>
                <w:color w:val="auto"/>
              </w:rPr>
            </w:pPr>
          </w:p>
        </w:tc>
        <w:tc>
          <w:tcPr>
            <w:tcW w:w="320" w:type="dxa"/>
            <w:vAlign w:val="bottom"/>
            <w:tcBorders>
              <w:bottom w:val="single" w:sz="8" w:color="auto"/>
            </w:tcBorders>
            <w:shd w:val="clear" w:color="auto" w:fill="CFF0FC"/>
          </w:tcPr>
          <w:p>
            <w:pPr>
              <w:spacing w:after="0"/>
              <w:rPr>
                <w:sz w:val="15"/>
                <w:szCs w:val="15"/>
                <w:color w:val="auto"/>
              </w:rPr>
            </w:pPr>
          </w:p>
        </w:tc>
        <w:tc>
          <w:tcPr>
            <w:tcW w:w="220" w:type="dxa"/>
            <w:vAlign w:val="bottom"/>
            <w:tcBorders>
              <w:bottom w:val="single" w:sz="8" w:color="auto"/>
            </w:tcBorders>
            <w:shd w:val="clear" w:color="auto" w:fill="CFF0FC"/>
          </w:tcPr>
          <w:p>
            <w:pPr>
              <w:spacing w:after="0"/>
              <w:rPr>
                <w:sz w:val="15"/>
                <w:szCs w:val="15"/>
                <w:color w:val="auto"/>
              </w:rPr>
            </w:pPr>
          </w:p>
        </w:tc>
        <w:tc>
          <w:tcPr>
            <w:tcW w:w="860" w:type="dxa"/>
            <w:vAlign w:val="bottom"/>
            <w:tcBorders>
              <w:bottom w:val="single" w:sz="8" w:color="auto"/>
            </w:tcBorders>
            <w:shd w:val="clear" w:color="auto" w:fill="CFF0FC"/>
          </w:tcPr>
          <w:p>
            <w:pPr>
              <w:jc w:val="right"/>
              <w:ind w:right="28"/>
              <w:spacing w:after="0"/>
              <w:rPr>
                <w:sz w:val="20"/>
                <w:szCs w:val="20"/>
                <w:color w:val="auto"/>
              </w:rPr>
            </w:pPr>
            <w:r>
              <w:rPr>
                <w:rFonts w:ascii="Times New Roman" w:cs="Times New Roman" w:eastAsia="Times New Roman" w:hAnsi="Times New Roman"/>
                <w:sz w:val="14"/>
                <w:szCs w:val="14"/>
                <w:color w:val="auto"/>
              </w:rPr>
              <w:t>(3.7 )</w:t>
            </w:r>
          </w:p>
        </w:tc>
        <w:tc>
          <w:tcPr>
            <w:tcW w:w="180" w:type="dxa"/>
            <w:vAlign w:val="bottom"/>
            <w:tcBorders>
              <w:bottom w:val="single" w:sz="8" w:color="auto"/>
            </w:tcBorders>
            <w:shd w:val="clear" w:color="auto" w:fill="CFF0FC"/>
          </w:tcPr>
          <w:p>
            <w:pPr>
              <w:spacing w:after="0"/>
              <w:rPr>
                <w:sz w:val="15"/>
                <w:szCs w:val="15"/>
                <w:color w:val="auto"/>
              </w:rPr>
            </w:pPr>
          </w:p>
        </w:tc>
        <w:tc>
          <w:tcPr>
            <w:tcW w:w="880" w:type="dxa"/>
            <w:vAlign w:val="bottom"/>
            <w:tcBorders>
              <w:bottom w:val="single" w:sz="8" w:color="auto"/>
            </w:tcBorders>
            <w:shd w:val="clear" w:color="auto" w:fill="CFF0FC"/>
          </w:tcPr>
          <w:p>
            <w:pPr>
              <w:spacing w:after="0"/>
              <w:rPr>
                <w:sz w:val="15"/>
                <w:szCs w:val="15"/>
                <w:color w:val="auto"/>
              </w:rPr>
            </w:pPr>
          </w:p>
        </w:tc>
        <w:tc>
          <w:tcPr>
            <w:tcW w:w="100" w:type="dxa"/>
            <w:vAlign w:val="bottom"/>
            <w:tcBorders>
              <w:bottom w:val="single" w:sz="8" w:color="auto"/>
            </w:tcBorders>
            <w:shd w:val="clear" w:color="auto" w:fill="CFF0FC"/>
          </w:tcPr>
          <w:p>
            <w:pPr>
              <w:spacing w:after="0"/>
              <w:rPr>
                <w:sz w:val="15"/>
                <w:szCs w:val="15"/>
                <w:color w:val="auto"/>
              </w:rPr>
            </w:pPr>
          </w:p>
        </w:tc>
        <w:tc>
          <w:tcPr>
            <w:tcW w:w="1220" w:type="dxa"/>
            <w:vAlign w:val="bottom"/>
            <w:tcBorders>
              <w:bottom w:val="single" w:sz="8" w:color="auto"/>
            </w:tcBorders>
            <w:shd w:val="clear" w:color="auto" w:fill="CFF0FC"/>
          </w:tcPr>
          <w:p>
            <w:pPr>
              <w:spacing w:after="0"/>
              <w:rPr>
                <w:sz w:val="15"/>
                <w:szCs w:val="15"/>
                <w:color w:val="auto"/>
              </w:rPr>
            </w:pPr>
          </w:p>
        </w:tc>
        <w:tc>
          <w:tcPr>
            <w:tcW w:w="160" w:type="dxa"/>
            <w:vAlign w:val="bottom"/>
            <w:tcBorders>
              <w:bottom w:val="single" w:sz="8" w:color="auto"/>
            </w:tcBorders>
            <w:shd w:val="clear" w:color="auto" w:fill="CFF0FC"/>
          </w:tcPr>
          <w:p>
            <w:pPr>
              <w:spacing w:after="0"/>
              <w:rPr>
                <w:sz w:val="15"/>
                <w:szCs w:val="15"/>
                <w:color w:val="auto"/>
              </w:rPr>
            </w:pPr>
          </w:p>
        </w:tc>
        <w:tc>
          <w:tcPr>
            <w:tcW w:w="780" w:type="dxa"/>
            <w:vAlign w:val="bottom"/>
            <w:tcBorders>
              <w:bottom w:val="single" w:sz="8" w:color="auto"/>
            </w:tcBorders>
            <w:shd w:val="clear" w:color="auto" w:fill="CFF0FC"/>
          </w:tcPr>
          <w:p>
            <w:pPr>
              <w:spacing w:after="0"/>
              <w:rPr>
                <w:sz w:val="15"/>
                <w:szCs w:val="15"/>
                <w:color w:val="auto"/>
              </w:rPr>
            </w:pPr>
          </w:p>
        </w:tc>
        <w:tc>
          <w:tcPr>
            <w:tcW w:w="220" w:type="dxa"/>
            <w:vAlign w:val="bottom"/>
            <w:tcBorders>
              <w:bottom w:val="single" w:sz="8" w:color="auto"/>
            </w:tcBorders>
            <w:shd w:val="clear" w:color="auto" w:fill="CFF0FC"/>
          </w:tcPr>
          <w:p>
            <w:pPr>
              <w:spacing w:after="0"/>
              <w:rPr>
                <w:sz w:val="15"/>
                <w:szCs w:val="15"/>
                <w:color w:val="auto"/>
              </w:rPr>
            </w:pPr>
          </w:p>
        </w:tc>
        <w:tc>
          <w:tcPr>
            <w:tcW w:w="820" w:type="dxa"/>
            <w:vAlign w:val="bottom"/>
            <w:tcBorders>
              <w:bottom w:val="single" w:sz="8" w:color="auto"/>
            </w:tcBorders>
            <w:shd w:val="clear" w:color="auto" w:fill="CFF0FC"/>
          </w:tcPr>
          <w:p>
            <w:pPr>
              <w:jc w:val="right"/>
              <w:ind w:right="88"/>
              <w:spacing w:after="0"/>
              <w:rPr>
                <w:sz w:val="20"/>
                <w:szCs w:val="20"/>
                <w:color w:val="auto"/>
              </w:rPr>
            </w:pPr>
            <w:r>
              <w:rPr>
                <w:rFonts w:ascii="Times New Roman" w:cs="Times New Roman" w:eastAsia="Times New Roman" w:hAnsi="Times New Roman"/>
                <w:sz w:val="14"/>
                <w:szCs w:val="14"/>
                <w:color w:val="auto"/>
              </w:rPr>
              <w:t>0.2</w:t>
            </w:r>
          </w:p>
        </w:tc>
        <w:tc>
          <w:tcPr>
            <w:tcW w:w="240" w:type="dxa"/>
            <w:vAlign w:val="bottom"/>
            <w:tcBorders>
              <w:bottom w:val="single" w:sz="8" w:color="auto"/>
            </w:tcBorders>
            <w:shd w:val="clear" w:color="auto" w:fill="CFF0FC"/>
          </w:tcPr>
          <w:p>
            <w:pPr>
              <w:spacing w:after="0"/>
              <w:rPr>
                <w:sz w:val="15"/>
                <w:szCs w:val="15"/>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(3.5 )</w:t>
            </w:r>
          </w:p>
        </w:tc>
        <w:tc>
          <w:tcPr>
            <w:tcW w:w="0" w:type="dxa"/>
            <w:vAlign w:val="bottom"/>
          </w:tcPr>
          <w:p>
            <w:pPr>
              <w:spacing w:after="0"/>
              <w:rPr>
                <w:sz w:val="1"/>
                <w:szCs w:val="1"/>
                <w:color w:val="auto"/>
              </w:rPr>
            </w:pPr>
          </w:p>
        </w:tc>
      </w:tr>
      <w:tr>
        <w:trPr>
          <w:trHeight w:val="133"/>
        </w:trPr>
        <w:tc>
          <w:tcPr>
            <w:tcW w:w="2780" w:type="dxa"/>
            <w:vAlign w:val="bottom"/>
          </w:tcPr>
          <w:p>
            <w:pPr>
              <w:ind w:left="20"/>
              <w:spacing w:after="0" w:line="133" w:lineRule="exact"/>
              <w:rPr>
                <w:sz w:val="20"/>
                <w:szCs w:val="20"/>
                <w:color w:val="auto"/>
              </w:rPr>
            </w:pPr>
            <w:r>
              <w:rPr>
                <w:rFonts w:ascii="Times New Roman" w:cs="Times New Roman" w:eastAsia="Times New Roman" w:hAnsi="Times New Roman"/>
                <w:sz w:val="14"/>
                <w:szCs w:val="14"/>
                <w:color w:val="auto"/>
              </w:rPr>
              <w:t>Balance, March 31, 2024</w:t>
            </w:r>
          </w:p>
        </w:tc>
        <w:tc>
          <w:tcPr>
            <w:tcW w:w="960" w:type="dxa"/>
            <w:vAlign w:val="bottom"/>
          </w:tcPr>
          <w:p>
            <w:pPr>
              <w:jc w:val="right"/>
              <w:ind w:right="68"/>
              <w:spacing w:after="0" w:line="133" w:lineRule="exact"/>
              <w:rPr>
                <w:sz w:val="20"/>
                <w:szCs w:val="20"/>
                <w:color w:val="auto"/>
              </w:rPr>
            </w:pPr>
            <w:r>
              <w:rPr>
                <w:rFonts w:ascii="Times New Roman" w:cs="Times New Roman" w:eastAsia="Times New Roman" w:hAnsi="Times New Roman"/>
                <w:sz w:val="14"/>
                <w:szCs w:val="14"/>
                <w:color w:val="auto"/>
              </w:rPr>
              <w:t>118,807,85</w:t>
            </w:r>
          </w:p>
        </w:tc>
        <w:tc>
          <w:tcPr>
            <w:tcW w:w="720" w:type="dxa"/>
            <w:vAlign w:val="bottom"/>
            <w:vMerge w:val="restart"/>
          </w:tcPr>
          <w:p>
            <w:pPr>
              <w:jc w:val="right"/>
              <w:ind w:right="428"/>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1.2</w:t>
            </w:r>
          </w:p>
        </w:tc>
        <w:tc>
          <w:tcPr>
            <w:tcW w:w="220" w:type="dxa"/>
            <w:vAlign w:val="bottom"/>
            <w:vMerge w:val="restart"/>
          </w:tcPr>
          <w:p>
            <w:pPr>
              <w:ind w:left="140"/>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vMerge w:val="restart"/>
          </w:tcPr>
          <w:p>
            <w:pPr>
              <w:jc w:val="right"/>
              <w:ind w:right="88"/>
              <w:spacing w:after="0"/>
              <w:rPr>
                <w:sz w:val="20"/>
                <w:szCs w:val="20"/>
                <w:color w:val="auto"/>
              </w:rPr>
            </w:pPr>
            <w:r>
              <w:rPr>
                <w:rFonts w:ascii="Times New Roman" w:cs="Times New Roman" w:eastAsia="Times New Roman" w:hAnsi="Times New Roman"/>
                <w:sz w:val="14"/>
                <w:szCs w:val="14"/>
                <w:color w:val="auto"/>
              </w:rPr>
              <w:t>3,518.7</w:t>
            </w:r>
          </w:p>
        </w:tc>
        <w:tc>
          <w:tcPr>
            <w:tcW w:w="1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vMerge w:val="restart"/>
          </w:tcPr>
          <w:p>
            <w:pPr>
              <w:jc w:val="right"/>
              <w:ind w:right="148"/>
              <w:spacing w:after="0"/>
              <w:rPr>
                <w:sz w:val="20"/>
                <w:szCs w:val="20"/>
                <w:color w:val="auto"/>
              </w:rPr>
            </w:pPr>
            <w:r>
              <w:rPr>
                <w:rFonts w:ascii="Times New Roman" w:cs="Times New Roman" w:eastAsia="Times New Roman" w:hAnsi="Times New Roman"/>
                <w:sz w:val="14"/>
                <w:szCs w:val="14"/>
                <w:color w:val="auto"/>
              </w:rPr>
              <w:t>3,852.7</w:t>
            </w:r>
          </w:p>
        </w:tc>
        <w:tc>
          <w:tcPr>
            <w:tcW w:w="1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vMerge w:val="restart"/>
          </w:tcPr>
          <w:p>
            <w:pPr>
              <w:jc w:val="right"/>
              <w:ind w:right="8"/>
              <w:spacing w:after="0"/>
              <w:rPr>
                <w:sz w:val="20"/>
                <w:szCs w:val="20"/>
                <w:color w:val="auto"/>
              </w:rPr>
            </w:pPr>
            <w:r>
              <w:rPr>
                <w:rFonts w:ascii="Times New Roman" w:cs="Times New Roman" w:eastAsia="Times New Roman" w:hAnsi="Times New Roman"/>
                <w:sz w:val="14"/>
                <w:szCs w:val="14"/>
                <w:color w:val="auto"/>
              </w:rPr>
              <w:t>(495.5 )</w:t>
            </w:r>
          </w:p>
        </w:tc>
        <w:tc>
          <w:tcPr>
            <w:tcW w:w="1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(4,700.4 )</w:t>
            </w:r>
          </w:p>
        </w:tc>
        <w:tc>
          <w:tcPr>
            <w:tcW w:w="220" w:type="dxa"/>
            <w:vAlign w:val="bottom"/>
            <w:vMerge w:val="restart"/>
          </w:tcPr>
          <w:p>
            <w:pPr>
              <w:ind w:left="12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vMerge w:val="restart"/>
          </w:tcPr>
          <w:p>
            <w:pPr>
              <w:jc w:val="right"/>
              <w:ind w:right="88"/>
              <w:spacing w:after="0"/>
              <w:rPr>
                <w:sz w:val="20"/>
                <w:szCs w:val="20"/>
                <w:color w:val="auto"/>
              </w:rPr>
            </w:pPr>
            <w:r>
              <w:rPr>
                <w:rFonts w:ascii="Times New Roman" w:cs="Times New Roman" w:eastAsia="Times New Roman" w:hAnsi="Times New Roman"/>
                <w:sz w:val="14"/>
                <w:szCs w:val="14"/>
                <w:color w:val="auto"/>
              </w:rPr>
              <w:t>11.0</w:t>
            </w:r>
          </w:p>
        </w:tc>
        <w:tc>
          <w:tcPr>
            <w:tcW w:w="24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2,187.7</w:t>
            </w:r>
          </w:p>
        </w:tc>
        <w:tc>
          <w:tcPr>
            <w:tcW w:w="0" w:type="dxa"/>
            <w:vAlign w:val="bottom"/>
          </w:tcPr>
          <w:p>
            <w:pPr>
              <w:spacing w:after="0"/>
              <w:rPr>
                <w:sz w:val="1"/>
                <w:szCs w:val="1"/>
                <w:color w:val="auto"/>
              </w:rPr>
            </w:pPr>
          </w:p>
        </w:tc>
      </w:tr>
      <w:tr>
        <w:trPr>
          <w:trHeight w:val="185"/>
        </w:trPr>
        <w:tc>
          <w:tcPr>
            <w:tcW w:w="27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1</w:t>
            </w:r>
          </w:p>
        </w:tc>
        <w:tc>
          <w:tcPr>
            <w:tcW w:w="720" w:type="dxa"/>
            <w:vAlign w:val="bottom"/>
            <w:tcBorders>
              <w:bottom w:val="single" w:sz="8" w:color="auto"/>
            </w:tcBorders>
            <w:vMerge w:val="continue"/>
          </w:tcPr>
          <w:p>
            <w:pPr>
              <w:spacing w:after="0"/>
              <w:rPr>
                <w:sz w:val="16"/>
                <w:szCs w:val="16"/>
                <w:color w:val="auto"/>
              </w:rPr>
            </w:pPr>
          </w:p>
        </w:tc>
        <w:tc>
          <w:tcPr>
            <w:tcW w:w="320" w:type="dxa"/>
            <w:vAlign w:val="bottom"/>
            <w:tcBorders>
              <w:bottom w:val="single" w:sz="8" w:color="auto"/>
            </w:tcBorders>
            <w:vMerge w:val="continue"/>
          </w:tcPr>
          <w:p>
            <w:pPr>
              <w:spacing w:after="0"/>
              <w:rPr>
                <w:sz w:val="16"/>
                <w:szCs w:val="16"/>
                <w:color w:val="auto"/>
              </w:rPr>
            </w:pPr>
          </w:p>
        </w:tc>
        <w:tc>
          <w:tcPr>
            <w:tcW w:w="220" w:type="dxa"/>
            <w:vAlign w:val="bottom"/>
            <w:tcBorders>
              <w:bottom w:val="single" w:sz="8" w:color="auto"/>
            </w:tcBorders>
            <w:vMerge w:val="continue"/>
          </w:tcPr>
          <w:p>
            <w:pPr>
              <w:spacing w:after="0"/>
              <w:rPr>
                <w:sz w:val="16"/>
                <w:szCs w:val="16"/>
                <w:color w:val="auto"/>
              </w:rPr>
            </w:pPr>
          </w:p>
        </w:tc>
        <w:tc>
          <w:tcPr>
            <w:tcW w:w="860" w:type="dxa"/>
            <w:vAlign w:val="bottom"/>
            <w:tcBorders>
              <w:bottom w:val="single" w:sz="8" w:color="auto"/>
            </w:tcBorders>
            <w:vMerge w:val="continue"/>
          </w:tcPr>
          <w:p>
            <w:pPr>
              <w:spacing w:after="0"/>
              <w:rPr>
                <w:sz w:val="16"/>
                <w:szCs w:val="16"/>
                <w:color w:val="auto"/>
              </w:rPr>
            </w:pPr>
          </w:p>
        </w:tc>
        <w:tc>
          <w:tcPr>
            <w:tcW w:w="180" w:type="dxa"/>
            <w:vAlign w:val="bottom"/>
            <w:tcBorders>
              <w:bottom w:val="single" w:sz="8" w:color="auto"/>
            </w:tcBorders>
            <w:vMerge w:val="continue"/>
          </w:tcPr>
          <w:p>
            <w:pPr>
              <w:spacing w:after="0"/>
              <w:rPr>
                <w:sz w:val="16"/>
                <w:szCs w:val="16"/>
                <w:color w:val="auto"/>
              </w:rPr>
            </w:pPr>
          </w:p>
        </w:tc>
        <w:tc>
          <w:tcPr>
            <w:tcW w:w="88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auto"/>
            </w:tcBorders>
            <w:vMerge w:val="continue"/>
          </w:tcPr>
          <w:p>
            <w:pPr>
              <w:spacing w:after="0"/>
              <w:rPr>
                <w:sz w:val="16"/>
                <w:szCs w:val="16"/>
                <w:color w:val="auto"/>
              </w:rPr>
            </w:pPr>
          </w:p>
        </w:tc>
        <w:tc>
          <w:tcPr>
            <w:tcW w:w="1220" w:type="dxa"/>
            <w:vAlign w:val="bottom"/>
            <w:tcBorders>
              <w:bottom w:val="single" w:sz="8" w:color="auto"/>
            </w:tcBorders>
            <w:vMerge w:val="continue"/>
          </w:tcPr>
          <w:p>
            <w:pPr>
              <w:spacing w:after="0"/>
              <w:rPr>
                <w:sz w:val="16"/>
                <w:szCs w:val="16"/>
                <w:color w:val="auto"/>
              </w:rPr>
            </w:pPr>
          </w:p>
        </w:tc>
        <w:tc>
          <w:tcPr>
            <w:tcW w:w="160" w:type="dxa"/>
            <w:vAlign w:val="bottom"/>
            <w:tcBorders>
              <w:bottom w:val="single" w:sz="8" w:color="auto"/>
            </w:tcBorders>
            <w:vMerge w:val="continue"/>
          </w:tcPr>
          <w:p>
            <w:pPr>
              <w:spacing w:after="0"/>
              <w:rPr>
                <w:sz w:val="16"/>
                <w:szCs w:val="16"/>
                <w:color w:val="auto"/>
              </w:rPr>
            </w:pPr>
          </w:p>
        </w:tc>
        <w:tc>
          <w:tcPr>
            <w:tcW w:w="780" w:type="dxa"/>
            <w:vAlign w:val="bottom"/>
            <w:tcBorders>
              <w:bottom w:val="single" w:sz="8" w:color="auto"/>
            </w:tcBorders>
            <w:vMerge w:val="continue"/>
          </w:tcPr>
          <w:p>
            <w:pPr>
              <w:spacing w:after="0"/>
              <w:rPr>
                <w:sz w:val="16"/>
                <w:szCs w:val="16"/>
                <w:color w:val="auto"/>
              </w:rPr>
            </w:pPr>
          </w:p>
        </w:tc>
        <w:tc>
          <w:tcPr>
            <w:tcW w:w="220" w:type="dxa"/>
            <w:vAlign w:val="bottom"/>
            <w:tcBorders>
              <w:bottom w:val="single" w:sz="8" w:color="auto"/>
            </w:tcBorders>
            <w:vMerge w:val="continue"/>
          </w:tcPr>
          <w:p>
            <w:pPr>
              <w:spacing w:after="0"/>
              <w:rPr>
                <w:sz w:val="16"/>
                <w:szCs w:val="16"/>
                <w:color w:val="auto"/>
              </w:rPr>
            </w:pPr>
          </w:p>
        </w:tc>
        <w:tc>
          <w:tcPr>
            <w:tcW w:w="820" w:type="dxa"/>
            <w:vAlign w:val="bottom"/>
            <w:tcBorders>
              <w:bottom w:val="single" w:sz="8" w:color="auto"/>
            </w:tcBorders>
            <w:vMerge w:val="continue"/>
          </w:tcPr>
          <w:p>
            <w:pPr>
              <w:spacing w:after="0"/>
              <w:rPr>
                <w:sz w:val="16"/>
                <w:szCs w:val="16"/>
                <w:color w:val="auto"/>
              </w:rPr>
            </w:pPr>
          </w:p>
        </w:tc>
        <w:tc>
          <w:tcPr>
            <w:tcW w:w="240" w:type="dxa"/>
            <w:vAlign w:val="bottom"/>
            <w:tcBorders>
              <w:bottom w:val="single" w:sz="8" w:color="auto"/>
            </w:tcBorders>
            <w:vMerge w:val="continue"/>
          </w:tcPr>
          <w:p>
            <w:pPr>
              <w:spacing w:after="0"/>
              <w:rPr>
                <w:sz w:val="16"/>
                <w:szCs w:val="16"/>
                <w:color w:val="auto"/>
              </w:rPr>
            </w:pPr>
          </w:p>
        </w:tc>
        <w:tc>
          <w:tcPr>
            <w:tcW w:w="7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27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4"/>
                <w:szCs w:val="14"/>
                <w:color w:val="auto"/>
              </w:rPr>
              <w:t>Net earnings</w:t>
            </w:r>
          </w:p>
        </w:tc>
        <w:tc>
          <w:tcPr>
            <w:tcW w:w="960" w:type="dxa"/>
            <w:vAlign w:val="bottom"/>
            <w:shd w:val="clear" w:color="auto" w:fill="CFF0FC"/>
          </w:tcPr>
          <w:p>
            <w:pPr>
              <w:spacing w:after="0"/>
              <w:rPr>
                <w:sz w:val="14"/>
                <w:szCs w:val="14"/>
                <w:color w:val="auto"/>
              </w:rPr>
            </w:pPr>
          </w:p>
        </w:tc>
        <w:tc>
          <w:tcPr>
            <w:tcW w:w="720" w:type="dxa"/>
            <w:vAlign w:val="bottom"/>
            <w:shd w:val="clear" w:color="auto" w:fill="CFF0FC"/>
          </w:tcPr>
          <w:p>
            <w:pPr>
              <w:spacing w:after="0"/>
              <w:rPr>
                <w:sz w:val="14"/>
                <w:szCs w:val="14"/>
                <w:color w:val="auto"/>
              </w:rPr>
            </w:pPr>
          </w:p>
        </w:tc>
        <w:tc>
          <w:tcPr>
            <w:tcW w:w="32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86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880" w:type="dxa"/>
            <w:vAlign w:val="bottom"/>
            <w:shd w:val="clear" w:color="auto" w:fill="CFF0FC"/>
          </w:tcPr>
          <w:p>
            <w:pPr>
              <w:jc w:val="right"/>
              <w:ind w:right="148"/>
              <w:spacing w:after="0"/>
              <w:rPr>
                <w:sz w:val="20"/>
                <w:szCs w:val="20"/>
                <w:color w:val="auto"/>
              </w:rPr>
            </w:pPr>
            <w:r>
              <w:rPr>
                <w:rFonts w:ascii="Times New Roman" w:cs="Times New Roman" w:eastAsia="Times New Roman" w:hAnsi="Times New Roman"/>
                <w:sz w:val="14"/>
                <w:szCs w:val="14"/>
                <w:color w:val="auto"/>
              </w:rPr>
              <w:t>60.1</w:t>
            </w:r>
          </w:p>
        </w:tc>
        <w:tc>
          <w:tcPr>
            <w:tcW w:w="100" w:type="dxa"/>
            <w:vAlign w:val="bottom"/>
            <w:shd w:val="clear" w:color="auto" w:fill="CFF0FC"/>
          </w:tcPr>
          <w:p>
            <w:pPr>
              <w:spacing w:after="0"/>
              <w:rPr>
                <w:sz w:val="14"/>
                <w:szCs w:val="14"/>
                <w:color w:val="auto"/>
              </w:rPr>
            </w:pPr>
          </w:p>
        </w:tc>
        <w:tc>
          <w:tcPr>
            <w:tcW w:w="122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78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82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78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60.1</w:t>
            </w:r>
          </w:p>
        </w:tc>
        <w:tc>
          <w:tcPr>
            <w:tcW w:w="0" w:type="dxa"/>
            <w:vAlign w:val="bottom"/>
          </w:tcPr>
          <w:p>
            <w:pPr>
              <w:spacing w:after="0"/>
              <w:rPr>
                <w:sz w:val="1"/>
                <w:szCs w:val="1"/>
                <w:color w:val="auto"/>
              </w:rPr>
            </w:pPr>
          </w:p>
        </w:tc>
      </w:tr>
      <w:tr>
        <w:trPr>
          <w:trHeight w:val="176"/>
        </w:trPr>
        <w:tc>
          <w:tcPr>
            <w:tcW w:w="278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Other comprehensive loss</w:t>
            </w:r>
          </w:p>
        </w:tc>
        <w:tc>
          <w:tcPr>
            <w:tcW w:w="9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(4.9 )</w:t>
            </w:r>
          </w:p>
        </w:tc>
        <w:tc>
          <w:tcPr>
            <w:tcW w:w="1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(4.9 )</w:t>
            </w:r>
          </w:p>
        </w:tc>
        <w:tc>
          <w:tcPr>
            <w:tcW w:w="0" w:type="dxa"/>
            <w:vAlign w:val="bottom"/>
          </w:tcPr>
          <w:p>
            <w:pPr>
              <w:spacing w:after="0"/>
              <w:rPr>
                <w:sz w:val="1"/>
                <w:szCs w:val="1"/>
                <w:color w:val="auto"/>
              </w:rPr>
            </w:pPr>
          </w:p>
        </w:tc>
      </w:tr>
      <w:tr>
        <w:trPr>
          <w:trHeight w:val="176"/>
        </w:trPr>
        <w:tc>
          <w:tcPr>
            <w:tcW w:w="27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4"/>
                <w:szCs w:val="14"/>
                <w:color w:val="auto"/>
              </w:rPr>
              <w:t>Issuances under equity plans</w:t>
            </w:r>
          </w:p>
        </w:tc>
        <w:tc>
          <w:tcPr>
            <w:tcW w:w="96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36,195</w:t>
            </w:r>
          </w:p>
        </w:tc>
        <w:tc>
          <w:tcPr>
            <w:tcW w:w="720" w:type="dxa"/>
            <w:vAlign w:val="bottom"/>
            <w:shd w:val="clear" w:color="auto" w:fill="CFF0FC"/>
          </w:tcPr>
          <w:p>
            <w:pPr>
              <w:spacing w:after="0"/>
              <w:rPr>
                <w:sz w:val="15"/>
                <w:szCs w:val="15"/>
                <w:color w:val="auto"/>
              </w:rPr>
            </w:pPr>
          </w:p>
        </w:tc>
        <w:tc>
          <w:tcPr>
            <w:tcW w:w="32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860" w:type="dxa"/>
            <w:vAlign w:val="bottom"/>
            <w:shd w:val="clear" w:color="auto" w:fill="CFF0FC"/>
          </w:tcPr>
          <w:p>
            <w:pPr>
              <w:jc w:val="right"/>
              <w:ind w:right="28"/>
              <w:spacing w:after="0"/>
              <w:rPr>
                <w:sz w:val="20"/>
                <w:szCs w:val="20"/>
                <w:color w:val="auto"/>
              </w:rPr>
            </w:pPr>
            <w:r>
              <w:rPr>
                <w:rFonts w:ascii="Times New Roman" w:cs="Times New Roman" w:eastAsia="Times New Roman" w:hAnsi="Times New Roman"/>
                <w:sz w:val="14"/>
                <w:szCs w:val="14"/>
                <w:color w:val="auto"/>
              </w:rPr>
              <w:t>(0.1 )</w:t>
            </w:r>
          </w:p>
        </w:tc>
        <w:tc>
          <w:tcPr>
            <w:tcW w:w="180" w:type="dxa"/>
            <w:vAlign w:val="bottom"/>
            <w:shd w:val="clear" w:color="auto" w:fill="CFF0FC"/>
          </w:tcPr>
          <w:p>
            <w:pPr>
              <w:spacing w:after="0"/>
              <w:rPr>
                <w:sz w:val="15"/>
                <w:szCs w:val="15"/>
                <w:color w:val="auto"/>
              </w:rPr>
            </w:pPr>
          </w:p>
        </w:tc>
        <w:tc>
          <w:tcPr>
            <w:tcW w:w="8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22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(0.1 )</w:t>
            </w:r>
          </w:p>
        </w:tc>
        <w:tc>
          <w:tcPr>
            <w:tcW w:w="220" w:type="dxa"/>
            <w:vAlign w:val="bottom"/>
            <w:shd w:val="clear" w:color="auto" w:fill="CFF0FC"/>
          </w:tcPr>
          <w:p>
            <w:pPr>
              <w:spacing w:after="0"/>
              <w:rPr>
                <w:sz w:val="15"/>
                <w:szCs w:val="15"/>
                <w:color w:val="auto"/>
              </w:rPr>
            </w:pPr>
          </w:p>
        </w:tc>
        <w:tc>
          <w:tcPr>
            <w:tcW w:w="82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(0.2 )</w:t>
            </w:r>
          </w:p>
        </w:tc>
        <w:tc>
          <w:tcPr>
            <w:tcW w:w="0" w:type="dxa"/>
            <w:vAlign w:val="bottom"/>
          </w:tcPr>
          <w:p>
            <w:pPr>
              <w:spacing w:after="0"/>
              <w:rPr>
                <w:sz w:val="1"/>
                <w:szCs w:val="1"/>
                <w:color w:val="auto"/>
              </w:rPr>
            </w:pPr>
          </w:p>
        </w:tc>
      </w:tr>
      <w:tr>
        <w:trPr>
          <w:trHeight w:val="175"/>
        </w:trPr>
        <w:tc>
          <w:tcPr>
            <w:tcW w:w="278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Share-based compensation expense</w:t>
            </w:r>
          </w:p>
        </w:tc>
        <w:tc>
          <w:tcPr>
            <w:tcW w:w="9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6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7.5</w:t>
            </w:r>
          </w:p>
        </w:tc>
        <w:tc>
          <w:tcPr>
            <w:tcW w:w="1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7.5</w:t>
            </w:r>
          </w:p>
        </w:tc>
        <w:tc>
          <w:tcPr>
            <w:tcW w:w="0" w:type="dxa"/>
            <w:vAlign w:val="bottom"/>
          </w:tcPr>
          <w:p>
            <w:pPr>
              <w:spacing w:after="0"/>
              <w:rPr>
                <w:sz w:val="1"/>
                <w:szCs w:val="1"/>
                <w:color w:val="auto"/>
              </w:rPr>
            </w:pPr>
          </w:p>
        </w:tc>
      </w:tr>
      <w:tr>
        <w:trPr>
          <w:trHeight w:val="176"/>
        </w:trPr>
        <w:tc>
          <w:tcPr>
            <w:tcW w:w="27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4"/>
                <w:szCs w:val="14"/>
                <w:color w:val="auto"/>
              </w:rPr>
              <w:t>Dividends</w:t>
            </w:r>
          </w:p>
        </w:tc>
        <w:tc>
          <w:tcPr>
            <w:tcW w:w="960" w:type="dxa"/>
            <w:vAlign w:val="bottom"/>
            <w:shd w:val="clear" w:color="auto" w:fill="CFF0FC"/>
          </w:tcPr>
          <w:p>
            <w:pPr>
              <w:spacing w:after="0"/>
              <w:rPr>
                <w:sz w:val="15"/>
                <w:szCs w:val="15"/>
                <w:color w:val="auto"/>
              </w:rPr>
            </w:pPr>
          </w:p>
        </w:tc>
        <w:tc>
          <w:tcPr>
            <w:tcW w:w="720" w:type="dxa"/>
            <w:vAlign w:val="bottom"/>
            <w:shd w:val="clear" w:color="auto" w:fill="CFF0FC"/>
          </w:tcPr>
          <w:p>
            <w:pPr>
              <w:spacing w:after="0"/>
              <w:rPr>
                <w:sz w:val="15"/>
                <w:szCs w:val="15"/>
                <w:color w:val="auto"/>
              </w:rPr>
            </w:pPr>
          </w:p>
        </w:tc>
        <w:tc>
          <w:tcPr>
            <w:tcW w:w="32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86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880" w:type="dxa"/>
            <w:vAlign w:val="bottom"/>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rPr>
              <w:t>(73.5 )</w:t>
            </w:r>
          </w:p>
        </w:tc>
        <w:tc>
          <w:tcPr>
            <w:tcW w:w="100" w:type="dxa"/>
            <w:vAlign w:val="bottom"/>
            <w:shd w:val="clear" w:color="auto" w:fill="CFF0FC"/>
          </w:tcPr>
          <w:p>
            <w:pPr>
              <w:spacing w:after="0"/>
              <w:rPr>
                <w:sz w:val="15"/>
                <w:szCs w:val="15"/>
                <w:color w:val="auto"/>
              </w:rPr>
            </w:pPr>
          </w:p>
        </w:tc>
        <w:tc>
          <w:tcPr>
            <w:tcW w:w="122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78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82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(73.5 )</w:t>
            </w:r>
          </w:p>
        </w:tc>
        <w:tc>
          <w:tcPr>
            <w:tcW w:w="0" w:type="dxa"/>
            <w:vAlign w:val="bottom"/>
          </w:tcPr>
          <w:p>
            <w:pPr>
              <w:spacing w:after="0"/>
              <w:rPr>
                <w:sz w:val="1"/>
                <w:szCs w:val="1"/>
                <w:color w:val="auto"/>
              </w:rPr>
            </w:pPr>
          </w:p>
        </w:tc>
      </w:tr>
      <w:tr>
        <w:trPr>
          <w:trHeight w:val="139"/>
        </w:trPr>
        <w:tc>
          <w:tcPr>
            <w:tcW w:w="2780" w:type="dxa"/>
            <w:vAlign w:val="bottom"/>
          </w:tcPr>
          <w:p>
            <w:pPr>
              <w:ind w:left="200"/>
              <w:spacing w:after="0" w:line="139" w:lineRule="exact"/>
              <w:rPr>
                <w:sz w:val="20"/>
                <w:szCs w:val="20"/>
                <w:color w:val="auto"/>
              </w:rPr>
            </w:pPr>
            <w:r>
              <w:rPr>
                <w:rFonts w:ascii="Times New Roman" w:cs="Times New Roman" w:eastAsia="Times New Roman" w:hAnsi="Times New Roman"/>
                <w:sz w:val="14"/>
                <w:szCs w:val="14"/>
                <w:color w:val="auto"/>
              </w:rPr>
              <w:t>Repurchases of common stock, including</w:t>
            </w:r>
          </w:p>
        </w:tc>
        <w:tc>
          <w:tcPr>
            <w:tcW w:w="9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(27.0 )</w:t>
            </w:r>
          </w:p>
        </w:tc>
        <w:tc>
          <w:tcPr>
            <w:tcW w:w="2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(27.0 )</w:t>
            </w:r>
          </w:p>
        </w:tc>
        <w:tc>
          <w:tcPr>
            <w:tcW w:w="0" w:type="dxa"/>
            <w:vAlign w:val="bottom"/>
          </w:tcPr>
          <w:p>
            <w:pPr>
              <w:spacing w:after="0"/>
              <w:rPr>
                <w:sz w:val="1"/>
                <w:szCs w:val="1"/>
                <w:color w:val="auto"/>
              </w:rPr>
            </w:pPr>
          </w:p>
        </w:tc>
      </w:tr>
      <w:tr>
        <w:trPr>
          <w:trHeight w:val="185"/>
        </w:trPr>
        <w:tc>
          <w:tcPr>
            <w:tcW w:w="278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excise tax</w:t>
            </w:r>
          </w:p>
        </w:tc>
        <w:tc>
          <w:tcPr>
            <w:tcW w:w="9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8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2780" w:type="dxa"/>
            <w:vAlign w:val="bottom"/>
            <w:tcBorders>
              <w:bottom w:val="single" w:sz="8" w:color="auto"/>
            </w:tcBorders>
            <w:shd w:val="clear" w:color="auto" w:fill="CFF0FC"/>
          </w:tcPr>
          <w:p>
            <w:pPr>
              <w:ind w:left="200"/>
              <w:spacing w:after="0"/>
              <w:rPr>
                <w:sz w:val="20"/>
                <w:szCs w:val="20"/>
                <w:color w:val="auto"/>
              </w:rPr>
            </w:pPr>
            <w:r>
              <w:rPr>
                <w:rFonts w:ascii="Times New Roman" w:cs="Times New Roman" w:eastAsia="Times New Roman" w:hAnsi="Times New Roman"/>
                <w:sz w:val="14"/>
                <w:szCs w:val="14"/>
                <w:color w:val="auto"/>
              </w:rPr>
              <w:t>Noncontrolling interest transactions</w:t>
            </w:r>
          </w:p>
        </w:tc>
        <w:tc>
          <w:tcPr>
            <w:tcW w:w="960" w:type="dxa"/>
            <w:vAlign w:val="bottom"/>
            <w:tcBorders>
              <w:bottom w:val="single" w:sz="8" w:color="auto"/>
            </w:tcBorders>
            <w:shd w:val="clear" w:color="auto" w:fill="CFF0FC"/>
          </w:tcPr>
          <w:p>
            <w:pPr>
              <w:spacing w:after="0"/>
              <w:rPr>
                <w:sz w:val="15"/>
                <w:szCs w:val="15"/>
                <w:color w:val="auto"/>
              </w:rPr>
            </w:pPr>
          </w:p>
        </w:tc>
        <w:tc>
          <w:tcPr>
            <w:tcW w:w="720" w:type="dxa"/>
            <w:vAlign w:val="bottom"/>
            <w:tcBorders>
              <w:bottom w:val="single" w:sz="8" w:color="auto"/>
            </w:tcBorders>
            <w:shd w:val="clear" w:color="auto" w:fill="CFF0FC"/>
          </w:tcPr>
          <w:p>
            <w:pPr>
              <w:spacing w:after="0"/>
              <w:rPr>
                <w:sz w:val="15"/>
                <w:szCs w:val="15"/>
                <w:color w:val="auto"/>
              </w:rPr>
            </w:pPr>
          </w:p>
        </w:tc>
        <w:tc>
          <w:tcPr>
            <w:tcW w:w="320" w:type="dxa"/>
            <w:vAlign w:val="bottom"/>
            <w:tcBorders>
              <w:bottom w:val="single" w:sz="8" w:color="auto"/>
            </w:tcBorders>
            <w:shd w:val="clear" w:color="auto" w:fill="CFF0FC"/>
          </w:tcPr>
          <w:p>
            <w:pPr>
              <w:spacing w:after="0"/>
              <w:rPr>
                <w:sz w:val="15"/>
                <w:szCs w:val="15"/>
                <w:color w:val="auto"/>
              </w:rPr>
            </w:pPr>
          </w:p>
        </w:tc>
        <w:tc>
          <w:tcPr>
            <w:tcW w:w="220" w:type="dxa"/>
            <w:vAlign w:val="bottom"/>
            <w:tcBorders>
              <w:bottom w:val="single" w:sz="8" w:color="auto"/>
            </w:tcBorders>
            <w:shd w:val="clear" w:color="auto" w:fill="CFF0FC"/>
          </w:tcPr>
          <w:p>
            <w:pPr>
              <w:spacing w:after="0"/>
              <w:rPr>
                <w:sz w:val="15"/>
                <w:szCs w:val="15"/>
                <w:color w:val="auto"/>
              </w:rPr>
            </w:pPr>
          </w:p>
        </w:tc>
        <w:tc>
          <w:tcPr>
            <w:tcW w:w="860" w:type="dxa"/>
            <w:vAlign w:val="bottom"/>
            <w:tcBorders>
              <w:bottom w:val="single" w:sz="8" w:color="auto"/>
            </w:tcBorders>
            <w:shd w:val="clear" w:color="auto" w:fill="CFF0FC"/>
          </w:tcPr>
          <w:p>
            <w:pPr>
              <w:jc w:val="right"/>
              <w:ind w:right="28"/>
              <w:spacing w:after="0"/>
              <w:rPr>
                <w:sz w:val="20"/>
                <w:szCs w:val="20"/>
                <w:color w:val="auto"/>
              </w:rPr>
            </w:pPr>
            <w:r>
              <w:rPr>
                <w:rFonts w:ascii="Times New Roman" w:cs="Times New Roman" w:eastAsia="Times New Roman" w:hAnsi="Times New Roman"/>
                <w:sz w:val="14"/>
                <w:szCs w:val="14"/>
                <w:color w:val="auto"/>
              </w:rPr>
              <w:t>(1.8 )</w:t>
            </w:r>
          </w:p>
        </w:tc>
        <w:tc>
          <w:tcPr>
            <w:tcW w:w="180" w:type="dxa"/>
            <w:vAlign w:val="bottom"/>
            <w:tcBorders>
              <w:bottom w:val="single" w:sz="8" w:color="auto"/>
            </w:tcBorders>
            <w:shd w:val="clear" w:color="auto" w:fill="CFF0FC"/>
          </w:tcPr>
          <w:p>
            <w:pPr>
              <w:spacing w:after="0"/>
              <w:rPr>
                <w:sz w:val="15"/>
                <w:szCs w:val="15"/>
                <w:color w:val="auto"/>
              </w:rPr>
            </w:pPr>
          </w:p>
        </w:tc>
        <w:tc>
          <w:tcPr>
            <w:tcW w:w="880" w:type="dxa"/>
            <w:vAlign w:val="bottom"/>
            <w:tcBorders>
              <w:bottom w:val="single" w:sz="8" w:color="auto"/>
            </w:tcBorders>
            <w:shd w:val="clear" w:color="auto" w:fill="CFF0FC"/>
          </w:tcPr>
          <w:p>
            <w:pPr>
              <w:spacing w:after="0"/>
              <w:rPr>
                <w:sz w:val="15"/>
                <w:szCs w:val="15"/>
                <w:color w:val="auto"/>
              </w:rPr>
            </w:pPr>
          </w:p>
        </w:tc>
        <w:tc>
          <w:tcPr>
            <w:tcW w:w="100" w:type="dxa"/>
            <w:vAlign w:val="bottom"/>
            <w:tcBorders>
              <w:bottom w:val="single" w:sz="8" w:color="auto"/>
            </w:tcBorders>
            <w:shd w:val="clear" w:color="auto" w:fill="CFF0FC"/>
          </w:tcPr>
          <w:p>
            <w:pPr>
              <w:spacing w:after="0"/>
              <w:rPr>
                <w:sz w:val="15"/>
                <w:szCs w:val="15"/>
                <w:color w:val="auto"/>
              </w:rPr>
            </w:pPr>
          </w:p>
        </w:tc>
        <w:tc>
          <w:tcPr>
            <w:tcW w:w="1220" w:type="dxa"/>
            <w:vAlign w:val="bottom"/>
            <w:tcBorders>
              <w:bottom w:val="single" w:sz="8" w:color="auto"/>
            </w:tcBorders>
            <w:shd w:val="clear" w:color="auto" w:fill="CFF0FC"/>
          </w:tcPr>
          <w:p>
            <w:pPr>
              <w:spacing w:after="0"/>
              <w:rPr>
                <w:sz w:val="15"/>
                <w:szCs w:val="15"/>
                <w:color w:val="auto"/>
              </w:rPr>
            </w:pPr>
          </w:p>
        </w:tc>
        <w:tc>
          <w:tcPr>
            <w:tcW w:w="160" w:type="dxa"/>
            <w:vAlign w:val="bottom"/>
            <w:tcBorders>
              <w:bottom w:val="single" w:sz="8" w:color="auto"/>
            </w:tcBorders>
            <w:shd w:val="clear" w:color="auto" w:fill="CFF0FC"/>
          </w:tcPr>
          <w:p>
            <w:pPr>
              <w:spacing w:after="0"/>
              <w:rPr>
                <w:sz w:val="15"/>
                <w:szCs w:val="15"/>
                <w:color w:val="auto"/>
              </w:rPr>
            </w:pPr>
          </w:p>
        </w:tc>
        <w:tc>
          <w:tcPr>
            <w:tcW w:w="780" w:type="dxa"/>
            <w:vAlign w:val="bottom"/>
            <w:tcBorders>
              <w:bottom w:val="single" w:sz="8" w:color="auto"/>
            </w:tcBorders>
            <w:shd w:val="clear" w:color="auto" w:fill="CFF0FC"/>
          </w:tcPr>
          <w:p>
            <w:pPr>
              <w:spacing w:after="0"/>
              <w:rPr>
                <w:sz w:val="15"/>
                <w:szCs w:val="15"/>
                <w:color w:val="auto"/>
              </w:rPr>
            </w:pPr>
          </w:p>
        </w:tc>
        <w:tc>
          <w:tcPr>
            <w:tcW w:w="220" w:type="dxa"/>
            <w:vAlign w:val="bottom"/>
            <w:tcBorders>
              <w:bottom w:val="single" w:sz="8" w:color="auto"/>
            </w:tcBorders>
            <w:shd w:val="clear" w:color="auto" w:fill="CFF0FC"/>
          </w:tcPr>
          <w:p>
            <w:pPr>
              <w:spacing w:after="0"/>
              <w:rPr>
                <w:sz w:val="15"/>
                <w:szCs w:val="15"/>
                <w:color w:val="auto"/>
              </w:rPr>
            </w:pPr>
          </w:p>
        </w:tc>
        <w:tc>
          <w:tcPr>
            <w:tcW w:w="820" w:type="dxa"/>
            <w:vAlign w:val="bottom"/>
            <w:tcBorders>
              <w:bottom w:val="single" w:sz="8" w:color="auto"/>
            </w:tcBorders>
            <w:shd w:val="clear" w:color="auto" w:fill="CFF0FC"/>
          </w:tcPr>
          <w:p>
            <w:pPr>
              <w:jc w:val="right"/>
              <w:ind w:right="28"/>
              <w:spacing w:after="0"/>
              <w:rPr>
                <w:sz w:val="20"/>
                <w:szCs w:val="20"/>
                <w:color w:val="auto"/>
              </w:rPr>
            </w:pPr>
            <w:r>
              <w:rPr>
                <w:rFonts w:ascii="Times New Roman" w:cs="Times New Roman" w:eastAsia="Times New Roman" w:hAnsi="Times New Roman"/>
                <w:sz w:val="14"/>
                <w:szCs w:val="14"/>
                <w:color w:val="auto"/>
              </w:rPr>
              <w:t>(2.0 )</w:t>
            </w:r>
          </w:p>
        </w:tc>
        <w:tc>
          <w:tcPr>
            <w:tcW w:w="240" w:type="dxa"/>
            <w:vAlign w:val="bottom"/>
            <w:tcBorders>
              <w:bottom w:val="single" w:sz="8" w:color="auto"/>
            </w:tcBorders>
            <w:shd w:val="clear" w:color="auto" w:fill="CFF0FC"/>
          </w:tcPr>
          <w:p>
            <w:pPr>
              <w:spacing w:after="0"/>
              <w:rPr>
                <w:sz w:val="15"/>
                <w:szCs w:val="15"/>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(3.8 )</w:t>
            </w:r>
          </w:p>
        </w:tc>
        <w:tc>
          <w:tcPr>
            <w:tcW w:w="0" w:type="dxa"/>
            <w:vAlign w:val="bottom"/>
          </w:tcPr>
          <w:p>
            <w:pPr>
              <w:spacing w:after="0"/>
              <w:rPr>
                <w:sz w:val="1"/>
                <w:szCs w:val="1"/>
                <w:color w:val="auto"/>
              </w:rPr>
            </w:pPr>
          </w:p>
        </w:tc>
      </w:tr>
      <w:tr>
        <w:trPr>
          <w:trHeight w:val="133"/>
        </w:trPr>
        <w:tc>
          <w:tcPr>
            <w:tcW w:w="2780" w:type="dxa"/>
            <w:vAlign w:val="bottom"/>
          </w:tcPr>
          <w:p>
            <w:pPr>
              <w:ind w:left="20"/>
              <w:spacing w:after="0" w:line="133" w:lineRule="exact"/>
              <w:rPr>
                <w:sz w:val="20"/>
                <w:szCs w:val="20"/>
                <w:color w:val="auto"/>
              </w:rPr>
            </w:pPr>
            <w:r>
              <w:rPr>
                <w:rFonts w:ascii="Times New Roman" w:cs="Times New Roman" w:eastAsia="Times New Roman" w:hAnsi="Times New Roman"/>
                <w:sz w:val="14"/>
                <w:szCs w:val="14"/>
                <w:color w:val="auto"/>
              </w:rPr>
              <w:t>Balance, June 30, 2024</w:t>
            </w:r>
          </w:p>
        </w:tc>
        <w:tc>
          <w:tcPr>
            <w:tcW w:w="960" w:type="dxa"/>
            <w:vAlign w:val="bottom"/>
          </w:tcPr>
          <w:p>
            <w:pPr>
              <w:jc w:val="right"/>
              <w:ind w:right="68"/>
              <w:spacing w:after="0" w:line="133" w:lineRule="exact"/>
              <w:rPr>
                <w:sz w:val="20"/>
                <w:szCs w:val="20"/>
                <w:color w:val="auto"/>
              </w:rPr>
            </w:pPr>
            <w:r>
              <w:rPr>
                <w:rFonts w:ascii="Times New Roman" w:cs="Times New Roman" w:eastAsia="Times New Roman" w:hAnsi="Times New Roman"/>
                <w:sz w:val="14"/>
                <w:szCs w:val="14"/>
                <w:color w:val="auto"/>
              </w:rPr>
              <w:t>118,844,04</w:t>
            </w:r>
          </w:p>
        </w:tc>
        <w:tc>
          <w:tcPr>
            <w:tcW w:w="720" w:type="dxa"/>
            <w:vAlign w:val="bottom"/>
            <w:vMerge w:val="restart"/>
          </w:tcPr>
          <w:p>
            <w:pPr>
              <w:jc w:val="right"/>
              <w:ind w:right="428"/>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1.2</w:t>
            </w:r>
          </w:p>
        </w:tc>
        <w:tc>
          <w:tcPr>
            <w:tcW w:w="220" w:type="dxa"/>
            <w:vAlign w:val="bottom"/>
            <w:vMerge w:val="restart"/>
          </w:tcPr>
          <w:p>
            <w:pPr>
              <w:ind w:left="140"/>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vMerge w:val="restart"/>
          </w:tcPr>
          <w:p>
            <w:pPr>
              <w:jc w:val="right"/>
              <w:ind w:right="88"/>
              <w:spacing w:after="0"/>
              <w:rPr>
                <w:sz w:val="20"/>
                <w:szCs w:val="20"/>
                <w:color w:val="auto"/>
              </w:rPr>
            </w:pPr>
            <w:r>
              <w:rPr>
                <w:rFonts w:ascii="Times New Roman" w:cs="Times New Roman" w:eastAsia="Times New Roman" w:hAnsi="Times New Roman"/>
                <w:sz w:val="14"/>
                <w:szCs w:val="14"/>
                <w:color w:val="auto"/>
              </w:rPr>
              <w:t>3,524.3</w:t>
            </w:r>
          </w:p>
        </w:tc>
        <w:tc>
          <w:tcPr>
            <w:tcW w:w="1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vMerge w:val="restart"/>
          </w:tcPr>
          <w:p>
            <w:pPr>
              <w:jc w:val="right"/>
              <w:ind w:right="148"/>
              <w:spacing w:after="0"/>
              <w:rPr>
                <w:sz w:val="20"/>
                <w:szCs w:val="20"/>
                <w:color w:val="auto"/>
              </w:rPr>
            </w:pPr>
            <w:r>
              <w:rPr>
                <w:rFonts w:ascii="Times New Roman" w:cs="Times New Roman" w:eastAsia="Times New Roman" w:hAnsi="Times New Roman"/>
                <w:sz w:val="14"/>
                <w:szCs w:val="14"/>
                <w:color w:val="auto"/>
              </w:rPr>
              <w:t>3,839.3</w:t>
            </w:r>
          </w:p>
        </w:tc>
        <w:tc>
          <w:tcPr>
            <w:tcW w:w="1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vMerge w:val="restart"/>
          </w:tcPr>
          <w:p>
            <w:pPr>
              <w:jc w:val="right"/>
              <w:ind w:right="8"/>
              <w:spacing w:after="0"/>
              <w:rPr>
                <w:sz w:val="20"/>
                <w:szCs w:val="20"/>
                <w:color w:val="auto"/>
              </w:rPr>
            </w:pPr>
            <w:r>
              <w:rPr>
                <w:rFonts w:ascii="Times New Roman" w:cs="Times New Roman" w:eastAsia="Times New Roman" w:hAnsi="Times New Roman"/>
                <w:sz w:val="14"/>
                <w:szCs w:val="14"/>
                <w:color w:val="auto"/>
              </w:rPr>
              <w:t>(500.4 )</w:t>
            </w:r>
          </w:p>
        </w:tc>
        <w:tc>
          <w:tcPr>
            <w:tcW w:w="1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(4,727.5 )</w:t>
            </w:r>
          </w:p>
        </w:tc>
        <w:tc>
          <w:tcPr>
            <w:tcW w:w="220" w:type="dxa"/>
            <w:vAlign w:val="bottom"/>
            <w:vMerge w:val="restart"/>
          </w:tcPr>
          <w:p>
            <w:pPr>
              <w:ind w:left="12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vMerge w:val="restart"/>
          </w:tcPr>
          <w:p>
            <w:pPr>
              <w:jc w:val="right"/>
              <w:ind w:right="88"/>
              <w:spacing w:after="0"/>
              <w:rPr>
                <w:sz w:val="20"/>
                <w:szCs w:val="20"/>
                <w:color w:val="auto"/>
              </w:rPr>
            </w:pPr>
            <w:r>
              <w:rPr>
                <w:rFonts w:ascii="Times New Roman" w:cs="Times New Roman" w:eastAsia="Times New Roman" w:hAnsi="Times New Roman"/>
                <w:sz w:val="14"/>
                <w:szCs w:val="14"/>
                <w:color w:val="auto"/>
              </w:rPr>
              <w:t>9.0</w:t>
            </w:r>
          </w:p>
        </w:tc>
        <w:tc>
          <w:tcPr>
            <w:tcW w:w="24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2,145.9</w:t>
            </w:r>
          </w:p>
        </w:tc>
        <w:tc>
          <w:tcPr>
            <w:tcW w:w="0" w:type="dxa"/>
            <w:vAlign w:val="bottom"/>
          </w:tcPr>
          <w:p>
            <w:pPr>
              <w:spacing w:after="0"/>
              <w:rPr>
                <w:sz w:val="1"/>
                <w:szCs w:val="1"/>
                <w:color w:val="auto"/>
              </w:rPr>
            </w:pPr>
          </w:p>
        </w:tc>
      </w:tr>
      <w:tr>
        <w:trPr>
          <w:trHeight w:val="185"/>
        </w:trPr>
        <w:tc>
          <w:tcPr>
            <w:tcW w:w="27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6</w:t>
            </w:r>
          </w:p>
        </w:tc>
        <w:tc>
          <w:tcPr>
            <w:tcW w:w="720" w:type="dxa"/>
            <w:vAlign w:val="bottom"/>
            <w:tcBorders>
              <w:bottom w:val="single" w:sz="8" w:color="auto"/>
            </w:tcBorders>
            <w:vMerge w:val="continue"/>
          </w:tcPr>
          <w:p>
            <w:pPr>
              <w:spacing w:after="0"/>
              <w:rPr>
                <w:sz w:val="16"/>
                <w:szCs w:val="16"/>
                <w:color w:val="auto"/>
              </w:rPr>
            </w:pPr>
          </w:p>
        </w:tc>
        <w:tc>
          <w:tcPr>
            <w:tcW w:w="320" w:type="dxa"/>
            <w:vAlign w:val="bottom"/>
            <w:tcBorders>
              <w:bottom w:val="single" w:sz="8" w:color="auto"/>
            </w:tcBorders>
            <w:vMerge w:val="continue"/>
          </w:tcPr>
          <w:p>
            <w:pPr>
              <w:spacing w:after="0"/>
              <w:rPr>
                <w:sz w:val="16"/>
                <w:szCs w:val="16"/>
                <w:color w:val="auto"/>
              </w:rPr>
            </w:pPr>
          </w:p>
        </w:tc>
        <w:tc>
          <w:tcPr>
            <w:tcW w:w="220" w:type="dxa"/>
            <w:vAlign w:val="bottom"/>
            <w:tcBorders>
              <w:bottom w:val="single" w:sz="8" w:color="auto"/>
            </w:tcBorders>
            <w:vMerge w:val="continue"/>
          </w:tcPr>
          <w:p>
            <w:pPr>
              <w:spacing w:after="0"/>
              <w:rPr>
                <w:sz w:val="16"/>
                <w:szCs w:val="16"/>
                <w:color w:val="auto"/>
              </w:rPr>
            </w:pPr>
          </w:p>
        </w:tc>
        <w:tc>
          <w:tcPr>
            <w:tcW w:w="860" w:type="dxa"/>
            <w:vAlign w:val="bottom"/>
            <w:tcBorders>
              <w:bottom w:val="single" w:sz="8" w:color="auto"/>
            </w:tcBorders>
            <w:vMerge w:val="continue"/>
          </w:tcPr>
          <w:p>
            <w:pPr>
              <w:spacing w:after="0"/>
              <w:rPr>
                <w:sz w:val="16"/>
                <w:szCs w:val="16"/>
                <w:color w:val="auto"/>
              </w:rPr>
            </w:pPr>
          </w:p>
        </w:tc>
        <w:tc>
          <w:tcPr>
            <w:tcW w:w="180" w:type="dxa"/>
            <w:vAlign w:val="bottom"/>
            <w:tcBorders>
              <w:bottom w:val="single" w:sz="8" w:color="auto"/>
            </w:tcBorders>
            <w:vMerge w:val="continue"/>
          </w:tcPr>
          <w:p>
            <w:pPr>
              <w:spacing w:after="0"/>
              <w:rPr>
                <w:sz w:val="16"/>
                <w:szCs w:val="16"/>
                <w:color w:val="auto"/>
              </w:rPr>
            </w:pPr>
          </w:p>
        </w:tc>
        <w:tc>
          <w:tcPr>
            <w:tcW w:w="88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auto"/>
            </w:tcBorders>
            <w:vMerge w:val="continue"/>
          </w:tcPr>
          <w:p>
            <w:pPr>
              <w:spacing w:after="0"/>
              <w:rPr>
                <w:sz w:val="16"/>
                <w:szCs w:val="16"/>
                <w:color w:val="auto"/>
              </w:rPr>
            </w:pPr>
          </w:p>
        </w:tc>
        <w:tc>
          <w:tcPr>
            <w:tcW w:w="1220" w:type="dxa"/>
            <w:vAlign w:val="bottom"/>
            <w:tcBorders>
              <w:bottom w:val="single" w:sz="8" w:color="auto"/>
            </w:tcBorders>
            <w:vMerge w:val="continue"/>
          </w:tcPr>
          <w:p>
            <w:pPr>
              <w:spacing w:after="0"/>
              <w:rPr>
                <w:sz w:val="16"/>
                <w:szCs w:val="16"/>
                <w:color w:val="auto"/>
              </w:rPr>
            </w:pPr>
          </w:p>
        </w:tc>
        <w:tc>
          <w:tcPr>
            <w:tcW w:w="160" w:type="dxa"/>
            <w:vAlign w:val="bottom"/>
            <w:tcBorders>
              <w:bottom w:val="single" w:sz="8" w:color="auto"/>
            </w:tcBorders>
            <w:vMerge w:val="continue"/>
          </w:tcPr>
          <w:p>
            <w:pPr>
              <w:spacing w:after="0"/>
              <w:rPr>
                <w:sz w:val="16"/>
                <w:szCs w:val="16"/>
                <w:color w:val="auto"/>
              </w:rPr>
            </w:pPr>
          </w:p>
        </w:tc>
        <w:tc>
          <w:tcPr>
            <w:tcW w:w="780" w:type="dxa"/>
            <w:vAlign w:val="bottom"/>
            <w:tcBorders>
              <w:bottom w:val="single" w:sz="8" w:color="auto"/>
            </w:tcBorders>
            <w:vMerge w:val="continue"/>
          </w:tcPr>
          <w:p>
            <w:pPr>
              <w:spacing w:after="0"/>
              <w:rPr>
                <w:sz w:val="16"/>
                <w:szCs w:val="16"/>
                <w:color w:val="auto"/>
              </w:rPr>
            </w:pPr>
          </w:p>
        </w:tc>
        <w:tc>
          <w:tcPr>
            <w:tcW w:w="220" w:type="dxa"/>
            <w:vAlign w:val="bottom"/>
            <w:tcBorders>
              <w:bottom w:val="single" w:sz="8" w:color="auto"/>
            </w:tcBorders>
            <w:vMerge w:val="continue"/>
          </w:tcPr>
          <w:p>
            <w:pPr>
              <w:spacing w:after="0"/>
              <w:rPr>
                <w:sz w:val="16"/>
                <w:szCs w:val="16"/>
                <w:color w:val="auto"/>
              </w:rPr>
            </w:pPr>
          </w:p>
        </w:tc>
        <w:tc>
          <w:tcPr>
            <w:tcW w:w="820" w:type="dxa"/>
            <w:vAlign w:val="bottom"/>
            <w:tcBorders>
              <w:bottom w:val="single" w:sz="8" w:color="auto"/>
            </w:tcBorders>
            <w:vMerge w:val="continue"/>
          </w:tcPr>
          <w:p>
            <w:pPr>
              <w:spacing w:after="0"/>
              <w:rPr>
                <w:sz w:val="16"/>
                <w:szCs w:val="16"/>
                <w:color w:val="auto"/>
              </w:rPr>
            </w:pPr>
          </w:p>
        </w:tc>
        <w:tc>
          <w:tcPr>
            <w:tcW w:w="240" w:type="dxa"/>
            <w:vAlign w:val="bottom"/>
            <w:tcBorders>
              <w:bottom w:val="single" w:sz="8" w:color="auto"/>
            </w:tcBorders>
            <w:vMerge w:val="continue"/>
          </w:tcPr>
          <w:p>
            <w:pPr>
              <w:spacing w:after="0"/>
              <w:rPr>
                <w:sz w:val="16"/>
                <w:szCs w:val="16"/>
                <w:color w:val="auto"/>
              </w:rPr>
            </w:pPr>
          </w:p>
        </w:tc>
        <w:tc>
          <w:tcPr>
            <w:tcW w:w="7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318"/>
        </w:trPr>
        <w:tc>
          <w:tcPr>
            <w:tcW w:w="2780" w:type="dxa"/>
            <w:vAlign w:val="bottom"/>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2240" w:type="dxa"/>
            <w:vAlign w:val="bottom"/>
            <w:tcBorders>
              <w:bottom w:val="single" w:sz="8" w:color="auto"/>
            </w:tcBorders>
            <w:gridSpan w:val="5"/>
          </w:tcPr>
          <w:p>
            <w:pPr>
              <w:ind w:left="120"/>
              <w:spacing w:after="0"/>
              <w:rPr>
                <w:sz w:val="20"/>
                <w:szCs w:val="20"/>
                <w:color w:val="auto"/>
              </w:rPr>
            </w:pPr>
            <w:r>
              <w:rPr>
                <w:rFonts w:ascii="Times New Roman" w:cs="Times New Roman" w:eastAsia="Times New Roman" w:hAnsi="Times New Roman"/>
                <w:sz w:val="15"/>
                <w:szCs w:val="15"/>
                <w:b w:val="1"/>
                <w:bCs w:val="1"/>
                <w:color w:val="auto"/>
              </w:rPr>
              <w:t>ManpowerGroup Shareholders</w:t>
            </w:r>
          </w:p>
        </w:tc>
        <w:tc>
          <w:tcPr>
            <w:tcW w:w="12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2780" w:type="dxa"/>
            <w:vAlign w:val="bottom"/>
          </w:tcPr>
          <w:p>
            <w:pPr>
              <w:spacing w:after="0"/>
              <w:rPr>
                <w:sz w:val="14"/>
                <w:szCs w:val="14"/>
                <w:color w:val="auto"/>
              </w:rPr>
            </w:pPr>
          </w:p>
        </w:tc>
        <w:tc>
          <w:tcPr>
            <w:tcW w:w="1680" w:type="dxa"/>
            <w:vAlign w:val="bottom"/>
            <w:tcBorders>
              <w:bottom w:val="single" w:sz="8" w:color="auto"/>
            </w:tcBorders>
            <w:gridSpan w:val="2"/>
          </w:tcPr>
          <w:p>
            <w:pPr>
              <w:jc w:val="right"/>
              <w:ind w:right="188"/>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32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20" w:type="dxa"/>
            <w:vAlign w:val="bottom"/>
            <w:vMerge w:val="restart"/>
          </w:tcPr>
          <w:p>
            <w:pPr>
              <w:jc w:val="center"/>
              <w:ind w:right="168"/>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1"/>
        </w:trPr>
        <w:tc>
          <w:tcPr>
            <w:tcW w:w="27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60" w:type="dxa"/>
            <w:vAlign w:val="bottom"/>
            <w:vMerge w:val="restart"/>
          </w:tcPr>
          <w:p>
            <w:pPr>
              <w:jc w:val="center"/>
              <w:ind w:right="168"/>
              <w:spacing w:after="0"/>
              <w:rPr>
                <w:sz w:val="20"/>
                <w:szCs w:val="20"/>
                <w:color w:val="auto"/>
              </w:rPr>
            </w:pPr>
            <w:r>
              <w:rPr>
                <w:rFonts w:ascii="Times New Roman" w:cs="Times New Roman" w:eastAsia="Times New Roman" w:hAnsi="Times New Roman"/>
                <w:sz w:val="14"/>
                <w:szCs w:val="14"/>
                <w:b w:val="1"/>
                <w:bCs w:val="1"/>
                <w:color w:val="auto"/>
              </w:rPr>
              <w:t>Capital in</w:t>
            </w:r>
          </w:p>
        </w:tc>
        <w:tc>
          <w:tcPr>
            <w:tcW w:w="1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20" w:type="dxa"/>
            <w:vAlign w:val="bottom"/>
            <w:vMerge w:val="continue"/>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vMerge w:val="restart"/>
          </w:tcPr>
          <w:p>
            <w:pPr>
              <w:jc w:val="center"/>
              <w:ind w:right="188"/>
              <w:spacing w:after="0"/>
              <w:rPr>
                <w:sz w:val="20"/>
                <w:szCs w:val="20"/>
                <w:color w:val="auto"/>
              </w:rPr>
            </w:pPr>
            <w:r>
              <w:rPr>
                <w:rFonts w:ascii="Times New Roman" w:cs="Times New Roman" w:eastAsia="Times New Roman" w:hAnsi="Times New Roman"/>
                <w:sz w:val="14"/>
                <w:szCs w:val="14"/>
                <w:b w:val="1"/>
                <w:bCs w:val="1"/>
                <w:color w:val="auto"/>
              </w:rPr>
              <w:t>Non-</w:t>
            </w:r>
          </w:p>
        </w:tc>
        <w:tc>
          <w:tcPr>
            <w:tcW w:w="2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780" w:type="dxa"/>
            <w:vAlign w:val="bottom"/>
          </w:tcPr>
          <w:p>
            <w:pPr>
              <w:spacing w:after="0"/>
              <w:rPr>
                <w:sz w:val="12"/>
                <w:szCs w:val="12"/>
                <w:color w:val="auto"/>
              </w:rPr>
            </w:pPr>
          </w:p>
        </w:tc>
        <w:tc>
          <w:tcPr>
            <w:tcW w:w="960" w:type="dxa"/>
            <w:vAlign w:val="bottom"/>
            <w:vMerge w:val="restart"/>
          </w:tcPr>
          <w:p>
            <w:pPr>
              <w:ind w:left="22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720" w:type="dxa"/>
            <w:vAlign w:val="bottom"/>
            <w:vMerge w:val="restart"/>
          </w:tcPr>
          <w:p>
            <w:pPr>
              <w:jc w:val="center"/>
              <w:ind w:left="268"/>
              <w:spacing w:after="0"/>
              <w:rPr>
                <w:sz w:val="20"/>
                <w:szCs w:val="20"/>
                <w:color w:val="auto"/>
              </w:rPr>
            </w:pPr>
            <w:r>
              <w:rPr>
                <w:rFonts w:ascii="Times New Roman" w:cs="Times New Roman" w:eastAsia="Times New Roman" w:hAnsi="Times New Roman"/>
                <w:sz w:val="14"/>
                <w:szCs w:val="14"/>
                <w:b w:val="1"/>
                <w:bCs w:val="1"/>
                <w:color w:val="auto"/>
              </w:rPr>
              <w:t>Par</w:t>
            </w:r>
          </w:p>
        </w:tc>
        <w:tc>
          <w:tcPr>
            <w:tcW w:w="3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6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880" w:type="dxa"/>
            <w:vAlign w:val="bottom"/>
            <w:vMerge w:val="restart"/>
          </w:tcPr>
          <w:p>
            <w:pPr>
              <w:jc w:val="right"/>
              <w:ind w:right="248"/>
              <w:spacing w:after="0"/>
              <w:rPr>
                <w:sz w:val="20"/>
                <w:szCs w:val="20"/>
                <w:color w:val="auto"/>
              </w:rPr>
            </w:pPr>
            <w:r>
              <w:rPr>
                <w:rFonts w:ascii="Times New Roman" w:cs="Times New Roman" w:eastAsia="Times New Roman" w:hAnsi="Times New Roman"/>
                <w:sz w:val="14"/>
                <w:szCs w:val="14"/>
                <w:b w:val="1"/>
                <w:bCs w:val="1"/>
                <w:color w:val="auto"/>
              </w:rPr>
              <w:t>Retained</w:t>
            </w:r>
          </w:p>
        </w:tc>
        <w:tc>
          <w:tcPr>
            <w:tcW w:w="100" w:type="dxa"/>
            <w:vAlign w:val="bottom"/>
          </w:tcPr>
          <w:p>
            <w:pPr>
              <w:spacing w:after="0"/>
              <w:rPr>
                <w:sz w:val="12"/>
                <w:szCs w:val="12"/>
                <w:color w:val="auto"/>
              </w:rPr>
            </w:pPr>
          </w:p>
        </w:tc>
        <w:tc>
          <w:tcPr>
            <w:tcW w:w="1220" w:type="dxa"/>
            <w:vAlign w:val="bottom"/>
          </w:tcPr>
          <w:p>
            <w:pPr>
              <w:jc w:val="center"/>
              <w:ind w:right="148"/>
              <w:spacing w:after="0" w:line="149" w:lineRule="exact"/>
              <w:rPr>
                <w:sz w:val="20"/>
                <w:szCs w:val="20"/>
                <w:color w:val="auto"/>
              </w:rPr>
            </w:pPr>
            <w:r>
              <w:rPr>
                <w:rFonts w:ascii="Times New Roman" w:cs="Times New Roman" w:eastAsia="Times New Roman" w:hAnsi="Times New Roman"/>
                <w:sz w:val="14"/>
                <w:szCs w:val="14"/>
                <w:b w:val="1"/>
                <w:bCs w:val="1"/>
                <w:color w:val="auto"/>
              </w:rPr>
              <w:t>Other</w:t>
            </w:r>
          </w:p>
        </w:tc>
        <w:tc>
          <w:tcPr>
            <w:tcW w:w="160" w:type="dxa"/>
            <w:vAlign w:val="bottom"/>
          </w:tcPr>
          <w:p>
            <w:pPr>
              <w:spacing w:after="0"/>
              <w:rPr>
                <w:sz w:val="12"/>
                <w:szCs w:val="12"/>
                <w:color w:val="auto"/>
              </w:rPr>
            </w:pPr>
          </w:p>
        </w:tc>
        <w:tc>
          <w:tcPr>
            <w:tcW w:w="780" w:type="dxa"/>
            <w:vAlign w:val="bottom"/>
            <w:vMerge w:val="restart"/>
          </w:tcPr>
          <w:p>
            <w:pPr>
              <w:jc w:val="center"/>
              <w:ind w:right="108"/>
              <w:spacing w:after="0"/>
              <w:rPr>
                <w:sz w:val="20"/>
                <w:szCs w:val="20"/>
                <w:color w:val="auto"/>
              </w:rPr>
            </w:pPr>
            <w:r>
              <w:rPr>
                <w:rFonts w:ascii="Times New Roman" w:cs="Times New Roman" w:eastAsia="Times New Roman" w:hAnsi="Times New Roman"/>
                <w:sz w:val="14"/>
                <w:szCs w:val="14"/>
                <w:b w:val="1"/>
                <w:bCs w:val="1"/>
                <w:color w:val="auto"/>
              </w:rPr>
              <w:t>Treasury</w:t>
            </w:r>
          </w:p>
        </w:tc>
        <w:tc>
          <w:tcPr>
            <w:tcW w:w="220" w:type="dxa"/>
            <w:vAlign w:val="bottom"/>
          </w:tcPr>
          <w:p>
            <w:pPr>
              <w:spacing w:after="0"/>
              <w:rPr>
                <w:sz w:val="12"/>
                <w:szCs w:val="12"/>
                <w:color w:val="auto"/>
              </w:rPr>
            </w:pPr>
          </w:p>
        </w:tc>
        <w:tc>
          <w:tcPr>
            <w:tcW w:w="820" w:type="dxa"/>
            <w:vAlign w:val="bottom"/>
            <w:vMerge w:val="continue"/>
          </w:tcPr>
          <w:p>
            <w:pPr>
              <w:spacing w:after="0"/>
              <w:rPr>
                <w:sz w:val="12"/>
                <w:szCs w:val="12"/>
                <w:color w:val="auto"/>
              </w:rPr>
            </w:pPr>
          </w:p>
        </w:tc>
        <w:tc>
          <w:tcPr>
            <w:tcW w:w="2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780" w:type="dxa"/>
            <w:vAlign w:val="bottom"/>
          </w:tcPr>
          <w:p>
            <w:pPr>
              <w:spacing w:after="0"/>
              <w:rPr>
                <w:sz w:val="12"/>
                <w:szCs w:val="12"/>
                <w:color w:val="auto"/>
              </w:rPr>
            </w:pPr>
          </w:p>
        </w:tc>
        <w:tc>
          <w:tcPr>
            <w:tcW w:w="960" w:type="dxa"/>
            <w:vAlign w:val="bottom"/>
            <w:vMerge w:val="continue"/>
          </w:tcPr>
          <w:p>
            <w:pPr>
              <w:spacing w:after="0"/>
              <w:rPr>
                <w:sz w:val="12"/>
                <w:szCs w:val="12"/>
                <w:color w:val="auto"/>
              </w:rPr>
            </w:pPr>
          </w:p>
        </w:tc>
        <w:tc>
          <w:tcPr>
            <w:tcW w:w="720" w:type="dxa"/>
            <w:vAlign w:val="bottom"/>
            <w:vMerge w:val="continue"/>
          </w:tcPr>
          <w:p>
            <w:pPr>
              <w:spacing w:after="0"/>
              <w:rPr>
                <w:sz w:val="12"/>
                <w:szCs w:val="12"/>
                <w:color w:val="auto"/>
              </w:rPr>
            </w:pPr>
          </w:p>
        </w:tc>
        <w:tc>
          <w:tcPr>
            <w:tcW w:w="3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60" w:type="dxa"/>
            <w:vAlign w:val="bottom"/>
          </w:tcPr>
          <w:p>
            <w:pPr>
              <w:jc w:val="center"/>
              <w:ind w:right="188"/>
              <w:spacing w:after="0" w:line="149" w:lineRule="exact"/>
              <w:rPr>
                <w:sz w:val="20"/>
                <w:szCs w:val="20"/>
                <w:color w:val="auto"/>
              </w:rPr>
            </w:pPr>
            <w:r>
              <w:rPr>
                <w:rFonts w:ascii="Times New Roman" w:cs="Times New Roman" w:eastAsia="Times New Roman" w:hAnsi="Times New Roman"/>
                <w:sz w:val="14"/>
                <w:szCs w:val="14"/>
                <w:b w:val="1"/>
                <w:bCs w:val="1"/>
                <w:color w:val="auto"/>
              </w:rPr>
              <w:t>Excess of</w:t>
            </w:r>
          </w:p>
        </w:tc>
        <w:tc>
          <w:tcPr>
            <w:tcW w:w="180" w:type="dxa"/>
            <w:vAlign w:val="bottom"/>
          </w:tcPr>
          <w:p>
            <w:pPr>
              <w:spacing w:after="0"/>
              <w:rPr>
                <w:sz w:val="12"/>
                <w:szCs w:val="12"/>
                <w:color w:val="auto"/>
              </w:rPr>
            </w:pPr>
          </w:p>
        </w:tc>
        <w:tc>
          <w:tcPr>
            <w:tcW w:w="88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220" w:type="dxa"/>
            <w:vAlign w:val="bottom"/>
          </w:tcPr>
          <w:p>
            <w:pPr>
              <w:jc w:val="center"/>
              <w:ind w:right="148"/>
              <w:spacing w:after="0" w:line="149"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160" w:type="dxa"/>
            <w:vAlign w:val="bottom"/>
          </w:tcPr>
          <w:p>
            <w:pPr>
              <w:spacing w:after="0"/>
              <w:rPr>
                <w:sz w:val="12"/>
                <w:szCs w:val="12"/>
                <w:color w:val="auto"/>
              </w:rPr>
            </w:pPr>
          </w:p>
        </w:tc>
        <w:tc>
          <w:tcPr>
            <w:tcW w:w="780" w:type="dxa"/>
            <w:vAlign w:val="bottom"/>
            <w:vMerge w:val="continue"/>
          </w:tcPr>
          <w:p>
            <w:pPr>
              <w:spacing w:after="0"/>
              <w:rPr>
                <w:sz w:val="12"/>
                <w:szCs w:val="12"/>
                <w:color w:val="auto"/>
              </w:rPr>
            </w:pPr>
          </w:p>
        </w:tc>
        <w:tc>
          <w:tcPr>
            <w:tcW w:w="1040" w:type="dxa"/>
            <w:vAlign w:val="bottom"/>
            <w:gridSpan w:val="2"/>
          </w:tcPr>
          <w:p>
            <w:pPr>
              <w:ind w:left="140"/>
              <w:spacing w:after="0" w:line="149" w:lineRule="exact"/>
              <w:rPr>
                <w:sz w:val="20"/>
                <w:szCs w:val="20"/>
                <w:color w:val="auto"/>
              </w:rPr>
            </w:pPr>
            <w:r>
              <w:rPr>
                <w:rFonts w:ascii="Times New Roman" w:cs="Times New Roman" w:eastAsia="Times New Roman" w:hAnsi="Times New Roman"/>
                <w:sz w:val="14"/>
                <w:szCs w:val="14"/>
                <w:b w:val="1"/>
                <w:bCs w:val="1"/>
                <w:color w:val="auto"/>
              </w:rPr>
              <w:t>Controlling</w:t>
            </w:r>
          </w:p>
        </w:tc>
        <w:tc>
          <w:tcPr>
            <w:tcW w:w="240" w:type="dxa"/>
            <w:vAlign w:val="bottom"/>
          </w:tcPr>
          <w:p>
            <w:pPr>
              <w:spacing w:after="0"/>
              <w:rPr>
                <w:sz w:val="12"/>
                <w:szCs w:val="12"/>
                <w:color w:val="auto"/>
              </w:rPr>
            </w:pPr>
          </w:p>
        </w:tc>
        <w:tc>
          <w:tcPr>
            <w:tcW w:w="780" w:type="dxa"/>
            <w:vAlign w:val="bottom"/>
            <w:vMerge w:val="restart"/>
          </w:tcPr>
          <w:p>
            <w:pPr>
              <w:jc w:val="right"/>
              <w:ind w:right="308"/>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87"/>
        </w:trPr>
        <w:tc>
          <w:tcPr>
            <w:tcW w:w="27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4"/>
                <w:szCs w:val="14"/>
                <w:b w:val="1"/>
                <w:bCs w:val="1"/>
                <w:color w:val="auto"/>
              </w:rPr>
              <w:t>Issued</w:t>
            </w:r>
          </w:p>
        </w:tc>
        <w:tc>
          <w:tcPr>
            <w:tcW w:w="720" w:type="dxa"/>
            <w:vAlign w:val="bottom"/>
            <w:tcBorders>
              <w:bottom w:val="single" w:sz="8" w:color="auto"/>
            </w:tcBorders>
          </w:tcPr>
          <w:p>
            <w:pPr>
              <w:jc w:val="center"/>
              <w:ind w:left="268"/>
              <w:spacing w:after="0"/>
              <w:rPr>
                <w:sz w:val="20"/>
                <w:szCs w:val="20"/>
                <w:color w:val="auto"/>
              </w:rPr>
            </w:pPr>
            <w:r>
              <w:rPr>
                <w:rFonts w:ascii="Times New Roman" w:cs="Times New Roman" w:eastAsia="Times New Roman" w:hAnsi="Times New Roman"/>
                <w:sz w:val="14"/>
                <w:szCs w:val="14"/>
                <w:b w:val="1"/>
                <w:bCs w:val="1"/>
                <w:color w:val="auto"/>
                <w:w w:val="97"/>
              </w:rPr>
              <w:t>Value</w:t>
            </w:r>
          </w:p>
        </w:tc>
        <w:tc>
          <w:tcPr>
            <w:tcW w:w="3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center"/>
              <w:ind w:right="188"/>
              <w:spacing w:after="0"/>
              <w:rPr>
                <w:sz w:val="20"/>
                <w:szCs w:val="20"/>
                <w:color w:val="auto"/>
              </w:rPr>
            </w:pPr>
            <w:r>
              <w:rPr>
                <w:rFonts w:ascii="Times New Roman" w:cs="Times New Roman" w:eastAsia="Times New Roman" w:hAnsi="Times New Roman"/>
                <w:sz w:val="14"/>
                <w:szCs w:val="14"/>
                <w:b w:val="1"/>
                <w:bCs w:val="1"/>
                <w:color w:val="auto"/>
                <w:w w:val="99"/>
              </w:rPr>
              <w:t>Par Value</w:t>
            </w:r>
          </w:p>
        </w:tc>
        <w:tc>
          <w:tcPr>
            <w:tcW w:w="18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228"/>
              <w:spacing w:after="0"/>
              <w:rPr>
                <w:sz w:val="20"/>
                <w:szCs w:val="20"/>
                <w:color w:val="auto"/>
              </w:rPr>
            </w:pPr>
            <w:r>
              <w:rPr>
                <w:rFonts w:ascii="Times New Roman" w:cs="Times New Roman" w:eastAsia="Times New Roman" w:hAnsi="Times New Roman"/>
                <w:sz w:val="14"/>
                <w:szCs w:val="14"/>
                <w:b w:val="1"/>
                <w:bCs w:val="1"/>
                <w:color w:val="auto"/>
              </w:rPr>
              <w:t>Earnings</w:t>
            </w:r>
          </w:p>
        </w:tc>
        <w:tc>
          <w:tcPr>
            <w:tcW w:w="10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center"/>
              <w:ind w:right="148"/>
              <w:spacing w:after="0"/>
              <w:rPr>
                <w:sz w:val="20"/>
                <w:szCs w:val="20"/>
                <w:color w:val="auto"/>
              </w:rPr>
            </w:pPr>
            <w:r>
              <w:rPr>
                <w:rFonts w:ascii="Times New Roman" w:cs="Times New Roman" w:eastAsia="Times New Roman" w:hAnsi="Times New Roman"/>
                <w:sz w:val="14"/>
                <w:szCs w:val="14"/>
                <w:b w:val="1"/>
                <w:bCs w:val="1"/>
                <w:color w:val="auto"/>
              </w:rPr>
              <w:t>Loss</w:t>
            </w:r>
          </w:p>
        </w:tc>
        <w:tc>
          <w:tcPr>
            <w:tcW w:w="16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center"/>
              <w:ind w:right="128"/>
              <w:spacing w:after="0"/>
              <w:rPr>
                <w:sz w:val="20"/>
                <w:szCs w:val="20"/>
                <w:color w:val="auto"/>
              </w:rPr>
            </w:pPr>
            <w:r>
              <w:rPr>
                <w:rFonts w:ascii="Times New Roman" w:cs="Times New Roman" w:eastAsia="Times New Roman" w:hAnsi="Times New Roman"/>
                <w:sz w:val="14"/>
                <w:szCs w:val="14"/>
                <w:b w:val="1"/>
                <w:bCs w:val="1"/>
                <w:color w:val="auto"/>
              </w:rPr>
              <w:t>Stock</w:t>
            </w:r>
          </w:p>
        </w:tc>
        <w:tc>
          <w:tcPr>
            <w:tcW w:w="22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center"/>
              <w:ind w:right="188"/>
              <w:spacing w:after="0"/>
              <w:rPr>
                <w:sz w:val="20"/>
                <w:szCs w:val="20"/>
                <w:color w:val="auto"/>
              </w:rPr>
            </w:pPr>
            <w:r>
              <w:rPr>
                <w:rFonts w:ascii="Times New Roman" w:cs="Times New Roman" w:eastAsia="Times New Roman" w:hAnsi="Times New Roman"/>
                <w:sz w:val="14"/>
                <w:szCs w:val="14"/>
                <w:b w:val="1"/>
                <w:bCs w:val="1"/>
                <w:color w:val="auto"/>
                <w:w w:val="99"/>
              </w:rPr>
              <w:t>Interests</w:t>
            </w:r>
          </w:p>
        </w:tc>
        <w:tc>
          <w:tcPr>
            <w:tcW w:w="24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33"/>
        </w:trPr>
        <w:tc>
          <w:tcPr>
            <w:tcW w:w="2780" w:type="dxa"/>
            <w:vAlign w:val="bottom"/>
            <w:shd w:val="clear" w:color="auto" w:fill="CFF0FC"/>
          </w:tcPr>
          <w:p>
            <w:pPr>
              <w:ind w:left="20"/>
              <w:spacing w:after="0" w:line="133" w:lineRule="exact"/>
              <w:rPr>
                <w:sz w:val="20"/>
                <w:szCs w:val="20"/>
                <w:color w:val="auto"/>
              </w:rPr>
            </w:pPr>
            <w:r>
              <w:rPr>
                <w:rFonts w:ascii="Times New Roman" w:cs="Times New Roman" w:eastAsia="Times New Roman" w:hAnsi="Times New Roman"/>
                <w:sz w:val="14"/>
                <w:szCs w:val="14"/>
                <w:color w:val="auto"/>
              </w:rPr>
              <w:t>Balance, December 31, 2022</w:t>
            </w:r>
          </w:p>
        </w:tc>
        <w:tc>
          <w:tcPr>
            <w:tcW w:w="960" w:type="dxa"/>
            <w:vAlign w:val="bottom"/>
            <w:shd w:val="clear" w:color="auto" w:fill="CFF0FC"/>
          </w:tcPr>
          <w:p>
            <w:pPr>
              <w:jc w:val="right"/>
              <w:ind w:right="68"/>
              <w:spacing w:after="0" w:line="133" w:lineRule="exact"/>
              <w:rPr>
                <w:sz w:val="20"/>
                <w:szCs w:val="20"/>
                <w:color w:val="auto"/>
              </w:rPr>
            </w:pPr>
            <w:r>
              <w:rPr>
                <w:rFonts w:ascii="Times New Roman" w:cs="Times New Roman" w:eastAsia="Times New Roman" w:hAnsi="Times New Roman"/>
                <w:sz w:val="14"/>
                <w:szCs w:val="14"/>
                <w:color w:val="auto"/>
              </w:rPr>
              <w:t>118,028,00</w:t>
            </w:r>
          </w:p>
        </w:tc>
        <w:tc>
          <w:tcPr>
            <w:tcW w:w="720" w:type="dxa"/>
            <w:vAlign w:val="bottom"/>
            <w:vMerge w:val="restart"/>
            <w:shd w:val="clear" w:color="auto" w:fill="CFF0FC"/>
          </w:tcPr>
          <w:p>
            <w:pPr>
              <w:jc w:val="right"/>
              <w:ind w:right="428"/>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vMerge w:val="restart"/>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1.2</w:t>
            </w:r>
          </w:p>
        </w:tc>
        <w:tc>
          <w:tcPr>
            <w:tcW w:w="220" w:type="dxa"/>
            <w:vAlign w:val="bottom"/>
            <w:vMerge w:val="restart"/>
            <w:shd w:val="clear" w:color="auto" w:fill="CFF0FC"/>
          </w:tcPr>
          <w:p>
            <w:pPr>
              <w:ind w:left="140"/>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vMerge w:val="restart"/>
            <w:shd w:val="clear" w:color="auto" w:fill="CFF0FC"/>
          </w:tcPr>
          <w:p>
            <w:pPr>
              <w:jc w:val="right"/>
              <w:ind w:right="88"/>
              <w:spacing w:after="0"/>
              <w:rPr>
                <w:sz w:val="20"/>
                <w:szCs w:val="20"/>
                <w:color w:val="auto"/>
              </w:rPr>
            </w:pPr>
            <w:r>
              <w:rPr>
                <w:rFonts w:ascii="Times New Roman" w:cs="Times New Roman" w:eastAsia="Times New Roman" w:hAnsi="Times New Roman"/>
                <w:sz w:val="14"/>
                <w:szCs w:val="14"/>
                <w:color w:val="auto"/>
              </w:rPr>
              <w:t>3,484.2</w:t>
            </w:r>
          </w:p>
        </w:tc>
        <w:tc>
          <w:tcPr>
            <w:tcW w:w="1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vMerge w:val="restart"/>
            <w:shd w:val="clear" w:color="auto" w:fill="CFF0FC"/>
          </w:tcPr>
          <w:p>
            <w:pPr>
              <w:jc w:val="right"/>
              <w:ind w:right="148"/>
              <w:spacing w:after="0"/>
              <w:rPr>
                <w:sz w:val="20"/>
                <w:szCs w:val="20"/>
                <w:color w:val="auto"/>
              </w:rPr>
            </w:pPr>
            <w:r>
              <w:rPr>
                <w:rFonts w:ascii="Times New Roman" w:cs="Times New Roman" w:eastAsia="Times New Roman" w:hAnsi="Times New Roman"/>
                <w:sz w:val="14"/>
                <w:szCs w:val="14"/>
                <w:color w:val="auto"/>
              </w:rPr>
              <w:t>3,868.5</w:t>
            </w:r>
          </w:p>
        </w:tc>
        <w:tc>
          <w:tcPr>
            <w:tcW w:w="1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vMerge w:val="restart"/>
            <w:shd w:val="clear" w:color="auto" w:fill="CFF0FC"/>
          </w:tcPr>
          <w:p>
            <w:pPr>
              <w:jc w:val="right"/>
              <w:ind w:right="8"/>
              <w:spacing w:after="0"/>
              <w:rPr>
                <w:sz w:val="20"/>
                <w:szCs w:val="20"/>
                <w:color w:val="auto"/>
              </w:rPr>
            </w:pPr>
            <w:r>
              <w:rPr>
                <w:rFonts w:ascii="Times New Roman" w:cs="Times New Roman" w:eastAsia="Times New Roman" w:hAnsi="Times New Roman"/>
                <w:sz w:val="14"/>
                <w:szCs w:val="14"/>
                <w:color w:val="auto"/>
              </w:rPr>
              <w:t>(458.7 )</w:t>
            </w:r>
          </w:p>
        </w:tc>
        <w:tc>
          <w:tcPr>
            <w:tcW w:w="1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(4,447.9 )</w:t>
            </w:r>
          </w:p>
        </w:tc>
        <w:tc>
          <w:tcPr>
            <w:tcW w:w="220" w:type="dxa"/>
            <w:vAlign w:val="bottom"/>
            <w:vMerge w:val="restart"/>
            <w:shd w:val="clear" w:color="auto" w:fill="CFF0FC"/>
          </w:tcPr>
          <w:p>
            <w:pPr>
              <w:ind w:left="12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vMerge w:val="restart"/>
            <w:shd w:val="clear" w:color="auto" w:fill="CFF0FC"/>
          </w:tcPr>
          <w:p>
            <w:pPr>
              <w:jc w:val="right"/>
              <w:ind w:right="88"/>
              <w:spacing w:after="0"/>
              <w:rPr>
                <w:sz w:val="20"/>
                <w:szCs w:val="20"/>
                <w:color w:val="auto"/>
              </w:rPr>
            </w:pPr>
            <w:r>
              <w:rPr>
                <w:rFonts w:ascii="Times New Roman" w:cs="Times New Roman" w:eastAsia="Times New Roman" w:hAnsi="Times New Roman"/>
                <w:sz w:val="14"/>
                <w:szCs w:val="14"/>
                <w:color w:val="auto"/>
              </w:rPr>
              <w:t>10.8</w:t>
            </w:r>
          </w:p>
        </w:tc>
        <w:tc>
          <w:tcPr>
            <w:tcW w:w="240" w:type="dxa"/>
            <w:vAlign w:val="bottom"/>
            <w:vMerge w:val="restart"/>
            <w:shd w:val="clear" w:color="auto" w:fill="CFF0FC"/>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vMerge w:val="restart"/>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2,458.1</w:t>
            </w:r>
          </w:p>
        </w:tc>
        <w:tc>
          <w:tcPr>
            <w:tcW w:w="0" w:type="dxa"/>
            <w:vAlign w:val="bottom"/>
          </w:tcPr>
          <w:p>
            <w:pPr>
              <w:spacing w:after="0"/>
              <w:rPr>
                <w:sz w:val="1"/>
                <w:szCs w:val="1"/>
                <w:color w:val="auto"/>
              </w:rPr>
            </w:pPr>
          </w:p>
        </w:tc>
      </w:tr>
      <w:tr>
        <w:trPr>
          <w:trHeight w:val="185"/>
        </w:trPr>
        <w:tc>
          <w:tcPr>
            <w:tcW w:w="2780" w:type="dxa"/>
            <w:vAlign w:val="bottom"/>
            <w:shd w:val="clear" w:color="auto" w:fill="CFF0FC"/>
          </w:tcPr>
          <w:p>
            <w:pPr>
              <w:spacing w:after="0"/>
              <w:rPr>
                <w:sz w:val="16"/>
                <w:szCs w:val="16"/>
                <w:color w:val="auto"/>
              </w:rPr>
            </w:pPr>
          </w:p>
        </w:tc>
        <w:tc>
          <w:tcPr>
            <w:tcW w:w="96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9</w:t>
            </w:r>
          </w:p>
        </w:tc>
        <w:tc>
          <w:tcPr>
            <w:tcW w:w="720" w:type="dxa"/>
            <w:vAlign w:val="bottom"/>
            <w:vMerge w:val="continue"/>
            <w:shd w:val="clear" w:color="auto" w:fill="CFF0FC"/>
          </w:tcPr>
          <w:p>
            <w:pPr>
              <w:spacing w:after="0"/>
              <w:rPr>
                <w:sz w:val="16"/>
                <w:szCs w:val="16"/>
                <w:color w:val="auto"/>
              </w:rPr>
            </w:pPr>
          </w:p>
        </w:tc>
        <w:tc>
          <w:tcPr>
            <w:tcW w:w="320" w:type="dxa"/>
            <w:vAlign w:val="bottom"/>
            <w:vMerge w:val="continue"/>
            <w:shd w:val="clear" w:color="auto" w:fill="CFF0FC"/>
          </w:tcPr>
          <w:p>
            <w:pPr>
              <w:spacing w:after="0"/>
              <w:rPr>
                <w:sz w:val="16"/>
                <w:szCs w:val="16"/>
                <w:color w:val="auto"/>
              </w:rPr>
            </w:pPr>
          </w:p>
        </w:tc>
        <w:tc>
          <w:tcPr>
            <w:tcW w:w="220" w:type="dxa"/>
            <w:vAlign w:val="bottom"/>
            <w:vMerge w:val="continue"/>
            <w:shd w:val="clear" w:color="auto" w:fill="CFF0FC"/>
          </w:tcPr>
          <w:p>
            <w:pPr>
              <w:spacing w:after="0"/>
              <w:rPr>
                <w:sz w:val="16"/>
                <w:szCs w:val="16"/>
                <w:color w:val="auto"/>
              </w:rPr>
            </w:pPr>
          </w:p>
        </w:tc>
        <w:tc>
          <w:tcPr>
            <w:tcW w:w="860" w:type="dxa"/>
            <w:vAlign w:val="bottom"/>
            <w:vMerge w:val="continue"/>
            <w:shd w:val="clear" w:color="auto" w:fill="CFF0FC"/>
          </w:tcPr>
          <w:p>
            <w:pPr>
              <w:spacing w:after="0"/>
              <w:rPr>
                <w:sz w:val="16"/>
                <w:szCs w:val="16"/>
                <w:color w:val="auto"/>
              </w:rPr>
            </w:pPr>
          </w:p>
        </w:tc>
        <w:tc>
          <w:tcPr>
            <w:tcW w:w="180" w:type="dxa"/>
            <w:vAlign w:val="bottom"/>
            <w:vMerge w:val="continue"/>
            <w:shd w:val="clear" w:color="auto" w:fill="CFF0FC"/>
          </w:tcPr>
          <w:p>
            <w:pPr>
              <w:spacing w:after="0"/>
              <w:rPr>
                <w:sz w:val="16"/>
                <w:szCs w:val="16"/>
                <w:color w:val="auto"/>
              </w:rPr>
            </w:pPr>
          </w:p>
        </w:tc>
        <w:tc>
          <w:tcPr>
            <w:tcW w:w="880" w:type="dxa"/>
            <w:vAlign w:val="bottom"/>
            <w:vMerge w:val="continue"/>
            <w:shd w:val="clear" w:color="auto" w:fill="CFF0FC"/>
          </w:tcPr>
          <w:p>
            <w:pPr>
              <w:spacing w:after="0"/>
              <w:rPr>
                <w:sz w:val="16"/>
                <w:szCs w:val="16"/>
                <w:color w:val="auto"/>
              </w:rPr>
            </w:pPr>
          </w:p>
        </w:tc>
        <w:tc>
          <w:tcPr>
            <w:tcW w:w="100" w:type="dxa"/>
            <w:vAlign w:val="bottom"/>
            <w:vMerge w:val="continue"/>
            <w:shd w:val="clear" w:color="auto" w:fill="CFF0FC"/>
          </w:tcPr>
          <w:p>
            <w:pPr>
              <w:spacing w:after="0"/>
              <w:rPr>
                <w:sz w:val="16"/>
                <w:szCs w:val="16"/>
                <w:color w:val="auto"/>
              </w:rPr>
            </w:pPr>
          </w:p>
        </w:tc>
        <w:tc>
          <w:tcPr>
            <w:tcW w:w="1220" w:type="dxa"/>
            <w:vAlign w:val="bottom"/>
            <w:vMerge w:val="continue"/>
            <w:shd w:val="clear" w:color="auto" w:fill="CFF0FC"/>
          </w:tcPr>
          <w:p>
            <w:pPr>
              <w:spacing w:after="0"/>
              <w:rPr>
                <w:sz w:val="16"/>
                <w:szCs w:val="16"/>
                <w:color w:val="auto"/>
              </w:rPr>
            </w:pPr>
          </w:p>
        </w:tc>
        <w:tc>
          <w:tcPr>
            <w:tcW w:w="160" w:type="dxa"/>
            <w:vAlign w:val="bottom"/>
            <w:vMerge w:val="continue"/>
            <w:shd w:val="clear" w:color="auto" w:fill="CFF0FC"/>
          </w:tcPr>
          <w:p>
            <w:pPr>
              <w:spacing w:after="0"/>
              <w:rPr>
                <w:sz w:val="16"/>
                <w:szCs w:val="16"/>
                <w:color w:val="auto"/>
              </w:rPr>
            </w:pPr>
          </w:p>
        </w:tc>
        <w:tc>
          <w:tcPr>
            <w:tcW w:w="780" w:type="dxa"/>
            <w:vAlign w:val="bottom"/>
            <w:vMerge w:val="continue"/>
            <w:shd w:val="clear" w:color="auto" w:fill="CFF0FC"/>
          </w:tcPr>
          <w:p>
            <w:pPr>
              <w:spacing w:after="0"/>
              <w:rPr>
                <w:sz w:val="16"/>
                <w:szCs w:val="16"/>
                <w:color w:val="auto"/>
              </w:rPr>
            </w:pPr>
          </w:p>
        </w:tc>
        <w:tc>
          <w:tcPr>
            <w:tcW w:w="220" w:type="dxa"/>
            <w:vAlign w:val="bottom"/>
            <w:vMerge w:val="continue"/>
            <w:shd w:val="clear" w:color="auto" w:fill="CFF0FC"/>
          </w:tcPr>
          <w:p>
            <w:pPr>
              <w:spacing w:after="0"/>
              <w:rPr>
                <w:sz w:val="16"/>
                <w:szCs w:val="16"/>
                <w:color w:val="auto"/>
              </w:rPr>
            </w:pPr>
          </w:p>
        </w:tc>
        <w:tc>
          <w:tcPr>
            <w:tcW w:w="820" w:type="dxa"/>
            <w:vAlign w:val="bottom"/>
            <w:vMerge w:val="continue"/>
            <w:shd w:val="clear" w:color="auto" w:fill="CFF0FC"/>
          </w:tcPr>
          <w:p>
            <w:pPr>
              <w:spacing w:after="0"/>
              <w:rPr>
                <w:sz w:val="16"/>
                <w:szCs w:val="16"/>
                <w:color w:val="auto"/>
              </w:rPr>
            </w:pPr>
          </w:p>
        </w:tc>
        <w:tc>
          <w:tcPr>
            <w:tcW w:w="240" w:type="dxa"/>
            <w:vAlign w:val="bottom"/>
            <w:vMerge w:val="continue"/>
            <w:shd w:val="clear" w:color="auto" w:fill="CFF0FC"/>
          </w:tcPr>
          <w:p>
            <w:pPr>
              <w:spacing w:after="0"/>
              <w:rPr>
                <w:sz w:val="16"/>
                <w:szCs w:val="16"/>
                <w:color w:val="auto"/>
              </w:rPr>
            </w:pPr>
          </w:p>
        </w:tc>
        <w:tc>
          <w:tcPr>
            <w:tcW w:w="780" w:type="dxa"/>
            <w:vAlign w:val="bottom"/>
            <w:vMerge w:val="continue"/>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278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Net earnings</w:t>
            </w:r>
          </w:p>
        </w:tc>
        <w:tc>
          <w:tcPr>
            <w:tcW w:w="9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80" w:type="dxa"/>
            <w:vAlign w:val="bottom"/>
          </w:tcPr>
          <w:p>
            <w:pPr>
              <w:jc w:val="right"/>
              <w:ind w:right="148"/>
              <w:spacing w:after="0"/>
              <w:rPr>
                <w:sz w:val="20"/>
                <w:szCs w:val="20"/>
                <w:color w:val="auto"/>
              </w:rPr>
            </w:pPr>
            <w:r>
              <w:rPr>
                <w:rFonts w:ascii="Times New Roman" w:cs="Times New Roman" w:eastAsia="Times New Roman" w:hAnsi="Times New Roman"/>
                <w:sz w:val="14"/>
                <w:szCs w:val="14"/>
                <w:color w:val="auto"/>
              </w:rPr>
              <w:t>77.8</w:t>
            </w:r>
          </w:p>
        </w:tc>
        <w:tc>
          <w:tcPr>
            <w:tcW w:w="10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77.8</w:t>
            </w:r>
          </w:p>
        </w:tc>
        <w:tc>
          <w:tcPr>
            <w:tcW w:w="0" w:type="dxa"/>
            <w:vAlign w:val="bottom"/>
          </w:tcPr>
          <w:p>
            <w:pPr>
              <w:spacing w:after="0"/>
              <w:rPr>
                <w:sz w:val="1"/>
                <w:szCs w:val="1"/>
                <w:color w:val="auto"/>
              </w:rPr>
            </w:pPr>
          </w:p>
        </w:tc>
      </w:tr>
      <w:tr>
        <w:trPr>
          <w:trHeight w:val="175"/>
        </w:trPr>
        <w:tc>
          <w:tcPr>
            <w:tcW w:w="27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4"/>
                <w:szCs w:val="14"/>
                <w:color w:val="auto"/>
              </w:rPr>
              <w:t>Other comprehensive income</w:t>
            </w:r>
          </w:p>
        </w:tc>
        <w:tc>
          <w:tcPr>
            <w:tcW w:w="960" w:type="dxa"/>
            <w:vAlign w:val="bottom"/>
            <w:shd w:val="clear" w:color="auto" w:fill="CFF0FC"/>
          </w:tcPr>
          <w:p>
            <w:pPr>
              <w:spacing w:after="0"/>
              <w:rPr>
                <w:sz w:val="15"/>
                <w:szCs w:val="15"/>
                <w:color w:val="auto"/>
              </w:rPr>
            </w:pPr>
          </w:p>
        </w:tc>
        <w:tc>
          <w:tcPr>
            <w:tcW w:w="720" w:type="dxa"/>
            <w:vAlign w:val="bottom"/>
            <w:shd w:val="clear" w:color="auto" w:fill="CFF0FC"/>
          </w:tcPr>
          <w:p>
            <w:pPr>
              <w:spacing w:after="0"/>
              <w:rPr>
                <w:sz w:val="15"/>
                <w:szCs w:val="15"/>
                <w:color w:val="auto"/>
              </w:rPr>
            </w:pPr>
          </w:p>
        </w:tc>
        <w:tc>
          <w:tcPr>
            <w:tcW w:w="32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86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8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220" w:type="dxa"/>
            <w:vAlign w:val="bottom"/>
            <w:shd w:val="clear" w:color="auto" w:fill="CFF0FC"/>
          </w:tcPr>
          <w:p>
            <w:pPr>
              <w:jc w:val="right"/>
              <w:ind w:right="88"/>
              <w:spacing w:after="0"/>
              <w:rPr>
                <w:sz w:val="20"/>
                <w:szCs w:val="20"/>
                <w:color w:val="auto"/>
              </w:rPr>
            </w:pPr>
            <w:r>
              <w:rPr>
                <w:rFonts w:ascii="Times New Roman" w:cs="Times New Roman" w:eastAsia="Times New Roman" w:hAnsi="Times New Roman"/>
                <w:sz w:val="14"/>
                <w:szCs w:val="14"/>
                <w:color w:val="auto"/>
              </w:rPr>
              <w:t>7.1</w:t>
            </w:r>
          </w:p>
        </w:tc>
        <w:tc>
          <w:tcPr>
            <w:tcW w:w="160" w:type="dxa"/>
            <w:vAlign w:val="bottom"/>
            <w:shd w:val="clear" w:color="auto" w:fill="CFF0FC"/>
          </w:tcPr>
          <w:p>
            <w:pPr>
              <w:spacing w:after="0"/>
              <w:rPr>
                <w:sz w:val="15"/>
                <w:szCs w:val="15"/>
                <w:color w:val="auto"/>
              </w:rPr>
            </w:pPr>
          </w:p>
        </w:tc>
        <w:tc>
          <w:tcPr>
            <w:tcW w:w="78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82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78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7.1</w:t>
            </w:r>
          </w:p>
        </w:tc>
        <w:tc>
          <w:tcPr>
            <w:tcW w:w="0" w:type="dxa"/>
            <w:vAlign w:val="bottom"/>
          </w:tcPr>
          <w:p>
            <w:pPr>
              <w:spacing w:after="0"/>
              <w:rPr>
                <w:sz w:val="1"/>
                <w:szCs w:val="1"/>
                <w:color w:val="auto"/>
              </w:rPr>
            </w:pPr>
          </w:p>
        </w:tc>
      </w:tr>
      <w:tr>
        <w:trPr>
          <w:trHeight w:val="175"/>
        </w:trPr>
        <w:tc>
          <w:tcPr>
            <w:tcW w:w="278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Issuances under equity plans</w:t>
            </w:r>
          </w:p>
        </w:tc>
        <w:tc>
          <w:tcPr>
            <w:tcW w:w="96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336,079</w:t>
            </w:r>
          </w:p>
        </w:tc>
        <w:tc>
          <w:tcPr>
            <w:tcW w:w="7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6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1.3</w:t>
            </w:r>
          </w:p>
        </w:tc>
        <w:tc>
          <w:tcPr>
            <w:tcW w:w="1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(9.9 )</w:t>
            </w:r>
          </w:p>
        </w:tc>
        <w:tc>
          <w:tcPr>
            <w:tcW w:w="2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(8.6 )</w:t>
            </w:r>
          </w:p>
        </w:tc>
        <w:tc>
          <w:tcPr>
            <w:tcW w:w="0" w:type="dxa"/>
            <w:vAlign w:val="bottom"/>
          </w:tcPr>
          <w:p>
            <w:pPr>
              <w:spacing w:after="0"/>
              <w:rPr>
                <w:sz w:val="1"/>
                <w:szCs w:val="1"/>
                <w:color w:val="auto"/>
              </w:rPr>
            </w:pPr>
          </w:p>
        </w:tc>
      </w:tr>
      <w:tr>
        <w:trPr>
          <w:trHeight w:val="175"/>
        </w:trPr>
        <w:tc>
          <w:tcPr>
            <w:tcW w:w="27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4"/>
                <w:szCs w:val="14"/>
                <w:color w:val="auto"/>
              </w:rPr>
              <w:t>Share-based compensation expense</w:t>
            </w:r>
          </w:p>
        </w:tc>
        <w:tc>
          <w:tcPr>
            <w:tcW w:w="960" w:type="dxa"/>
            <w:vAlign w:val="bottom"/>
            <w:shd w:val="clear" w:color="auto" w:fill="CFF0FC"/>
          </w:tcPr>
          <w:p>
            <w:pPr>
              <w:spacing w:after="0"/>
              <w:rPr>
                <w:sz w:val="15"/>
                <w:szCs w:val="15"/>
                <w:color w:val="auto"/>
              </w:rPr>
            </w:pPr>
          </w:p>
        </w:tc>
        <w:tc>
          <w:tcPr>
            <w:tcW w:w="720" w:type="dxa"/>
            <w:vAlign w:val="bottom"/>
            <w:shd w:val="clear" w:color="auto" w:fill="CFF0FC"/>
          </w:tcPr>
          <w:p>
            <w:pPr>
              <w:spacing w:after="0"/>
              <w:rPr>
                <w:sz w:val="15"/>
                <w:szCs w:val="15"/>
                <w:color w:val="auto"/>
              </w:rPr>
            </w:pPr>
          </w:p>
        </w:tc>
        <w:tc>
          <w:tcPr>
            <w:tcW w:w="32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860" w:type="dxa"/>
            <w:vAlign w:val="bottom"/>
            <w:shd w:val="clear" w:color="auto" w:fill="CFF0FC"/>
          </w:tcPr>
          <w:p>
            <w:pPr>
              <w:jc w:val="right"/>
              <w:ind w:right="88"/>
              <w:spacing w:after="0"/>
              <w:rPr>
                <w:sz w:val="20"/>
                <w:szCs w:val="20"/>
                <w:color w:val="auto"/>
              </w:rPr>
            </w:pPr>
            <w:r>
              <w:rPr>
                <w:rFonts w:ascii="Times New Roman" w:cs="Times New Roman" w:eastAsia="Times New Roman" w:hAnsi="Times New Roman"/>
                <w:sz w:val="14"/>
                <w:szCs w:val="14"/>
                <w:color w:val="auto"/>
              </w:rPr>
              <w:t>5.1</w:t>
            </w:r>
          </w:p>
        </w:tc>
        <w:tc>
          <w:tcPr>
            <w:tcW w:w="180" w:type="dxa"/>
            <w:vAlign w:val="bottom"/>
            <w:shd w:val="clear" w:color="auto" w:fill="CFF0FC"/>
          </w:tcPr>
          <w:p>
            <w:pPr>
              <w:spacing w:after="0"/>
              <w:rPr>
                <w:sz w:val="15"/>
                <w:szCs w:val="15"/>
                <w:color w:val="auto"/>
              </w:rPr>
            </w:pPr>
          </w:p>
        </w:tc>
        <w:tc>
          <w:tcPr>
            <w:tcW w:w="8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22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78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82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78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5.1</w:t>
            </w:r>
          </w:p>
        </w:tc>
        <w:tc>
          <w:tcPr>
            <w:tcW w:w="0" w:type="dxa"/>
            <w:vAlign w:val="bottom"/>
          </w:tcPr>
          <w:p>
            <w:pPr>
              <w:spacing w:after="0"/>
              <w:rPr>
                <w:sz w:val="1"/>
                <w:szCs w:val="1"/>
                <w:color w:val="auto"/>
              </w:rPr>
            </w:pPr>
          </w:p>
        </w:tc>
      </w:tr>
      <w:tr>
        <w:trPr>
          <w:trHeight w:val="139"/>
        </w:trPr>
        <w:tc>
          <w:tcPr>
            <w:tcW w:w="2780" w:type="dxa"/>
            <w:vAlign w:val="bottom"/>
          </w:tcPr>
          <w:p>
            <w:pPr>
              <w:ind w:left="200"/>
              <w:spacing w:after="0" w:line="139" w:lineRule="exact"/>
              <w:rPr>
                <w:sz w:val="20"/>
                <w:szCs w:val="20"/>
                <w:color w:val="auto"/>
              </w:rPr>
            </w:pPr>
            <w:r>
              <w:rPr>
                <w:rFonts w:ascii="Times New Roman" w:cs="Times New Roman" w:eastAsia="Times New Roman" w:hAnsi="Times New Roman"/>
                <w:sz w:val="14"/>
                <w:szCs w:val="14"/>
                <w:color w:val="auto"/>
              </w:rPr>
              <w:t>Repurchases of common stock, including</w:t>
            </w:r>
          </w:p>
        </w:tc>
        <w:tc>
          <w:tcPr>
            <w:tcW w:w="9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(30.3 )</w:t>
            </w:r>
          </w:p>
        </w:tc>
        <w:tc>
          <w:tcPr>
            <w:tcW w:w="2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(30.3 )</w:t>
            </w:r>
          </w:p>
        </w:tc>
        <w:tc>
          <w:tcPr>
            <w:tcW w:w="0" w:type="dxa"/>
            <w:vAlign w:val="bottom"/>
          </w:tcPr>
          <w:p>
            <w:pPr>
              <w:spacing w:after="0"/>
              <w:rPr>
                <w:sz w:val="1"/>
                <w:szCs w:val="1"/>
                <w:color w:val="auto"/>
              </w:rPr>
            </w:pPr>
          </w:p>
        </w:tc>
      </w:tr>
      <w:tr>
        <w:trPr>
          <w:trHeight w:val="185"/>
        </w:trPr>
        <w:tc>
          <w:tcPr>
            <w:tcW w:w="278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excise tax</w:t>
            </w:r>
          </w:p>
        </w:tc>
        <w:tc>
          <w:tcPr>
            <w:tcW w:w="9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8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2780" w:type="dxa"/>
            <w:vAlign w:val="bottom"/>
            <w:tcBorders>
              <w:bottom w:val="single" w:sz="8" w:color="auto"/>
            </w:tcBorders>
            <w:shd w:val="clear" w:color="auto" w:fill="CFF0FC"/>
          </w:tcPr>
          <w:p>
            <w:pPr>
              <w:ind w:left="200"/>
              <w:spacing w:after="0"/>
              <w:rPr>
                <w:sz w:val="20"/>
                <w:szCs w:val="20"/>
                <w:color w:val="auto"/>
              </w:rPr>
            </w:pPr>
            <w:r>
              <w:rPr>
                <w:rFonts w:ascii="Times New Roman" w:cs="Times New Roman" w:eastAsia="Times New Roman" w:hAnsi="Times New Roman"/>
                <w:sz w:val="14"/>
                <w:szCs w:val="14"/>
                <w:color w:val="auto"/>
              </w:rPr>
              <w:t>Noncontrolling interest transactions</w:t>
            </w:r>
          </w:p>
        </w:tc>
        <w:tc>
          <w:tcPr>
            <w:tcW w:w="960" w:type="dxa"/>
            <w:vAlign w:val="bottom"/>
            <w:tcBorders>
              <w:bottom w:val="single" w:sz="8" w:color="auto"/>
            </w:tcBorders>
            <w:shd w:val="clear" w:color="auto" w:fill="CFF0FC"/>
          </w:tcPr>
          <w:p>
            <w:pPr>
              <w:spacing w:after="0"/>
              <w:rPr>
                <w:sz w:val="15"/>
                <w:szCs w:val="15"/>
                <w:color w:val="auto"/>
              </w:rPr>
            </w:pPr>
          </w:p>
        </w:tc>
        <w:tc>
          <w:tcPr>
            <w:tcW w:w="720" w:type="dxa"/>
            <w:vAlign w:val="bottom"/>
            <w:tcBorders>
              <w:bottom w:val="single" w:sz="8" w:color="auto"/>
            </w:tcBorders>
            <w:shd w:val="clear" w:color="auto" w:fill="CFF0FC"/>
          </w:tcPr>
          <w:p>
            <w:pPr>
              <w:spacing w:after="0"/>
              <w:rPr>
                <w:sz w:val="15"/>
                <w:szCs w:val="15"/>
                <w:color w:val="auto"/>
              </w:rPr>
            </w:pPr>
          </w:p>
        </w:tc>
        <w:tc>
          <w:tcPr>
            <w:tcW w:w="320" w:type="dxa"/>
            <w:vAlign w:val="bottom"/>
            <w:tcBorders>
              <w:bottom w:val="single" w:sz="8" w:color="auto"/>
            </w:tcBorders>
            <w:shd w:val="clear" w:color="auto" w:fill="CFF0FC"/>
          </w:tcPr>
          <w:p>
            <w:pPr>
              <w:spacing w:after="0"/>
              <w:rPr>
                <w:sz w:val="15"/>
                <w:szCs w:val="15"/>
                <w:color w:val="auto"/>
              </w:rPr>
            </w:pPr>
          </w:p>
        </w:tc>
        <w:tc>
          <w:tcPr>
            <w:tcW w:w="220" w:type="dxa"/>
            <w:vAlign w:val="bottom"/>
            <w:tcBorders>
              <w:bottom w:val="single" w:sz="8" w:color="auto"/>
            </w:tcBorders>
            <w:shd w:val="clear" w:color="auto" w:fill="CFF0FC"/>
          </w:tcPr>
          <w:p>
            <w:pPr>
              <w:spacing w:after="0"/>
              <w:rPr>
                <w:sz w:val="15"/>
                <w:szCs w:val="15"/>
                <w:color w:val="auto"/>
              </w:rPr>
            </w:pPr>
          </w:p>
        </w:tc>
        <w:tc>
          <w:tcPr>
            <w:tcW w:w="860" w:type="dxa"/>
            <w:vAlign w:val="bottom"/>
            <w:tcBorders>
              <w:bottom w:val="single" w:sz="8" w:color="auto"/>
            </w:tcBorders>
            <w:shd w:val="clear" w:color="auto" w:fill="CFF0FC"/>
          </w:tcPr>
          <w:p>
            <w:pPr>
              <w:spacing w:after="0"/>
              <w:rPr>
                <w:sz w:val="15"/>
                <w:szCs w:val="15"/>
                <w:color w:val="auto"/>
              </w:rPr>
            </w:pPr>
          </w:p>
        </w:tc>
        <w:tc>
          <w:tcPr>
            <w:tcW w:w="180" w:type="dxa"/>
            <w:vAlign w:val="bottom"/>
            <w:tcBorders>
              <w:bottom w:val="single" w:sz="8" w:color="auto"/>
            </w:tcBorders>
            <w:shd w:val="clear" w:color="auto" w:fill="CFF0FC"/>
          </w:tcPr>
          <w:p>
            <w:pPr>
              <w:spacing w:after="0"/>
              <w:rPr>
                <w:sz w:val="15"/>
                <w:szCs w:val="15"/>
                <w:color w:val="auto"/>
              </w:rPr>
            </w:pPr>
          </w:p>
        </w:tc>
        <w:tc>
          <w:tcPr>
            <w:tcW w:w="880" w:type="dxa"/>
            <w:vAlign w:val="bottom"/>
            <w:tcBorders>
              <w:bottom w:val="single" w:sz="8" w:color="auto"/>
            </w:tcBorders>
            <w:shd w:val="clear" w:color="auto" w:fill="CFF0FC"/>
          </w:tcPr>
          <w:p>
            <w:pPr>
              <w:spacing w:after="0"/>
              <w:rPr>
                <w:sz w:val="15"/>
                <w:szCs w:val="15"/>
                <w:color w:val="auto"/>
              </w:rPr>
            </w:pPr>
          </w:p>
        </w:tc>
        <w:tc>
          <w:tcPr>
            <w:tcW w:w="100" w:type="dxa"/>
            <w:vAlign w:val="bottom"/>
            <w:tcBorders>
              <w:bottom w:val="single" w:sz="8" w:color="auto"/>
            </w:tcBorders>
            <w:shd w:val="clear" w:color="auto" w:fill="CFF0FC"/>
          </w:tcPr>
          <w:p>
            <w:pPr>
              <w:spacing w:after="0"/>
              <w:rPr>
                <w:sz w:val="15"/>
                <w:szCs w:val="15"/>
                <w:color w:val="auto"/>
              </w:rPr>
            </w:pPr>
          </w:p>
        </w:tc>
        <w:tc>
          <w:tcPr>
            <w:tcW w:w="1220" w:type="dxa"/>
            <w:vAlign w:val="bottom"/>
            <w:tcBorders>
              <w:bottom w:val="single" w:sz="8" w:color="auto"/>
            </w:tcBorders>
            <w:shd w:val="clear" w:color="auto" w:fill="CFF0FC"/>
          </w:tcPr>
          <w:p>
            <w:pPr>
              <w:spacing w:after="0"/>
              <w:rPr>
                <w:sz w:val="15"/>
                <w:szCs w:val="15"/>
                <w:color w:val="auto"/>
              </w:rPr>
            </w:pPr>
          </w:p>
        </w:tc>
        <w:tc>
          <w:tcPr>
            <w:tcW w:w="160" w:type="dxa"/>
            <w:vAlign w:val="bottom"/>
            <w:tcBorders>
              <w:bottom w:val="single" w:sz="8" w:color="auto"/>
            </w:tcBorders>
            <w:shd w:val="clear" w:color="auto" w:fill="CFF0FC"/>
          </w:tcPr>
          <w:p>
            <w:pPr>
              <w:spacing w:after="0"/>
              <w:rPr>
                <w:sz w:val="15"/>
                <w:szCs w:val="15"/>
                <w:color w:val="auto"/>
              </w:rPr>
            </w:pPr>
          </w:p>
        </w:tc>
        <w:tc>
          <w:tcPr>
            <w:tcW w:w="780" w:type="dxa"/>
            <w:vAlign w:val="bottom"/>
            <w:tcBorders>
              <w:bottom w:val="single" w:sz="8" w:color="auto"/>
            </w:tcBorders>
            <w:shd w:val="clear" w:color="auto" w:fill="CFF0FC"/>
          </w:tcPr>
          <w:p>
            <w:pPr>
              <w:spacing w:after="0"/>
              <w:rPr>
                <w:sz w:val="15"/>
                <w:szCs w:val="15"/>
                <w:color w:val="auto"/>
              </w:rPr>
            </w:pPr>
          </w:p>
        </w:tc>
        <w:tc>
          <w:tcPr>
            <w:tcW w:w="220" w:type="dxa"/>
            <w:vAlign w:val="bottom"/>
            <w:tcBorders>
              <w:bottom w:val="single" w:sz="8" w:color="auto"/>
            </w:tcBorders>
            <w:shd w:val="clear" w:color="auto" w:fill="CFF0FC"/>
          </w:tcPr>
          <w:p>
            <w:pPr>
              <w:spacing w:after="0"/>
              <w:rPr>
                <w:sz w:val="15"/>
                <w:szCs w:val="15"/>
                <w:color w:val="auto"/>
              </w:rPr>
            </w:pPr>
          </w:p>
        </w:tc>
        <w:tc>
          <w:tcPr>
            <w:tcW w:w="820" w:type="dxa"/>
            <w:vAlign w:val="bottom"/>
            <w:tcBorders>
              <w:bottom w:val="single" w:sz="8" w:color="auto"/>
            </w:tcBorders>
            <w:shd w:val="clear" w:color="auto" w:fill="CFF0FC"/>
          </w:tcPr>
          <w:p>
            <w:pPr>
              <w:jc w:val="right"/>
              <w:ind w:right="88"/>
              <w:spacing w:after="0"/>
              <w:rPr>
                <w:sz w:val="20"/>
                <w:szCs w:val="20"/>
                <w:color w:val="auto"/>
              </w:rPr>
            </w:pPr>
            <w:r>
              <w:rPr>
                <w:rFonts w:ascii="Times New Roman" w:cs="Times New Roman" w:eastAsia="Times New Roman" w:hAnsi="Times New Roman"/>
                <w:sz w:val="14"/>
                <w:szCs w:val="14"/>
                <w:color w:val="auto"/>
              </w:rPr>
              <w:t>0.2</w:t>
            </w:r>
          </w:p>
        </w:tc>
        <w:tc>
          <w:tcPr>
            <w:tcW w:w="240" w:type="dxa"/>
            <w:vAlign w:val="bottom"/>
            <w:tcBorders>
              <w:bottom w:val="single" w:sz="8" w:color="auto"/>
            </w:tcBorders>
            <w:shd w:val="clear" w:color="auto" w:fill="CFF0FC"/>
          </w:tcPr>
          <w:p>
            <w:pPr>
              <w:spacing w:after="0"/>
              <w:rPr>
                <w:sz w:val="15"/>
                <w:szCs w:val="15"/>
                <w:color w:val="auto"/>
              </w:rPr>
            </w:pPr>
          </w:p>
        </w:tc>
        <w:tc>
          <w:tcPr>
            <w:tcW w:w="780" w:type="dxa"/>
            <w:vAlign w:val="bottom"/>
            <w:tcBorders>
              <w:bottom w:val="single" w:sz="8" w:color="auto"/>
            </w:tcBorders>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0.2</w:t>
            </w:r>
          </w:p>
        </w:tc>
        <w:tc>
          <w:tcPr>
            <w:tcW w:w="0" w:type="dxa"/>
            <w:vAlign w:val="bottom"/>
          </w:tcPr>
          <w:p>
            <w:pPr>
              <w:spacing w:after="0"/>
              <w:rPr>
                <w:sz w:val="1"/>
                <w:szCs w:val="1"/>
                <w:color w:val="auto"/>
              </w:rPr>
            </w:pPr>
          </w:p>
        </w:tc>
      </w:tr>
      <w:tr>
        <w:trPr>
          <w:trHeight w:val="133"/>
        </w:trPr>
        <w:tc>
          <w:tcPr>
            <w:tcW w:w="2780" w:type="dxa"/>
            <w:vAlign w:val="bottom"/>
          </w:tcPr>
          <w:p>
            <w:pPr>
              <w:ind w:left="20"/>
              <w:spacing w:after="0" w:line="133" w:lineRule="exact"/>
              <w:rPr>
                <w:sz w:val="20"/>
                <w:szCs w:val="20"/>
                <w:color w:val="auto"/>
              </w:rPr>
            </w:pPr>
            <w:r>
              <w:rPr>
                <w:rFonts w:ascii="Times New Roman" w:cs="Times New Roman" w:eastAsia="Times New Roman" w:hAnsi="Times New Roman"/>
                <w:sz w:val="14"/>
                <w:szCs w:val="14"/>
                <w:color w:val="auto"/>
              </w:rPr>
              <w:t>Balance, March 31, 2023</w:t>
            </w:r>
          </w:p>
        </w:tc>
        <w:tc>
          <w:tcPr>
            <w:tcW w:w="960" w:type="dxa"/>
            <w:vAlign w:val="bottom"/>
          </w:tcPr>
          <w:p>
            <w:pPr>
              <w:jc w:val="right"/>
              <w:ind w:right="68"/>
              <w:spacing w:after="0" w:line="133" w:lineRule="exact"/>
              <w:rPr>
                <w:sz w:val="20"/>
                <w:szCs w:val="20"/>
                <w:color w:val="auto"/>
              </w:rPr>
            </w:pPr>
            <w:r>
              <w:rPr>
                <w:rFonts w:ascii="Times New Roman" w:cs="Times New Roman" w:eastAsia="Times New Roman" w:hAnsi="Times New Roman"/>
                <w:sz w:val="14"/>
                <w:szCs w:val="14"/>
                <w:color w:val="auto"/>
              </w:rPr>
              <w:t>118,364,08</w:t>
            </w:r>
          </w:p>
        </w:tc>
        <w:tc>
          <w:tcPr>
            <w:tcW w:w="720" w:type="dxa"/>
            <w:vAlign w:val="bottom"/>
            <w:vMerge w:val="restart"/>
          </w:tcPr>
          <w:p>
            <w:pPr>
              <w:jc w:val="right"/>
              <w:ind w:right="428"/>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1.2</w:t>
            </w:r>
          </w:p>
        </w:tc>
        <w:tc>
          <w:tcPr>
            <w:tcW w:w="220" w:type="dxa"/>
            <w:vAlign w:val="bottom"/>
            <w:vMerge w:val="restart"/>
          </w:tcPr>
          <w:p>
            <w:pPr>
              <w:ind w:left="140"/>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vMerge w:val="restart"/>
          </w:tcPr>
          <w:p>
            <w:pPr>
              <w:jc w:val="right"/>
              <w:ind w:right="88"/>
              <w:spacing w:after="0"/>
              <w:rPr>
                <w:sz w:val="20"/>
                <w:szCs w:val="20"/>
                <w:color w:val="auto"/>
              </w:rPr>
            </w:pPr>
            <w:r>
              <w:rPr>
                <w:rFonts w:ascii="Times New Roman" w:cs="Times New Roman" w:eastAsia="Times New Roman" w:hAnsi="Times New Roman"/>
                <w:sz w:val="14"/>
                <w:szCs w:val="14"/>
                <w:color w:val="auto"/>
              </w:rPr>
              <w:t>3,490.6</w:t>
            </w:r>
          </w:p>
        </w:tc>
        <w:tc>
          <w:tcPr>
            <w:tcW w:w="1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vMerge w:val="restart"/>
          </w:tcPr>
          <w:p>
            <w:pPr>
              <w:jc w:val="right"/>
              <w:ind w:right="148"/>
              <w:spacing w:after="0"/>
              <w:rPr>
                <w:sz w:val="20"/>
                <w:szCs w:val="20"/>
                <w:color w:val="auto"/>
              </w:rPr>
            </w:pPr>
            <w:r>
              <w:rPr>
                <w:rFonts w:ascii="Times New Roman" w:cs="Times New Roman" w:eastAsia="Times New Roman" w:hAnsi="Times New Roman"/>
                <w:sz w:val="14"/>
                <w:szCs w:val="14"/>
                <w:color w:val="auto"/>
              </w:rPr>
              <w:t>3,946.3</w:t>
            </w:r>
          </w:p>
        </w:tc>
        <w:tc>
          <w:tcPr>
            <w:tcW w:w="1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vMerge w:val="restart"/>
          </w:tcPr>
          <w:p>
            <w:pPr>
              <w:jc w:val="right"/>
              <w:ind w:right="8"/>
              <w:spacing w:after="0"/>
              <w:rPr>
                <w:sz w:val="20"/>
                <w:szCs w:val="20"/>
                <w:color w:val="auto"/>
              </w:rPr>
            </w:pPr>
            <w:r>
              <w:rPr>
                <w:rFonts w:ascii="Times New Roman" w:cs="Times New Roman" w:eastAsia="Times New Roman" w:hAnsi="Times New Roman"/>
                <w:sz w:val="14"/>
                <w:szCs w:val="14"/>
                <w:color w:val="auto"/>
              </w:rPr>
              <w:t>(451.6 )</w:t>
            </w:r>
          </w:p>
        </w:tc>
        <w:tc>
          <w:tcPr>
            <w:tcW w:w="1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(4,488.1 )</w:t>
            </w:r>
          </w:p>
        </w:tc>
        <w:tc>
          <w:tcPr>
            <w:tcW w:w="220" w:type="dxa"/>
            <w:vAlign w:val="bottom"/>
            <w:vMerge w:val="restart"/>
          </w:tcPr>
          <w:p>
            <w:pPr>
              <w:ind w:left="12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vMerge w:val="restart"/>
          </w:tcPr>
          <w:p>
            <w:pPr>
              <w:jc w:val="right"/>
              <w:ind w:right="88"/>
              <w:spacing w:after="0"/>
              <w:rPr>
                <w:sz w:val="20"/>
                <w:szCs w:val="20"/>
                <w:color w:val="auto"/>
              </w:rPr>
            </w:pPr>
            <w:r>
              <w:rPr>
                <w:rFonts w:ascii="Times New Roman" w:cs="Times New Roman" w:eastAsia="Times New Roman" w:hAnsi="Times New Roman"/>
                <w:sz w:val="14"/>
                <w:szCs w:val="14"/>
                <w:color w:val="auto"/>
              </w:rPr>
              <w:t>11.0</w:t>
            </w:r>
          </w:p>
        </w:tc>
        <w:tc>
          <w:tcPr>
            <w:tcW w:w="24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2,509.4</w:t>
            </w:r>
          </w:p>
        </w:tc>
        <w:tc>
          <w:tcPr>
            <w:tcW w:w="0" w:type="dxa"/>
            <w:vAlign w:val="bottom"/>
          </w:tcPr>
          <w:p>
            <w:pPr>
              <w:spacing w:after="0"/>
              <w:rPr>
                <w:sz w:val="1"/>
                <w:szCs w:val="1"/>
                <w:color w:val="auto"/>
              </w:rPr>
            </w:pPr>
          </w:p>
        </w:tc>
      </w:tr>
      <w:tr>
        <w:trPr>
          <w:trHeight w:val="185"/>
        </w:trPr>
        <w:tc>
          <w:tcPr>
            <w:tcW w:w="27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8</w:t>
            </w:r>
          </w:p>
        </w:tc>
        <w:tc>
          <w:tcPr>
            <w:tcW w:w="720" w:type="dxa"/>
            <w:vAlign w:val="bottom"/>
            <w:tcBorders>
              <w:bottom w:val="single" w:sz="8" w:color="auto"/>
            </w:tcBorders>
            <w:vMerge w:val="continue"/>
          </w:tcPr>
          <w:p>
            <w:pPr>
              <w:spacing w:after="0"/>
              <w:rPr>
                <w:sz w:val="16"/>
                <w:szCs w:val="16"/>
                <w:color w:val="auto"/>
              </w:rPr>
            </w:pPr>
          </w:p>
        </w:tc>
        <w:tc>
          <w:tcPr>
            <w:tcW w:w="320" w:type="dxa"/>
            <w:vAlign w:val="bottom"/>
            <w:tcBorders>
              <w:bottom w:val="single" w:sz="8" w:color="auto"/>
            </w:tcBorders>
            <w:vMerge w:val="continue"/>
          </w:tcPr>
          <w:p>
            <w:pPr>
              <w:spacing w:after="0"/>
              <w:rPr>
                <w:sz w:val="16"/>
                <w:szCs w:val="16"/>
                <w:color w:val="auto"/>
              </w:rPr>
            </w:pPr>
          </w:p>
        </w:tc>
        <w:tc>
          <w:tcPr>
            <w:tcW w:w="220" w:type="dxa"/>
            <w:vAlign w:val="bottom"/>
            <w:tcBorders>
              <w:bottom w:val="single" w:sz="8" w:color="auto"/>
            </w:tcBorders>
            <w:vMerge w:val="continue"/>
          </w:tcPr>
          <w:p>
            <w:pPr>
              <w:spacing w:after="0"/>
              <w:rPr>
                <w:sz w:val="16"/>
                <w:szCs w:val="16"/>
                <w:color w:val="auto"/>
              </w:rPr>
            </w:pPr>
          </w:p>
        </w:tc>
        <w:tc>
          <w:tcPr>
            <w:tcW w:w="860" w:type="dxa"/>
            <w:vAlign w:val="bottom"/>
            <w:tcBorders>
              <w:bottom w:val="single" w:sz="8" w:color="auto"/>
            </w:tcBorders>
            <w:vMerge w:val="continue"/>
          </w:tcPr>
          <w:p>
            <w:pPr>
              <w:spacing w:after="0"/>
              <w:rPr>
                <w:sz w:val="16"/>
                <w:szCs w:val="16"/>
                <w:color w:val="auto"/>
              </w:rPr>
            </w:pPr>
          </w:p>
        </w:tc>
        <w:tc>
          <w:tcPr>
            <w:tcW w:w="180" w:type="dxa"/>
            <w:vAlign w:val="bottom"/>
            <w:tcBorders>
              <w:bottom w:val="single" w:sz="8" w:color="auto"/>
            </w:tcBorders>
            <w:vMerge w:val="continue"/>
          </w:tcPr>
          <w:p>
            <w:pPr>
              <w:spacing w:after="0"/>
              <w:rPr>
                <w:sz w:val="16"/>
                <w:szCs w:val="16"/>
                <w:color w:val="auto"/>
              </w:rPr>
            </w:pPr>
          </w:p>
        </w:tc>
        <w:tc>
          <w:tcPr>
            <w:tcW w:w="88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auto"/>
            </w:tcBorders>
            <w:vMerge w:val="continue"/>
          </w:tcPr>
          <w:p>
            <w:pPr>
              <w:spacing w:after="0"/>
              <w:rPr>
                <w:sz w:val="16"/>
                <w:szCs w:val="16"/>
                <w:color w:val="auto"/>
              </w:rPr>
            </w:pPr>
          </w:p>
        </w:tc>
        <w:tc>
          <w:tcPr>
            <w:tcW w:w="1220" w:type="dxa"/>
            <w:vAlign w:val="bottom"/>
            <w:tcBorders>
              <w:bottom w:val="single" w:sz="8" w:color="auto"/>
            </w:tcBorders>
            <w:vMerge w:val="continue"/>
          </w:tcPr>
          <w:p>
            <w:pPr>
              <w:spacing w:after="0"/>
              <w:rPr>
                <w:sz w:val="16"/>
                <w:szCs w:val="16"/>
                <w:color w:val="auto"/>
              </w:rPr>
            </w:pPr>
          </w:p>
        </w:tc>
        <w:tc>
          <w:tcPr>
            <w:tcW w:w="160" w:type="dxa"/>
            <w:vAlign w:val="bottom"/>
            <w:tcBorders>
              <w:bottom w:val="single" w:sz="8" w:color="auto"/>
            </w:tcBorders>
            <w:vMerge w:val="continue"/>
          </w:tcPr>
          <w:p>
            <w:pPr>
              <w:spacing w:after="0"/>
              <w:rPr>
                <w:sz w:val="16"/>
                <w:szCs w:val="16"/>
                <w:color w:val="auto"/>
              </w:rPr>
            </w:pPr>
          </w:p>
        </w:tc>
        <w:tc>
          <w:tcPr>
            <w:tcW w:w="780" w:type="dxa"/>
            <w:vAlign w:val="bottom"/>
            <w:tcBorders>
              <w:bottom w:val="single" w:sz="8" w:color="auto"/>
            </w:tcBorders>
            <w:vMerge w:val="continue"/>
          </w:tcPr>
          <w:p>
            <w:pPr>
              <w:spacing w:after="0"/>
              <w:rPr>
                <w:sz w:val="16"/>
                <w:szCs w:val="16"/>
                <w:color w:val="auto"/>
              </w:rPr>
            </w:pPr>
          </w:p>
        </w:tc>
        <w:tc>
          <w:tcPr>
            <w:tcW w:w="220" w:type="dxa"/>
            <w:vAlign w:val="bottom"/>
            <w:tcBorders>
              <w:bottom w:val="single" w:sz="8" w:color="auto"/>
            </w:tcBorders>
            <w:vMerge w:val="continue"/>
          </w:tcPr>
          <w:p>
            <w:pPr>
              <w:spacing w:after="0"/>
              <w:rPr>
                <w:sz w:val="16"/>
                <w:szCs w:val="16"/>
                <w:color w:val="auto"/>
              </w:rPr>
            </w:pPr>
          </w:p>
        </w:tc>
        <w:tc>
          <w:tcPr>
            <w:tcW w:w="820" w:type="dxa"/>
            <w:vAlign w:val="bottom"/>
            <w:tcBorders>
              <w:bottom w:val="single" w:sz="8" w:color="auto"/>
            </w:tcBorders>
            <w:vMerge w:val="continue"/>
          </w:tcPr>
          <w:p>
            <w:pPr>
              <w:spacing w:after="0"/>
              <w:rPr>
                <w:sz w:val="16"/>
                <w:szCs w:val="16"/>
                <w:color w:val="auto"/>
              </w:rPr>
            </w:pPr>
          </w:p>
        </w:tc>
        <w:tc>
          <w:tcPr>
            <w:tcW w:w="240" w:type="dxa"/>
            <w:vAlign w:val="bottom"/>
            <w:tcBorders>
              <w:bottom w:val="single" w:sz="8" w:color="auto"/>
            </w:tcBorders>
            <w:vMerge w:val="continue"/>
          </w:tcPr>
          <w:p>
            <w:pPr>
              <w:spacing w:after="0"/>
              <w:rPr>
                <w:sz w:val="16"/>
                <w:szCs w:val="16"/>
                <w:color w:val="auto"/>
              </w:rPr>
            </w:pPr>
          </w:p>
        </w:tc>
        <w:tc>
          <w:tcPr>
            <w:tcW w:w="7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27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4"/>
                <w:szCs w:val="14"/>
                <w:color w:val="auto"/>
              </w:rPr>
              <w:t>Net earnings</w:t>
            </w:r>
          </w:p>
        </w:tc>
        <w:tc>
          <w:tcPr>
            <w:tcW w:w="960" w:type="dxa"/>
            <w:vAlign w:val="bottom"/>
            <w:shd w:val="clear" w:color="auto" w:fill="CFF0FC"/>
          </w:tcPr>
          <w:p>
            <w:pPr>
              <w:spacing w:after="0"/>
              <w:rPr>
                <w:sz w:val="14"/>
                <w:szCs w:val="14"/>
                <w:color w:val="auto"/>
              </w:rPr>
            </w:pPr>
          </w:p>
        </w:tc>
        <w:tc>
          <w:tcPr>
            <w:tcW w:w="720" w:type="dxa"/>
            <w:vAlign w:val="bottom"/>
            <w:shd w:val="clear" w:color="auto" w:fill="CFF0FC"/>
          </w:tcPr>
          <w:p>
            <w:pPr>
              <w:spacing w:after="0"/>
              <w:rPr>
                <w:sz w:val="14"/>
                <w:szCs w:val="14"/>
                <w:color w:val="auto"/>
              </w:rPr>
            </w:pPr>
          </w:p>
        </w:tc>
        <w:tc>
          <w:tcPr>
            <w:tcW w:w="32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86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880" w:type="dxa"/>
            <w:vAlign w:val="bottom"/>
            <w:shd w:val="clear" w:color="auto" w:fill="CFF0FC"/>
          </w:tcPr>
          <w:p>
            <w:pPr>
              <w:jc w:val="right"/>
              <w:ind w:right="148"/>
              <w:spacing w:after="0"/>
              <w:rPr>
                <w:sz w:val="20"/>
                <w:szCs w:val="20"/>
                <w:color w:val="auto"/>
              </w:rPr>
            </w:pPr>
            <w:r>
              <w:rPr>
                <w:rFonts w:ascii="Times New Roman" w:cs="Times New Roman" w:eastAsia="Times New Roman" w:hAnsi="Times New Roman"/>
                <w:sz w:val="14"/>
                <w:szCs w:val="14"/>
                <w:color w:val="auto"/>
              </w:rPr>
              <w:t>65.2</w:t>
            </w:r>
          </w:p>
        </w:tc>
        <w:tc>
          <w:tcPr>
            <w:tcW w:w="100" w:type="dxa"/>
            <w:vAlign w:val="bottom"/>
            <w:shd w:val="clear" w:color="auto" w:fill="CFF0FC"/>
          </w:tcPr>
          <w:p>
            <w:pPr>
              <w:spacing w:after="0"/>
              <w:rPr>
                <w:sz w:val="14"/>
                <w:szCs w:val="14"/>
                <w:color w:val="auto"/>
              </w:rPr>
            </w:pPr>
          </w:p>
        </w:tc>
        <w:tc>
          <w:tcPr>
            <w:tcW w:w="122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78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82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78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65.2</w:t>
            </w:r>
          </w:p>
        </w:tc>
        <w:tc>
          <w:tcPr>
            <w:tcW w:w="0" w:type="dxa"/>
            <w:vAlign w:val="bottom"/>
          </w:tcPr>
          <w:p>
            <w:pPr>
              <w:spacing w:after="0"/>
              <w:rPr>
                <w:sz w:val="1"/>
                <w:szCs w:val="1"/>
                <w:color w:val="auto"/>
              </w:rPr>
            </w:pPr>
          </w:p>
        </w:tc>
      </w:tr>
      <w:tr>
        <w:trPr>
          <w:trHeight w:val="175"/>
        </w:trPr>
        <w:tc>
          <w:tcPr>
            <w:tcW w:w="278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Other comprehensive loss</w:t>
            </w:r>
          </w:p>
        </w:tc>
        <w:tc>
          <w:tcPr>
            <w:tcW w:w="9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(7.9 )</w:t>
            </w:r>
          </w:p>
        </w:tc>
        <w:tc>
          <w:tcPr>
            <w:tcW w:w="1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(7.9 )</w:t>
            </w:r>
          </w:p>
        </w:tc>
        <w:tc>
          <w:tcPr>
            <w:tcW w:w="0" w:type="dxa"/>
            <w:vAlign w:val="bottom"/>
          </w:tcPr>
          <w:p>
            <w:pPr>
              <w:spacing w:after="0"/>
              <w:rPr>
                <w:sz w:val="1"/>
                <w:szCs w:val="1"/>
                <w:color w:val="auto"/>
              </w:rPr>
            </w:pPr>
          </w:p>
        </w:tc>
      </w:tr>
      <w:tr>
        <w:trPr>
          <w:trHeight w:val="176"/>
        </w:trPr>
        <w:tc>
          <w:tcPr>
            <w:tcW w:w="27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4"/>
                <w:szCs w:val="14"/>
                <w:color w:val="auto"/>
              </w:rPr>
              <w:t>Issuances under equity plans</w:t>
            </w:r>
          </w:p>
        </w:tc>
        <w:tc>
          <w:tcPr>
            <w:tcW w:w="96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854</w:t>
            </w:r>
          </w:p>
        </w:tc>
        <w:tc>
          <w:tcPr>
            <w:tcW w:w="720" w:type="dxa"/>
            <w:vAlign w:val="bottom"/>
            <w:shd w:val="clear" w:color="auto" w:fill="CFF0FC"/>
          </w:tcPr>
          <w:p>
            <w:pPr>
              <w:spacing w:after="0"/>
              <w:rPr>
                <w:sz w:val="15"/>
                <w:szCs w:val="15"/>
                <w:color w:val="auto"/>
              </w:rPr>
            </w:pPr>
          </w:p>
        </w:tc>
        <w:tc>
          <w:tcPr>
            <w:tcW w:w="32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860" w:type="dxa"/>
            <w:vAlign w:val="bottom"/>
            <w:shd w:val="clear" w:color="auto" w:fill="CFF0FC"/>
          </w:tcPr>
          <w:p>
            <w:pPr>
              <w:jc w:val="right"/>
              <w:ind w:right="28"/>
              <w:spacing w:after="0"/>
              <w:rPr>
                <w:sz w:val="20"/>
                <w:szCs w:val="20"/>
                <w:color w:val="auto"/>
              </w:rPr>
            </w:pPr>
            <w:r>
              <w:rPr>
                <w:rFonts w:ascii="Times New Roman" w:cs="Times New Roman" w:eastAsia="Times New Roman" w:hAnsi="Times New Roman"/>
                <w:sz w:val="14"/>
                <w:szCs w:val="14"/>
                <w:color w:val="auto"/>
              </w:rPr>
              <w:t>(0.2 )</w:t>
            </w:r>
          </w:p>
        </w:tc>
        <w:tc>
          <w:tcPr>
            <w:tcW w:w="180" w:type="dxa"/>
            <w:vAlign w:val="bottom"/>
            <w:shd w:val="clear" w:color="auto" w:fill="CFF0FC"/>
          </w:tcPr>
          <w:p>
            <w:pPr>
              <w:spacing w:after="0"/>
              <w:rPr>
                <w:sz w:val="15"/>
                <w:szCs w:val="15"/>
                <w:color w:val="auto"/>
              </w:rPr>
            </w:pPr>
          </w:p>
        </w:tc>
        <w:tc>
          <w:tcPr>
            <w:tcW w:w="8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22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78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0.1</w:t>
            </w:r>
          </w:p>
        </w:tc>
        <w:tc>
          <w:tcPr>
            <w:tcW w:w="220" w:type="dxa"/>
            <w:vAlign w:val="bottom"/>
            <w:shd w:val="clear" w:color="auto" w:fill="CFF0FC"/>
          </w:tcPr>
          <w:p>
            <w:pPr>
              <w:spacing w:after="0"/>
              <w:rPr>
                <w:sz w:val="15"/>
                <w:szCs w:val="15"/>
                <w:color w:val="auto"/>
              </w:rPr>
            </w:pPr>
          </w:p>
        </w:tc>
        <w:tc>
          <w:tcPr>
            <w:tcW w:w="82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(0.1 )</w:t>
            </w:r>
          </w:p>
        </w:tc>
        <w:tc>
          <w:tcPr>
            <w:tcW w:w="0" w:type="dxa"/>
            <w:vAlign w:val="bottom"/>
          </w:tcPr>
          <w:p>
            <w:pPr>
              <w:spacing w:after="0"/>
              <w:rPr>
                <w:sz w:val="1"/>
                <w:szCs w:val="1"/>
                <w:color w:val="auto"/>
              </w:rPr>
            </w:pPr>
          </w:p>
        </w:tc>
      </w:tr>
      <w:tr>
        <w:trPr>
          <w:trHeight w:val="175"/>
        </w:trPr>
        <w:tc>
          <w:tcPr>
            <w:tcW w:w="278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Share-based compensation expense</w:t>
            </w:r>
          </w:p>
        </w:tc>
        <w:tc>
          <w:tcPr>
            <w:tcW w:w="9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6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6.9</w:t>
            </w:r>
          </w:p>
        </w:tc>
        <w:tc>
          <w:tcPr>
            <w:tcW w:w="1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6.9</w:t>
            </w:r>
          </w:p>
        </w:tc>
        <w:tc>
          <w:tcPr>
            <w:tcW w:w="0" w:type="dxa"/>
            <w:vAlign w:val="bottom"/>
          </w:tcPr>
          <w:p>
            <w:pPr>
              <w:spacing w:after="0"/>
              <w:rPr>
                <w:sz w:val="1"/>
                <w:szCs w:val="1"/>
                <w:color w:val="auto"/>
              </w:rPr>
            </w:pPr>
          </w:p>
        </w:tc>
      </w:tr>
      <w:tr>
        <w:trPr>
          <w:trHeight w:val="175"/>
        </w:trPr>
        <w:tc>
          <w:tcPr>
            <w:tcW w:w="27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4"/>
                <w:szCs w:val="14"/>
                <w:color w:val="auto"/>
              </w:rPr>
              <w:t>Dividends</w:t>
            </w:r>
          </w:p>
        </w:tc>
        <w:tc>
          <w:tcPr>
            <w:tcW w:w="960" w:type="dxa"/>
            <w:vAlign w:val="bottom"/>
            <w:shd w:val="clear" w:color="auto" w:fill="CFF0FC"/>
          </w:tcPr>
          <w:p>
            <w:pPr>
              <w:spacing w:after="0"/>
              <w:rPr>
                <w:sz w:val="15"/>
                <w:szCs w:val="15"/>
                <w:color w:val="auto"/>
              </w:rPr>
            </w:pPr>
          </w:p>
        </w:tc>
        <w:tc>
          <w:tcPr>
            <w:tcW w:w="720" w:type="dxa"/>
            <w:vAlign w:val="bottom"/>
            <w:shd w:val="clear" w:color="auto" w:fill="CFF0FC"/>
          </w:tcPr>
          <w:p>
            <w:pPr>
              <w:spacing w:after="0"/>
              <w:rPr>
                <w:sz w:val="15"/>
                <w:szCs w:val="15"/>
                <w:color w:val="auto"/>
              </w:rPr>
            </w:pPr>
          </w:p>
        </w:tc>
        <w:tc>
          <w:tcPr>
            <w:tcW w:w="32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86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880" w:type="dxa"/>
            <w:vAlign w:val="bottom"/>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rPr>
              <w:t>(73.1 )</w:t>
            </w:r>
          </w:p>
        </w:tc>
        <w:tc>
          <w:tcPr>
            <w:tcW w:w="100" w:type="dxa"/>
            <w:vAlign w:val="bottom"/>
            <w:shd w:val="clear" w:color="auto" w:fill="CFF0FC"/>
          </w:tcPr>
          <w:p>
            <w:pPr>
              <w:spacing w:after="0"/>
              <w:rPr>
                <w:sz w:val="15"/>
                <w:szCs w:val="15"/>
                <w:color w:val="auto"/>
              </w:rPr>
            </w:pPr>
          </w:p>
        </w:tc>
        <w:tc>
          <w:tcPr>
            <w:tcW w:w="122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78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82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(73.1 )</w:t>
            </w:r>
          </w:p>
        </w:tc>
        <w:tc>
          <w:tcPr>
            <w:tcW w:w="0" w:type="dxa"/>
            <w:vAlign w:val="bottom"/>
          </w:tcPr>
          <w:p>
            <w:pPr>
              <w:spacing w:after="0"/>
              <w:rPr>
                <w:sz w:val="1"/>
                <w:szCs w:val="1"/>
                <w:color w:val="auto"/>
              </w:rPr>
            </w:pPr>
          </w:p>
        </w:tc>
      </w:tr>
      <w:tr>
        <w:trPr>
          <w:trHeight w:val="139"/>
        </w:trPr>
        <w:tc>
          <w:tcPr>
            <w:tcW w:w="2780" w:type="dxa"/>
            <w:vAlign w:val="bottom"/>
          </w:tcPr>
          <w:p>
            <w:pPr>
              <w:ind w:left="200"/>
              <w:spacing w:after="0" w:line="139" w:lineRule="exact"/>
              <w:rPr>
                <w:sz w:val="20"/>
                <w:szCs w:val="20"/>
                <w:color w:val="auto"/>
              </w:rPr>
            </w:pPr>
            <w:r>
              <w:rPr>
                <w:rFonts w:ascii="Times New Roman" w:cs="Times New Roman" w:eastAsia="Times New Roman" w:hAnsi="Times New Roman"/>
                <w:sz w:val="14"/>
                <w:szCs w:val="14"/>
                <w:color w:val="auto"/>
              </w:rPr>
              <w:t>Repurchases of common stock, including</w:t>
            </w:r>
          </w:p>
        </w:tc>
        <w:tc>
          <w:tcPr>
            <w:tcW w:w="9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(50.2 )</w:t>
            </w:r>
          </w:p>
        </w:tc>
        <w:tc>
          <w:tcPr>
            <w:tcW w:w="2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(50.2 )</w:t>
            </w:r>
          </w:p>
        </w:tc>
        <w:tc>
          <w:tcPr>
            <w:tcW w:w="0" w:type="dxa"/>
            <w:vAlign w:val="bottom"/>
          </w:tcPr>
          <w:p>
            <w:pPr>
              <w:spacing w:after="0"/>
              <w:rPr>
                <w:sz w:val="1"/>
                <w:szCs w:val="1"/>
                <w:color w:val="auto"/>
              </w:rPr>
            </w:pPr>
          </w:p>
        </w:tc>
      </w:tr>
      <w:tr>
        <w:trPr>
          <w:trHeight w:val="185"/>
        </w:trPr>
        <w:tc>
          <w:tcPr>
            <w:tcW w:w="278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excise tax</w:t>
            </w:r>
          </w:p>
        </w:tc>
        <w:tc>
          <w:tcPr>
            <w:tcW w:w="9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8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2780" w:type="dxa"/>
            <w:vAlign w:val="bottom"/>
            <w:tcBorders>
              <w:bottom w:val="single" w:sz="8" w:color="auto"/>
            </w:tcBorders>
            <w:shd w:val="clear" w:color="auto" w:fill="CFF0FC"/>
          </w:tcPr>
          <w:p>
            <w:pPr>
              <w:ind w:left="200"/>
              <w:spacing w:after="0"/>
              <w:rPr>
                <w:sz w:val="20"/>
                <w:szCs w:val="20"/>
                <w:color w:val="auto"/>
              </w:rPr>
            </w:pPr>
            <w:r>
              <w:rPr>
                <w:rFonts w:ascii="Times New Roman" w:cs="Times New Roman" w:eastAsia="Times New Roman" w:hAnsi="Times New Roman"/>
                <w:sz w:val="14"/>
                <w:szCs w:val="14"/>
                <w:color w:val="auto"/>
              </w:rPr>
              <w:t>Noncontrolling interest transactions</w:t>
            </w:r>
          </w:p>
        </w:tc>
        <w:tc>
          <w:tcPr>
            <w:tcW w:w="960" w:type="dxa"/>
            <w:vAlign w:val="bottom"/>
            <w:tcBorders>
              <w:bottom w:val="single" w:sz="8" w:color="auto"/>
            </w:tcBorders>
            <w:shd w:val="clear" w:color="auto" w:fill="CFF0FC"/>
          </w:tcPr>
          <w:p>
            <w:pPr>
              <w:spacing w:after="0"/>
              <w:rPr>
                <w:sz w:val="15"/>
                <w:szCs w:val="15"/>
                <w:color w:val="auto"/>
              </w:rPr>
            </w:pPr>
          </w:p>
        </w:tc>
        <w:tc>
          <w:tcPr>
            <w:tcW w:w="720" w:type="dxa"/>
            <w:vAlign w:val="bottom"/>
            <w:tcBorders>
              <w:bottom w:val="single" w:sz="8" w:color="auto"/>
            </w:tcBorders>
            <w:shd w:val="clear" w:color="auto" w:fill="CFF0FC"/>
          </w:tcPr>
          <w:p>
            <w:pPr>
              <w:spacing w:after="0"/>
              <w:rPr>
                <w:sz w:val="15"/>
                <w:szCs w:val="15"/>
                <w:color w:val="auto"/>
              </w:rPr>
            </w:pPr>
          </w:p>
        </w:tc>
        <w:tc>
          <w:tcPr>
            <w:tcW w:w="320" w:type="dxa"/>
            <w:vAlign w:val="bottom"/>
            <w:tcBorders>
              <w:bottom w:val="single" w:sz="8" w:color="auto"/>
            </w:tcBorders>
            <w:shd w:val="clear" w:color="auto" w:fill="CFF0FC"/>
          </w:tcPr>
          <w:p>
            <w:pPr>
              <w:spacing w:after="0"/>
              <w:rPr>
                <w:sz w:val="15"/>
                <w:szCs w:val="15"/>
                <w:color w:val="auto"/>
              </w:rPr>
            </w:pPr>
          </w:p>
        </w:tc>
        <w:tc>
          <w:tcPr>
            <w:tcW w:w="220" w:type="dxa"/>
            <w:vAlign w:val="bottom"/>
            <w:tcBorders>
              <w:bottom w:val="single" w:sz="8" w:color="auto"/>
            </w:tcBorders>
            <w:shd w:val="clear" w:color="auto" w:fill="CFF0FC"/>
          </w:tcPr>
          <w:p>
            <w:pPr>
              <w:spacing w:after="0"/>
              <w:rPr>
                <w:sz w:val="15"/>
                <w:szCs w:val="15"/>
                <w:color w:val="auto"/>
              </w:rPr>
            </w:pPr>
          </w:p>
        </w:tc>
        <w:tc>
          <w:tcPr>
            <w:tcW w:w="860" w:type="dxa"/>
            <w:vAlign w:val="bottom"/>
            <w:tcBorders>
              <w:bottom w:val="single" w:sz="8" w:color="auto"/>
            </w:tcBorders>
            <w:shd w:val="clear" w:color="auto" w:fill="CFF0FC"/>
          </w:tcPr>
          <w:p>
            <w:pPr>
              <w:spacing w:after="0"/>
              <w:rPr>
                <w:sz w:val="15"/>
                <w:szCs w:val="15"/>
                <w:color w:val="auto"/>
              </w:rPr>
            </w:pPr>
          </w:p>
        </w:tc>
        <w:tc>
          <w:tcPr>
            <w:tcW w:w="180" w:type="dxa"/>
            <w:vAlign w:val="bottom"/>
            <w:tcBorders>
              <w:bottom w:val="single" w:sz="8" w:color="auto"/>
            </w:tcBorders>
            <w:shd w:val="clear" w:color="auto" w:fill="CFF0FC"/>
          </w:tcPr>
          <w:p>
            <w:pPr>
              <w:spacing w:after="0"/>
              <w:rPr>
                <w:sz w:val="15"/>
                <w:szCs w:val="15"/>
                <w:color w:val="auto"/>
              </w:rPr>
            </w:pPr>
          </w:p>
        </w:tc>
        <w:tc>
          <w:tcPr>
            <w:tcW w:w="880" w:type="dxa"/>
            <w:vAlign w:val="bottom"/>
            <w:tcBorders>
              <w:bottom w:val="single" w:sz="8" w:color="auto"/>
            </w:tcBorders>
            <w:shd w:val="clear" w:color="auto" w:fill="CFF0FC"/>
          </w:tcPr>
          <w:p>
            <w:pPr>
              <w:spacing w:after="0"/>
              <w:rPr>
                <w:sz w:val="15"/>
                <w:szCs w:val="15"/>
                <w:color w:val="auto"/>
              </w:rPr>
            </w:pPr>
          </w:p>
        </w:tc>
        <w:tc>
          <w:tcPr>
            <w:tcW w:w="100" w:type="dxa"/>
            <w:vAlign w:val="bottom"/>
            <w:tcBorders>
              <w:bottom w:val="single" w:sz="8" w:color="auto"/>
            </w:tcBorders>
            <w:shd w:val="clear" w:color="auto" w:fill="CFF0FC"/>
          </w:tcPr>
          <w:p>
            <w:pPr>
              <w:spacing w:after="0"/>
              <w:rPr>
                <w:sz w:val="15"/>
                <w:szCs w:val="15"/>
                <w:color w:val="auto"/>
              </w:rPr>
            </w:pPr>
          </w:p>
        </w:tc>
        <w:tc>
          <w:tcPr>
            <w:tcW w:w="1220" w:type="dxa"/>
            <w:vAlign w:val="bottom"/>
            <w:tcBorders>
              <w:bottom w:val="single" w:sz="8" w:color="auto"/>
            </w:tcBorders>
            <w:shd w:val="clear" w:color="auto" w:fill="CFF0FC"/>
          </w:tcPr>
          <w:p>
            <w:pPr>
              <w:spacing w:after="0"/>
              <w:rPr>
                <w:sz w:val="15"/>
                <w:szCs w:val="15"/>
                <w:color w:val="auto"/>
              </w:rPr>
            </w:pPr>
          </w:p>
        </w:tc>
        <w:tc>
          <w:tcPr>
            <w:tcW w:w="160" w:type="dxa"/>
            <w:vAlign w:val="bottom"/>
            <w:tcBorders>
              <w:bottom w:val="single" w:sz="8" w:color="auto"/>
            </w:tcBorders>
            <w:shd w:val="clear" w:color="auto" w:fill="CFF0FC"/>
          </w:tcPr>
          <w:p>
            <w:pPr>
              <w:spacing w:after="0"/>
              <w:rPr>
                <w:sz w:val="15"/>
                <w:szCs w:val="15"/>
                <w:color w:val="auto"/>
              </w:rPr>
            </w:pPr>
          </w:p>
        </w:tc>
        <w:tc>
          <w:tcPr>
            <w:tcW w:w="780" w:type="dxa"/>
            <w:vAlign w:val="bottom"/>
            <w:tcBorders>
              <w:bottom w:val="single" w:sz="8" w:color="auto"/>
            </w:tcBorders>
            <w:shd w:val="clear" w:color="auto" w:fill="CFF0FC"/>
          </w:tcPr>
          <w:p>
            <w:pPr>
              <w:spacing w:after="0"/>
              <w:rPr>
                <w:sz w:val="15"/>
                <w:szCs w:val="15"/>
                <w:color w:val="auto"/>
              </w:rPr>
            </w:pPr>
          </w:p>
        </w:tc>
        <w:tc>
          <w:tcPr>
            <w:tcW w:w="220" w:type="dxa"/>
            <w:vAlign w:val="bottom"/>
            <w:tcBorders>
              <w:bottom w:val="single" w:sz="8" w:color="auto"/>
            </w:tcBorders>
            <w:shd w:val="clear" w:color="auto" w:fill="CFF0FC"/>
          </w:tcPr>
          <w:p>
            <w:pPr>
              <w:spacing w:after="0"/>
              <w:rPr>
                <w:sz w:val="15"/>
                <w:szCs w:val="15"/>
                <w:color w:val="auto"/>
              </w:rPr>
            </w:pPr>
          </w:p>
        </w:tc>
        <w:tc>
          <w:tcPr>
            <w:tcW w:w="820" w:type="dxa"/>
            <w:vAlign w:val="bottom"/>
            <w:tcBorders>
              <w:bottom w:val="single" w:sz="8" w:color="auto"/>
            </w:tcBorders>
            <w:shd w:val="clear" w:color="auto" w:fill="CFF0FC"/>
          </w:tcPr>
          <w:p>
            <w:pPr>
              <w:jc w:val="right"/>
              <w:ind w:right="28"/>
              <w:spacing w:after="0"/>
              <w:rPr>
                <w:sz w:val="20"/>
                <w:szCs w:val="20"/>
                <w:color w:val="auto"/>
              </w:rPr>
            </w:pPr>
            <w:r>
              <w:rPr>
                <w:rFonts w:ascii="Times New Roman" w:cs="Times New Roman" w:eastAsia="Times New Roman" w:hAnsi="Times New Roman"/>
                <w:sz w:val="14"/>
                <w:szCs w:val="14"/>
                <w:color w:val="auto"/>
              </w:rPr>
              <w:t>(0.4 )</w:t>
            </w:r>
          </w:p>
        </w:tc>
        <w:tc>
          <w:tcPr>
            <w:tcW w:w="240" w:type="dxa"/>
            <w:vAlign w:val="bottom"/>
            <w:tcBorders>
              <w:bottom w:val="single" w:sz="8" w:color="auto"/>
            </w:tcBorders>
            <w:shd w:val="clear" w:color="auto" w:fill="CFF0FC"/>
          </w:tcPr>
          <w:p>
            <w:pPr>
              <w:spacing w:after="0"/>
              <w:rPr>
                <w:sz w:val="15"/>
                <w:szCs w:val="15"/>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(0.4 )</w:t>
            </w:r>
          </w:p>
        </w:tc>
        <w:tc>
          <w:tcPr>
            <w:tcW w:w="0" w:type="dxa"/>
            <w:vAlign w:val="bottom"/>
          </w:tcPr>
          <w:p>
            <w:pPr>
              <w:spacing w:after="0"/>
              <w:rPr>
                <w:sz w:val="1"/>
                <w:szCs w:val="1"/>
                <w:color w:val="auto"/>
              </w:rPr>
            </w:pPr>
          </w:p>
        </w:tc>
      </w:tr>
      <w:tr>
        <w:trPr>
          <w:trHeight w:val="133"/>
        </w:trPr>
        <w:tc>
          <w:tcPr>
            <w:tcW w:w="2780" w:type="dxa"/>
            <w:vAlign w:val="bottom"/>
          </w:tcPr>
          <w:p>
            <w:pPr>
              <w:ind w:left="20"/>
              <w:spacing w:after="0" w:line="133" w:lineRule="exact"/>
              <w:rPr>
                <w:sz w:val="20"/>
                <w:szCs w:val="20"/>
                <w:color w:val="auto"/>
              </w:rPr>
            </w:pPr>
            <w:r>
              <w:rPr>
                <w:rFonts w:ascii="Times New Roman" w:cs="Times New Roman" w:eastAsia="Times New Roman" w:hAnsi="Times New Roman"/>
                <w:sz w:val="14"/>
                <w:szCs w:val="14"/>
                <w:color w:val="auto"/>
              </w:rPr>
              <w:t>Balance, June 30, 2023</w:t>
            </w:r>
          </w:p>
        </w:tc>
        <w:tc>
          <w:tcPr>
            <w:tcW w:w="960" w:type="dxa"/>
            <w:vAlign w:val="bottom"/>
          </w:tcPr>
          <w:p>
            <w:pPr>
              <w:jc w:val="right"/>
              <w:ind w:right="68"/>
              <w:spacing w:after="0" w:line="133" w:lineRule="exact"/>
              <w:rPr>
                <w:sz w:val="20"/>
                <w:szCs w:val="20"/>
                <w:color w:val="auto"/>
              </w:rPr>
            </w:pPr>
            <w:r>
              <w:rPr>
                <w:rFonts w:ascii="Times New Roman" w:cs="Times New Roman" w:eastAsia="Times New Roman" w:hAnsi="Times New Roman"/>
                <w:sz w:val="14"/>
                <w:szCs w:val="14"/>
                <w:color w:val="auto"/>
              </w:rPr>
              <w:t>118,364,94</w:t>
            </w:r>
          </w:p>
        </w:tc>
        <w:tc>
          <w:tcPr>
            <w:tcW w:w="720" w:type="dxa"/>
            <w:vAlign w:val="bottom"/>
            <w:vMerge w:val="restart"/>
          </w:tcPr>
          <w:p>
            <w:pPr>
              <w:jc w:val="right"/>
              <w:ind w:right="428"/>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1.2</w:t>
            </w:r>
          </w:p>
        </w:tc>
        <w:tc>
          <w:tcPr>
            <w:tcW w:w="220" w:type="dxa"/>
            <w:vAlign w:val="bottom"/>
            <w:vMerge w:val="restart"/>
          </w:tcPr>
          <w:p>
            <w:pPr>
              <w:ind w:left="140"/>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vMerge w:val="restart"/>
          </w:tcPr>
          <w:p>
            <w:pPr>
              <w:jc w:val="right"/>
              <w:ind w:right="88"/>
              <w:spacing w:after="0"/>
              <w:rPr>
                <w:sz w:val="20"/>
                <w:szCs w:val="20"/>
                <w:color w:val="auto"/>
              </w:rPr>
            </w:pPr>
            <w:r>
              <w:rPr>
                <w:rFonts w:ascii="Times New Roman" w:cs="Times New Roman" w:eastAsia="Times New Roman" w:hAnsi="Times New Roman"/>
                <w:sz w:val="14"/>
                <w:szCs w:val="14"/>
                <w:color w:val="auto"/>
              </w:rPr>
              <w:t>3,497.3</w:t>
            </w:r>
          </w:p>
        </w:tc>
        <w:tc>
          <w:tcPr>
            <w:tcW w:w="1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vMerge w:val="restart"/>
          </w:tcPr>
          <w:p>
            <w:pPr>
              <w:jc w:val="right"/>
              <w:ind w:right="148"/>
              <w:spacing w:after="0"/>
              <w:rPr>
                <w:sz w:val="20"/>
                <w:szCs w:val="20"/>
                <w:color w:val="auto"/>
              </w:rPr>
            </w:pPr>
            <w:r>
              <w:rPr>
                <w:rFonts w:ascii="Times New Roman" w:cs="Times New Roman" w:eastAsia="Times New Roman" w:hAnsi="Times New Roman"/>
                <w:sz w:val="14"/>
                <w:szCs w:val="14"/>
                <w:color w:val="auto"/>
              </w:rPr>
              <w:t>3,938.4</w:t>
            </w:r>
          </w:p>
        </w:tc>
        <w:tc>
          <w:tcPr>
            <w:tcW w:w="1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vMerge w:val="restart"/>
          </w:tcPr>
          <w:p>
            <w:pPr>
              <w:jc w:val="right"/>
              <w:ind w:right="8"/>
              <w:spacing w:after="0"/>
              <w:rPr>
                <w:sz w:val="20"/>
                <w:szCs w:val="20"/>
                <w:color w:val="auto"/>
              </w:rPr>
            </w:pPr>
            <w:r>
              <w:rPr>
                <w:rFonts w:ascii="Times New Roman" w:cs="Times New Roman" w:eastAsia="Times New Roman" w:hAnsi="Times New Roman"/>
                <w:sz w:val="14"/>
                <w:szCs w:val="14"/>
                <w:color w:val="auto"/>
              </w:rPr>
              <w:t>(459.5 )</w:t>
            </w:r>
          </w:p>
        </w:tc>
        <w:tc>
          <w:tcPr>
            <w:tcW w:w="1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(4,538.2 )</w:t>
            </w:r>
          </w:p>
        </w:tc>
        <w:tc>
          <w:tcPr>
            <w:tcW w:w="220" w:type="dxa"/>
            <w:vAlign w:val="bottom"/>
            <w:vMerge w:val="restart"/>
          </w:tcPr>
          <w:p>
            <w:pPr>
              <w:ind w:left="12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vMerge w:val="restart"/>
          </w:tcPr>
          <w:p>
            <w:pPr>
              <w:jc w:val="right"/>
              <w:ind w:right="88"/>
              <w:spacing w:after="0"/>
              <w:rPr>
                <w:sz w:val="20"/>
                <w:szCs w:val="20"/>
                <w:color w:val="auto"/>
              </w:rPr>
            </w:pPr>
            <w:r>
              <w:rPr>
                <w:rFonts w:ascii="Times New Roman" w:cs="Times New Roman" w:eastAsia="Times New Roman" w:hAnsi="Times New Roman"/>
                <w:sz w:val="14"/>
                <w:szCs w:val="14"/>
                <w:color w:val="auto"/>
              </w:rPr>
              <w:t>10.6</w:t>
            </w:r>
          </w:p>
        </w:tc>
        <w:tc>
          <w:tcPr>
            <w:tcW w:w="24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2,449.8</w:t>
            </w:r>
          </w:p>
        </w:tc>
        <w:tc>
          <w:tcPr>
            <w:tcW w:w="0" w:type="dxa"/>
            <w:vAlign w:val="bottom"/>
          </w:tcPr>
          <w:p>
            <w:pPr>
              <w:spacing w:after="0"/>
              <w:rPr>
                <w:sz w:val="1"/>
                <w:szCs w:val="1"/>
                <w:color w:val="auto"/>
              </w:rPr>
            </w:pPr>
          </w:p>
        </w:tc>
      </w:tr>
      <w:tr>
        <w:trPr>
          <w:trHeight w:val="188"/>
        </w:trPr>
        <w:tc>
          <w:tcPr>
            <w:tcW w:w="2780" w:type="dxa"/>
            <w:vAlign w:val="bottom"/>
          </w:tcPr>
          <w:p>
            <w:pPr>
              <w:spacing w:after="0"/>
              <w:rPr>
                <w:sz w:val="16"/>
                <w:szCs w:val="16"/>
                <w:color w:val="auto"/>
              </w:rPr>
            </w:pPr>
          </w:p>
        </w:tc>
        <w:tc>
          <w:tcPr>
            <w:tcW w:w="96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2</w:t>
            </w:r>
          </w:p>
        </w:tc>
        <w:tc>
          <w:tcPr>
            <w:tcW w:w="720" w:type="dxa"/>
            <w:vAlign w:val="bottom"/>
            <w:vMerge w:val="continue"/>
          </w:tcPr>
          <w:p>
            <w:pPr>
              <w:spacing w:after="0"/>
              <w:rPr>
                <w:sz w:val="16"/>
                <w:szCs w:val="16"/>
                <w:color w:val="auto"/>
              </w:rPr>
            </w:pPr>
          </w:p>
        </w:tc>
        <w:tc>
          <w:tcPr>
            <w:tcW w:w="320" w:type="dxa"/>
            <w:vAlign w:val="bottom"/>
            <w:vMerge w:val="continue"/>
          </w:tcPr>
          <w:p>
            <w:pPr>
              <w:spacing w:after="0"/>
              <w:rPr>
                <w:sz w:val="16"/>
                <w:szCs w:val="16"/>
                <w:color w:val="auto"/>
              </w:rPr>
            </w:pPr>
          </w:p>
        </w:tc>
        <w:tc>
          <w:tcPr>
            <w:tcW w:w="220" w:type="dxa"/>
            <w:vAlign w:val="bottom"/>
            <w:vMerge w:val="continue"/>
          </w:tcPr>
          <w:p>
            <w:pPr>
              <w:spacing w:after="0"/>
              <w:rPr>
                <w:sz w:val="16"/>
                <w:szCs w:val="16"/>
                <w:color w:val="auto"/>
              </w:rPr>
            </w:pPr>
          </w:p>
        </w:tc>
        <w:tc>
          <w:tcPr>
            <w:tcW w:w="860" w:type="dxa"/>
            <w:vAlign w:val="bottom"/>
            <w:vMerge w:val="continue"/>
          </w:tcPr>
          <w:p>
            <w:pPr>
              <w:spacing w:after="0"/>
              <w:rPr>
                <w:sz w:val="16"/>
                <w:szCs w:val="16"/>
                <w:color w:val="auto"/>
              </w:rPr>
            </w:pPr>
          </w:p>
        </w:tc>
        <w:tc>
          <w:tcPr>
            <w:tcW w:w="180" w:type="dxa"/>
            <w:vAlign w:val="bottom"/>
            <w:vMerge w:val="continue"/>
          </w:tcPr>
          <w:p>
            <w:pPr>
              <w:spacing w:after="0"/>
              <w:rPr>
                <w:sz w:val="16"/>
                <w:szCs w:val="16"/>
                <w:color w:val="auto"/>
              </w:rPr>
            </w:pPr>
          </w:p>
        </w:tc>
        <w:tc>
          <w:tcPr>
            <w:tcW w:w="880" w:type="dxa"/>
            <w:vAlign w:val="bottom"/>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1220" w:type="dxa"/>
            <w:vAlign w:val="bottom"/>
            <w:vMerge w:val="continue"/>
          </w:tcPr>
          <w:p>
            <w:pPr>
              <w:spacing w:after="0"/>
              <w:rPr>
                <w:sz w:val="16"/>
                <w:szCs w:val="16"/>
                <w:color w:val="auto"/>
              </w:rPr>
            </w:pPr>
          </w:p>
        </w:tc>
        <w:tc>
          <w:tcPr>
            <w:tcW w:w="160" w:type="dxa"/>
            <w:vAlign w:val="bottom"/>
            <w:vMerge w:val="continue"/>
          </w:tcPr>
          <w:p>
            <w:pPr>
              <w:spacing w:after="0"/>
              <w:rPr>
                <w:sz w:val="16"/>
                <w:szCs w:val="16"/>
                <w:color w:val="auto"/>
              </w:rPr>
            </w:pPr>
          </w:p>
        </w:tc>
        <w:tc>
          <w:tcPr>
            <w:tcW w:w="780" w:type="dxa"/>
            <w:vAlign w:val="bottom"/>
            <w:vMerge w:val="continue"/>
          </w:tcPr>
          <w:p>
            <w:pPr>
              <w:spacing w:after="0"/>
              <w:rPr>
                <w:sz w:val="16"/>
                <w:szCs w:val="16"/>
                <w:color w:val="auto"/>
              </w:rPr>
            </w:pPr>
          </w:p>
        </w:tc>
        <w:tc>
          <w:tcPr>
            <w:tcW w:w="220" w:type="dxa"/>
            <w:vAlign w:val="bottom"/>
            <w:vMerge w:val="continue"/>
          </w:tcPr>
          <w:p>
            <w:pPr>
              <w:spacing w:after="0"/>
              <w:rPr>
                <w:sz w:val="16"/>
                <w:szCs w:val="16"/>
                <w:color w:val="auto"/>
              </w:rPr>
            </w:pPr>
          </w:p>
        </w:tc>
        <w:tc>
          <w:tcPr>
            <w:tcW w:w="820" w:type="dxa"/>
            <w:vAlign w:val="bottom"/>
            <w:vMerge w:val="continue"/>
          </w:tcPr>
          <w:p>
            <w:pPr>
              <w:spacing w:after="0"/>
              <w:rPr>
                <w:sz w:val="16"/>
                <w:szCs w:val="16"/>
                <w:color w:val="auto"/>
              </w:rPr>
            </w:pPr>
          </w:p>
        </w:tc>
        <w:tc>
          <w:tcPr>
            <w:tcW w:w="240" w:type="dxa"/>
            <w:vAlign w:val="bottom"/>
            <w:vMerge w:val="continue"/>
          </w:tcPr>
          <w:p>
            <w:pPr>
              <w:spacing w:after="0"/>
              <w:rPr>
                <w:sz w:val="16"/>
                <w:szCs w:val="16"/>
                <w:color w:val="auto"/>
              </w:rPr>
            </w:pPr>
          </w:p>
        </w:tc>
        <w:tc>
          <w:tcPr>
            <w:tcW w:w="7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-1270</wp:posOffset>
            </wp:positionV>
            <wp:extent cx="7132320"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The accompanying Notes to Consolidated Financial Statements are an integral part of these statements.</w:t>
      </w: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7" w:name="page8"/>
    <w:bookmarkEnd w:id="7"/>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(Unaudited)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three and six months ended June 30, 2024 and 2023</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millions, except share and per share data)</w:t>
      </w:r>
    </w:p>
    <w:p>
      <w:pPr>
        <w:spacing w:after="0" w:line="203" w:lineRule="exact"/>
        <w:rPr>
          <w:sz w:val="20"/>
          <w:szCs w:val="20"/>
          <w:color w:val="auto"/>
        </w:rPr>
      </w:pPr>
    </w:p>
    <w:p>
      <w:pPr>
        <w:ind w:left="260" w:hanging="252"/>
        <w:spacing w:after="0"/>
        <w:tabs>
          <w:tab w:leader="none" w:pos="260" w:val="left"/>
        </w:tabs>
        <w:numPr>
          <w:ilvl w:val="0"/>
          <w:numId w:val="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Basis of Presentation and Accounting Policies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Basis of Presentation</w:t>
      </w:r>
    </w:p>
    <w:p>
      <w:pPr>
        <w:spacing w:after="0" w:line="227"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Certain information and footnote disclosures normally included in the financial statements prepared in accordance with United States Generally Accepted Accounting Principles ("GAAP") have been condensed or omitted pursuant to the rules and regulations of the Securities and Exchange Commission, although we believe that the disclosures are adequate to make the information presented not misleading. These Consolidated Financial Statements should be read in conjunction with the Consolidated Financial Statements included in our 2023 Annual Report on Form 10-K.</w:t>
      </w:r>
    </w:p>
    <w:p>
      <w:pPr>
        <w:spacing w:after="0" w:line="180" w:lineRule="exact"/>
        <w:rPr>
          <w:sz w:val="20"/>
          <w:szCs w:val="20"/>
          <w:color w:val="auto"/>
        </w:rPr>
      </w:pPr>
    </w:p>
    <w:p>
      <w:pPr>
        <w:ind w:right="300"/>
        <w:spacing w:after="0" w:line="282" w:lineRule="auto"/>
        <w:rPr>
          <w:sz w:val="20"/>
          <w:szCs w:val="20"/>
          <w:color w:val="auto"/>
        </w:rPr>
      </w:pPr>
      <w:r>
        <w:rPr>
          <w:rFonts w:ascii="Times New Roman" w:cs="Times New Roman" w:eastAsia="Times New Roman" w:hAnsi="Times New Roman"/>
          <w:sz w:val="18"/>
          <w:szCs w:val="18"/>
          <w:color w:val="auto"/>
        </w:rPr>
        <w:t>The information furnished reflects all adjustments that, in the opinion of management, were necessary for a fair statement of the Consolidated Financial Statements for the periods presented. Such adjustments were of a normal recurring nature, unless otherwise disclosed.</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Allowance for Expected Credit Losses</w:t>
      </w:r>
    </w:p>
    <w:p>
      <w:pPr>
        <w:spacing w:after="0" w:line="227" w:lineRule="exact"/>
        <w:rPr>
          <w:sz w:val="20"/>
          <w:szCs w:val="20"/>
          <w:color w:val="auto"/>
        </w:rPr>
      </w:pPr>
    </w:p>
    <w:p>
      <w:pPr>
        <w:jc w:val="both"/>
        <w:ind w:right="140"/>
        <w:spacing w:after="0" w:line="289" w:lineRule="auto"/>
        <w:rPr>
          <w:sz w:val="20"/>
          <w:szCs w:val="20"/>
          <w:color w:val="auto"/>
        </w:rPr>
      </w:pPr>
      <w:r>
        <w:rPr>
          <w:rFonts w:ascii="Times New Roman" w:cs="Times New Roman" w:eastAsia="Times New Roman" w:hAnsi="Times New Roman"/>
          <w:sz w:val="17"/>
          <w:szCs w:val="17"/>
          <w:color w:val="auto"/>
        </w:rPr>
        <w:t>We have an allowance for expected credit losses recorded as an estimate of the accounts receivable that may not be collected. This allowance is calculated on an entity-by-entity basis with consideration of historical write-off experience, age of receivables, market conditions, and a specific review for expected credit losses. Items that affect this balance mainly include provision for expected credit losses and the write-off of accounts receivable balances.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600" w:type="dxa"/>
            <w:vAlign w:val="bottom"/>
          </w:tcPr>
          <w:p>
            <w:pPr>
              <w:spacing w:after="0"/>
              <w:rPr>
                <w:sz w:val="20"/>
                <w:szCs w:val="20"/>
                <w:color w:val="auto"/>
              </w:rPr>
            </w:pPr>
            <w:r>
              <w:rPr>
                <w:rFonts w:ascii="Times New Roman" w:cs="Times New Roman" w:eastAsia="Times New Roman" w:hAnsi="Times New Roman"/>
                <w:sz w:val="18"/>
                <w:szCs w:val="18"/>
                <w:color w:val="auto"/>
              </w:rPr>
              <w:t>A rollforward of our allowance for expected credit losses is shown below:</w:t>
            </w:r>
          </w:p>
        </w:tc>
        <w:tc>
          <w:tcPr>
            <w:tcW w:w="560" w:type="dxa"/>
            <w:vAlign w:val="bottom"/>
          </w:tcPr>
          <w:p>
            <w:pPr>
              <w:spacing w:after="0"/>
              <w:rPr>
                <w:sz w:val="20"/>
                <w:szCs w:val="20"/>
                <w:color w:val="auto"/>
              </w:rPr>
            </w:pPr>
          </w:p>
        </w:tc>
        <w:tc>
          <w:tcPr>
            <w:tcW w:w="3080" w:type="dxa"/>
            <w:vAlign w:val="bottom"/>
            <w:vMerge w:val="restart"/>
          </w:tcPr>
          <w:p>
            <w:pPr>
              <w:jc w:val="right"/>
              <w:ind w:right="1090"/>
              <w:spacing w:after="0"/>
              <w:rPr>
                <w:sz w:val="20"/>
                <w:szCs w:val="20"/>
                <w:color w:val="auto"/>
              </w:rPr>
            </w:pPr>
            <w:r>
              <w:rPr>
                <w:rFonts w:ascii="Times New Roman" w:cs="Times New Roman" w:eastAsia="Times New Roman" w:hAnsi="Times New Roman"/>
                <w:sz w:val="18"/>
                <w:szCs w:val="18"/>
                <w:b w:val="1"/>
                <w:bCs w:val="1"/>
                <w:color w:val="auto"/>
              </w:rPr>
              <w:t>Six Months Ended</w:t>
            </w:r>
          </w:p>
        </w:tc>
        <w:tc>
          <w:tcPr>
            <w:tcW w:w="0" w:type="dxa"/>
            <w:vAlign w:val="bottom"/>
          </w:tcPr>
          <w:p>
            <w:pPr>
              <w:spacing w:after="0"/>
              <w:rPr>
                <w:sz w:val="1"/>
                <w:szCs w:val="1"/>
                <w:color w:val="auto"/>
              </w:rPr>
            </w:pPr>
          </w:p>
        </w:tc>
      </w:tr>
      <w:tr>
        <w:trPr>
          <w:trHeight w:val="207"/>
        </w:trPr>
        <w:tc>
          <w:tcPr>
            <w:tcW w:w="76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0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45"/>
        </w:trPr>
        <w:tc>
          <w:tcPr>
            <w:tcW w:w="7600" w:type="dxa"/>
            <w:vAlign w:val="bottom"/>
          </w:tcPr>
          <w:p>
            <w:pPr>
              <w:spacing w:after="0"/>
              <w:rPr>
                <w:sz w:val="21"/>
                <w:szCs w:val="21"/>
                <w:color w:val="auto"/>
              </w:rPr>
            </w:pPr>
          </w:p>
        </w:tc>
        <w:tc>
          <w:tcPr>
            <w:tcW w:w="560" w:type="dxa"/>
            <w:vAlign w:val="bottom"/>
            <w:tcBorders>
              <w:bottom w:val="single" w:sz="8" w:color="auto"/>
            </w:tcBorders>
          </w:tcPr>
          <w:p>
            <w:pPr>
              <w:spacing w:after="0"/>
              <w:rPr>
                <w:sz w:val="21"/>
                <w:szCs w:val="21"/>
                <w:color w:val="auto"/>
              </w:rPr>
            </w:pPr>
          </w:p>
        </w:tc>
        <w:tc>
          <w:tcPr>
            <w:tcW w:w="3080" w:type="dxa"/>
            <w:vAlign w:val="bottom"/>
            <w:tcBorders>
              <w:bottom w:val="single" w:sz="8" w:color="auto"/>
            </w:tcBorders>
          </w:tcPr>
          <w:p>
            <w:pPr>
              <w:jc w:val="right"/>
              <w:ind w:right="1270"/>
              <w:spacing w:after="0"/>
              <w:rPr>
                <w:sz w:val="20"/>
                <w:szCs w:val="20"/>
                <w:color w:val="auto"/>
              </w:rPr>
            </w:pPr>
            <w:r>
              <w:rPr>
                <w:rFonts w:ascii="Times New Roman" w:cs="Times New Roman" w:eastAsia="Times New Roman" w:hAnsi="Times New Roman"/>
                <w:sz w:val="18"/>
                <w:szCs w:val="18"/>
                <w:b w:val="1"/>
                <w:bCs w:val="1"/>
                <w:color w:val="auto"/>
              </w:rPr>
              <w:t>June 30, 2024</w:t>
            </w:r>
          </w:p>
        </w:tc>
        <w:tc>
          <w:tcPr>
            <w:tcW w:w="0" w:type="dxa"/>
            <w:vAlign w:val="bottom"/>
          </w:tcPr>
          <w:p>
            <w:pPr>
              <w:spacing w:after="0"/>
              <w:rPr>
                <w:sz w:val="1"/>
                <w:szCs w:val="1"/>
                <w:color w:val="auto"/>
              </w:rPr>
            </w:pPr>
          </w:p>
        </w:tc>
      </w:tr>
      <w:tr>
        <w:trPr>
          <w:trHeight w:val="243"/>
        </w:trPr>
        <w:tc>
          <w:tcPr>
            <w:tcW w:w="76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Balance, December 31, 2023</w:t>
            </w:r>
          </w:p>
        </w:tc>
        <w:tc>
          <w:tcPr>
            <w:tcW w:w="560" w:type="dxa"/>
            <w:vAlign w:val="bottom"/>
            <w:shd w:val="clear" w:color="auto" w:fill="CFF0FC"/>
          </w:tcPr>
          <w:p>
            <w:pPr>
              <w:jc w:val="right"/>
              <w:ind w:right="370"/>
              <w:spacing w:after="0"/>
              <w:rPr>
                <w:sz w:val="20"/>
                <w:szCs w:val="20"/>
                <w:color w:val="auto"/>
              </w:rPr>
            </w:pPr>
            <w:r>
              <w:rPr>
                <w:rFonts w:ascii="Times New Roman" w:cs="Times New Roman" w:eastAsia="Times New Roman" w:hAnsi="Times New Roman"/>
                <w:sz w:val="18"/>
                <w:szCs w:val="18"/>
                <w:color w:val="auto"/>
                <w:w w:val="88"/>
              </w:rPr>
              <w:t>$</w:t>
            </w:r>
          </w:p>
        </w:tc>
        <w:tc>
          <w:tcPr>
            <w:tcW w:w="308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99.2</w:t>
            </w:r>
          </w:p>
        </w:tc>
        <w:tc>
          <w:tcPr>
            <w:tcW w:w="0" w:type="dxa"/>
            <w:vAlign w:val="bottom"/>
          </w:tcPr>
          <w:p>
            <w:pPr>
              <w:spacing w:after="0"/>
              <w:rPr>
                <w:sz w:val="1"/>
                <w:szCs w:val="1"/>
                <w:color w:val="auto"/>
              </w:rPr>
            </w:pPr>
          </w:p>
        </w:tc>
      </w:tr>
      <w:tr>
        <w:trPr>
          <w:trHeight w:val="239"/>
        </w:trPr>
        <w:tc>
          <w:tcPr>
            <w:tcW w:w="7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Provision charged to earnings</w:t>
            </w:r>
          </w:p>
        </w:tc>
        <w:tc>
          <w:tcPr>
            <w:tcW w:w="560" w:type="dxa"/>
            <w:vAlign w:val="bottom"/>
          </w:tcPr>
          <w:p>
            <w:pPr>
              <w:spacing w:after="0"/>
              <w:rPr>
                <w:sz w:val="20"/>
                <w:szCs w:val="20"/>
                <w:color w:val="auto"/>
              </w:rPr>
            </w:pPr>
          </w:p>
        </w:tc>
        <w:tc>
          <w:tcPr>
            <w:tcW w:w="30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3.7</w:t>
            </w:r>
          </w:p>
        </w:tc>
        <w:tc>
          <w:tcPr>
            <w:tcW w:w="0" w:type="dxa"/>
            <w:vAlign w:val="bottom"/>
          </w:tcPr>
          <w:p>
            <w:pPr>
              <w:spacing w:after="0"/>
              <w:rPr>
                <w:sz w:val="1"/>
                <w:szCs w:val="1"/>
                <w:color w:val="auto"/>
              </w:rPr>
            </w:pPr>
          </w:p>
        </w:tc>
      </w:tr>
      <w:tr>
        <w:trPr>
          <w:trHeight w:val="247"/>
        </w:trPr>
        <w:tc>
          <w:tcPr>
            <w:tcW w:w="76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Write-offs</w:t>
            </w:r>
          </w:p>
        </w:tc>
        <w:tc>
          <w:tcPr>
            <w:tcW w:w="560" w:type="dxa"/>
            <w:vAlign w:val="bottom"/>
            <w:shd w:val="clear" w:color="auto" w:fill="CFF0FC"/>
          </w:tcPr>
          <w:p>
            <w:pPr>
              <w:spacing w:after="0"/>
              <w:rPr>
                <w:sz w:val="21"/>
                <w:szCs w:val="21"/>
                <w:color w:val="auto"/>
              </w:rPr>
            </w:pPr>
          </w:p>
        </w:tc>
        <w:tc>
          <w:tcPr>
            <w:tcW w:w="3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(5.7 )</w:t>
            </w:r>
          </w:p>
        </w:tc>
        <w:tc>
          <w:tcPr>
            <w:tcW w:w="0" w:type="dxa"/>
            <w:vAlign w:val="bottom"/>
          </w:tcPr>
          <w:p>
            <w:pPr>
              <w:spacing w:after="0"/>
              <w:rPr>
                <w:sz w:val="1"/>
                <w:szCs w:val="1"/>
                <w:color w:val="auto"/>
              </w:rPr>
            </w:pPr>
          </w:p>
        </w:tc>
      </w:tr>
      <w:tr>
        <w:trPr>
          <w:trHeight w:val="239"/>
        </w:trPr>
        <w:tc>
          <w:tcPr>
            <w:tcW w:w="7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Currency impact and other</w:t>
            </w:r>
          </w:p>
        </w:tc>
        <w:tc>
          <w:tcPr>
            <w:tcW w:w="560" w:type="dxa"/>
            <w:vAlign w:val="bottom"/>
            <w:tcBorders>
              <w:bottom w:val="single" w:sz="8" w:color="auto"/>
            </w:tcBorders>
          </w:tcPr>
          <w:p>
            <w:pPr>
              <w:spacing w:after="0"/>
              <w:rPr>
                <w:sz w:val="20"/>
                <w:szCs w:val="20"/>
                <w:color w:val="auto"/>
              </w:rPr>
            </w:pPr>
          </w:p>
        </w:tc>
        <w:tc>
          <w:tcPr>
            <w:tcW w:w="3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(3.0 )</w:t>
            </w:r>
          </w:p>
        </w:tc>
        <w:tc>
          <w:tcPr>
            <w:tcW w:w="0" w:type="dxa"/>
            <w:vAlign w:val="bottom"/>
          </w:tcPr>
          <w:p>
            <w:pPr>
              <w:spacing w:after="0"/>
              <w:rPr>
                <w:sz w:val="1"/>
                <w:szCs w:val="1"/>
                <w:color w:val="auto"/>
              </w:rPr>
            </w:pPr>
          </w:p>
        </w:tc>
      </w:tr>
      <w:tr>
        <w:trPr>
          <w:trHeight w:val="277"/>
        </w:trPr>
        <w:tc>
          <w:tcPr>
            <w:tcW w:w="76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Balance, June 30, 2024</w:t>
            </w:r>
          </w:p>
        </w:tc>
        <w:tc>
          <w:tcPr>
            <w:tcW w:w="560" w:type="dxa"/>
            <w:vAlign w:val="bottom"/>
            <w:tcBorders>
              <w:bottom w:val="single" w:sz="8" w:color="auto"/>
            </w:tcBorders>
            <w:shd w:val="clear" w:color="auto" w:fill="CFF0FC"/>
          </w:tcPr>
          <w:p>
            <w:pPr>
              <w:jc w:val="right"/>
              <w:ind w:right="370"/>
              <w:spacing w:after="0"/>
              <w:rPr>
                <w:sz w:val="20"/>
                <w:szCs w:val="20"/>
                <w:color w:val="auto"/>
              </w:rPr>
            </w:pPr>
            <w:r>
              <w:rPr>
                <w:rFonts w:ascii="Times New Roman" w:cs="Times New Roman" w:eastAsia="Times New Roman" w:hAnsi="Times New Roman"/>
                <w:sz w:val="18"/>
                <w:szCs w:val="18"/>
                <w:color w:val="auto"/>
                <w:w w:val="88"/>
              </w:rPr>
              <w:t>$</w:t>
            </w:r>
          </w:p>
        </w:tc>
        <w:tc>
          <w:tcPr>
            <w:tcW w:w="308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94.2</w:t>
            </w:r>
          </w:p>
        </w:tc>
        <w:tc>
          <w:tcPr>
            <w:tcW w:w="0" w:type="dxa"/>
            <w:vAlign w:val="bottom"/>
          </w:tcPr>
          <w:p>
            <w:pPr>
              <w:spacing w:after="0"/>
              <w:rPr>
                <w:sz w:val="1"/>
                <w:szCs w:val="1"/>
                <w:color w:val="auto"/>
              </w:rPr>
            </w:pPr>
          </w:p>
        </w:tc>
      </w:tr>
    </w:tbl>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Leases</w:t>
      </w:r>
    </w:p>
    <w:p>
      <w:pPr>
        <w:spacing w:after="0" w:line="227"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We determine whether a contract is or contains a lease at contract inception. Right-of-use (“ROU”) assets and long-term lease liabilities are presented as separate line items on our Consolidated Balance Sheets. Short-term lease liabilities are included in accrued liabilities on our Consolidated Balance Sheets.</w:t>
      </w:r>
    </w:p>
    <w:p>
      <w:pPr>
        <w:spacing w:after="0" w:line="162"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ROU assets represent our right to use an underlying asset for the lease term and lease liabilities represent our obligation to make lease payments arising from the lease. Lease liabilities are recognized at commencement date based on the present value of remaining lease payments over the lease term. As the rate implicit in the lease is not readily determinable in most of our leases, we use our incremental borrowing rate. We determine our incremental borrowing rate at the commencement date using our unsecured borrowing rate, adjusted for collateralization, lease term, economic environment, currency and other factors. ROU assets are recognized at commencement date at the value of the related lease liabilities, adjusted for any prepayments, lease incentives received, and initial direct costs incurred. Our lease terms include options to renew or not terminate the lease when it is reasonably certain that we will exercise that option.</w:t>
      </w:r>
    </w:p>
    <w:p>
      <w:pPr>
        <w:spacing w:after="0" w:line="189"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Lease expenses for operating leases are recognized on a straight-line basis over the lease term and recorded in selling and administrative expenses on the Consolidated Statements of Operations.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Goodwill Impairment</w:t>
      </w:r>
    </w:p>
    <w:p>
      <w:pPr>
        <w:spacing w:after="0" w:line="227" w:lineRule="exact"/>
        <w:rPr>
          <w:sz w:val="20"/>
          <w:szCs w:val="20"/>
          <w:color w:val="auto"/>
        </w:rPr>
      </w:pPr>
    </w:p>
    <w:p>
      <w:pPr>
        <w:ind w:right="400"/>
        <w:spacing w:after="0" w:line="266" w:lineRule="auto"/>
        <w:rPr>
          <w:sz w:val="20"/>
          <w:szCs w:val="20"/>
          <w:color w:val="auto"/>
        </w:rPr>
      </w:pPr>
      <w:r>
        <w:rPr>
          <w:rFonts w:ascii="Times New Roman" w:cs="Times New Roman" w:eastAsia="Times New Roman" w:hAnsi="Times New Roman"/>
          <w:sz w:val="18"/>
          <w:szCs w:val="18"/>
          <w:color w:val="auto"/>
        </w:rPr>
        <w:t>In accordance with the accounting guidance on goodwill, we perform an annual impairment test of goodwill at our reporting unit level during the third quarter, or more frequently if events or circumstances change that would more likely than not reduce the fair value of our reporting units below their carrying value.</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8" w:name="page9"/>
    <w:bookmarkEnd w:id="8"/>
    <w:p>
      <w:pPr>
        <w:ind w:right="40"/>
        <w:spacing w:after="0" w:line="261" w:lineRule="auto"/>
        <w:rPr>
          <w:sz w:val="20"/>
          <w:szCs w:val="20"/>
          <w:color w:val="auto"/>
        </w:rPr>
      </w:pPr>
      <w:r>
        <w:rPr>
          <w:rFonts w:ascii="Times New Roman" w:cs="Times New Roman" w:eastAsia="Times New Roman" w:hAnsi="Times New Roman"/>
          <w:sz w:val="18"/>
          <w:szCs w:val="18"/>
          <w:color w:val="auto"/>
        </w:rPr>
        <w:t>We evaluate the recoverability of goodwill utilizing an income approach that estimates the fair value of the future discounted cash flows to which the goodwill relates. This approach reflects management’s internal outlook of the reporting units, which is believed to be the best determination of value due to management’s insight and experience with the reporting units. Significant assumptions used in our goodwill impairment tests include: expected future revenue growth rates, operating unit profit margins, working capital levels, discount rates, and a terminal value multiple.</w:t>
      </w:r>
    </w:p>
    <w:p>
      <w:pPr>
        <w:spacing w:after="0" w:line="180"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Management closely monitors the results of all the reporting units and comparisons to the key assumptions used in our fair value estimate at the time of our annual impairment test, in addition to operational initiatives and macroeconomic conditions, which may impact the results of the reporting units. As of our last annual impairment date, all of our reporting units' fair values exceeded their respective carrying values by 20% or more besides the Netherlands reporting unit, for which we recognized a full impairment of the remaining goodwill balance as of December 31, 2023. There could be significant decreases in the operating results of our reporting units for a sustained period, which may result in a recognition of goodwill impairment that could be material to the Consolidated Financial Statements.</w:t>
      </w:r>
    </w:p>
    <w:p>
      <w:pPr>
        <w:spacing w:after="0" w:line="183" w:lineRule="exact"/>
        <w:rPr>
          <w:sz w:val="20"/>
          <w:szCs w:val="20"/>
          <w:color w:val="auto"/>
        </w:rPr>
      </w:pPr>
    </w:p>
    <w:p>
      <w:pPr>
        <w:ind w:left="260" w:hanging="252"/>
        <w:spacing w:after="0"/>
        <w:tabs>
          <w:tab w:leader="none" w:pos="260" w:val="left"/>
        </w:tabs>
        <w:numPr>
          <w:ilvl w:val="0"/>
          <w:numId w:val="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Recent Accounting Standards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Accounting Standards Effective as of January 1, 2024</w:t>
      </w:r>
    </w:p>
    <w:p>
      <w:pPr>
        <w:spacing w:after="0" w:line="227"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In March 2020, the FASB issued new guidance on accounting for contract modifications, including hedging relationships, due to the transition from LIBOR and other interbank offerings related to alternative reference interest rates. The guidance was effective upon issuance and can be applied to applicable contract modifications through December 31, 2024. The adoption of this guidance has not had any impact on our Consolidated Financial Statements, and we do not expect it to have a material impact going forward.</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Recently Issued Accounting Standards</w:t>
      </w:r>
    </w:p>
    <w:p>
      <w:pPr>
        <w:spacing w:after="0" w:line="22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November 2023, the FASB issued new guidance on segment reporting. The guidance requires an annual and interim disclosure of significant segment expenses that are (1) regularly provided to the chief operating decision maker and (2) included in the reported measure of segment profit or loss. The guidance also allows companies to disclose multiple measures of segment profit or loss if those measures are used to assess performance and allocate resources. The new guidance is effective for our 2024 annual disclosures and subsequent quarters, and should be adopted retrospectively. We are currently assessing the impact of the adoption of this guidance on our financial statement disclosures.</w:t>
      </w:r>
    </w:p>
    <w:p>
      <w:pPr>
        <w:spacing w:after="0" w:line="183" w:lineRule="exact"/>
        <w:rPr>
          <w:sz w:val="20"/>
          <w:szCs w:val="20"/>
          <w:color w:val="auto"/>
        </w:rPr>
      </w:pPr>
    </w:p>
    <w:p>
      <w:pPr>
        <w:ind w:right="40"/>
        <w:spacing w:after="0" w:line="289" w:lineRule="auto"/>
        <w:rPr>
          <w:sz w:val="20"/>
          <w:szCs w:val="20"/>
          <w:color w:val="auto"/>
        </w:rPr>
      </w:pPr>
      <w:r>
        <w:rPr>
          <w:rFonts w:ascii="Times New Roman" w:cs="Times New Roman" w:eastAsia="Times New Roman" w:hAnsi="Times New Roman"/>
          <w:sz w:val="17"/>
          <w:szCs w:val="17"/>
          <w:color w:val="auto"/>
        </w:rPr>
        <w:t>In December 2023, the FASB issued a final standard on improvements to income tax disclosures. The guidance requires that public entities on an annual basis disclose disaggregated information about the rate reconciliation as well as income taxes paid. The new standard is effective for our 2025 annual disclosures and will be adopted prospectively. We are currently assessing the impact of the adoption of this guidance on our financial statement disclosures.</w:t>
      </w:r>
    </w:p>
    <w:p>
      <w:pPr>
        <w:spacing w:after="0" w:line="154" w:lineRule="exact"/>
        <w:rPr>
          <w:sz w:val="20"/>
          <w:szCs w:val="20"/>
          <w:color w:val="auto"/>
        </w:rPr>
      </w:pPr>
    </w:p>
    <w:p>
      <w:pPr>
        <w:ind w:left="300" w:hanging="247"/>
        <w:spacing w:after="0"/>
        <w:tabs>
          <w:tab w:leader="none" w:pos="300" w:val="left"/>
        </w:tabs>
        <w:numPr>
          <w:ilvl w:val="0"/>
          <w:numId w:val="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Revenue Recognition</w:t>
      </w:r>
    </w:p>
    <w:p>
      <w:pPr>
        <w:spacing w:after="0" w:line="229"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For certain client contracts where we recognize revenues over time, we recognize the amount that we have the right to invoice, which corresponds directly to the value provided to the client of our performance to date.</w:t>
      </w:r>
    </w:p>
    <w:p>
      <w:pPr>
        <w:spacing w:after="0" w:line="162"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We do not disclose the amount of unsatisfied performance obligations for client contracts with an original expected length of one year or less and those client contracts for which we recognize revenues at the amount to which we have the right to invoice for services performed. We have other contracts with revenues expected to be recognized subsequent to June 30, 2024, related to remaining performance obligations, which are not material.</w:t>
      </w:r>
    </w:p>
    <w:p>
      <w:pPr>
        <w:spacing w:after="0" w:line="176"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We record accounts receivable when our right to consideration becomes unconditional. Contract assets primarily relate to our rights to consideration for services provided that they are conditional on satisfaction of future performance obligations. We record contract liabilities (deferred revenue) when payments are made or due prior to the related performance obligations being satisfied. The current portion of our contract liabilities is included in accrued liabilities in our Consolidated Balance Sheets. We do not have any material contract assets or long-term contract liabilities.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deferred revenue was $33.3 as of June 30, 2024 and $31.9 as of December 31, 2023.</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9" w:name="page10"/>
    <w:bookmarkEnd w:id="9"/>
    <w:p>
      <w:pPr>
        <w:ind w:right="140"/>
        <w:spacing w:after="0" w:line="282" w:lineRule="auto"/>
        <w:rPr>
          <w:sz w:val="20"/>
          <w:szCs w:val="20"/>
          <w:color w:val="auto"/>
        </w:rPr>
      </w:pPr>
      <w:r>
        <w:rPr>
          <w:rFonts w:ascii="Times New Roman" w:cs="Times New Roman" w:eastAsia="Times New Roman" w:hAnsi="Times New Roman"/>
          <w:sz w:val="18"/>
          <w:szCs w:val="18"/>
          <w:color w:val="auto"/>
        </w:rPr>
        <w:t>In the following table, revenue is disaggregated by service types for each of our reportable segments. See Note 2 to the Consolidated Financial Statements in our 2023 Annual Report on Form 10-K for descriptions of revenue service types.</w:t>
      </w:r>
    </w:p>
    <w:p>
      <w:pPr>
        <w:spacing w:after="0" w:line="223" w:lineRule="exact"/>
        <w:rPr>
          <w:sz w:val="20"/>
          <w:szCs w:val="20"/>
          <w:color w:val="auto"/>
        </w:rPr>
      </w:pPr>
    </w:p>
    <w:p>
      <w:pPr>
        <w:jc w:val="center"/>
        <w:ind w:left="1880"/>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1273810</wp:posOffset>
            </wp:positionH>
            <wp:positionV relativeFrom="paragraph">
              <wp:posOffset>16510</wp:posOffset>
            </wp:positionV>
            <wp:extent cx="586359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5863590" cy="8890"/>
                    </a:xfrm>
                    <a:prstGeom prst="rect">
                      <a:avLst/>
                    </a:prstGeom>
                    <a:noFill/>
                  </pic:spPr>
                </pic:pic>
              </a:graphicData>
            </a:graphic>
          </wp:anchor>
        </w:drawing>
      </w:r>
    </w:p>
    <w:p>
      <w:pPr>
        <w:spacing w:after="0" w:line="30" w:lineRule="exact"/>
        <w:rPr>
          <w:sz w:val="20"/>
          <w:szCs w:val="20"/>
          <w:color w:val="auto"/>
        </w:rPr>
      </w:pPr>
    </w:p>
    <w:p>
      <w:pPr>
        <w:ind w:left="4140"/>
        <w:spacing w:after="0"/>
        <w:tabs>
          <w:tab w:leader="none" w:pos="8740" w:val="left"/>
        </w:tabs>
        <w:rPr>
          <w:sz w:val="20"/>
          <w:szCs w:val="20"/>
          <w:color w:val="auto"/>
        </w:rPr>
      </w:pPr>
      <w:r>
        <w:rPr>
          <w:rFonts w:ascii="Times New Roman" w:cs="Times New Roman" w:eastAsia="Times New Roman" w:hAnsi="Times New Roman"/>
          <w:sz w:val="14"/>
          <w:szCs w:val="14"/>
          <w:b w:val="1"/>
          <w:bCs w:val="1"/>
          <w:color w:val="auto"/>
        </w:rPr>
        <w:t>2024</w:t>
      </w:r>
      <w:r>
        <w:rPr>
          <w:sz w:val="20"/>
          <w:szCs w:val="20"/>
          <w:color w:val="auto"/>
        </w:rPr>
        <w:tab/>
      </w:r>
      <w:r>
        <w:rPr>
          <w:rFonts w:ascii="Times New Roman" w:cs="Times New Roman" w:eastAsia="Times New Roman" w:hAnsi="Times New Roman"/>
          <w:sz w:val="14"/>
          <w:szCs w:val="14"/>
          <w:b w:val="1"/>
          <w:bCs w:val="1"/>
          <w:color w:val="auto"/>
        </w:rPr>
        <w:t>2023</w:t>
      </w:r>
      <w:r>
        <w:rPr>
          <w:rFonts w:ascii="Times New Roman" w:cs="Times New Roman" w:eastAsia="Times New Roman" w:hAnsi="Times New Roman"/>
          <w:sz w:val="19"/>
          <w:szCs w:val="19"/>
          <w:b w:val="1"/>
          <w:bCs w:val="1"/>
          <w:color w:val="auto"/>
          <w:vertAlign w:val="superscript"/>
        </w:rPr>
        <w:t>(a)</w:t>
      </w:r>
    </w:p>
    <w:p>
      <w:pPr>
        <w:sectPr>
          <w:pgSz w:w="11900" w:h="16838" w:orient="portrait"/>
          <w:cols w:equalWidth="0" w:num="1">
            <w:col w:w="11240"/>
          </w:cols>
          <w:pgMar w:left="320" w:top="1201" w:right="339" w:bottom="1440" w:gutter="0" w:footer="0" w:header="0"/>
        </w:sectPr>
      </w:pPr>
    </w:p>
    <w:tbl>
      <w:tblPr>
        <w:tblLayout w:type="fixed"/>
        <w:tblInd w:w="2000" w:type="dxa"/>
        <w:tblCellMar>
          <w:top w:w="0" w:type="dxa"/>
          <w:left w:w="0" w:type="dxa"/>
          <w:bottom w:w="0" w:type="dxa"/>
          <w:right w:w="0" w:type="dxa"/>
        </w:tblCellMar>
      </w:tblPr>
      <w:tr>
        <w:trPr>
          <w:trHeight w:val="131"/>
        </w:trPr>
        <w:tc>
          <w:tcPr>
            <w:tcW w:w="780" w:type="dxa"/>
            <w:vAlign w:val="bottom"/>
            <w:tcBorders>
              <w:top w:val="single" w:sz="8" w:color="auto"/>
            </w:tcBorders>
          </w:tcPr>
          <w:p>
            <w:pPr>
              <w:spacing w:after="0"/>
              <w:rPr>
                <w:sz w:val="11"/>
                <w:szCs w:val="11"/>
                <w:color w:val="auto"/>
              </w:rPr>
            </w:pPr>
          </w:p>
        </w:tc>
        <w:tc>
          <w:tcPr>
            <w:tcW w:w="1000" w:type="dxa"/>
            <w:vAlign w:val="bottom"/>
            <w:tcBorders>
              <w:top w:val="single" w:sz="8" w:color="auto"/>
            </w:tcBorders>
          </w:tcPr>
          <w:p>
            <w:pPr>
              <w:jc w:val="center"/>
              <w:spacing w:after="0" w:line="131" w:lineRule="exact"/>
              <w:rPr>
                <w:sz w:val="20"/>
                <w:szCs w:val="20"/>
                <w:color w:val="auto"/>
              </w:rPr>
            </w:pPr>
            <w:r>
              <w:rPr>
                <w:rFonts w:ascii="Times New Roman" w:cs="Times New Roman" w:eastAsia="Times New Roman" w:hAnsi="Times New Roman"/>
                <w:sz w:val="14"/>
                <w:szCs w:val="14"/>
                <w:b w:val="1"/>
                <w:bCs w:val="1"/>
                <w:color w:val="auto"/>
              </w:rPr>
              <w:t>Outcome-</w:t>
            </w:r>
          </w:p>
        </w:tc>
        <w:tc>
          <w:tcPr>
            <w:tcW w:w="1060" w:type="dxa"/>
            <w:vAlign w:val="bottom"/>
            <w:tcBorders>
              <w:top w:val="single" w:sz="8" w:color="auto"/>
            </w:tcBorders>
          </w:tcPr>
          <w:p>
            <w:pPr>
              <w:spacing w:after="0"/>
              <w:rPr>
                <w:sz w:val="11"/>
                <w:szCs w:val="11"/>
                <w:color w:val="auto"/>
              </w:rPr>
            </w:pPr>
          </w:p>
        </w:tc>
        <w:tc>
          <w:tcPr>
            <w:tcW w:w="900" w:type="dxa"/>
            <w:vAlign w:val="bottom"/>
            <w:tcBorders>
              <w:top w:val="single" w:sz="8" w:color="auto"/>
            </w:tcBorders>
          </w:tcPr>
          <w:p>
            <w:pPr>
              <w:spacing w:after="0"/>
              <w:rPr>
                <w:sz w:val="11"/>
                <w:szCs w:val="11"/>
                <w:color w:val="auto"/>
              </w:rPr>
            </w:pPr>
          </w:p>
        </w:tc>
        <w:tc>
          <w:tcPr>
            <w:tcW w:w="920" w:type="dxa"/>
            <w:vAlign w:val="bottom"/>
            <w:tcBorders>
              <w:top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780" w:type="dxa"/>
            <w:vAlign w:val="bottom"/>
            <w:vMerge w:val="restart"/>
          </w:tcPr>
          <w:p>
            <w:pPr>
              <w:jc w:val="center"/>
              <w:ind w:right="8"/>
              <w:spacing w:after="0"/>
              <w:rPr>
                <w:sz w:val="20"/>
                <w:szCs w:val="20"/>
                <w:color w:val="auto"/>
              </w:rPr>
            </w:pPr>
            <w:r>
              <w:rPr>
                <w:rFonts w:ascii="Times New Roman" w:cs="Times New Roman" w:eastAsia="Times New Roman" w:hAnsi="Times New Roman"/>
                <w:sz w:val="14"/>
                <w:szCs w:val="14"/>
                <w:b w:val="1"/>
                <w:bCs w:val="1"/>
                <w:color w:val="auto"/>
              </w:rPr>
              <w:t>Staffing</w:t>
            </w:r>
          </w:p>
        </w:tc>
        <w:tc>
          <w:tcPr>
            <w:tcW w:w="10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Based</w:t>
            </w:r>
          </w:p>
        </w:tc>
        <w:tc>
          <w:tcPr>
            <w:tcW w:w="10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Permanent</w:t>
            </w:r>
          </w:p>
        </w:tc>
        <w:tc>
          <w:tcPr>
            <w:tcW w:w="9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780" w:type="dxa"/>
            <w:vAlign w:val="bottom"/>
            <w:vMerge w:val="continue"/>
          </w:tcPr>
          <w:p>
            <w:pPr>
              <w:spacing w:after="0"/>
              <w:rPr>
                <w:sz w:val="12"/>
                <w:szCs w:val="12"/>
                <w:color w:val="auto"/>
              </w:rPr>
            </w:pPr>
          </w:p>
        </w:tc>
        <w:tc>
          <w:tcPr>
            <w:tcW w:w="10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Solutions</w:t>
            </w:r>
          </w:p>
        </w:tc>
        <w:tc>
          <w:tcPr>
            <w:tcW w:w="1060" w:type="dxa"/>
            <w:vAlign w:val="bottom"/>
            <w:vMerge w:val="continue"/>
          </w:tcPr>
          <w:p>
            <w:pPr>
              <w:spacing w:after="0"/>
              <w:rPr>
                <w:sz w:val="12"/>
                <w:szCs w:val="12"/>
                <w:color w:val="auto"/>
              </w:rPr>
            </w:pPr>
          </w:p>
        </w:tc>
        <w:tc>
          <w:tcPr>
            <w:tcW w:w="9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780" w:type="dxa"/>
            <w:vAlign w:val="bottom"/>
          </w:tcPr>
          <w:p>
            <w:pPr>
              <w:jc w:val="center"/>
              <w:ind w:right="8"/>
              <w:spacing w:after="0" w:line="149" w:lineRule="exact"/>
              <w:rPr>
                <w:sz w:val="20"/>
                <w:szCs w:val="20"/>
                <w:color w:val="auto"/>
              </w:rPr>
            </w:pPr>
            <w:r>
              <w:rPr>
                <w:rFonts w:ascii="Times New Roman" w:cs="Times New Roman" w:eastAsia="Times New Roman" w:hAnsi="Times New Roman"/>
                <w:sz w:val="14"/>
                <w:szCs w:val="14"/>
                <w:b w:val="1"/>
                <w:bCs w:val="1"/>
                <w:color w:val="auto"/>
                <w:w w:val="97"/>
              </w:rPr>
              <w:t>and</w:t>
            </w:r>
          </w:p>
        </w:tc>
        <w:tc>
          <w:tcPr>
            <w:tcW w:w="10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and</w:t>
            </w:r>
          </w:p>
        </w:tc>
        <w:tc>
          <w:tcPr>
            <w:tcW w:w="10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Recruitme</w:t>
            </w:r>
          </w:p>
        </w:tc>
        <w:tc>
          <w:tcPr>
            <w:tcW w:w="900" w:type="dxa"/>
            <w:vAlign w:val="bottom"/>
            <w:vMerge w:val="restart"/>
          </w:tcPr>
          <w:p>
            <w:pPr>
              <w:ind w:left="220"/>
              <w:spacing w:after="0"/>
              <w:rPr>
                <w:sz w:val="20"/>
                <w:szCs w:val="20"/>
                <w:color w:val="auto"/>
              </w:rPr>
            </w:pPr>
            <w:r>
              <w:rPr>
                <w:rFonts w:ascii="Times New Roman" w:cs="Times New Roman" w:eastAsia="Times New Roman" w:hAnsi="Times New Roman"/>
                <w:sz w:val="14"/>
                <w:szCs w:val="14"/>
                <w:b w:val="1"/>
                <w:bCs w:val="1"/>
                <w:color w:val="auto"/>
              </w:rPr>
              <w:t>Other</w:t>
            </w:r>
          </w:p>
        </w:tc>
        <w:tc>
          <w:tcPr>
            <w:tcW w:w="920" w:type="dxa"/>
            <w:vAlign w:val="bottom"/>
            <w:vMerge w:val="restart"/>
          </w:tcPr>
          <w:p>
            <w:pPr>
              <w:ind w:left="30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87"/>
        </w:trPr>
        <w:tc>
          <w:tcPr>
            <w:tcW w:w="780" w:type="dxa"/>
            <w:vAlign w:val="bottom"/>
          </w:tcPr>
          <w:p>
            <w:pPr>
              <w:jc w:val="center"/>
              <w:ind w:right="8"/>
              <w:spacing w:after="0"/>
              <w:rPr>
                <w:sz w:val="20"/>
                <w:szCs w:val="20"/>
                <w:color w:val="auto"/>
              </w:rPr>
            </w:pPr>
            <w:r>
              <w:rPr>
                <w:rFonts w:ascii="Times New Roman" w:cs="Times New Roman" w:eastAsia="Times New Roman" w:hAnsi="Times New Roman"/>
                <w:sz w:val="14"/>
                <w:szCs w:val="14"/>
                <w:b w:val="1"/>
                <w:bCs w:val="1"/>
                <w:color w:val="auto"/>
              </w:rPr>
              <w:t>Interim</w:t>
            </w:r>
          </w:p>
        </w:tc>
        <w:tc>
          <w:tcPr>
            <w:tcW w:w="10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Consulting</w:t>
            </w:r>
          </w:p>
        </w:tc>
        <w:tc>
          <w:tcPr>
            <w:tcW w:w="10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nt</w:t>
            </w:r>
          </w:p>
        </w:tc>
        <w:tc>
          <w:tcPr>
            <w:tcW w:w="900" w:type="dxa"/>
            <w:vAlign w:val="bottom"/>
            <w:vMerge w:val="continue"/>
          </w:tcPr>
          <w:p>
            <w:pPr>
              <w:spacing w:after="0"/>
              <w:rPr>
                <w:sz w:val="16"/>
                <w:szCs w:val="16"/>
                <w:color w:val="auto"/>
              </w:rPr>
            </w:pPr>
          </w:p>
        </w:tc>
        <w:tc>
          <w:tcPr>
            <w:tcW w:w="9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31"/>
        </w:trPr>
        <w:tc>
          <w:tcPr>
            <w:tcW w:w="760" w:type="dxa"/>
            <w:vAlign w:val="bottom"/>
            <w:tcBorders>
              <w:top w:val="single" w:sz="8" w:color="auto"/>
            </w:tcBorders>
          </w:tcPr>
          <w:p>
            <w:pPr>
              <w:spacing w:after="0"/>
              <w:rPr>
                <w:sz w:val="11"/>
                <w:szCs w:val="11"/>
                <w:color w:val="auto"/>
              </w:rPr>
            </w:pPr>
          </w:p>
        </w:tc>
        <w:tc>
          <w:tcPr>
            <w:tcW w:w="960" w:type="dxa"/>
            <w:vAlign w:val="bottom"/>
            <w:tcBorders>
              <w:top w:val="single" w:sz="8" w:color="auto"/>
            </w:tcBorders>
          </w:tcPr>
          <w:p>
            <w:pPr>
              <w:jc w:val="center"/>
              <w:spacing w:after="0" w:line="131" w:lineRule="exact"/>
              <w:rPr>
                <w:sz w:val="20"/>
                <w:szCs w:val="20"/>
                <w:color w:val="auto"/>
              </w:rPr>
            </w:pPr>
            <w:r>
              <w:rPr>
                <w:rFonts w:ascii="Times New Roman" w:cs="Times New Roman" w:eastAsia="Times New Roman" w:hAnsi="Times New Roman"/>
                <w:sz w:val="14"/>
                <w:szCs w:val="14"/>
                <w:b w:val="1"/>
                <w:bCs w:val="1"/>
                <w:color w:val="auto"/>
              </w:rPr>
              <w:t>Outcome-</w:t>
            </w:r>
          </w:p>
        </w:tc>
        <w:tc>
          <w:tcPr>
            <w:tcW w:w="960" w:type="dxa"/>
            <w:vAlign w:val="bottom"/>
            <w:tcBorders>
              <w:top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Permanen</w:t>
            </w:r>
          </w:p>
        </w:tc>
        <w:tc>
          <w:tcPr>
            <w:tcW w:w="840" w:type="dxa"/>
            <w:vAlign w:val="bottom"/>
            <w:tcBorders>
              <w:top w:val="single" w:sz="8" w:color="auto"/>
            </w:tcBorders>
          </w:tcPr>
          <w:p>
            <w:pPr>
              <w:spacing w:after="0"/>
              <w:rPr>
                <w:sz w:val="11"/>
                <w:szCs w:val="11"/>
                <w:color w:val="auto"/>
              </w:rPr>
            </w:pPr>
          </w:p>
        </w:tc>
        <w:tc>
          <w:tcPr>
            <w:tcW w:w="940" w:type="dxa"/>
            <w:vAlign w:val="bottom"/>
            <w:tcBorders>
              <w:top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760" w:type="dxa"/>
            <w:vAlign w:val="bottom"/>
            <w:vMerge w:val="restart"/>
          </w:tcPr>
          <w:p>
            <w:pPr>
              <w:jc w:val="center"/>
              <w:ind w:right="8"/>
              <w:spacing w:after="0"/>
              <w:rPr>
                <w:sz w:val="20"/>
                <w:szCs w:val="20"/>
                <w:color w:val="auto"/>
              </w:rPr>
            </w:pPr>
            <w:r>
              <w:rPr>
                <w:rFonts w:ascii="Times New Roman" w:cs="Times New Roman" w:eastAsia="Times New Roman" w:hAnsi="Times New Roman"/>
                <w:sz w:val="14"/>
                <w:szCs w:val="14"/>
                <w:b w:val="1"/>
                <w:bCs w:val="1"/>
                <w:color w:val="auto"/>
              </w:rPr>
              <w:t>Staffing</w:t>
            </w:r>
          </w:p>
        </w:tc>
        <w:tc>
          <w:tcPr>
            <w:tcW w:w="9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Based</w:t>
            </w:r>
          </w:p>
        </w:tc>
        <w:tc>
          <w:tcPr>
            <w:tcW w:w="960" w:type="dxa"/>
            <w:vAlign w:val="bottom"/>
            <w:vMerge w:val="continue"/>
          </w:tcPr>
          <w:p>
            <w:pPr>
              <w:spacing w:after="0"/>
              <w:rPr>
                <w:sz w:val="12"/>
                <w:szCs w:val="12"/>
                <w:color w:val="auto"/>
              </w:rPr>
            </w:pPr>
          </w:p>
        </w:tc>
        <w:tc>
          <w:tcPr>
            <w:tcW w:w="8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760" w:type="dxa"/>
            <w:vAlign w:val="bottom"/>
            <w:vMerge w:val="continue"/>
          </w:tcPr>
          <w:p>
            <w:pPr>
              <w:spacing w:after="0"/>
              <w:rPr>
                <w:sz w:val="12"/>
                <w:szCs w:val="12"/>
                <w:color w:val="auto"/>
              </w:rPr>
            </w:pPr>
          </w:p>
        </w:tc>
        <w:tc>
          <w:tcPr>
            <w:tcW w:w="9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Solutions</w:t>
            </w:r>
          </w:p>
        </w:tc>
        <w:tc>
          <w:tcPr>
            <w:tcW w:w="9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84"/>
              </w:rPr>
              <w:t>t</w:t>
            </w:r>
          </w:p>
        </w:tc>
        <w:tc>
          <w:tcPr>
            <w:tcW w:w="8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760" w:type="dxa"/>
            <w:vAlign w:val="bottom"/>
          </w:tcPr>
          <w:p>
            <w:pPr>
              <w:jc w:val="center"/>
              <w:ind w:right="8"/>
              <w:spacing w:after="0" w:line="149" w:lineRule="exact"/>
              <w:rPr>
                <w:sz w:val="20"/>
                <w:szCs w:val="20"/>
                <w:color w:val="auto"/>
              </w:rPr>
            </w:pPr>
            <w:r>
              <w:rPr>
                <w:rFonts w:ascii="Times New Roman" w:cs="Times New Roman" w:eastAsia="Times New Roman" w:hAnsi="Times New Roman"/>
                <w:sz w:val="14"/>
                <w:szCs w:val="14"/>
                <w:b w:val="1"/>
                <w:bCs w:val="1"/>
                <w:color w:val="auto"/>
              </w:rPr>
              <w:t>and</w:t>
            </w:r>
          </w:p>
        </w:tc>
        <w:tc>
          <w:tcPr>
            <w:tcW w:w="9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and</w:t>
            </w:r>
          </w:p>
        </w:tc>
        <w:tc>
          <w:tcPr>
            <w:tcW w:w="9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Recruitme</w:t>
            </w:r>
          </w:p>
        </w:tc>
        <w:tc>
          <w:tcPr>
            <w:tcW w:w="840" w:type="dxa"/>
            <w:vAlign w:val="bottom"/>
            <w:vMerge w:val="restart"/>
          </w:tcPr>
          <w:p>
            <w:pPr>
              <w:ind w:left="200"/>
              <w:spacing w:after="0"/>
              <w:rPr>
                <w:sz w:val="20"/>
                <w:szCs w:val="20"/>
                <w:color w:val="auto"/>
              </w:rPr>
            </w:pPr>
            <w:r>
              <w:rPr>
                <w:rFonts w:ascii="Times New Roman" w:cs="Times New Roman" w:eastAsia="Times New Roman" w:hAnsi="Times New Roman"/>
                <w:sz w:val="14"/>
                <w:szCs w:val="14"/>
                <w:b w:val="1"/>
                <w:bCs w:val="1"/>
                <w:color w:val="auto"/>
              </w:rPr>
              <w:t>Other</w:t>
            </w:r>
          </w:p>
        </w:tc>
        <w:tc>
          <w:tcPr>
            <w:tcW w:w="940" w:type="dxa"/>
            <w:vAlign w:val="bottom"/>
            <w:vMerge w:val="restart"/>
          </w:tcPr>
          <w:p>
            <w:pPr>
              <w:ind w:left="30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87"/>
        </w:trPr>
        <w:tc>
          <w:tcPr>
            <w:tcW w:w="760" w:type="dxa"/>
            <w:vAlign w:val="bottom"/>
          </w:tcPr>
          <w:p>
            <w:pPr>
              <w:jc w:val="center"/>
              <w:ind w:right="8"/>
              <w:spacing w:after="0"/>
              <w:rPr>
                <w:sz w:val="20"/>
                <w:szCs w:val="20"/>
                <w:color w:val="auto"/>
              </w:rPr>
            </w:pPr>
            <w:r>
              <w:rPr>
                <w:rFonts w:ascii="Times New Roman" w:cs="Times New Roman" w:eastAsia="Times New Roman" w:hAnsi="Times New Roman"/>
                <w:sz w:val="14"/>
                <w:szCs w:val="14"/>
                <w:b w:val="1"/>
                <w:bCs w:val="1"/>
                <w:color w:val="auto"/>
              </w:rPr>
              <w:t>Interim</w:t>
            </w:r>
          </w:p>
        </w:tc>
        <w:tc>
          <w:tcPr>
            <w:tcW w:w="9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Consulting</w:t>
            </w:r>
          </w:p>
        </w:tc>
        <w:tc>
          <w:tcPr>
            <w:tcW w:w="9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nt</w:t>
            </w:r>
          </w:p>
        </w:tc>
        <w:tc>
          <w:tcPr>
            <w:tcW w:w="840" w:type="dxa"/>
            <w:vAlign w:val="bottom"/>
            <w:vMerge w:val="continue"/>
          </w:tcPr>
          <w:p>
            <w:pPr>
              <w:spacing w:after="0"/>
              <w:rPr>
                <w:sz w:val="16"/>
                <w:szCs w:val="16"/>
                <w:color w:val="auto"/>
              </w:rPr>
            </w:pPr>
          </w:p>
        </w:tc>
        <w:tc>
          <w:tcPr>
            <w:tcW w:w="9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p>
      <w:pPr>
        <w:sectPr>
          <w:pgSz w:w="11900" w:h="16838" w:orient="portrait"/>
          <w:cols w:equalWidth="0" w:num="2">
            <w:col w:w="6660" w:space="120"/>
            <w:col w:w="4460"/>
          </w:cols>
          <w:pgMar w:left="320" w:top="1201" w:right="339" w:bottom="1440" w:gutter="0" w:footer="0" w:header="0"/>
          <w:type w:val="continuous"/>
        </w:sectPr>
      </w:pPr>
    </w:p>
    <w:tbl>
      <w:tblPr>
        <w:tblLayout w:type="fixed"/>
        <w:tblInd w:w="0" w:type="dxa"/>
        <w:tblCellMar>
          <w:top w:w="0" w:type="dxa"/>
          <w:left w:w="0" w:type="dxa"/>
          <w:bottom w:w="0" w:type="dxa"/>
          <w:right w:w="0" w:type="dxa"/>
        </w:tblCellMar>
      </w:tblPr>
      <w:tr>
        <w:trPr>
          <w:trHeight w:val="169"/>
        </w:trPr>
        <w:tc>
          <w:tcPr>
            <w:tcW w:w="2000" w:type="dxa"/>
            <w:vAlign w:val="bottom"/>
            <w:tcBorders>
              <w:top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Americas:</w:t>
            </w:r>
          </w:p>
        </w:tc>
        <w:tc>
          <w:tcPr>
            <w:tcW w:w="180" w:type="dxa"/>
            <w:vAlign w:val="bottom"/>
            <w:tcBorders>
              <w:top w:val="single" w:sz="8" w:color="auto"/>
            </w:tcBorders>
            <w:shd w:val="clear" w:color="auto" w:fill="CFF0FC"/>
          </w:tcPr>
          <w:p>
            <w:pPr>
              <w:spacing w:after="0"/>
              <w:rPr>
                <w:sz w:val="14"/>
                <w:szCs w:val="14"/>
                <w:color w:val="auto"/>
              </w:rPr>
            </w:pPr>
          </w:p>
        </w:tc>
        <w:tc>
          <w:tcPr>
            <w:tcW w:w="640" w:type="dxa"/>
            <w:vAlign w:val="bottom"/>
            <w:tcBorders>
              <w:top w:val="single" w:sz="8" w:color="auto"/>
            </w:tcBorders>
            <w:shd w:val="clear" w:color="auto" w:fill="CFF0FC"/>
          </w:tcPr>
          <w:p>
            <w:pPr>
              <w:spacing w:after="0"/>
              <w:rPr>
                <w:sz w:val="14"/>
                <w:szCs w:val="14"/>
                <w:color w:val="auto"/>
              </w:rPr>
            </w:pPr>
          </w:p>
        </w:tc>
        <w:tc>
          <w:tcPr>
            <w:tcW w:w="360" w:type="dxa"/>
            <w:vAlign w:val="bottom"/>
            <w:tcBorders>
              <w:top w:val="single" w:sz="8" w:color="auto"/>
            </w:tcBorders>
            <w:shd w:val="clear" w:color="auto" w:fill="CFF0FC"/>
          </w:tcPr>
          <w:p>
            <w:pPr>
              <w:spacing w:after="0"/>
              <w:rPr>
                <w:sz w:val="14"/>
                <w:szCs w:val="14"/>
                <w:color w:val="auto"/>
              </w:rPr>
            </w:pPr>
          </w:p>
        </w:tc>
        <w:tc>
          <w:tcPr>
            <w:tcW w:w="600" w:type="dxa"/>
            <w:vAlign w:val="bottom"/>
            <w:tcBorders>
              <w:top w:val="single" w:sz="8" w:color="auto"/>
            </w:tcBorders>
            <w:shd w:val="clear" w:color="auto" w:fill="CFF0FC"/>
          </w:tcPr>
          <w:p>
            <w:pPr>
              <w:spacing w:after="0"/>
              <w:rPr>
                <w:sz w:val="14"/>
                <w:szCs w:val="14"/>
                <w:color w:val="auto"/>
              </w:rPr>
            </w:pPr>
          </w:p>
        </w:tc>
        <w:tc>
          <w:tcPr>
            <w:tcW w:w="360" w:type="dxa"/>
            <w:vAlign w:val="bottom"/>
            <w:tcBorders>
              <w:top w:val="single" w:sz="8" w:color="auto"/>
            </w:tcBorders>
            <w:shd w:val="clear" w:color="auto" w:fill="CFF0FC"/>
          </w:tcPr>
          <w:p>
            <w:pPr>
              <w:spacing w:after="0"/>
              <w:rPr>
                <w:sz w:val="14"/>
                <w:szCs w:val="14"/>
                <w:color w:val="auto"/>
              </w:rPr>
            </w:pPr>
          </w:p>
        </w:tc>
        <w:tc>
          <w:tcPr>
            <w:tcW w:w="620" w:type="dxa"/>
            <w:vAlign w:val="bottom"/>
            <w:tcBorders>
              <w:top w:val="single" w:sz="8" w:color="auto"/>
            </w:tcBorders>
            <w:shd w:val="clear" w:color="auto" w:fill="CFF0FC"/>
          </w:tcPr>
          <w:p>
            <w:pPr>
              <w:spacing w:after="0"/>
              <w:rPr>
                <w:sz w:val="14"/>
                <w:szCs w:val="14"/>
                <w:color w:val="auto"/>
              </w:rPr>
            </w:pPr>
          </w:p>
        </w:tc>
        <w:tc>
          <w:tcPr>
            <w:tcW w:w="360" w:type="dxa"/>
            <w:vAlign w:val="bottom"/>
            <w:tcBorders>
              <w:top w:val="single" w:sz="8" w:color="auto"/>
            </w:tcBorders>
            <w:shd w:val="clear" w:color="auto" w:fill="CFF0FC"/>
          </w:tcPr>
          <w:p>
            <w:pPr>
              <w:spacing w:after="0"/>
              <w:rPr>
                <w:sz w:val="14"/>
                <w:szCs w:val="14"/>
                <w:color w:val="auto"/>
              </w:rPr>
            </w:pPr>
          </w:p>
        </w:tc>
        <w:tc>
          <w:tcPr>
            <w:tcW w:w="740" w:type="dxa"/>
            <w:vAlign w:val="bottom"/>
            <w:tcBorders>
              <w:top w:val="single" w:sz="8" w:color="auto"/>
            </w:tcBorders>
            <w:shd w:val="clear" w:color="auto" w:fill="CFF0FC"/>
          </w:tcPr>
          <w:p>
            <w:pPr>
              <w:spacing w:after="0"/>
              <w:rPr>
                <w:sz w:val="14"/>
                <w:szCs w:val="14"/>
                <w:color w:val="auto"/>
              </w:rPr>
            </w:pPr>
          </w:p>
        </w:tc>
        <w:tc>
          <w:tcPr>
            <w:tcW w:w="160" w:type="dxa"/>
            <w:vAlign w:val="bottom"/>
            <w:tcBorders>
              <w:top w:val="single" w:sz="8" w:color="auto"/>
            </w:tcBorders>
            <w:shd w:val="clear" w:color="auto" w:fill="CFF0FC"/>
          </w:tcPr>
          <w:p>
            <w:pPr>
              <w:spacing w:after="0"/>
              <w:rPr>
                <w:sz w:val="14"/>
                <w:szCs w:val="14"/>
                <w:color w:val="auto"/>
              </w:rPr>
            </w:pPr>
          </w:p>
        </w:tc>
        <w:tc>
          <w:tcPr>
            <w:tcW w:w="640" w:type="dxa"/>
            <w:vAlign w:val="bottom"/>
            <w:tcBorders>
              <w:top w:val="single" w:sz="8" w:color="auto"/>
            </w:tcBorders>
            <w:shd w:val="clear" w:color="auto" w:fill="CFF0FC"/>
          </w:tcPr>
          <w:p>
            <w:pPr>
              <w:spacing w:after="0"/>
              <w:rPr>
                <w:sz w:val="14"/>
                <w:szCs w:val="14"/>
                <w:color w:val="auto"/>
              </w:rPr>
            </w:pPr>
          </w:p>
        </w:tc>
        <w:tc>
          <w:tcPr>
            <w:tcW w:w="120" w:type="dxa"/>
            <w:vAlign w:val="bottom"/>
            <w:tcBorders>
              <w:top w:val="single" w:sz="8" w:color="CFF0FC"/>
            </w:tcBorders>
            <w:shd w:val="clear" w:color="auto" w:fill="CFF0FC"/>
          </w:tcPr>
          <w:p>
            <w:pPr>
              <w:spacing w:after="0"/>
              <w:rPr>
                <w:sz w:val="14"/>
                <w:szCs w:val="14"/>
                <w:color w:val="auto"/>
              </w:rPr>
            </w:pPr>
          </w:p>
        </w:tc>
        <w:tc>
          <w:tcPr>
            <w:tcW w:w="160" w:type="dxa"/>
            <w:vAlign w:val="bottom"/>
            <w:tcBorders>
              <w:top w:val="single" w:sz="8" w:color="auto"/>
            </w:tcBorders>
            <w:shd w:val="clear" w:color="auto" w:fill="CFF0FC"/>
          </w:tcPr>
          <w:p>
            <w:pPr>
              <w:spacing w:after="0"/>
              <w:rPr>
                <w:sz w:val="14"/>
                <w:szCs w:val="14"/>
                <w:color w:val="auto"/>
              </w:rPr>
            </w:pPr>
          </w:p>
        </w:tc>
        <w:tc>
          <w:tcPr>
            <w:tcW w:w="640" w:type="dxa"/>
            <w:vAlign w:val="bottom"/>
            <w:tcBorders>
              <w:top w:val="single" w:sz="8" w:color="auto"/>
            </w:tcBorders>
            <w:shd w:val="clear" w:color="auto" w:fill="CFF0FC"/>
          </w:tcPr>
          <w:p>
            <w:pPr>
              <w:spacing w:after="0"/>
              <w:rPr>
                <w:sz w:val="14"/>
                <w:szCs w:val="14"/>
                <w:color w:val="auto"/>
              </w:rPr>
            </w:pPr>
          </w:p>
        </w:tc>
        <w:tc>
          <w:tcPr>
            <w:tcW w:w="340" w:type="dxa"/>
            <w:vAlign w:val="bottom"/>
            <w:tcBorders>
              <w:top w:val="single" w:sz="8" w:color="auto"/>
            </w:tcBorders>
            <w:shd w:val="clear" w:color="auto" w:fill="CFF0FC"/>
          </w:tcPr>
          <w:p>
            <w:pPr>
              <w:spacing w:after="0"/>
              <w:rPr>
                <w:sz w:val="14"/>
                <w:szCs w:val="14"/>
                <w:color w:val="auto"/>
              </w:rPr>
            </w:pPr>
          </w:p>
        </w:tc>
        <w:tc>
          <w:tcPr>
            <w:tcW w:w="580" w:type="dxa"/>
            <w:vAlign w:val="bottom"/>
            <w:tcBorders>
              <w:top w:val="single" w:sz="8" w:color="auto"/>
            </w:tcBorders>
            <w:shd w:val="clear" w:color="auto" w:fill="CFF0FC"/>
          </w:tcPr>
          <w:p>
            <w:pPr>
              <w:spacing w:after="0"/>
              <w:rPr>
                <w:sz w:val="14"/>
                <w:szCs w:val="14"/>
                <w:color w:val="auto"/>
              </w:rPr>
            </w:pPr>
          </w:p>
        </w:tc>
        <w:tc>
          <w:tcPr>
            <w:tcW w:w="340" w:type="dxa"/>
            <w:vAlign w:val="bottom"/>
            <w:tcBorders>
              <w:top w:val="single" w:sz="8" w:color="auto"/>
            </w:tcBorders>
            <w:shd w:val="clear" w:color="auto" w:fill="CFF0FC"/>
          </w:tcPr>
          <w:p>
            <w:pPr>
              <w:spacing w:after="0"/>
              <w:rPr>
                <w:sz w:val="14"/>
                <w:szCs w:val="14"/>
                <w:color w:val="auto"/>
              </w:rPr>
            </w:pPr>
          </w:p>
        </w:tc>
        <w:tc>
          <w:tcPr>
            <w:tcW w:w="580" w:type="dxa"/>
            <w:vAlign w:val="bottom"/>
            <w:tcBorders>
              <w:top w:val="single" w:sz="8" w:color="auto"/>
            </w:tcBorders>
            <w:shd w:val="clear" w:color="auto" w:fill="CFF0FC"/>
          </w:tcPr>
          <w:p>
            <w:pPr>
              <w:spacing w:after="0"/>
              <w:rPr>
                <w:sz w:val="14"/>
                <w:szCs w:val="14"/>
                <w:color w:val="auto"/>
              </w:rPr>
            </w:pPr>
          </w:p>
        </w:tc>
        <w:tc>
          <w:tcPr>
            <w:tcW w:w="300" w:type="dxa"/>
            <w:vAlign w:val="bottom"/>
            <w:tcBorders>
              <w:top w:val="single" w:sz="8" w:color="auto"/>
            </w:tcBorders>
            <w:shd w:val="clear" w:color="auto" w:fill="CFF0FC"/>
          </w:tcPr>
          <w:p>
            <w:pPr>
              <w:spacing w:after="0"/>
              <w:rPr>
                <w:sz w:val="14"/>
                <w:szCs w:val="14"/>
                <w:color w:val="auto"/>
              </w:rPr>
            </w:pPr>
          </w:p>
        </w:tc>
        <w:tc>
          <w:tcPr>
            <w:tcW w:w="640" w:type="dxa"/>
            <w:vAlign w:val="bottom"/>
            <w:tcBorders>
              <w:top w:val="single" w:sz="8" w:color="auto"/>
            </w:tcBorders>
            <w:shd w:val="clear" w:color="auto" w:fill="CFF0FC"/>
          </w:tcPr>
          <w:p>
            <w:pPr>
              <w:spacing w:after="0"/>
              <w:rPr>
                <w:sz w:val="14"/>
                <w:szCs w:val="14"/>
                <w:color w:val="auto"/>
              </w:rPr>
            </w:pPr>
          </w:p>
        </w:tc>
        <w:tc>
          <w:tcPr>
            <w:tcW w:w="200" w:type="dxa"/>
            <w:vAlign w:val="bottom"/>
            <w:tcBorders>
              <w:top w:val="single" w:sz="8" w:color="auto"/>
            </w:tcBorders>
            <w:shd w:val="clear" w:color="auto" w:fill="CFF0FC"/>
          </w:tcPr>
          <w:p>
            <w:pPr>
              <w:spacing w:after="0"/>
              <w:rPr>
                <w:sz w:val="14"/>
                <w:szCs w:val="14"/>
                <w:color w:val="auto"/>
              </w:rPr>
            </w:pPr>
          </w:p>
        </w:tc>
        <w:tc>
          <w:tcPr>
            <w:tcW w:w="680" w:type="dxa"/>
            <w:vAlign w:val="bottom"/>
            <w:tcBorders>
              <w:top w:val="single" w:sz="8" w:color="auto"/>
            </w:tcBorders>
            <w:shd w:val="clear" w:color="auto" w:fill="CFF0FC"/>
          </w:tcPr>
          <w:p>
            <w:pPr>
              <w:spacing w:after="0"/>
              <w:rPr>
                <w:sz w:val="14"/>
                <w:szCs w:val="14"/>
                <w:color w:val="auto"/>
              </w:rPr>
            </w:pPr>
          </w:p>
        </w:tc>
      </w:tr>
      <w:tr>
        <w:trPr>
          <w:trHeight w:val="176"/>
        </w:trPr>
        <w:tc>
          <w:tcPr>
            <w:tcW w:w="200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United States</w:t>
            </w:r>
          </w:p>
        </w:tc>
        <w:tc>
          <w:tcPr>
            <w:tcW w:w="1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626.8</w:t>
            </w:r>
          </w:p>
        </w:tc>
        <w:tc>
          <w:tcPr>
            <w:tcW w:w="36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2.8</w:t>
            </w:r>
          </w:p>
        </w:tc>
        <w:tc>
          <w:tcPr>
            <w:tcW w:w="36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26.6</w:t>
            </w:r>
          </w:p>
        </w:tc>
        <w:tc>
          <w:tcPr>
            <w:tcW w:w="36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Pr>
          <w:p>
            <w:pPr>
              <w:jc w:val="right"/>
              <w:ind w:right="188"/>
              <w:spacing w:after="0"/>
              <w:rPr>
                <w:sz w:val="20"/>
                <w:szCs w:val="20"/>
                <w:color w:val="auto"/>
              </w:rPr>
            </w:pPr>
            <w:r>
              <w:rPr>
                <w:rFonts w:ascii="Times New Roman" w:cs="Times New Roman" w:eastAsia="Times New Roman" w:hAnsi="Times New Roman"/>
                <w:sz w:val="14"/>
                <w:szCs w:val="14"/>
                <w:color w:val="auto"/>
              </w:rPr>
              <w:t>40.8</w:t>
            </w:r>
          </w:p>
        </w:tc>
        <w:tc>
          <w:tcPr>
            <w:tcW w:w="1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697.0</w:t>
            </w:r>
          </w:p>
        </w:tc>
        <w:tc>
          <w:tcPr>
            <w:tcW w:w="28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630.7</w:t>
            </w:r>
          </w:p>
        </w:tc>
        <w:tc>
          <w:tcPr>
            <w:tcW w:w="34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5.0</w:t>
            </w:r>
          </w:p>
        </w:tc>
        <w:tc>
          <w:tcPr>
            <w:tcW w:w="34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32.0</w:t>
            </w:r>
          </w:p>
        </w:tc>
        <w:tc>
          <w:tcPr>
            <w:tcW w:w="30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Pr>
          <w:p>
            <w:pPr>
              <w:jc w:val="right"/>
              <w:ind w:right="148"/>
              <w:spacing w:after="0"/>
              <w:rPr>
                <w:sz w:val="20"/>
                <w:szCs w:val="20"/>
                <w:color w:val="auto"/>
              </w:rPr>
            </w:pPr>
            <w:r>
              <w:rPr>
                <w:rFonts w:ascii="Times New Roman" w:cs="Times New Roman" w:eastAsia="Times New Roman" w:hAnsi="Times New Roman"/>
                <w:sz w:val="14"/>
                <w:szCs w:val="14"/>
                <w:color w:val="auto"/>
              </w:rPr>
              <w:t>41.4</w:t>
            </w:r>
          </w:p>
        </w:tc>
        <w:tc>
          <w:tcPr>
            <w:tcW w:w="2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709.1</w:t>
            </w:r>
          </w:p>
        </w:tc>
      </w:tr>
      <w:tr>
        <w:trPr>
          <w:trHeight w:val="175"/>
        </w:trPr>
        <w:tc>
          <w:tcPr>
            <w:tcW w:w="200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4"/>
                <w:szCs w:val="14"/>
                <w:color w:val="auto"/>
              </w:rPr>
              <w:t>Other Americas</w:t>
            </w:r>
          </w:p>
        </w:tc>
        <w:tc>
          <w:tcPr>
            <w:tcW w:w="180" w:type="dxa"/>
            <w:vAlign w:val="bottom"/>
            <w:tcBorders>
              <w:bottom w:val="single" w:sz="8" w:color="auto"/>
            </w:tcBorders>
            <w:shd w:val="clear" w:color="auto" w:fill="CFF0FC"/>
          </w:tcPr>
          <w:p>
            <w:pPr>
              <w:spacing w:after="0"/>
              <w:rPr>
                <w:sz w:val="15"/>
                <w:szCs w:val="15"/>
                <w:color w:val="auto"/>
              </w:rPr>
            </w:pPr>
          </w:p>
        </w:tc>
        <w:tc>
          <w:tcPr>
            <w:tcW w:w="640" w:type="dxa"/>
            <w:vAlign w:val="bottom"/>
            <w:tcBorders>
              <w:bottom w:val="single" w:sz="8" w:color="auto"/>
            </w:tcBorders>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rPr>
              <w:t>339.3</w:t>
            </w:r>
          </w:p>
        </w:tc>
        <w:tc>
          <w:tcPr>
            <w:tcW w:w="360" w:type="dxa"/>
            <w:vAlign w:val="bottom"/>
            <w:tcBorders>
              <w:bottom w:val="single" w:sz="8" w:color="auto"/>
            </w:tcBorders>
            <w:shd w:val="clear" w:color="auto" w:fill="CFF0FC"/>
          </w:tcPr>
          <w:p>
            <w:pPr>
              <w:spacing w:after="0"/>
              <w:rPr>
                <w:sz w:val="15"/>
                <w:szCs w:val="15"/>
                <w:color w:val="auto"/>
              </w:rPr>
            </w:pPr>
          </w:p>
        </w:tc>
        <w:tc>
          <w:tcPr>
            <w:tcW w:w="600" w:type="dxa"/>
            <w:vAlign w:val="bottom"/>
            <w:tcBorders>
              <w:bottom w:val="single" w:sz="8" w:color="auto"/>
            </w:tcBorders>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12.5</w:t>
            </w:r>
          </w:p>
        </w:tc>
        <w:tc>
          <w:tcPr>
            <w:tcW w:w="360" w:type="dxa"/>
            <w:vAlign w:val="bottom"/>
            <w:tcBorders>
              <w:bottom w:val="single" w:sz="8" w:color="auto"/>
            </w:tcBorders>
            <w:shd w:val="clear" w:color="auto" w:fill="CFF0FC"/>
          </w:tcPr>
          <w:p>
            <w:pPr>
              <w:spacing w:after="0"/>
              <w:rPr>
                <w:sz w:val="15"/>
                <w:szCs w:val="15"/>
                <w:color w:val="auto"/>
              </w:rPr>
            </w:pPr>
          </w:p>
        </w:tc>
        <w:tc>
          <w:tcPr>
            <w:tcW w:w="620" w:type="dxa"/>
            <w:vAlign w:val="bottom"/>
            <w:tcBorders>
              <w:bottom w:val="single" w:sz="8" w:color="auto"/>
            </w:tcBorders>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rPr>
              <w:t>12.3</w:t>
            </w:r>
          </w:p>
        </w:tc>
        <w:tc>
          <w:tcPr>
            <w:tcW w:w="360" w:type="dxa"/>
            <w:vAlign w:val="bottom"/>
            <w:tcBorders>
              <w:bottom w:val="single" w:sz="8" w:color="auto"/>
            </w:tcBorders>
            <w:shd w:val="clear" w:color="auto" w:fill="CFF0FC"/>
          </w:tcPr>
          <w:p>
            <w:pPr>
              <w:spacing w:after="0"/>
              <w:rPr>
                <w:sz w:val="15"/>
                <w:szCs w:val="15"/>
                <w:color w:val="auto"/>
              </w:rPr>
            </w:pPr>
          </w:p>
        </w:tc>
        <w:tc>
          <w:tcPr>
            <w:tcW w:w="740" w:type="dxa"/>
            <w:vAlign w:val="bottom"/>
            <w:tcBorders>
              <w:bottom w:val="single" w:sz="8" w:color="auto"/>
            </w:tcBorders>
            <w:shd w:val="clear" w:color="auto" w:fill="CFF0FC"/>
          </w:tcPr>
          <w:p>
            <w:pPr>
              <w:jc w:val="right"/>
              <w:ind w:right="188"/>
              <w:spacing w:after="0"/>
              <w:rPr>
                <w:sz w:val="20"/>
                <w:szCs w:val="20"/>
                <w:color w:val="auto"/>
              </w:rPr>
            </w:pPr>
            <w:r>
              <w:rPr>
                <w:rFonts w:ascii="Times New Roman" w:cs="Times New Roman" w:eastAsia="Times New Roman" w:hAnsi="Times New Roman"/>
                <w:sz w:val="14"/>
                <w:szCs w:val="14"/>
                <w:color w:val="auto"/>
              </w:rPr>
              <w:t>3.3</w:t>
            </w:r>
          </w:p>
        </w:tc>
        <w:tc>
          <w:tcPr>
            <w:tcW w:w="160" w:type="dxa"/>
            <w:vAlign w:val="bottom"/>
            <w:tcBorders>
              <w:bottom w:val="single" w:sz="8" w:color="auto"/>
            </w:tcBorders>
            <w:shd w:val="clear" w:color="auto" w:fill="CFF0FC"/>
          </w:tcPr>
          <w:p>
            <w:pPr>
              <w:spacing w:after="0"/>
              <w:rPr>
                <w:sz w:val="15"/>
                <w:szCs w:val="15"/>
                <w:color w:val="auto"/>
              </w:rPr>
            </w:pPr>
          </w:p>
        </w:tc>
        <w:tc>
          <w:tcPr>
            <w:tcW w:w="640" w:type="dxa"/>
            <w:vAlign w:val="bottom"/>
            <w:tcBorders>
              <w:bottom w:val="single" w:sz="8" w:color="auto"/>
            </w:tcBorders>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367.4</w:t>
            </w:r>
          </w:p>
        </w:tc>
        <w:tc>
          <w:tcPr>
            <w:tcW w:w="120" w:type="dxa"/>
            <w:vAlign w:val="bottom"/>
            <w:tcBorders>
              <w:bottom w:val="single" w:sz="8" w:color="CFF0FC"/>
            </w:tcBorders>
            <w:shd w:val="clear" w:color="auto" w:fill="CFF0FC"/>
          </w:tcPr>
          <w:p>
            <w:pPr>
              <w:spacing w:after="0"/>
              <w:rPr>
                <w:sz w:val="15"/>
                <w:szCs w:val="15"/>
                <w:color w:val="auto"/>
              </w:rPr>
            </w:pPr>
          </w:p>
        </w:tc>
        <w:tc>
          <w:tcPr>
            <w:tcW w:w="160" w:type="dxa"/>
            <w:vAlign w:val="bottom"/>
            <w:tcBorders>
              <w:bottom w:val="single" w:sz="8" w:color="auto"/>
            </w:tcBorders>
            <w:shd w:val="clear" w:color="auto" w:fill="CFF0FC"/>
          </w:tcPr>
          <w:p>
            <w:pPr>
              <w:spacing w:after="0"/>
              <w:rPr>
                <w:sz w:val="15"/>
                <w:szCs w:val="15"/>
                <w:color w:val="auto"/>
              </w:rPr>
            </w:pPr>
          </w:p>
        </w:tc>
        <w:tc>
          <w:tcPr>
            <w:tcW w:w="640" w:type="dxa"/>
            <w:vAlign w:val="bottom"/>
            <w:tcBorders>
              <w:bottom w:val="single" w:sz="8" w:color="auto"/>
            </w:tcBorders>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363.8</w:t>
            </w:r>
          </w:p>
        </w:tc>
        <w:tc>
          <w:tcPr>
            <w:tcW w:w="340" w:type="dxa"/>
            <w:vAlign w:val="bottom"/>
            <w:tcBorders>
              <w:bottom w:val="single" w:sz="8" w:color="auto"/>
            </w:tcBorders>
            <w:shd w:val="clear" w:color="auto" w:fill="CFF0FC"/>
          </w:tcPr>
          <w:p>
            <w:pPr>
              <w:spacing w:after="0"/>
              <w:rPr>
                <w:sz w:val="15"/>
                <w:szCs w:val="15"/>
                <w:color w:val="auto"/>
              </w:rPr>
            </w:pPr>
          </w:p>
        </w:tc>
        <w:tc>
          <w:tcPr>
            <w:tcW w:w="580" w:type="dxa"/>
            <w:vAlign w:val="bottom"/>
            <w:tcBorders>
              <w:bottom w:val="single" w:sz="8" w:color="auto"/>
            </w:tcBorders>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11.5</w:t>
            </w:r>
          </w:p>
        </w:tc>
        <w:tc>
          <w:tcPr>
            <w:tcW w:w="340" w:type="dxa"/>
            <w:vAlign w:val="bottom"/>
            <w:tcBorders>
              <w:bottom w:val="single" w:sz="8" w:color="auto"/>
            </w:tcBorders>
            <w:shd w:val="clear" w:color="auto" w:fill="CFF0FC"/>
          </w:tcPr>
          <w:p>
            <w:pPr>
              <w:spacing w:after="0"/>
              <w:rPr>
                <w:sz w:val="15"/>
                <w:szCs w:val="15"/>
                <w:color w:val="auto"/>
              </w:rPr>
            </w:pPr>
          </w:p>
        </w:tc>
        <w:tc>
          <w:tcPr>
            <w:tcW w:w="580" w:type="dxa"/>
            <w:vAlign w:val="bottom"/>
            <w:tcBorders>
              <w:bottom w:val="single" w:sz="8" w:color="auto"/>
            </w:tcBorders>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11.7</w:t>
            </w:r>
          </w:p>
        </w:tc>
        <w:tc>
          <w:tcPr>
            <w:tcW w:w="300" w:type="dxa"/>
            <w:vAlign w:val="bottom"/>
            <w:tcBorders>
              <w:bottom w:val="single" w:sz="8" w:color="auto"/>
            </w:tcBorders>
            <w:shd w:val="clear" w:color="auto" w:fill="CFF0FC"/>
          </w:tcPr>
          <w:p>
            <w:pPr>
              <w:spacing w:after="0"/>
              <w:rPr>
                <w:sz w:val="15"/>
                <w:szCs w:val="15"/>
                <w:color w:val="auto"/>
              </w:rPr>
            </w:pPr>
          </w:p>
        </w:tc>
        <w:tc>
          <w:tcPr>
            <w:tcW w:w="640" w:type="dxa"/>
            <w:vAlign w:val="bottom"/>
            <w:tcBorders>
              <w:bottom w:val="single" w:sz="8" w:color="auto"/>
            </w:tcBorders>
            <w:shd w:val="clear" w:color="auto" w:fill="CFF0FC"/>
          </w:tcPr>
          <w:p>
            <w:pPr>
              <w:jc w:val="right"/>
              <w:ind w:right="148"/>
              <w:spacing w:after="0"/>
              <w:rPr>
                <w:sz w:val="20"/>
                <w:szCs w:val="20"/>
                <w:color w:val="auto"/>
              </w:rPr>
            </w:pPr>
            <w:r>
              <w:rPr>
                <w:rFonts w:ascii="Times New Roman" w:cs="Times New Roman" w:eastAsia="Times New Roman" w:hAnsi="Times New Roman"/>
                <w:sz w:val="14"/>
                <w:szCs w:val="14"/>
                <w:color w:val="auto"/>
              </w:rPr>
              <w:t>2.6</w:t>
            </w:r>
          </w:p>
        </w:tc>
        <w:tc>
          <w:tcPr>
            <w:tcW w:w="200" w:type="dxa"/>
            <w:vAlign w:val="bottom"/>
            <w:tcBorders>
              <w:bottom w:val="single" w:sz="8" w:color="auto"/>
            </w:tcBorders>
            <w:shd w:val="clear" w:color="auto" w:fill="CFF0FC"/>
          </w:tcPr>
          <w:p>
            <w:pPr>
              <w:spacing w:after="0"/>
              <w:rPr>
                <w:sz w:val="15"/>
                <w:szCs w:val="15"/>
                <w:color w:val="auto"/>
              </w:rPr>
            </w:pPr>
          </w:p>
        </w:tc>
        <w:tc>
          <w:tcPr>
            <w:tcW w:w="680" w:type="dxa"/>
            <w:vAlign w:val="bottom"/>
            <w:tcBorders>
              <w:bottom w:val="single" w:sz="8" w:color="auto"/>
            </w:tcBorders>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389.6</w:t>
            </w:r>
          </w:p>
        </w:tc>
      </w:tr>
      <w:tr>
        <w:trPr>
          <w:trHeight w:val="169"/>
        </w:trPr>
        <w:tc>
          <w:tcPr>
            <w:tcW w:w="200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color w:val="auto"/>
              </w:rPr>
              <w:t>966.1</w:t>
            </w:r>
          </w:p>
        </w:tc>
        <w:tc>
          <w:tcPr>
            <w:tcW w:w="36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15.3</w:t>
            </w:r>
          </w:p>
        </w:tc>
        <w:tc>
          <w:tcPr>
            <w:tcW w:w="36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color w:val="auto"/>
              </w:rPr>
              <w:t>38.9</w:t>
            </w:r>
          </w:p>
        </w:tc>
        <w:tc>
          <w:tcPr>
            <w:tcW w:w="36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188"/>
              <w:spacing w:after="0"/>
              <w:rPr>
                <w:sz w:val="20"/>
                <w:szCs w:val="20"/>
                <w:color w:val="auto"/>
              </w:rPr>
            </w:pPr>
            <w:r>
              <w:rPr>
                <w:rFonts w:ascii="Times New Roman" w:cs="Times New Roman" w:eastAsia="Times New Roman" w:hAnsi="Times New Roman"/>
                <w:sz w:val="14"/>
                <w:szCs w:val="14"/>
                <w:color w:val="auto"/>
              </w:rPr>
              <w:t>44.1</w:t>
            </w:r>
          </w:p>
        </w:tc>
        <w:tc>
          <w:tcPr>
            <w:tcW w:w="1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1,064.4</w:t>
            </w:r>
          </w:p>
        </w:tc>
        <w:tc>
          <w:tcPr>
            <w:tcW w:w="1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994.5</w:t>
            </w:r>
          </w:p>
        </w:tc>
        <w:tc>
          <w:tcPr>
            <w:tcW w:w="34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16.5</w:t>
            </w:r>
          </w:p>
        </w:tc>
        <w:tc>
          <w:tcPr>
            <w:tcW w:w="34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43.7</w:t>
            </w:r>
          </w:p>
        </w:tc>
        <w:tc>
          <w:tcPr>
            <w:tcW w:w="30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48"/>
              <w:spacing w:after="0"/>
              <w:rPr>
                <w:sz w:val="20"/>
                <w:szCs w:val="20"/>
                <w:color w:val="auto"/>
              </w:rPr>
            </w:pPr>
            <w:r>
              <w:rPr>
                <w:rFonts w:ascii="Times New Roman" w:cs="Times New Roman" w:eastAsia="Times New Roman" w:hAnsi="Times New Roman"/>
                <w:sz w:val="14"/>
                <w:szCs w:val="14"/>
                <w:color w:val="auto"/>
              </w:rPr>
              <w:t>44.0</w:t>
            </w:r>
          </w:p>
        </w:tc>
        <w:tc>
          <w:tcPr>
            <w:tcW w:w="20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1,098.7</w:t>
            </w:r>
          </w:p>
        </w:tc>
      </w:tr>
      <w:tr>
        <w:trPr>
          <w:trHeight w:val="169"/>
        </w:trPr>
        <w:tc>
          <w:tcPr>
            <w:tcW w:w="20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Southern Europe:</w:t>
            </w:r>
          </w:p>
        </w:tc>
        <w:tc>
          <w:tcPr>
            <w:tcW w:w="180" w:type="dxa"/>
            <w:vAlign w:val="bottom"/>
            <w:shd w:val="clear" w:color="auto" w:fill="CFF0FC"/>
          </w:tcPr>
          <w:p>
            <w:pPr>
              <w:spacing w:after="0"/>
              <w:rPr>
                <w:sz w:val="14"/>
                <w:szCs w:val="14"/>
                <w:color w:val="auto"/>
              </w:rPr>
            </w:pPr>
          </w:p>
        </w:tc>
        <w:tc>
          <w:tcPr>
            <w:tcW w:w="640" w:type="dxa"/>
            <w:vAlign w:val="bottom"/>
            <w:shd w:val="clear" w:color="auto" w:fill="CFF0FC"/>
          </w:tcPr>
          <w:p>
            <w:pPr>
              <w:spacing w:after="0"/>
              <w:rPr>
                <w:sz w:val="14"/>
                <w:szCs w:val="14"/>
                <w:color w:val="auto"/>
              </w:rPr>
            </w:pPr>
          </w:p>
        </w:tc>
        <w:tc>
          <w:tcPr>
            <w:tcW w:w="360" w:type="dxa"/>
            <w:vAlign w:val="bottom"/>
            <w:shd w:val="clear" w:color="auto" w:fill="CFF0FC"/>
          </w:tcPr>
          <w:p>
            <w:pPr>
              <w:spacing w:after="0"/>
              <w:rPr>
                <w:sz w:val="14"/>
                <w:szCs w:val="14"/>
                <w:color w:val="auto"/>
              </w:rPr>
            </w:pPr>
          </w:p>
        </w:tc>
        <w:tc>
          <w:tcPr>
            <w:tcW w:w="600" w:type="dxa"/>
            <w:vAlign w:val="bottom"/>
            <w:shd w:val="clear" w:color="auto" w:fill="CFF0FC"/>
          </w:tcPr>
          <w:p>
            <w:pPr>
              <w:spacing w:after="0"/>
              <w:rPr>
                <w:sz w:val="14"/>
                <w:szCs w:val="14"/>
                <w:color w:val="auto"/>
              </w:rPr>
            </w:pPr>
          </w:p>
        </w:tc>
        <w:tc>
          <w:tcPr>
            <w:tcW w:w="360" w:type="dxa"/>
            <w:vAlign w:val="bottom"/>
            <w:shd w:val="clear" w:color="auto" w:fill="CFF0FC"/>
          </w:tcPr>
          <w:p>
            <w:pPr>
              <w:spacing w:after="0"/>
              <w:rPr>
                <w:sz w:val="14"/>
                <w:szCs w:val="14"/>
                <w:color w:val="auto"/>
              </w:rPr>
            </w:pPr>
          </w:p>
        </w:tc>
        <w:tc>
          <w:tcPr>
            <w:tcW w:w="620" w:type="dxa"/>
            <w:vAlign w:val="bottom"/>
            <w:shd w:val="clear" w:color="auto" w:fill="CFF0FC"/>
          </w:tcPr>
          <w:p>
            <w:pPr>
              <w:spacing w:after="0"/>
              <w:rPr>
                <w:sz w:val="14"/>
                <w:szCs w:val="14"/>
                <w:color w:val="auto"/>
              </w:rPr>
            </w:pPr>
          </w:p>
        </w:tc>
        <w:tc>
          <w:tcPr>
            <w:tcW w:w="360" w:type="dxa"/>
            <w:vAlign w:val="bottom"/>
            <w:shd w:val="clear" w:color="auto" w:fill="CFF0FC"/>
          </w:tcPr>
          <w:p>
            <w:pPr>
              <w:spacing w:after="0"/>
              <w:rPr>
                <w:sz w:val="14"/>
                <w:szCs w:val="14"/>
                <w:color w:val="auto"/>
              </w:rPr>
            </w:pPr>
          </w:p>
        </w:tc>
        <w:tc>
          <w:tcPr>
            <w:tcW w:w="74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6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640" w:type="dxa"/>
            <w:vAlign w:val="bottom"/>
            <w:shd w:val="clear" w:color="auto" w:fill="CFF0FC"/>
          </w:tcPr>
          <w:p>
            <w:pPr>
              <w:spacing w:after="0"/>
              <w:rPr>
                <w:sz w:val="14"/>
                <w:szCs w:val="14"/>
                <w:color w:val="auto"/>
              </w:rPr>
            </w:pPr>
          </w:p>
        </w:tc>
        <w:tc>
          <w:tcPr>
            <w:tcW w:w="340" w:type="dxa"/>
            <w:vAlign w:val="bottom"/>
            <w:shd w:val="clear" w:color="auto" w:fill="CFF0FC"/>
          </w:tcPr>
          <w:p>
            <w:pPr>
              <w:spacing w:after="0"/>
              <w:rPr>
                <w:sz w:val="14"/>
                <w:szCs w:val="14"/>
                <w:color w:val="auto"/>
              </w:rPr>
            </w:pPr>
          </w:p>
        </w:tc>
        <w:tc>
          <w:tcPr>
            <w:tcW w:w="580" w:type="dxa"/>
            <w:vAlign w:val="bottom"/>
            <w:shd w:val="clear" w:color="auto" w:fill="CFF0FC"/>
          </w:tcPr>
          <w:p>
            <w:pPr>
              <w:spacing w:after="0"/>
              <w:rPr>
                <w:sz w:val="14"/>
                <w:szCs w:val="14"/>
                <w:color w:val="auto"/>
              </w:rPr>
            </w:pPr>
          </w:p>
        </w:tc>
        <w:tc>
          <w:tcPr>
            <w:tcW w:w="340" w:type="dxa"/>
            <w:vAlign w:val="bottom"/>
            <w:shd w:val="clear" w:color="auto" w:fill="CFF0FC"/>
          </w:tcPr>
          <w:p>
            <w:pPr>
              <w:spacing w:after="0"/>
              <w:rPr>
                <w:sz w:val="14"/>
                <w:szCs w:val="14"/>
                <w:color w:val="auto"/>
              </w:rPr>
            </w:pPr>
          </w:p>
        </w:tc>
        <w:tc>
          <w:tcPr>
            <w:tcW w:w="58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64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680" w:type="dxa"/>
            <w:vAlign w:val="bottom"/>
            <w:shd w:val="clear" w:color="auto" w:fill="CFF0FC"/>
          </w:tcPr>
          <w:p>
            <w:pPr>
              <w:spacing w:after="0"/>
              <w:rPr>
                <w:sz w:val="14"/>
                <w:szCs w:val="14"/>
                <w:color w:val="auto"/>
              </w:rPr>
            </w:pPr>
          </w:p>
        </w:tc>
      </w:tr>
      <w:tr>
        <w:trPr>
          <w:trHeight w:val="176"/>
        </w:trPr>
        <w:tc>
          <w:tcPr>
            <w:tcW w:w="200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France</w:t>
            </w:r>
          </w:p>
        </w:tc>
        <w:tc>
          <w:tcPr>
            <w:tcW w:w="180" w:type="dxa"/>
            <w:vAlign w:val="bottom"/>
          </w:tcPr>
          <w:p>
            <w:pPr>
              <w:spacing w:after="0"/>
              <w:rPr>
                <w:sz w:val="15"/>
                <w:szCs w:val="15"/>
                <w:color w:val="auto"/>
              </w:rPr>
            </w:pPr>
          </w:p>
        </w:tc>
        <w:tc>
          <w:tcPr>
            <w:tcW w:w="64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1,079.9</w:t>
            </w:r>
          </w:p>
        </w:tc>
        <w:tc>
          <w:tcPr>
            <w:tcW w:w="360" w:type="dxa"/>
            <w:vAlign w:val="bottom"/>
          </w:tcPr>
          <w:p>
            <w:pPr>
              <w:spacing w:after="0"/>
              <w:rPr>
                <w:sz w:val="15"/>
                <w:szCs w:val="15"/>
                <w:color w:val="auto"/>
              </w:rPr>
            </w:pPr>
          </w:p>
        </w:tc>
        <w:tc>
          <w:tcPr>
            <w:tcW w:w="6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69.9</w:t>
            </w:r>
          </w:p>
        </w:tc>
        <w:tc>
          <w:tcPr>
            <w:tcW w:w="360" w:type="dxa"/>
            <w:vAlign w:val="bottom"/>
          </w:tcPr>
          <w:p>
            <w:pPr>
              <w:spacing w:after="0"/>
              <w:rPr>
                <w:sz w:val="15"/>
                <w:szCs w:val="15"/>
                <w:color w:val="auto"/>
              </w:rPr>
            </w:pPr>
          </w:p>
        </w:tc>
        <w:tc>
          <w:tcPr>
            <w:tcW w:w="62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13.7</w:t>
            </w:r>
          </w:p>
        </w:tc>
        <w:tc>
          <w:tcPr>
            <w:tcW w:w="360" w:type="dxa"/>
            <w:vAlign w:val="bottom"/>
          </w:tcPr>
          <w:p>
            <w:pPr>
              <w:spacing w:after="0"/>
              <w:rPr>
                <w:sz w:val="15"/>
                <w:szCs w:val="15"/>
                <w:color w:val="auto"/>
              </w:rPr>
            </w:pPr>
          </w:p>
        </w:tc>
        <w:tc>
          <w:tcPr>
            <w:tcW w:w="740" w:type="dxa"/>
            <w:vAlign w:val="bottom"/>
          </w:tcPr>
          <w:p>
            <w:pPr>
              <w:jc w:val="right"/>
              <w:ind w:right="188"/>
              <w:spacing w:after="0"/>
              <w:rPr>
                <w:sz w:val="20"/>
                <w:szCs w:val="20"/>
                <w:color w:val="auto"/>
              </w:rPr>
            </w:pPr>
            <w:r>
              <w:rPr>
                <w:rFonts w:ascii="Times New Roman" w:cs="Times New Roman" w:eastAsia="Times New Roman" w:hAnsi="Times New Roman"/>
                <w:sz w:val="14"/>
                <w:szCs w:val="14"/>
                <w:color w:val="auto"/>
              </w:rPr>
              <w:t>21.4</w:t>
            </w:r>
          </w:p>
        </w:tc>
        <w:tc>
          <w:tcPr>
            <w:tcW w:w="160" w:type="dxa"/>
            <w:vAlign w:val="bottom"/>
          </w:tcPr>
          <w:p>
            <w:pPr>
              <w:spacing w:after="0"/>
              <w:rPr>
                <w:sz w:val="15"/>
                <w:szCs w:val="15"/>
                <w:color w:val="auto"/>
              </w:rPr>
            </w:pPr>
          </w:p>
        </w:tc>
        <w:tc>
          <w:tcPr>
            <w:tcW w:w="6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1,184.9</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1,172.8</w:t>
            </w:r>
          </w:p>
        </w:tc>
        <w:tc>
          <w:tcPr>
            <w:tcW w:w="340" w:type="dxa"/>
            <w:vAlign w:val="bottom"/>
          </w:tcPr>
          <w:p>
            <w:pPr>
              <w:spacing w:after="0"/>
              <w:rPr>
                <w:sz w:val="15"/>
                <w:szCs w:val="15"/>
                <w:color w:val="auto"/>
              </w:rPr>
            </w:pPr>
          </w:p>
        </w:tc>
        <w:tc>
          <w:tcPr>
            <w:tcW w:w="5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71.2</w:t>
            </w:r>
          </w:p>
        </w:tc>
        <w:tc>
          <w:tcPr>
            <w:tcW w:w="340" w:type="dxa"/>
            <w:vAlign w:val="bottom"/>
          </w:tcPr>
          <w:p>
            <w:pPr>
              <w:spacing w:after="0"/>
              <w:rPr>
                <w:sz w:val="15"/>
                <w:szCs w:val="15"/>
                <w:color w:val="auto"/>
              </w:rPr>
            </w:pPr>
          </w:p>
        </w:tc>
        <w:tc>
          <w:tcPr>
            <w:tcW w:w="5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16.2</w:t>
            </w:r>
          </w:p>
        </w:tc>
        <w:tc>
          <w:tcPr>
            <w:tcW w:w="300" w:type="dxa"/>
            <w:vAlign w:val="bottom"/>
          </w:tcPr>
          <w:p>
            <w:pPr>
              <w:spacing w:after="0"/>
              <w:rPr>
                <w:sz w:val="15"/>
                <w:szCs w:val="15"/>
                <w:color w:val="auto"/>
              </w:rPr>
            </w:pPr>
          </w:p>
        </w:tc>
        <w:tc>
          <w:tcPr>
            <w:tcW w:w="640" w:type="dxa"/>
            <w:vAlign w:val="bottom"/>
          </w:tcPr>
          <w:p>
            <w:pPr>
              <w:jc w:val="right"/>
              <w:ind w:right="148"/>
              <w:spacing w:after="0"/>
              <w:rPr>
                <w:sz w:val="20"/>
                <w:szCs w:val="20"/>
                <w:color w:val="auto"/>
              </w:rPr>
            </w:pPr>
            <w:r>
              <w:rPr>
                <w:rFonts w:ascii="Times New Roman" w:cs="Times New Roman" w:eastAsia="Times New Roman" w:hAnsi="Times New Roman"/>
                <w:sz w:val="14"/>
                <w:szCs w:val="14"/>
                <w:color w:val="auto"/>
              </w:rPr>
              <w:t>18.0</w:t>
            </w:r>
          </w:p>
        </w:tc>
        <w:tc>
          <w:tcPr>
            <w:tcW w:w="200" w:type="dxa"/>
            <w:vAlign w:val="bottom"/>
          </w:tcPr>
          <w:p>
            <w:pPr>
              <w:spacing w:after="0"/>
              <w:rPr>
                <w:sz w:val="15"/>
                <w:szCs w:val="15"/>
                <w:color w:val="auto"/>
              </w:rPr>
            </w:pPr>
          </w:p>
        </w:tc>
        <w:tc>
          <w:tcPr>
            <w:tcW w:w="6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1,278.2</w:t>
            </w:r>
          </w:p>
        </w:tc>
      </w:tr>
      <w:tr>
        <w:trPr>
          <w:trHeight w:val="175"/>
        </w:trPr>
        <w:tc>
          <w:tcPr>
            <w:tcW w:w="20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4"/>
                <w:szCs w:val="14"/>
                <w:color w:val="auto"/>
              </w:rPr>
              <w:t>Italy</w:t>
            </w:r>
          </w:p>
        </w:tc>
        <w:tc>
          <w:tcPr>
            <w:tcW w:w="180" w:type="dxa"/>
            <w:vAlign w:val="bottom"/>
            <w:shd w:val="clear" w:color="auto" w:fill="CFF0FC"/>
          </w:tcPr>
          <w:p>
            <w:pPr>
              <w:spacing w:after="0"/>
              <w:rPr>
                <w:sz w:val="15"/>
                <w:szCs w:val="15"/>
                <w:color w:val="auto"/>
              </w:rPr>
            </w:pPr>
          </w:p>
        </w:tc>
        <w:tc>
          <w:tcPr>
            <w:tcW w:w="640" w:type="dxa"/>
            <w:vAlign w:val="bottom"/>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rPr>
              <w:t>401.7</w:t>
            </w:r>
          </w:p>
        </w:tc>
        <w:tc>
          <w:tcPr>
            <w:tcW w:w="360" w:type="dxa"/>
            <w:vAlign w:val="bottom"/>
            <w:shd w:val="clear" w:color="auto" w:fill="CFF0FC"/>
          </w:tcPr>
          <w:p>
            <w:pPr>
              <w:spacing w:after="0"/>
              <w:rPr>
                <w:sz w:val="15"/>
                <w:szCs w:val="15"/>
                <w:color w:val="auto"/>
              </w:rPr>
            </w:pPr>
          </w:p>
        </w:tc>
        <w:tc>
          <w:tcPr>
            <w:tcW w:w="60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9.4</w:t>
            </w:r>
          </w:p>
        </w:tc>
        <w:tc>
          <w:tcPr>
            <w:tcW w:w="360" w:type="dxa"/>
            <w:vAlign w:val="bottom"/>
            <w:shd w:val="clear" w:color="auto" w:fill="CFF0FC"/>
          </w:tcPr>
          <w:p>
            <w:pPr>
              <w:spacing w:after="0"/>
              <w:rPr>
                <w:sz w:val="15"/>
                <w:szCs w:val="15"/>
                <w:color w:val="auto"/>
              </w:rPr>
            </w:pPr>
          </w:p>
        </w:tc>
        <w:tc>
          <w:tcPr>
            <w:tcW w:w="620" w:type="dxa"/>
            <w:vAlign w:val="bottom"/>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rPr>
              <w:t>13.1</w:t>
            </w:r>
          </w:p>
        </w:tc>
        <w:tc>
          <w:tcPr>
            <w:tcW w:w="360" w:type="dxa"/>
            <w:vAlign w:val="bottom"/>
            <w:shd w:val="clear" w:color="auto" w:fill="CFF0FC"/>
          </w:tcPr>
          <w:p>
            <w:pPr>
              <w:spacing w:after="0"/>
              <w:rPr>
                <w:sz w:val="15"/>
                <w:szCs w:val="15"/>
                <w:color w:val="auto"/>
              </w:rPr>
            </w:pPr>
          </w:p>
        </w:tc>
        <w:tc>
          <w:tcPr>
            <w:tcW w:w="740" w:type="dxa"/>
            <w:vAlign w:val="bottom"/>
            <w:shd w:val="clear" w:color="auto" w:fill="CFF0FC"/>
          </w:tcPr>
          <w:p>
            <w:pPr>
              <w:jc w:val="right"/>
              <w:ind w:right="188"/>
              <w:spacing w:after="0"/>
              <w:rPr>
                <w:sz w:val="20"/>
                <w:szCs w:val="20"/>
                <w:color w:val="auto"/>
              </w:rPr>
            </w:pPr>
            <w:r>
              <w:rPr>
                <w:rFonts w:ascii="Times New Roman" w:cs="Times New Roman" w:eastAsia="Times New Roman" w:hAnsi="Times New Roman"/>
                <w:sz w:val="14"/>
                <w:szCs w:val="14"/>
                <w:color w:val="auto"/>
              </w:rPr>
              <w:t>10.7</w:t>
            </w:r>
          </w:p>
        </w:tc>
        <w:tc>
          <w:tcPr>
            <w:tcW w:w="160" w:type="dxa"/>
            <w:vAlign w:val="bottom"/>
            <w:shd w:val="clear" w:color="auto" w:fill="CFF0FC"/>
          </w:tcPr>
          <w:p>
            <w:pPr>
              <w:spacing w:after="0"/>
              <w:rPr>
                <w:sz w:val="15"/>
                <w:szCs w:val="15"/>
                <w:color w:val="auto"/>
              </w:rPr>
            </w:pPr>
          </w:p>
        </w:tc>
        <w:tc>
          <w:tcPr>
            <w:tcW w:w="64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434.9</w:t>
            </w:r>
          </w:p>
        </w:tc>
        <w:tc>
          <w:tcPr>
            <w:tcW w:w="12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64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425.6</w:t>
            </w:r>
          </w:p>
        </w:tc>
        <w:tc>
          <w:tcPr>
            <w:tcW w:w="340" w:type="dxa"/>
            <w:vAlign w:val="bottom"/>
            <w:shd w:val="clear" w:color="auto" w:fill="CFF0FC"/>
          </w:tcPr>
          <w:p>
            <w:pPr>
              <w:spacing w:after="0"/>
              <w:rPr>
                <w:sz w:val="15"/>
                <w:szCs w:val="15"/>
                <w:color w:val="auto"/>
              </w:rPr>
            </w:pPr>
          </w:p>
        </w:tc>
        <w:tc>
          <w:tcPr>
            <w:tcW w:w="58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10.2</w:t>
            </w:r>
          </w:p>
        </w:tc>
        <w:tc>
          <w:tcPr>
            <w:tcW w:w="340" w:type="dxa"/>
            <w:vAlign w:val="bottom"/>
            <w:shd w:val="clear" w:color="auto" w:fill="CFF0FC"/>
          </w:tcPr>
          <w:p>
            <w:pPr>
              <w:spacing w:after="0"/>
              <w:rPr>
                <w:sz w:val="15"/>
                <w:szCs w:val="15"/>
                <w:color w:val="auto"/>
              </w:rPr>
            </w:pPr>
          </w:p>
        </w:tc>
        <w:tc>
          <w:tcPr>
            <w:tcW w:w="58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15.3</w:t>
            </w:r>
          </w:p>
        </w:tc>
        <w:tc>
          <w:tcPr>
            <w:tcW w:w="300" w:type="dxa"/>
            <w:vAlign w:val="bottom"/>
            <w:shd w:val="clear" w:color="auto" w:fill="CFF0FC"/>
          </w:tcPr>
          <w:p>
            <w:pPr>
              <w:spacing w:after="0"/>
              <w:rPr>
                <w:sz w:val="15"/>
                <w:szCs w:val="15"/>
                <w:color w:val="auto"/>
              </w:rPr>
            </w:pPr>
          </w:p>
        </w:tc>
        <w:tc>
          <w:tcPr>
            <w:tcW w:w="640" w:type="dxa"/>
            <w:vAlign w:val="bottom"/>
            <w:shd w:val="clear" w:color="auto" w:fill="CFF0FC"/>
          </w:tcPr>
          <w:p>
            <w:pPr>
              <w:jc w:val="right"/>
              <w:ind w:right="148"/>
              <w:spacing w:after="0"/>
              <w:rPr>
                <w:sz w:val="20"/>
                <w:szCs w:val="20"/>
                <w:color w:val="auto"/>
              </w:rPr>
            </w:pPr>
            <w:r>
              <w:rPr>
                <w:rFonts w:ascii="Times New Roman" w:cs="Times New Roman" w:eastAsia="Times New Roman" w:hAnsi="Times New Roman"/>
                <w:sz w:val="14"/>
                <w:szCs w:val="14"/>
                <w:color w:val="auto"/>
              </w:rPr>
              <w:t>6.7</w:t>
            </w:r>
          </w:p>
        </w:tc>
        <w:tc>
          <w:tcPr>
            <w:tcW w:w="200" w:type="dxa"/>
            <w:vAlign w:val="bottom"/>
            <w:shd w:val="clear" w:color="auto" w:fill="CFF0FC"/>
          </w:tcPr>
          <w:p>
            <w:pPr>
              <w:spacing w:after="0"/>
              <w:rPr>
                <w:sz w:val="15"/>
                <w:szCs w:val="15"/>
                <w:color w:val="auto"/>
              </w:rPr>
            </w:pPr>
          </w:p>
        </w:tc>
        <w:tc>
          <w:tcPr>
            <w:tcW w:w="68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457.8</w:t>
            </w:r>
          </w:p>
        </w:tc>
      </w:tr>
      <w:tr>
        <w:trPr>
          <w:trHeight w:val="176"/>
        </w:trPr>
        <w:tc>
          <w:tcPr>
            <w:tcW w:w="200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Other Southern Europe</w:t>
            </w:r>
          </w:p>
        </w:tc>
        <w:tc>
          <w:tcPr>
            <w:tcW w:w="18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color w:val="auto"/>
              </w:rPr>
              <w:t>383.9</w:t>
            </w:r>
          </w:p>
        </w:tc>
        <w:tc>
          <w:tcPr>
            <w:tcW w:w="36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74.4</w:t>
            </w:r>
          </w:p>
        </w:tc>
        <w:tc>
          <w:tcPr>
            <w:tcW w:w="36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color w:val="auto"/>
              </w:rPr>
              <w:t>12.8</w:t>
            </w:r>
          </w:p>
        </w:tc>
        <w:tc>
          <w:tcPr>
            <w:tcW w:w="36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ind w:right="188"/>
              <w:spacing w:after="0"/>
              <w:rPr>
                <w:sz w:val="20"/>
                <w:szCs w:val="20"/>
                <w:color w:val="auto"/>
              </w:rPr>
            </w:pPr>
            <w:r>
              <w:rPr>
                <w:rFonts w:ascii="Times New Roman" w:cs="Times New Roman" w:eastAsia="Times New Roman" w:hAnsi="Times New Roman"/>
                <w:sz w:val="14"/>
                <w:szCs w:val="14"/>
                <w:color w:val="auto"/>
              </w:rPr>
              <w:t>7.1</w:t>
            </w:r>
          </w:p>
        </w:tc>
        <w:tc>
          <w:tcPr>
            <w:tcW w:w="16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478.2</w:t>
            </w:r>
          </w:p>
        </w:tc>
        <w:tc>
          <w:tcPr>
            <w:tcW w:w="12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390.6</w:t>
            </w:r>
          </w:p>
        </w:tc>
        <w:tc>
          <w:tcPr>
            <w:tcW w:w="34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77.3</w:t>
            </w:r>
          </w:p>
        </w:tc>
        <w:tc>
          <w:tcPr>
            <w:tcW w:w="34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15.5</w:t>
            </w:r>
          </w:p>
        </w:tc>
        <w:tc>
          <w:tcPr>
            <w:tcW w:w="30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ind w:right="148"/>
              <w:spacing w:after="0"/>
              <w:rPr>
                <w:sz w:val="20"/>
                <w:szCs w:val="20"/>
                <w:color w:val="auto"/>
              </w:rPr>
            </w:pPr>
            <w:r>
              <w:rPr>
                <w:rFonts w:ascii="Times New Roman" w:cs="Times New Roman" w:eastAsia="Times New Roman" w:hAnsi="Times New Roman"/>
                <w:sz w:val="14"/>
                <w:szCs w:val="14"/>
                <w:color w:val="auto"/>
              </w:rPr>
              <w:t>7.5</w:t>
            </w:r>
          </w:p>
        </w:tc>
        <w:tc>
          <w:tcPr>
            <w:tcW w:w="20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490.9</w:t>
            </w:r>
          </w:p>
        </w:tc>
      </w:tr>
      <w:tr>
        <w:trPr>
          <w:trHeight w:val="169"/>
        </w:trPr>
        <w:tc>
          <w:tcPr>
            <w:tcW w:w="2000" w:type="dxa"/>
            <w:vAlign w:val="bottom"/>
            <w:tcBorders>
              <w:bottom w:val="single" w:sz="8" w:color="CFF0FC"/>
            </w:tcBorders>
            <w:shd w:val="clear" w:color="auto" w:fill="CFF0FC"/>
          </w:tcPr>
          <w:p>
            <w:pPr>
              <w:spacing w:after="0"/>
              <w:rPr>
                <w:sz w:val="14"/>
                <w:szCs w:val="14"/>
                <w:color w:val="auto"/>
              </w:rPr>
            </w:pPr>
          </w:p>
        </w:tc>
        <w:tc>
          <w:tcPr>
            <w:tcW w:w="180" w:type="dxa"/>
            <w:vAlign w:val="bottom"/>
            <w:tcBorders>
              <w:bottom w:val="single" w:sz="8" w:color="auto"/>
            </w:tcBorders>
            <w:shd w:val="clear" w:color="auto" w:fill="CFF0FC"/>
          </w:tcPr>
          <w:p>
            <w:pPr>
              <w:spacing w:after="0"/>
              <w:rPr>
                <w:sz w:val="14"/>
                <w:szCs w:val="14"/>
                <w:color w:val="auto"/>
              </w:rPr>
            </w:pPr>
          </w:p>
        </w:tc>
        <w:tc>
          <w:tcPr>
            <w:tcW w:w="640" w:type="dxa"/>
            <w:vAlign w:val="bottom"/>
            <w:tcBorders>
              <w:bottom w:val="single" w:sz="8" w:color="auto"/>
            </w:tcBorders>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rPr>
              <w:t>1,865.5</w:t>
            </w:r>
          </w:p>
        </w:tc>
        <w:tc>
          <w:tcPr>
            <w:tcW w:w="360" w:type="dxa"/>
            <w:vAlign w:val="bottom"/>
            <w:tcBorders>
              <w:bottom w:val="single" w:sz="8" w:color="auto"/>
            </w:tcBorders>
            <w:shd w:val="clear" w:color="auto" w:fill="CFF0FC"/>
          </w:tcPr>
          <w:p>
            <w:pPr>
              <w:spacing w:after="0"/>
              <w:rPr>
                <w:sz w:val="14"/>
                <w:szCs w:val="14"/>
                <w:color w:val="auto"/>
              </w:rPr>
            </w:pPr>
          </w:p>
        </w:tc>
        <w:tc>
          <w:tcPr>
            <w:tcW w:w="600" w:type="dxa"/>
            <w:vAlign w:val="bottom"/>
            <w:tcBorders>
              <w:bottom w:val="single" w:sz="8" w:color="auto"/>
            </w:tcBorders>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153.7</w:t>
            </w:r>
          </w:p>
        </w:tc>
        <w:tc>
          <w:tcPr>
            <w:tcW w:w="360" w:type="dxa"/>
            <w:vAlign w:val="bottom"/>
            <w:tcBorders>
              <w:bottom w:val="single" w:sz="8" w:color="auto"/>
            </w:tcBorders>
            <w:shd w:val="clear" w:color="auto" w:fill="CFF0FC"/>
          </w:tcPr>
          <w:p>
            <w:pPr>
              <w:spacing w:after="0"/>
              <w:rPr>
                <w:sz w:val="14"/>
                <w:szCs w:val="14"/>
                <w:color w:val="auto"/>
              </w:rPr>
            </w:pPr>
          </w:p>
        </w:tc>
        <w:tc>
          <w:tcPr>
            <w:tcW w:w="620" w:type="dxa"/>
            <w:vAlign w:val="bottom"/>
            <w:tcBorders>
              <w:bottom w:val="single" w:sz="8" w:color="auto"/>
            </w:tcBorders>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rPr>
              <w:t>39.6</w:t>
            </w:r>
          </w:p>
        </w:tc>
        <w:tc>
          <w:tcPr>
            <w:tcW w:w="360" w:type="dxa"/>
            <w:vAlign w:val="bottom"/>
            <w:tcBorders>
              <w:bottom w:val="single" w:sz="8" w:color="auto"/>
            </w:tcBorders>
            <w:shd w:val="clear" w:color="auto" w:fill="CFF0FC"/>
          </w:tcPr>
          <w:p>
            <w:pPr>
              <w:spacing w:after="0"/>
              <w:rPr>
                <w:sz w:val="14"/>
                <w:szCs w:val="14"/>
                <w:color w:val="auto"/>
              </w:rPr>
            </w:pPr>
          </w:p>
        </w:tc>
        <w:tc>
          <w:tcPr>
            <w:tcW w:w="740" w:type="dxa"/>
            <w:vAlign w:val="bottom"/>
            <w:tcBorders>
              <w:bottom w:val="single" w:sz="8" w:color="auto"/>
            </w:tcBorders>
            <w:shd w:val="clear" w:color="auto" w:fill="CFF0FC"/>
          </w:tcPr>
          <w:p>
            <w:pPr>
              <w:jc w:val="right"/>
              <w:ind w:right="188"/>
              <w:spacing w:after="0"/>
              <w:rPr>
                <w:sz w:val="20"/>
                <w:szCs w:val="20"/>
                <w:color w:val="auto"/>
              </w:rPr>
            </w:pPr>
            <w:r>
              <w:rPr>
                <w:rFonts w:ascii="Times New Roman" w:cs="Times New Roman" w:eastAsia="Times New Roman" w:hAnsi="Times New Roman"/>
                <w:sz w:val="14"/>
                <w:szCs w:val="14"/>
                <w:color w:val="auto"/>
              </w:rPr>
              <w:t>39.2</w:t>
            </w:r>
          </w:p>
        </w:tc>
        <w:tc>
          <w:tcPr>
            <w:tcW w:w="160" w:type="dxa"/>
            <w:vAlign w:val="bottom"/>
            <w:tcBorders>
              <w:bottom w:val="single" w:sz="8" w:color="auto"/>
            </w:tcBorders>
            <w:shd w:val="clear" w:color="auto" w:fill="CFF0FC"/>
          </w:tcPr>
          <w:p>
            <w:pPr>
              <w:spacing w:after="0"/>
              <w:rPr>
                <w:sz w:val="14"/>
                <w:szCs w:val="14"/>
                <w:color w:val="auto"/>
              </w:rPr>
            </w:pPr>
          </w:p>
        </w:tc>
        <w:tc>
          <w:tcPr>
            <w:tcW w:w="640" w:type="dxa"/>
            <w:vAlign w:val="bottom"/>
            <w:tcBorders>
              <w:bottom w:val="single" w:sz="8" w:color="auto"/>
            </w:tcBorders>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2,098.0</w:t>
            </w:r>
          </w:p>
        </w:tc>
        <w:tc>
          <w:tcPr>
            <w:tcW w:w="120" w:type="dxa"/>
            <w:vAlign w:val="bottom"/>
            <w:tcBorders>
              <w:bottom w:val="single" w:sz="8" w:color="CFF0FC"/>
            </w:tcBorders>
            <w:shd w:val="clear" w:color="auto" w:fill="CFF0FC"/>
          </w:tcPr>
          <w:p>
            <w:pPr>
              <w:spacing w:after="0"/>
              <w:rPr>
                <w:sz w:val="14"/>
                <w:szCs w:val="14"/>
                <w:color w:val="auto"/>
              </w:rPr>
            </w:pPr>
          </w:p>
        </w:tc>
        <w:tc>
          <w:tcPr>
            <w:tcW w:w="160" w:type="dxa"/>
            <w:vAlign w:val="bottom"/>
            <w:tcBorders>
              <w:bottom w:val="single" w:sz="8" w:color="auto"/>
            </w:tcBorders>
            <w:shd w:val="clear" w:color="auto" w:fill="CFF0FC"/>
          </w:tcPr>
          <w:p>
            <w:pPr>
              <w:spacing w:after="0"/>
              <w:rPr>
                <w:sz w:val="14"/>
                <w:szCs w:val="14"/>
                <w:color w:val="auto"/>
              </w:rPr>
            </w:pPr>
          </w:p>
        </w:tc>
        <w:tc>
          <w:tcPr>
            <w:tcW w:w="640" w:type="dxa"/>
            <w:vAlign w:val="bottom"/>
            <w:tcBorders>
              <w:bottom w:val="single" w:sz="8" w:color="auto"/>
            </w:tcBorders>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1,989.0</w:t>
            </w:r>
          </w:p>
        </w:tc>
        <w:tc>
          <w:tcPr>
            <w:tcW w:w="340" w:type="dxa"/>
            <w:vAlign w:val="bottom"/>
            <w:tcBorders>
              <w:bottom w:val="single" w:sz="8" w:color="auto"/>
            </w:tcBorders>
            <w:shd w:val="clear" w:color="auto" w:fill="CFF0FC"/>
          </w:tcPr>
          <w:p>
            <w:pPr>
              <w:spacing w:after="0"/>
              <w:rPr>
                <w:sz w:val="14"/>
                <w:szCs w:val="14"/>
                <w:color w:val="auto"/>
              </w:rPr>
            </w:pPr>
          </w:p>
        </w:tc>
        <w:tc>
          <w:tcPr>
            <w:tcW w:w="580" w:type="dxa"/>
            <w:vAlign w:val="bottom"/>
            <w:tcBorders>
              <w:bottom w:val="single" w:sz="8" w:color="auto"/>
            </w:tcBorders>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158.7</w:t>
            </w:r>
          </w:p>
        </w:tc>
        <w:tc>
          <w:tcPr>
            <w:tcW w:w="340" w:type="dxa"/>
            <w:vAlign w:val="bottom"/>
            <w:tcBorders>
              <w:bottom w:val="single" w:sz="8" w:color="auto"/>
            </w:tcBorders>
            <w:shd w:val="clear" w:color="auto" w:fill="CFF0FC"/>
          </w:tcPr>
          <w:p>
            <w:pPr>
              <w:spacing w:after="0"/>
              <w:rPr>
                <w:sz w:val="14"/>
                <w:szCs w:val="14"/>
                <w:color w:val="auto"/>
              </w:rPr>
            </w:pPr>
          </w:p>
        </w:tc>
        <w:tc>
          <w:tcPr>
            <w:tcW w:w="580" w:type="dxa"/>
            <w:vAlign w:val="bottom"/>
            <w:tcBorders>
              <w:bottom w:val="single" w:sz="8" w:color="auto"/>
            </w:tcBorders>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47.0</w:t>
            </w:r>
          </w:p>
        </w:tc>
        <w:tc>
          <w:tcPr>
            <w:tcW w:w="300" w:type="dxa"/>
            <w:vAlign w:val="bottom"/>
            <w:tcBorders>
              <w:bottom w:val="single" w:sz="8" w:color="auto"/>
            </w:tcBorders>
            <w:shd w:val="clear" w:color="auto" w:fill="CFF0FC"/>
          </w:tcPr>
          <w:p>
            <w:pPr>
              <w:spacing w:after="0"/>
              <w:rPr>
                <w:sz w:val="14"/>
                <w:szCs w:val="14"/>
                <w:color w:val="auto"/>
              </w:rPr>
            </w:pPr>
          </w:p>
        </w:tc>
        <w:tc>
          <w:tcPr>
            <w:tcW w:w="640" w:type="dxa"/>
            <w:vAlign w:val="bottom"/>
            <w:tcBorders>
              <w:bottom w:val="single" w:sz="8" w:color="auto"/>
            </w:tcBorders>
            <w:shd w:val="clear" w:color="auto" w:fill="CFF0FC"/>
          </w:tcPr>
          <w:p>
            <w:pPr>
              <w:jc w:val="right"/>
              <w:ind w:right="148"/>
              <w:spacing w:after="0"/>
              <w:rPr>
                <w:sz w:val="20"/>
                <w:szCs w:val="20"/>
                <w:color w:val="auto"/>
              </w:rPr>
            </w:pPr>
            <w:r>
              <w:rPr>
                <w:rFonts w:ascii="Times New Roman" w:cs="Times New Roman" w:eastAsia="Times New Roman" w:hAnsi="Times New Roman"/>
                <w:sz w:val="14"/>
                <w:szCs w:val="14"/>
                <w:color w:val="auto"/>
              </w:rPr>
              <w:t>32.2</w:t>
            </w:r>
          </w:p>
        </w:tc>
        <w:tc>
          <w:tcPr>
            <w:tcW w:w="200" w:type="dxa"/>
            <w:vAlign w:val="bottom"/>
            <w:tcBorders>
              <w:bottom w:val="single" w:sz="8" w:color="auto"/>
            </w:tcBorders>
            <w:shd w:val="clear" w:color="auto" w:fill="CFF0FC"/>
          </w:tcPr>
          <w:p>
            <w:pPr>
              <w:spacing w:after="0"/>
              <w:rPr>
                <w:sz w:val="14"/>
                <w:szCs w:val="14"/>
                <w:color w:val="auto"/>
              </w:rPr>
            </w:pPr>
          </w:p>
        </w:tc>
        <w:tc>
          <w:tcPr>
            <w:tcW w:w="680" w:type="dxa"/>
            <w:vAlign w:val="bottom"/>
            <w:tcBorders>
              <w:bottom w:val="single" w:sz="8" w:color="auto"/>
            </w:tcBorders>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2,226.9</w:t>
            </w:r>
          </w:p>
        </w:tc>
      </w:tr>
      <w:tr>
        <w:trPr>
          <w:trHeight w:val="169"/>
        </w:trPr>
        <w:tc>
          <w:tcPr>
            <w:tcW w:w="20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Northern Europe</w:t>
            </w:r>
          </w:p>
        </w:tc>
        <w:tc>
          <w:tcPr>
            <w:tcW w:w="180" w:type="dxa"/>
            <w:vAlign w:val="bottom"/>
          </w:tcPr>
          <w:p>
            <w:pPr>
              <w:spacing w:after="0"/>
              <w:rPr>
                <w:sz w:val="14"/>
                <w:szCs w:val="14"/>
                <w:color w:val="auto"/>
              </w:rPr>
            </w:pPr>
          </w:p>
        </w:tc>
        <w:tc>
          <w:tcPr>
            <w:tcW w:w="64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714.1</w:t>
            </w:r>
          </w:p>
        </w:tc>
        <w:tc>
          <w:tcPr>
            <w:tcW w:w="360" w:type="dxa"/>
            <w:vAlign w:val="bottom"/>
          </w:tcPr>
          <w:p>
            <w:pPr>
              <w:spacing w:after="0"/>
              <w:rPr>
                <w:sz w:val="14"/>
                <w:szCs w:val="14"/>
                <w:color w:val="auto"/>
              </w:rPr>
            </w:pPr>
          </w:p>
        </w:tc>
        <w:tc>
          <w:tcPr>
            <w:tcW w:w="6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64.8</w:t>
            </w:r>
          </w:p>
        </w:tc>
        <w:tc>
          <w:tcPr>
            <w:tcW w:w="360" w:type="dxa"/>
            <w:vAlign w:val="bottom"/>
          </w:tcPr>
          <w:p>
            <w:pPr>
              <w:spacing w:after="0"/>
              <w:rPr>
                <w:sz w:val="14"/>
                <w:szCs w:val="14"/>
                <w:color w:val="auto"/>
              </w:rPr>
            </w:pPr>
          </w:p>
        </w:tc>
        <w:tc>
          <w:tcPr>
            <w:tcW w:w="62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31.8</w:t>
            </w:r>
          </w:p>
        </w:tc>
        <w:tc>
          <w:tcPr>
            <w:tcW w:w="360" w:type="dxa"/>
            <w:vAlign w:val="bottom"/>
          </w:tcPr>
          <w:p>
            <w:pPr>
              <w:spacing w:after="0"/>
              <w:rPr>
                <w:sz w:val="14"/>
                <w:szCs w:val="14"/>
                <w:color w:val="auto"/>
              </w:rPr>
            </w:pPr>
          </w:p>
        </w:tc>
        <w:tc>
          <w:tcPr>
            <w:tcW w:w="740" w:type="dxa"/>
            <w:vAlign w:val="bottom"/>
          </w:tcPr>
          <w:p>
            <w:pPr>
              <w:jc w:val="right"/>
              <w:ind w:right="188"/>
              <w:spacing w:after="0"/>
              <w:rPr>
                <w:sz w:val="20"/>
                <w:szCs w:val="20"/>
                <w:color w:val="auto"/>
              </w:rPr>
            </w:pPr>
            <w:r>
              <w:rPr>
                <w:rFonts w:ascii="Times New Roman" w:cs="Times New Roman" w:eastAsia="Times New Roman" w:hAnsi="Times New Roman"/>
                <w:sz w:val="14"/>
                <w:szCs w:val="14"/>
                <w:color w:val="auto"/>
              </w:rPr>
              <w:t>26.6</w:t>
            </w:r>
          </w:p>
        </w:tc>
        <w:tc>
          <w:tcPr>
            <w:tcW w:w="160" w:type="dxa"/>
            <w:vAlign w:val="bottom"/>
          </w:tcPr>
          <w:p>
            <w:pPr>
              <w:spacing w:after="0"/>
              <w:rPr>
                <w:sz w:val="14"/>
                <w:szCs w:val="14"/>
                <w:color w:val="auto"/>
              </w:rPr>
            </w:pPr>
          </w:p>
        </w:tc>
        <w:tc>
          <w:tcPr>
            <w:tcW w:w="6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837.3</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804.8</w:t>
            </w:r>
          </w:p>
        </w:tc>
        <w:tc>
          <w:tcPr>
            <w:tcW w:w="340" w:type="dxa"/>
            <w:vAlign w:val="bottom"/>
          </w:tcPr>
          <w:p>
            <w:pPr>
              <w:spacing w:after="0"/>
              <w:rPr>
                <w:sz w:val="14"/>
                <w:szCs w:val="14"/>
                <w:color w:val="auto"/>
              </w:rPr>
            </w:pPr>
          </w:p>
        </w:tc>
        <w:tc>
          <w:tcPr>
            <w:tcW w:w="5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82.9</w:t>
            </w:r>
          </w:p>
        </w:tc>
        <w:tc>
          <w:tcPr>
            <w:tcW w:w="340" w:type="dxa"/>
            <w:vAlign w:val="bottom"/>
          </w:tcPr>
          <w:p>
            <w:pPr>
              <w:spacing w:after="0"/>
              <w:rPr>
                <w:sz w:val="14"/>
                <w:szCs w:val="14"/>
                <w:color w:val="auto"/>
              </w:rPr>
            </w:pPr>
          </w:p>
        </w:tc>
        <w:tc>
          <w:tcPr>
            <w:tcW w:w="5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39.6</w:t>
            </w:r>
          </w:p>
        </w:tc>
        <w:tc>
          <w:tcPr>
            <w:tcW w:w="300" w:type="dxa"/>
            <w:vAlign w:val="bottom"/>
          </w:tcPr>
          <w:p>
            <w:pPr>
              <w:spacing w:after="0"/>
              <w:rPr>
                <w:sz w:val="14"/>
                <w:szCs w:val="14"/>
                <w:color w:val="auto"/>
              </w:rPr>
            </w:pPr>
          </w:p>
        </w:tc>
        <w:tc>
          <w:tcPr>
            <w:tcW w:w="640" w:type="dxa"/>
            <w:vAlign w:val="bottom"/>
          </w:tcPr>
          <w:p>
            <w:pPr>
              <w:jc w:val="right"/>
              <w:ind w:right="148"/>
              <w:spacing w:after="0"/>
              <w:rPr>
                <w:sz w:val="20"/>
                <w:szCs w:val="20"/>
                <w:color w:val="auto"/>
              </w:rPr>
            </w:pPr>
            <w:r>
              <w:rPr>
                <w:rFonts w:ascii="Times New Roman" w:cs="Times New Roman" w:eastAsia="Times New Roman" w:hAnsi="Times New Roman"/>
                <w:sz w:val="14"/>
                <w:szCs w:val="14"/>
                <w:color w:val="auto"/>
              </w:rPr>
              <w:t>25.2</w:t>
            </w:r>
          </w:p>
        </w:tc>
        <w:tc>
          <w:tcPr>
            <w:tcW w:w="200" w:type="dxa"/>
            <w:vAlign w:val="bottom"/>
          </w:tcPr>
          <w:p>
            <w:pPr>
              <w:spacing w:after="0"/>
              <w:rPr>
                <w:sz w:val="14"/>
                <w:szCs w:val="14"/>
                <w:color w:val="auto"/>
              </w:rPr>
            </w:pPr>
          </w:p>
        </w:tc>
        <w:tc>
          <w:tcPr>
            <w:tcW w:w="6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952.5</w:t>
            </w:r>
          </w:p>
        </w:tc>
      </w:tr>
      <w:tr>
        <w:trPr>
          <w:trHeight w:val="176"/>
        </w:trPr>
        <w:tc>
          <w:tcPr>
            <w:tcW w:w="20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APME</w:t>
            </w:r>
          </w:p>
        </w:tc>
        <w:tc>
          <w:tcPr>
            <w:tcW w:w="180" w:type="dxa"/>
            <w:vAlign w:val="bottom"/>
            <w:tcBorders>
              <w:bottom w:val="single" w:sz="8" w:color="auto"/>
            </w:tcBorders>
            <w:shd w:val="clear" w:color="auto" w:fill="CFF0FC"/>
          </w:tcPr>
          <w:p>
            <w:pPr>
              <w:spacing w:after="0"/>
              <w:rPr>
                <w:sz w:val="15"/>
                <w:szCs w:val="15"/>
                <w:color w:val="auto"/>
              </w:rPr>
            </w:pPr>
          </w:p>
        </w:tc>
        <w:tc>
          <w:tcPr>
            <w:tcW w:w="640" w:type="dxa"/>
            <w:vAlign w:val="bottom"/>
            <w:tcBorders>
              <w:bottom w:val="single" w:sz="8" w:color="auto"/>
            </w:tcBorders>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rPr>
              <w:t>431.6</w:t>
            </w:r>
          </w:p>
        </w:tc>
        <w:tc>
          <w:tcPr>
            <w:tcW w:w="360" w:type="dxa"/>
            <w:vAlign w:val="bottom"/>
            <w:tcBorders>
              <w:bottom w:val="single" w:sz="8" w:color="auto"/>
            </w:tcBorders>
            <w:shd w:val="clear" w:color="auto" w:fill="CFF0FC"/>
          </w:tcPr>
          <w:p>
            <w:pPr>
              <w:spacing w:after="0"/>
              <w:rPr>
                <w:sz w:val="15"/>
                <w:szCs w:val="15"/>
                <w:color w:val="auto"/>
              </w:rPr>
            </w:pPr>
          </w:p>
        </w:tc>
        <w:tc>
          <w:tcPr>
            <w:tcW w:w="600" w:type="dxa"/>
            <w:vAlign w:val="bottom"/>
            <w:tcBorders>
              <w:bottom w:val="single" w:sz="8" w:color="auto"/>
            </w:tcBorders>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84.6</w:t>
            </w:r>
          </w:p>
        </w:tc>
        <w:tc>
          <w:tcPr>
            <w:tcW w:w="360" w:type="dxa"/>
            <w:vAlign w:val="bottom"/>
            <w:tcBorders>
              <w:bottom w:val="single" w:sz="8" w:color="auto"/>
            </w:tcBorders>
            <w:shd w:val="clear" w:color="auto" w:fill="CFF0FC"/>
          </w:tcPr>
          <w:p>
            <w:pPr>
              <w:spacing w:after="0"/>
              <w:rPr>
                <w:sz w:val="15"/>
                <w:szCs w:val="15"/>
                <w:color w:val="auto"/>
              </w:rPr>
            </w:pPr>
          </w:p>
        </w:tc>
        <w:tc>
          <w:tcPr>
            <w:tcW w:w="620" w:type="dxa"/>
            <w:vAlign w:val="bottom"/>
            <w:tcBorders>
              <w:bottom w:val="single" w:sz="8" w:color="auto"/>
            </w:tcBorders>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rPr>
              <w:t>14.8</w:t>
            </w:r>
          </w:p>
        </w:tc>
        <w:tc>
          <w:tcPr>
            <w:tcW w:w="360" w:type="dxa"/>
            <w:vAlign w:val="bottom"/>
            <w:tcBorders>
              <w:bottom w:val="single" w:sz="8" w:color="auto"/>
            </w:tcBorders>
            <w:shd w:val="clear" w:color="auto" w:fill="CFF0FC"/>
          </w:tcPr>
          <w:p>
            <w:pPr>
              <w:spacing w:after="0"/>
              <w:rPr>
                <w:sz w:val="15"/>
                <w:szCs w:val="15"/>
                <w:color w:val="auto"/>
              </w:rPr>
            </w:pPr>
          </w:p>
        </w:tc>
        <w:tc>
          <w:tcPr>
            <w:tcW w:w="740" w:type="dxa"/>
            <w:vAlign w:val="bottom"/>
            <w:tcBorders>
              <w:bottom w:val="single" w:sz="8" w:color="auto"/>
            </w:tcBorders>
            <w:shd w:val="clear" w:color="auto" w:fill="CFF0FC"/>
          </w:tcPr>
          <w:p>
            <w:pPr>
              <w:jc w:val="right"/>
              <w:ind w:right="188"/>
              <w:spacing w:after="0"/>
              <w:rPr>
                <w:sz w:val="20"/>
                <w:szCs w:val="20"/>
                <w:color w:val="auto"/>
              </w:rPr>
            </w:pPr>
            <w:r>
              <w:rPr>
                <w:rFonts w:ascii="Times New Roman" w:cs="Times New Roman" w:eastAsia="Times New Roman" w:hAnsi="Times New Roman"/>
                <w:sz w:val="14"/>
                <w:szCs w:val="14"/>
                <w:color w:val="auto"/>
              </w:rPr>
              <w:t>10.4</w:t>
            </w:r>
          </w:p>
        </w:tc>
        <w:tc>
          <w:tcPr>
            <w:tcW w:w="160" w:type="dxa"/>
            <w:vAlign w:val="bottom"/>
            <w:tcBorders>
              <w:bottom w:val="single" w:sz="8" w:color="auto"/>
            </w:tcBorders>
            <w:shd w:val="clear" w:color="auto" w:fill="CFF0FC"/>
          </w:tcPr>
          <w:p>
            <w:pPr>
              <w:spacing w:after="0"/>
              <w:rPr>
                <w:sz w:val="15"/>
                <w:szCs w:val="15"/>
                <w:color w:val="auto"/>
              </w:rPr>
            </w:pPr>
          </w:p>
        </w:tc>
        <w:tc>
          <w:tcPr>
            <w:tcW w:w="640" w:type="dxa"/>
            <w:vAlign w:val="bottom"/>
            <w:tcBorders>
              <w:bottom w:val="single" w:sz="8" w:color="auto"/>
            </w:tcBorders>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541.4</w:t>
            </w:r>
          </w:p>
        </w:tc>
        <w:tc>
          <w:tcPr>
            <w:tcW w:w="120" w:type="dxa"/>
            <w:vAlign w:val="bottom"/>
            <w:tcBorders>
              <w:bottom w:val="single" w:sz="8" w:color="CFF0FC"/>
            </w:tcBorders>
            <w:shd w:val="clear" w:color="auto" w:fill="CFF0FC"/>
          </w:tcPr>
          <w:p>
            <w:pPr>
              <w:spacing w:after="0"/>
              <w:rPr>
                <w:sz w:val="15"/>
                <w:szCs w:val="15"/>
                <w:color w:val="auto"/>
              </w:rPr>
            </w:pPr>
          </w:p>
        </w:tc>
        <w:tc>
          <w:tcPr>
            <w:tcW w:w="160" w:type="dxa"/>
            <w:vAlign w:val="bottom"/>
            <w:tcBorders>
              <w:bottom w:val="single" w:sz="8" w:color="auto"/>
            </w:tcBorders>
            <w:shd w:val="clear" w:color="auto" w:fill="CFF0FC"/>
          </w:tcPr>
          <w:p>
            <w:pPr>
              <w:spacing w:after="0"/>
              <w:rPr>
                <w:sz w:val="15"/>
                <w:szCs w:val="15"/>
                <w:color w:val="auto"/>
              </w:rPr>
            </w:pPr>
          </w:p>
        </w:tc>
        <w:tc>
          <w:tcPr>
            <w:tcW w:w="640" w:type="dxa"/>
            <w:vAlign w:val="bottom"/>
            <w:tcBorders>
              <w:bottom w:val="single" w:sz="8" w:color="auto"/>
            </w:tcBorders>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453.2</w:t>
            </w:r>
          </w:p>
        </w:tc>
        <w:tc>
          <w:tcPr>
            <w:tcW w:w="340" w:type="dxa"/>
            <w:vAlign w:val="bottom"/>
            <w:tcBorders>
              <w:bottom w:val="single" w:sz="8" w:color="auto"/>
            </w:tcBorders>
            <w:shd w:val="clear" w:color="auto" w:fill="CFF0FC"/>
          </w:tcPr>
          <w:p>
            <w:pPr>
              <w:spacing w:after="0"/>
              <w:rPr>
                <w:sz w:val="15"/>
                <w:szCs w:val="15"/>
                <w:color w:val="auto"/>
              </w:rPr>
            </w:pPr>
          </w:p>
        </w:tc>
        <w:tc>
          <w:tcPr>
            <w:tcW w:w="580" w:type="dxa"/>
            <w:vAlign w:val="bottom"/>
            <w:tcBorders>
              <w:bottom w:val="single" w:sz="8" w:color="auto"/>
            </w:tcBorders>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97.5</w:t>
            </w:r>
          </w:p>
        </w:tc>
        <w:tc>
          <w:tcPr>
            <w:tcW w:w="340" w:type="dxa"/>
            <w:vAlign w:val="bottom"/>
            <w:tcBorders>
              <w:bottom w:val="single" w:sz="8" w:color="auto"/>
            </w:tcBorders>
            <w:shd w:val="clear" w:color="auto" w:fill="CFF0FC"/>
          </w:tcPr>
          <w:p>
            <w:pPr>
              <w:spacing w:after="0"/>
              <w:rPr>
                <w:sz w:val="15"/>
                <w:szCs w:val="15"/>
                <w:color w:val="auto"/>
              </w:rPr>
            </w:pPr>
          </w:p>
        </w:tc>
        <w:tc>
          <w:tcPr>
            <w:tcW w:w="580" w:type="dxa"/>
            <w:vAlign w:val="bottom"/>
            <w:tcBorders>
              <w:bottom w:val="single" w:sz="8" w:color="auto"/>
            </w:tcBorders>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36.5</w:t>
            </w:r>
          </w:p>
        </w:tc>
        <w:tc>
          <w:tcPr>
            <w:tcW w:w="300" w:type="dxa"/>
            <w:vAlign w:val="bottom"/>
            <w:tcBorders>
              <w:bottom w:val="single" w:sz="8" w:color="auto"/>
            </w:tcBorders>
            <w:shd w:val="clear" w:color="auto" w:fill="CFF0FC"/>
          </w:tcPr>
          <w:p>
            <w:pPr>
              <w:spacing w:after="0"/>
              <w:rPr>
                <w:sz w:val="15"/>
                <w:szCs w:val="15"/>
                <w:color w:val="auto"/>
              </w:rPr>
            </w:pPr>
          </w:p>
        </w:tc>
        <w:tc>
          <w:tcPr>
            <w:tcW w:w="640" w:type="dxa"/>
            <w:vAlign w:val="bottom"/>
            <w:tcBorders>
              <w:bottom w:val="single" w:sz="8" w:color="auto"/>
            </w:tcBorders>
            <w:shd w:val="clear" w:color="auto" w:fill="CFF0FC"/>
          </w:tcPr>
          <w:p>
            <w:pPr>
              <w:jc w:val="right"/>
              <w:ind w:right="148"/>
              <w:spacing w:after="0"/>
              <w:rPr>
                <w:sz w:val="20"/>
                <w:szCs w:val="20"/>
                <w:color w:val="auto"/>
              </w:rPr>
            </w:pPr>
            <w:r>
              <w:rPr>
                <w:rFonts w:ascii="Times New Roman" w:cs="Times New Roman" w:eastAsia="Times New Roman" w:hAnsi="Times New Roman"/>
                <w:sz w:val="14"/>
                <w:szCs w:val="14"/>
                <w:color w:val="auto"/>
              </w:rPr>
              <w:t>12.2</w:t>
            </w:r>
          </w:p>
        </w:tc>
        <w:tc>
          <w:tcPr>
            <w:tcW w:w="200" w:type="dxa"/>
            <w:vAlign w:val="bottom"/>
            <w:tcBorders>
              <w:bottom w:val="single" w:sz="8" w:color="auto"/>
            </w:tcBorders>
            <w:shd w:val="clear" w:color="auto" w:fill="CFF0FC"/>
          </w:tcPr>
          <w:p>
            <w:pPr>
              <w:spacing w:after="0"/>
              <w:rPr>
                <w:sz w:val="15"/>
                <w:szCs w:val="15"/>
                <w:color w:val="auto"/>
              </w:rPr>
            </w:pPr>
          </w:p>
        </w:tc>
        <w:tc>
          <w:tcPr>
            <w:tcW w:w="680" w:type="dxa"/>
            <w:vAlign w:val="bottom"/>
            <w:tcBorders>
              <w:bottom w:val="single" w:sz="8" w:color="auto"/>
            </w:tcBorders>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599.4</w:t>
            </w:r>
          </w:p>
        </w:tc>
      </w:tr>
      <w:tr>
        <w:trPr>
          <w:trHeight w:val="169"/>
        </w:trPr>
        <w:tc>
          <w:tcPr>
            <w:tcW w:w="200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color w:val="auto"/>
              </w:rPr>
              <w:t>3,977.3</w:t>
            </w:r>
          </w:p>
        </w:tc>
        <w:tc>
          <w:tcPr>
            <w:tcW w:w="36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318.4</w:t>
            </w:r>
          </w:p>
        </w:tc>
        <w:tc>
          <w:tcPr>
            <w:tcW w:w="36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color w:val="auto"/>
              </w:rPr>
              <w:t>125.1</w:t>
            </w:r>
          </w:p>
        </w:tc>
        <w:tc>
          <w:tcPr>
            <w:tcW w:w="36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188"/>
              <w:spacing w:after="0"/>
              <w:rPr>
                <w:sz w:val="20"/>
                <w:szCs w:val="20"/>
                <w:color w:val="auto"/>
              </w:rPr>
            </w:pPr>
            <w:r>
              <w:rPr>
                <w:rFonts w:ascii="Times New Roman" w:cs="Times New Roman" w:eastAsia="Times New Roman" w:hAnsi="Times New Roman"/>
                <w:sz w:val="14"/>
                <w:szCs w:val="14"/>
                <w:color w:val="auto"/>
              </w:rPr>
              <w:t>120.3</w:t>
            </w:r>
          </w:p>
        </w:tc>
        <w:tc>
          <w:tcPr>
            <w:tcW w:w="1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4,541.1</w:t>
            </w:r>
          </w:p>
        </w:tc>
        <w:tc>
          <w:tcPr>
            <w:tcW w:w="1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4,241.5</w:t>
            </w:r>
          </w:p>
        </w:tc>
        <w:tc>
          <w:tcPr>
            <w:tcW w:w="34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355.6</w:t>
            </w:r>
          </w:p>
        </w:tc>
        <w:tc>
          <w:tcPr>
            <w:tcW w:w="34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166.8</w:t>
            </w:r>
          </w:p>
        </w:tc>
        <w:tc>
          <w:tcPr>
            <w:tcW w:w="30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48"/>
              <w:spacing w:after="0"/>
              <w:rPr>
                <w:sz w:val="20"/>
                <w:szCs w:val="20"/>
                <w:color w:val="auto"/>
              </w:rPr>
            </w:pPr>
            <w:r>
              <w:rPr>
                <w:rFonts w:ascii="Times New Roman" w:cs="Times New Roman" w:eastAsia="Times New Roman" w:hAnsi="Times New Roman"/>
                <w:sz w:val="14"/>
                <w:szCs w:val="14"/>
                <w:color w:val="auto"/>
              </w:rPr>
              <w:t>113.6</w:t>
            </w:r>
          </w:p>
        </w:tc>
        <w:tc>
          <w:tcPr>
            <w:tcW w:w="20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4,877.5</w:t>
            </w:r>
          </w:p>
        </w:tc>
      </w:tr>
      <w:tr>
        <w:trPr>
          <w:trHeight w:val="169"/>
        </w:trPr>
        <w:tc>
          <w:tcPr>
            <w:tcW w:w="20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Intercompany Eliminations</w:t>
            </w:r>
          </w:p>
        </w:tc>
        <w:tc>
          <w:tcPr>
            <w:tcW w:w="180" w:type="dxa"/>
            <w:vAlign w:val="bottom"/>
            <w:tcBorders>
              <w:bottom w:val="single" w:sz="8" w:color="CFF0FC"/>
            </w:tcBorders>
            <w:shd w:val="clear" w:color="auto" w:fill="CFF0FC"/>
          </w:tcPr>
          <w:p>
            <w:pPr>
              <w:spacing w:after="0"/>
              <w:rPr>
                <w:sz w:val="14"/>
                <w:szCs w:val="14"/>
                <w:color w:val="auto"/>
              </w:rPr>
            </w:pPr>
          </w:p>
        </w:tc>
        <w:tc>
          <w:tcPr>
            <w:tcW w:w="640" w:type="dxa"/>
            <w:vAlign w:val="bottom"/>
            <w:tcBorders>
              <w:bottom w:val="single" w:sz="8" w:color="CFF0FC"/>
            </w:tcBorders>
            <w:shd w:val="clear" w:color="auto" w:fill="CFF0FC"/>
          </w:tcPr>
          <w:p>
            <w:pPr>
              <w:spacing w:after="0"/>
              <w:rPr>
                <w:sz w:val="14"/>
                <w:szCs w:val="14"/>
                <w:color w:val="auto"/>
              </w:rPr>
            </w:pPr>
          </w:p>
        </w:tc>
        <w:tc>
          <w:tcPr>
            <w:tcW w:w="360" w:type="dxa"/>
            <w:vAlign w:val="bottom"/>
            <w:tcBorders>
              <w:bottom w:val="single" w:sz="8" w:color="CFF0FC"/>
            </w:tcBorders>
            <w:shd w:val="clear" w:color="auto" w:fill="CFF0FC"/>
          </w:tcPr>
          <w:p>
            <w:pPr>
              <w:spacing w:after="0"/>
              <w:rPr>
                <w:sz w:val="14"/>
                <w:szCs w:val="14"/>
                <w:color w:val="auto"/>
              </w:rPr>
            </w:pPr>
          </w:p>
        </w:tc>
        <w:tc>
          <w:tcPr>
            <w:tcW w:w="600" w:type="dxa"/>
            <w:vAlign w:val="bottom"/>
            <w:tcBorders>
              <w:bottom w:val="single" w:sz="8" w:color="CFF0FC"/>
            </w:tcBorders>
            <w:shd w:val="clear" w:color="auto" w:fill="CFF0FC"/>
          </w:tcPr>
          <w:p>
            <w:pPr>
              <w:spacing w:after="0"/>
              <w:rPr>
                <w:sz w:val="14"/>
                <w:szCs w:val="14"/>
                <w:color w:val="auto"/>
              </w:rPr>
            </w:pPr>
          </w:p>
        </w:tc>
        <w:tc>
          <w:tcPr>
            <w:tcW w:w="360" w:type="dxa"/>
            <w:vAlign w:val="bottom"/>
            <w:tcBorders>
              <w:bottom w:val="single" w:sz="8" w:color="CFF0FC"/>
            </w:tcBorders>
            <w:shd w:val="clear" w:color="auto" w:fill="CFF0FC"/>
          </w:tcPr>
          <w:p>
            <w:pPr>
              <w:spacing w:after="0"/>
              <w:rPr>
                <w:sz w:val="14"/>
                <w:szCs w:val="14"/>
                <w:color w:val="auto"/>
              </w:rPr>
            </w:pPr>
          </w:p>
        </w:tc>
        <w:tc>
          <w:tcPr>
            <w:tcW w:w="620" w:type="dxa"/>
            <w:vAlign w:val="bottom"/>
            <w:tcBorders>
              <w:bottom w:val="single" w:sz="8" w:color="CFF0FC"/>
            </w:tcBorders>
            <w:shd w:val="clear" w:color="auto" w:fill="CFF0FC"/>
          </w:tcPr>
          <w:p>
            <w:pPr>
              <w:spacing w:after="0"/>
              <w:rPr>
                <w:sz w:val="14"/>
                <w:szCs w:val="14"/>
                <w:color w:val="auto"/>
              </w:rPr>
            </w:pPr>
          </w:p>
        </w:tc>
        <w:tc>
          <w:tcPr>
            <w:tcW w:w="360" w:type="dxa"/>
            <w:vAlign w:val="bottom"/>
            <w:tcBorders>
              <w:bottom w:val="single" w:sz="8" w:color="CFF0FC"/>
            </w:tcBorders>
            <w:shd w:val="clear" w:color="auto" w:fill="CFF0FC"/>
          </w:tcPr>
          <w:p>
            <w:pPr>
              <w:spacing w:after="0"/>
              <w:rPr>
                <w:sz w:val="14"/>
                <w:szCs w:val="14"/>
                <w:color w:val="auto"/>
              </w:rPr>
            </w:pPr>
          </w:p>
        </w:tc>
        <w:tc>
          <w:tcPr>
            <w:tcW w:w="740" w:type="dxa"/>
            <w:vAlign w:val="bottom"/>
            <w:tcBorders>
              <w:bottom w:val="single" w:sz="8" w:color="CFF0FC"/>
            </w:tcBorders>
            <w:shd w:val="clear" w:color="auto" w:fill="CFF0FC"/>
          </w:tcPr>
          <w:p>
            <w:pPr>
              <w:spacing w:after="0"/>
              <w:rPr>
                <w:sz w:val="14"/>
                <w:szCs w:val="14"/>
                <w:color w:val="auto"/>
              </w:rPr>
            </w:pPr>
          </w:p>
        </w:tc>
        <w:tc>
          <w:tcPr>
            <w:tcW w:w="160" w:type="dxa"/>
            <w:vAlign w:val="bottom"/>
            <w:tcBorders>
              <w:bottom w:val="single" w:sz="8" w:color="auto"/>
            </w:tcBorders>
            <w:shd w:val="clear" w:color="auto" w:fill="CFF0FC"/>
          </w:tcPr>
          <w:p>
            <w:pPr>
              <w:spacing w:after="0"/>
              <w:rPr>
                <w:sz w:val="14"/>
                <w:szCs w:val="14"/>
                <w:color w:val="auto"/>
              </w:rPr>
            </w:pPr>
          </w:p>
        </w:tc>
        <w:tc>
          <w:tcPr>
            <w:tcW w:w="6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(20.4 )</w:t>
            </w:r>
          </w:p>
        </w:tc>
        <w:tc>
          <w:tcPr>
            <w:tcW w:w="120" w:type="dxa"/>
            <w:vAlign w:val="bottom"/>
            <w:tcBorders>
              <w:bottom w:val="single" w:sz="8" w:color="CFF0FC"/>
            </w:tcBorders>
            <w:shd w:val="clear" w:color="auto" w:fill="CFF0FC"/>
          </w:tcPr>
          <w:p>
            <w:pPr>
              <w:spacing w:after="0"/>
              <w:rPr>
                <w:sz w:val="14"/>
                <w:szCs w:val="14"/>
                <w:color w:val="auto"/>
              </w:rPr>
            </w:pPr>
          </w:p>
        </w:tc>
        <w:tc>
          <w:tcPr>
            <w:tcW w:w="160" w:type="dxa"/>
            <w:vAlign w:val="bottom"/>
            <w:tcBorders>
              <w:bottom w:val="single" w:sz="8" w:color="CFF0FC"/>
            </w:tcBorders>
            <w:shd w:val="clear" w:color="auto" w:fill="CFF0FC"/>
          </w:tcPr>
          <w:p>
            <w:pPr>
              <w:spacing w:after="0"/>
              <w:rPr>
                <w:sz w:val="14"/>
                <w:szCs w:val="14"/>
                <w:color w:val="auto"/>
              </w:rPr>
            </w:pPr>
          </w:p>
        </w:tc>
        <w:tc>
          <w:tcPr>
            <w:tcW w:w="640" w:type="dxa"/>
            <w:vAlign w:val="bottom"/>
            <w:tcBorders>
              <w:bottom w:val="single" w:sz="8" w:color="CFF0FC"/>
            </w:tcBorders>
            <w:shd w:val="clear" w:color="auto" w:fill="CFF0FC"/>
          </w:tcPr>
          <w:p>
            <w:pPr>
              <w:spacing w:after="0"/>
              <w:rPr>
                <w:sz w:val="14"/>
                <w:szCs w:val="14"/>
                <w:color w:val="auto"/>
              </w:rPr>
            </w:pPr>
          </w:p>
        </w:tc>
        <w:tc>
          <w:tcPr>
            <w:tcW w:w="340" w:type="dxa"/>
            <w:vAlign w:val="bottom"/>
            <w:tcBorders>
              <w:bottom w:val="single" w:sz="8" w:color="CFF0FC"/>
            </w:tcBorders>
            <w:shd w:val="clear" w:color="auto" w:fill="CFF0FC"/>
          </w:tcPr>
          <w:p>
            <w:pPr>
              <w:spacing w:after="0"/>
              <w:rPr>
                <w:sz w:val="14"/>
                <w:szCs w:val="14"/>
                <w:color w:val="auto"/>
              </w:rPr>
            </w:pPr>
          </w:p>
        </w:tc>
        <w:tc>
          <w:tcPr>
            <w:tcW w:w="580" w:type="dxa"/>
            <w:vAlign w:val="bottom"/>
            <w:tcBorders>
              <w:bottom w:val="single" w:sz="8" w:color="CFF0FC"/>
            </w:tcBorders>
            <w:shd w:val="clear" w:color="auto" w:fill="CFF0FC"/>
          </w:tcPr>
          <w:p>
            <w:pPr>
              <w:spacing w:after="0"/>
              <w:rPr>
                <w:sz w:val="14"/>
                <w:szCs w:val="14"/>
                <w:color w:val="auto"/>
              </w:rPr>
            </w:pPr>
          </w:p>
        </w:tc>
        <w:tc>
          <w:tcPr>
            <w:tcW w:w="340" w:type="dxa"/>
            <w:vAlign w:val="bottom"/>
            <w:tcBorders>
              <w:bottom w:val="single" w:sz="8" w:color="CFF0FC"/>
            </w:tcBorders>
            <w:shd w:val="clear" w:color="auto" w:fill="CFF0FC"/>
          </w:tcPr>
          <w:p>
            <w:pPr>
              <w:spacing w:after="0"/>
              <w:rPr>
                <w:sz w:val="14"/>
                <w:szCs w:val="14"/>
                <w:color w:val="auto"/>
              </w:rPr>
            </w:pPr>
          </w:p>
        </w:tc>
        <w:tc>
          <w:tcPr>
            <w:tcW w:w="580" w:type="dxa"/>
            <w:vAlign w:val="bottom"/>
            <w:tcBorders>
              <w:bottom w:val="single" w:sz="8" w:color="CFF0FC"/>
            </w:tcBorders>
            <w:shd w:val="clear" w:color="auto" w:fill="CFF0FC"/>
          </w:tcPr>
          <w:p>
            <w:pPr>
              <w:spacing w:after="0"/>
              <w:rPr>
                <w:sz w:val="14"/>
                <w:szCs w:val="14"/>
                <w:color w:val="auto"/>
              </w:rPr>
            </w:pPr>
          </w:p>
        </w:tc>
        <w:tc>
          <w:tcPr>
            <w:tcW w:w="300" w:type="dxa"/>
            <w:vAlign w:val="bottom"/>
            <w:tcBorders>
              <w:bottom w:val="single" w:sz="8" w:color="CFF0FC"/>
            </w:tcBorders>
            <w:shd w:val="clear" w:color="auto" w:fill="CFF0FC"/>
          </w:tcPr>
          <w:p>
            <w:pPr>
              <w:spacing w:after="0"/>
              <w:rPr>
                <w:sz w:val="14"/>
                <w:szCs w:val="14"/>
                <w:color w:val="auto"/>
              </w:rPr>
            </w:pPr>
          </w:p>
        </w:tc>
        <w:tc>
          <w:tcPr>
            <w:tcW w:w="640" w:type="dxa"/>
            <w:vAlign w:val="bottom"/>
            <w:tcBorders>
              <w:bottom w:val="single" w:sz="8" w:color="CFF0FC"/>
            </w:tcBorders>
            <w:shd w:val="clear" w:color="auto" w:fill="CFF0FC"/>
          </w:tcPr>
          <w:p>
            <w:pPr>
              <w:spacing w:after="0"/>
              <w:rPr>
                <w:sz w:val="14"/>
                <w:szCs w:val="14"/>
                <w:color w:val="auto"/>
              </w:rPr>
            </w:pPr>
          </w:p>
        </w:tc>
        <w:tc>
          <w:tcPr>
            <w:tcW w:w="200" w:type="dxa"/>
            <w:vAlign w:val="bottom"/>
            <w:tcBorders>
              <w:bottom w:val="single" w:sz="8" w:color="auto"/>
            </w:tcBorders>
            <w:shd w:val="clear" w:color="auto" w:fill="CFF0FC"/>
          </w:tcPr>
          <w:p>
            <w:pPr>
              <w:spacing w:after="0"/>
              <w:rPr>
                <w:sz w:val="14"/>
                <w:szCs w:val="14"/>
                <w:color w:val="auto"/>
              </w:rPr>
            </w:pPr>
          </w:p>
        </w:tc>
        <w:tc>
          <w:tcPr>
            <w:tcW w:w="6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(21.4 )</w:t>
            </w:r>
          </w:p>
        </w:tc>
      </w:tr>
      <w:tr>
        <w:trPr>
          <w:trHeight w:val="169"/>
        </w:trPr>
        <w:tc>
          <w:tcPr>
            <w:tcW w:w="20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Total</w:t>
            </w:r>
          </w:p>
        </w:tc>
        <w:tc>
          <w:tcPr>
            <w:tcW w:w="1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6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4,520.7</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4,856.1</w:t>
            </w:r>
          </w:p>
        </w:tc>
      </w:tr>
      <w:tr>
        <w:trPr>
          <w:trHeight w:val="20"/>
        </w:trPr>
        <w:tc>
          <w:tcPr>
            <w:tcW w:w="20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4231005</wp:posOffset>
            </wp:positionH>
            <wp:positionV relativeFrom="paragraph">
              <wp:posOffset>-1311275</wp:posOffset>
            </wp:positionV>
            <wp:extent cx="68580"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4231005</wp:posOffset>
            </wp:positionH>
            <wp:positionV relativeFrom="paragraph">
              <wp:posOffset>-616585</wp:posOffset>
            </wp:positionV>
            <wp:extent cx="68580"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4231005</wp:posOffset>
            </wp:positionH>
            <wp:positionV relativeFrom="paragraph">
              <wp:posOffset>-385445</wp:posOffset>
            </wp:positionV>
            <wp:extent cx="68580"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4231005</wp:posOffset>
            </wp:positionH>
            <wp:positionV relativeFrom="paragraph">
              <wp:posOffset>-145415</wp:posOffset>
            </wp:positionV>
            <wp:extent cx="68580"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ind w:left="520" w:right="460" w:hanging="512"/>
        <w:spacing w:after="0" w:line="280" w:lineRule="auto"/>
        <w:tabs>
          <w:tab w:leader="none" w:pos="520" w:val="left"/>
        </w:tabs>
        <w:numPr>
          <w:ilvl w:val="0"/>
          <w:numId w:val="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Effective January 1, 2024, our segment reporting was realigned to include our Puerto Rico business within Other Americas. Accordingly, United States is now adjusted to exclude Puerto Rico. All previously reported results have been restated to conform to the current year presentation.</w:t>
      </w:r>
    </w:p>
    <w:p>
      <w:pPr>
        <w:spacing w:after="0" w:line="221" w:lineRule="exact"/>
        <w:rPr>
          <w:sz w:val="20"/>
          <w:szCs w:val="20"/>
          <w:color w:val="auto"/>
        </w:rPr>
      </w:pPr>
    </w:p>
    <w:p>
      <w:pPr>
        <w:jc w:val="center"/>
        <w:ind w:left="1880"/>
        <w:spacing w:after="0"/>
        <w:rPr>
          <w:sz w:val="20"/>
          <w:szCs w:val="20"/>
          <w:color w:val="auto"/>
        </w:rPr>
      </w:pPr>
      <w:r>
        <w:rPr>
          <w:rFonts w:ascii="Times New Roman" w:cs="Times New Roman" w:eastAsia="Times New Roman" w:hAnsi="Times New Roman"/>
          <w:sz w:val="14"/>
          <w:szCs w:val="14"/>
          <w:b w:val="1"/>
          <w:bCs w:val="1"/>
          <w:color w:val="auto"/>
        </w:rPr>
        <w:t>Six Months Ended 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1273810</wp:posOffset>
            </wp:positionH>
            <wp:positionV relativeFrom="paragraph">
              <wp:posOffset>16510</wp:posOffset>
            </wp:positionV>
            <wp:extent cx="5863590"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5863590" cy="8255"/>
                    </a:xfrm>
                    <a:prstGeom prst="rect">
                      <a:avLst/>
                    </a:prstGeom>
                    <a:noFill/>
                  </pic:spPr>
                </pic:pic>
              </a:graphicData>
            </a:graphic>
          </wp:anchor>
        </w:drawing>
      </w:r>
    </w:p>
    <w:p>
      <w:pPr>
        <w:spacing w:after="0" w:line="30" w:lineRule="exact"/>
        <w:rPr>
          <w:sz w:val="20"/>
          <w:szCs w:val="20"/>
          <w:color w:val="auto"/>
        </w:rPr>
      </w:pPr>
    </w:p>
    <w:p>
      <w:pPr>
        <w:ind w:left="4140"/>
        <w:spacing w:after="0"/>
        <w:tabs>
          <w:tab w:leader="none" w:pos="8740" w:val="left"/>
        </w:tabs>
        <w:rPr>
          <w:sz w:val="20"/>
          <w:szCs w:val="20"/>
          <w:color w:val="auto"/>
        </w:rPr>
      </w:pPr>
      <w:r>
        <w:rPr>
          <w:rFonts w:ascii="Times New Roman" w:cs="Times New Roman" w:eastAsia="Times New Roman" w:hAnsi="Times New Roman"/>
          <w:sz w:val="14"/>
          <w:szCs w:val="14"/>
          <w:b w:val="1"/>
          <w:bCs w:val="1"/>
          <w:color w:val="auto"/>
        </w:rPr>
        <w:t>2024</w:t>
      </w:r>
      <w:r>
        <w:rPr>
          <w:sz w:val="20"/>
          <w:szCs w:val="20"/>
          <w:color w:val="auto"/>
        </w:rPr>
        <w:tab/>
      </w:r>
      <w:r>
        <w:rPr>
          <w:rFonts w:ascii="Times New Roman" w:cs="Times New Roman" w:eastAsia="Times New Roman" w:hAnsi="Times New Roman"/>
          <w:sz w:val="14"/>
          <w:szCs w:val="14"/>
          <w:b w:val="1"/>
          <w:bCs w:val="1"/>
          <w:color w:val="auto"/>
        </w:rPr>
        <w:t>2023</w:t>
      </w:r>
      <w:r>
        <w:rPr>
          <w:rFonts w:ascii="Times New Roman" w:cs="Times New Roman" w:eastAsia="Times New Roman" w:hAnsi="Times New Roman"/>
          <w:sz w:val="19"/>
          <w:szCs w:val="19"/>
          <w:b w:val="1"/>
          <w:bCs w:val="1"/>
          <w:color w:val="auto"/>
          <w:vertAlign w:val="superscript"/>
        </w:rPr>
        <w:t>(a)</w:t>
      </w:r>
    </w:p>
    <w:p>
      <w:pPr>
        <w:sectPr>
          <w:pgSz w:w="11900" w:h="16838" w:orient="portrait"/>
          <w:cols w:equalWidth="0" w:num="1">
            <w:col w:w="11240"/>
          </w:cols>
          <w:pgMar w:left="320" w:top="1201" w:right="339" w:bottom="1440" w:gutter="0" w:footer="0" w:header="0"/>
          <w:type w:val="continuous"/>
        </w:sectPr>
      </w:pPr>
    </w:p>
    <w:tbl>
      <w:tblPr>
        <w:tblLayout w:type="fixed"/>
        <w:tblInd w:w="2000" w:type="dxa"/>
        <w:tblCellMar>
          <w:top w:w="0" w:type="dxa"/>
          <w:left w:w="0" w:type="dxa"/>
          <w:bottom w:w="0" w:type="dxa"/>
          <w:right w:w="0" w:type="dxa"/>
        </w:tblCellMar>
      </w:tblPr>
      <w:tr>
        <w:trPr>
          <w:trHeight w:val="131"/>
        </w:trPr>
        <w:tc>
          <w:tcPr>
            <w:tcW w:w="780" w:type="dxa"/>
            <w:vAlign w:val="bottom"/>
            <w:tcBorders>
              <w:top w:val="single" w:sz="8" w:color="auto"/>
            </w:tcBorders>
          </w:tcPr>
          <w:p>
            <w:pPr>
              <w:spacing w:after="0"/>
              <w:rPr>
                <w:sz w:val="11"/>
                <w:szCs w:val="11"/>
                <w:color w:val="auto"/>
              </w:rPr>
            </w:pPr>
          </w:p>
        </w:tc>
        <w:tc>
          <w:tcPr>
            <w:tcW w:w="1000" w:type="dxa"/>
            <w:vAlign w:val="bottom"/>
            <w:tcBorders>
              <w:top w:val="single" w:sz="8" w:color="auto"/>
            </w:tcBorders>
          </w:tcPr>
          <w:p>
            <w:pPr>
              <w:jc w:val="center"/>
              <w:spacing w:after="0" w:line="131" w:lineRule="exact"/>
              <w:rPr>
                <w:sz w:val="20"/>
                <w:szCs w:val="20"/>
                <w:color w:val="auto"/>
              </w:rPr>
            </w:pPr>
            <w:r>
              <w:rPr>
                <w:rFonts w:ascii="Times New Roman" w:cs="Times New Roman" w:eastAsia="Times New Roman" w:hAnsi="Times New Roman"/>
                <w:sz w:val="14"/>
                <w:szCs w:val="14"/>
                <w:b w:val="1"/>
                <w:bCs w:val="1"/>
                <w:color w:val="auto"/>
              </w:rPr>
              <w:t>Outcome-</w:t>
            </w:r>
          </w:p>
        </w:tc>
        <w:tc>
          <w:tcPr>
            <w:tcW w:w="1060" w:type="dxa"/>
            <w:vAlign w:val="bottom"/>
            <w:tcBorders>
              <w:top w:val="single" w:sz="8" w:color="auto"/>
            </w:tcBorders>
          </w:tcPr>
          <w:p>
            <w:pPr>
              <w:spacing w:after="0"/>
              <w:rPr>
                <w:sz w:val="11"/>
                <w:szCs w:val="11"/>
                <w:color w:val="auto"/>
              </w:rPr>
            </w:pPr>
          </w:p>
        </w:tc>
        <w:tc>
          <w:tcPr>
            <w:tcW w:w="900" w:type="dxa"/>
            <w:vAlign w:val="bottom"/>
            <w:tcBorders>
              <w:top w:val="single" w:sz="8" w:color="auto"/>
            </w:tcBorders>
          </w:tcPr>
          <w:p>
            <w:pPr>
              <w:spacing w:after="0"/>
              <w:rPr>
                <w:sz w:val="11"/>
                <w:szCs w:val="11"/>
                <w:color w:val="auto"/>
              </w:rPr>
            </w:pPr>
          </w:p>
        </w:tc>
        <w:tc>
          <w:tcPr>
            <w:tcW w:w="920" w:type="dxa"/>
            <w:vAlign w:val="bottom"/>
            <w:tcBorders>
              <w:top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780" w:type="dxa"/>
            <w:vAlign w:val="bottom"/>
            <w:vMerge w:val="restart"/>
          </w:tcPr>
          <w:p>
            <w:pPr>
              <w:jc w:val="center"/>
              <w:ind w:right="8"/>
              <w:spacing w:after="0"/>
              <w:rPr>
                <w:sz w:val="20"/>
                <w:szCs w:val="20"/>
                <w:color w:val="auto"/>
              </w:rPr>
            </w:pPr>
            <w:r>
              <w:rPr>
                <w:rFonts w:ascii="Times New Roman" w:cs="Times New Roman" w:eastAsia="Times New Roman" w:hAnsi="Times New Roman"/>
                <w:sz w:val="14"/>
                <w:szCs w:val="14"/>
                <w:b w:val="1"/>
                <w:bCs w:val="1"/>
                <w:color w:val="auto"/>
              </w:rPr>
              <w:t>Staffing</w:t>
            </w:r>
          </w:p>
        </w:tc>
        <w:tc>
          <w:tcPr>
            <w:tcW w:w="10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Based</w:t>
            </w:r>
          </w:p>
        </w:tc>
        <w:tc>
          <w:tcPr>
            <w:tcW w:w="10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Permanent</w:t>
            </w:r>
          </w:p>
        </w:tc>
        <w:tc>
          <w:tcPr>
            <w:tcW w:w="9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780" w:type="dxa"/>
            <w:vAlign w:val="bottom"/>
            <w:vMerge w:val="continue"/>
          </w:tcPr>
          <w:p>
            <w:pPr>
              <w:spacing w:after="0"/>
              <w:rPr>
                <w:sz w:val="12"/>
                <w:szCs w:val="12"/>
                <w:color w:val="auto"/>
              </w:rPr>
            </w:pPr>
          </w:p>
        </w:tc>
        <w:tc>
          <w:tcPr>
            <w:tcW w:w="10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Solutions</w:t>
            </w:r>
          </w:p>
        </w:tc>
        <w:tc>
          <w:tcPr>
            <w:tcW w:w="1060" w:type="dxa"/>
            <w:vAlign w:val="bottom"/>
            <w:vMerge w:val="continue"/>
          </w:tcPr>
          <w:p>
            <w:pPr>
              <w:spacing w:after="0"/>
              <w:rPr>
                <w:sz w:val="12"/>
                <w:szCs w:val="12"/>
                <w:color w:val="auto"/>
              </w:rPr>
            </w:pPr>
          </w:p>
        </w:tc>
        <w:tc>
          <w:tcPr>
            <w:tcW w:w="9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780" w:type="dxa"/>
            <w:vAlign w:val="bottom"/>
          </w:tcPr>
          <w:p>
            <w:pPr>
              <w:jc w:val="center"/>
              <w:ind w:right="8"/>
              <w:spacing w:after="0" w:line="149" w:lineRule="exact"/>
              <w:rPr>
                <w:sz w:val="20"/>
                <w:szCs w:val="20"/>
                <w:color w:val="auto"/>
              </w:rPr>
            </w:pPr>
            <w:r>
              <w:rPr>
                <w:rFonts w:ascii="Times New Roman" w:cs="Times New Roman" w:eastAsia="Times New Roman" w:hAnsi="Times New Roman"/>
                <w:sz w:val="14"/>
                <w:szCs w:val="14"/>
                <w:b w:val="1"/>
                <w:bCs w:val="1"/>
                <w:color w:val="auto"/>
                <w:w w:val="97"/>
              </w:rPr>
              <w:t>and</w:t>
            </w:r>
          </w:p>
        </w:tc>
        <w:tc>
          <w:tcPr>
            <w:tcW w:w="10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and</w:t>
            </w:r>
          </w:p>
        </w:tc>
        <w:tc>
          <w:tcPr>
            <w:tcW w:w="10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Recruitme</w:t>
            </w:r>
          </w:p>
        </w:tc>
        <w:tc>
          <w:tcPr>
            <w:tcW w:w="900" w:type="dxa"/>
            <w:vAlign w:val="bottom"/>
            <w:vMerge w:val="restart"/>
          </w:tcPr>
          <w:p>
            <w:pPr>
              <w:ind w:left="220"/>
              <w:spacing w:after="0"/>
              <w:rPr>
                <w:sz w:val="20"/>
                <w:szCs w:val="20"/>
                <w:color w:val="auto"/>
              </w:rPr>
            </w:pPr>
            <w:r>
              <w:rPr>
                <w:rFonts w:ascii="Times New Roman" w:cs="Times New Roman" w:eastAsia="Times New Roman" w:hAnsi="Times New Roman"/>
                <w:sz w:val="14"/>
                <w:szCs w:val="14"/>
                <w:b w:val="1"/>
                <w:bCs w:val="1"/>
                <w:color w:val="auto"/>
              </w:rPr>
              <w:t>Other</w:t>
            </w:r>
          </w:p>
        </w:tc>
        <w:tc>
          <w:tcPr>
            <w:tcW w:w="920" w:type="dxa"/>
            <w:vAlign w:val="bottom"/>
            <w:vMerge w:val="restart"/>
          </w:tcPr>
          <w:p>
            <w:pPr>
              <w:ind w:left="30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87"/>
        </w:trPr>
        <w:tc>
          <w:tcPr>
            <w:tcW w:w="780" w:type="dxa"/>
            <w:vAlign w:val="bottom"/>
          </w:tcPr>
          <w:p>
            <w:pPr>
              <w:jc w:val="center"/>
              <w:ind w:right="8"/>
              <w:spacing w:after="0"/>
              <w:rPr>
                <w:sz w:val="20"/>
                <w:szCs w:val="20"/>
                <w:color w:val="auto"/>
              </w:rPr>
            </w:pPr>
            <w:r>
              <w:rPr>
                <w:rFonts w:ascii="Times New Roman" w:cs="Times New Roman" w:eastAsia="Times New Roman" w:hAnsi="Times New Roman"/>
                <w:sz w:val="14"/>
                <w:szCs w:val="14"/>
                <w:b w:val="1"/>
                <w:bCs w:val="1"/>
                <w:color w:val="auto"/>
              </w:rPr>
              <w:t>Interim</w:t>
            </w:r>
          </w:p>
        </w:tc>
        <w:tc>
          <w:tcPr>
            <w:tcW w:w="10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Consulting</w:t>
            </w:r>
          </w:p>
        </w:tc>
        <w:tc>
          <w:tcPr>
            <w:tcW w:w="10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nt</w:t>
            </w:r>
          </w:p>
        </w:tc>
        <w:tc>
          <w:tcPr>
            <w:tcW w:w="900" w:type="dxa"/>
            <w:vAlign w:val="bottom"/>
            <w:vMerge w:val="continue"/>
          </w:tcPr>
          <w:p>
            <w:pPr>
              <w:spacing w:after="0"/>
              <w:rPr>
                <w:sz w:val="16"/>
                <w:szCs w:val="16"/>
                <w:color w:val="auto"/>
              </w:rPr>
            </w:pPr>
          </w:p>
        </w:tc>
        <w:tc>
          <w:tcPr>
            <w:tcW w:w="9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31"/>
        </w:trPr>
        <w:tc>
          <w:tcPr>
            <w:tcW w:w="760" w:type="dxa"/>
            <w:vAlign w:val="bottom"/>
            <w:tcBorders>
              <w:top w:val="single" w:sz="8" w:color="auto"/>
            </w:tcBorders>
          </w:tcPr>
          <w:p>
            <w:pPr>
              <w:spacing w:after="0"/>
              <w:rPr>
                <w:sz w:val="11"/>
                <w:szCs w:val="11"/>
                <w:color w:val="auto"/>
              </w:rPr>
            </w:pPr>
          </w:p>
        </w:tc>
        <w:tc>
          <w:tcPr>
            <w:tcW w:w="960" w:type="dxa"/>
            <w:vAlign w:val="bottom"/>
            <w:tcBorders>
              <w:top w:val="single" w:sz="8" w:color="auto"/>
            </w:tcBorders>
          </w:tcPr>
          <w:p>
            <w:pPr>
              <w:jc w:val="center"/>
              <w:spacing w:after="0" w:line="131" w:lineRule="exact"/>
              <w:rPr>
                <w:sz w:val="20"/>
                <w:szCs w:val="20"/>
                <w:color w:val="auto"/>
              </w:rPr>
            </w:pPr>
            <w:r>
              <w:rPr>
                <w:rFonts w:ascii="Times New Roman" w:cs="Times New Roman" w:eastAsia="Times New Roman" w:hAnsi="Times New Roman"/>
                <w:sz w:val="14"/>
                <w:szCs w:val="14"/>
                <w:b w:val="1"/>
                <w:bCs w:val="1"/>
                <w:color w:val="auto"/>
              </w:rPr>
              <w:t>Outcome-</w:t>
            </w:r>
          </w:p>
        </w:tc>
        <w:tc>
          <w:tcPr>
            <w:tcW w:w="960" w:type="dxa"/>
            <w:vAlign w:val="bottom"/>
            <w:tcBorders>
              <w:top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Permanen</w:t>
            </w:r>
          </w:p>
        </w:tc>
        <w:tc>
          <w:tcPr>
            <w:tcW w:w="840" w:type="dxa"/>
            <w:vAlign w:val="bottom"/>
            <w:tcBorders>
              <w:top w:val="single" w:sz="8" w:color="auto"/>
            </w:tcBorders>
          </w:tcPr>
          <w:p>
            <w:pPr>
              <w:spacing w:after="0"/>
              <w:rPr>
                <w:sz w:val="11"/>
                <w:szCs w:val="11"/>
                <w:color w:val="auto"/>
              </w:rPr>
            </w:pPr>
          </w:p>
        </w:tc>
        <w:tc>
          <w:tcPr>
            <w:tcW w:w="940" w:type="dxa"/>
            <w:vAlign w:val="bottom"/>
            <w:tcBorders>
              <w:top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760" w:type="dxa"/>
            <w:vAlign w:val="bottom"/>
            <w:vMerge w:val="restart"/>
          </w:tcPr>
          <w:p>
            <w:pPr>
              <w:jc w:val="center"/>
              <w:ind w:right="8"/>
              <w:spacing w:after="0"/>
              <w:rPr>
                <w:sz w:val="20"/>
                <w:szCs w:val="20"/>
                <w:color w:val="auto"/>
              </w:rPr>
            </w:pPr>
            <w:r>
              <w:rPr>
                <w:rFonts w:ascii="Times New Roman" w:cs="Times New Roman" w:eastAsia="Times New Roman" w:hAnsi="Times New Roman"/>
                <w:sz w:val="14"/>
                <w:szCs w:val="14"/>
                <w:b w:val="1"/>
                <w:bCs w:val="1"/>
                <w:color w:val="auto"/>
              </w:rPr>
              <w:t>Staffing</w:t>
            </w:r>
          </w:p>
        </w:tc>
        <w:tc>
          <w:tcPr>
            <w:tcW w:w="9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Based</w:t>
            </w:r>
          </w:p>
        </w:tc>
        <w:tc>
          <w:tcPr>
            <w:tcW w:w="960" w:type="dxa"/>
            <w:vAlign w:val="bottom"/>
            <w:vMerge w:val="continue"/>
          </w:tcPr>
          <w:p>
            <w:pPr>
              <w:spacing w:after="0"/>
              <w:rPr>
                <w:sz w:val="12"/>
                <w:szCs w:val="12"/>
                <w:color w:val="auto"/>
              </w:rPr>
            </w:pPr>
          </w:p>
        </w:tc>
        <w:tc>
          <w:tcPr>
            <w:tcW w:w="8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760" w:type="dxa"/>
            <w:vAlign w:val="bottom"/>
            <w:vMerge w:val="continue"/>
          </w:tcPr>
          <w:p>
            <w:pPr>
              <w:spacing w:after="0"/>
              <w:rPr>
                <w:sz w:val="12"/>
                <w:szCs w:val="12"/>
                <w:color w:val="auto"/>
              </w:rPr>
            </w:pPr>
          </w:p>
        </w:tc>
        <w:tc>
          <w:tcPr>
            <w:tcW w:w="9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Solutions</w:t>
            </w:r>
          </w:p>
        </w:tc>
        <w:tc>
          <w:tcPr>
            <w:tcW w:w="9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84"/>
              </w:rPr>
              <w:t>t</w:t>
            </w:r>
          </w:p>
        </w:tc>
        <w:tc>
          <w:tcPr>
            <w:tcW w:w="8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760" w:type="dxa"/>
            <w:vAlign w:val="bottom"/>
          </w:tcPr>
          <w:p>
            <w:pPr>
              <w:jc w:val="center"/>
              <w:ind w:right="8"/>
              <w:spacing w:after="0" w:line="149" w:lineRule="exact"/>
              <w:rPr>
                <w:sz w:val="20"/>
                <w:szCs w:val="20"/>
                <w:color w:val="auto"/>
              </w:rPr>
            </w:pPr>
            <w:r>
              <w:rPr>
                <w:rFonts w:ascii="Times New Roman" w:cs="Times New Roman" w:eastAsia="Times New Roman" w:hAnsi="Times New Roman"/>
                <w:sz w:val="14"/>
                <w:szCs w:val="14"/>
                <w:b w:val="1"/>
                <w:bCs w:val="1"/>
                <w:color w:val="auto"/>
              </w:rPr>
              <w:t>and</w:t>
            </w:r>
          </w:p>
        </w:tc>
        <w:tc>
          <w:tcPr>
            <w:tcW w:w="9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and</w:t>
            </w:r>
          </w:p>
        </w:tc>
        <w:tc>
          <w:tcPr>
            <w:tcW w:w="9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Recruitme</w:t>
            </w:r>
          </w:p>
        </w:tc>
        <w:tc>
          <w:tcPr>
            <w:tcW w:w="840" w:type="dxa"/>
            <w:vAlign w:val="bottom"/>
            <w:vMerge w:val="restart"/>
          </w:tcPr>
          <w:p>
            <w:pPr>
              <w:ind w:left="200"/>
              <w:spacing w:after="0"/>
              <w:rPr>
                <w:sz w:val="20"/>
                <w:szCs w:val="20"/>
                <w:color w:val="auto"/>
              </w:rPr>
            </w:pPr>
            <w:r>
              <w:rPr>
                <w:rFonts w:ascii="Times New Roman" w:cs="Times New Roman" w:eastAsia="Times New Roman" w:hAnsi="Times New Roman"/>
                <w:sz w:val="14"/>
                <w:szCs w:val="14"/>
                <w:b w:val="1"/>
                <w:bCs w:val="1"/>
                <w:color w:val="auto"/>
              </w:rPr>
              <w:t>Other</w:t>
            </w:r>
          </w:p>
        </w:tc>
        <w:tc>
          <w:tcPr>
            <w:tcW w:w="940" w:type="dxa"/>
            <w:vAlign w:val="bottom"/>
            <w:vMerge w:val="restart"/>
          </w:tcPr>
          <w:p>
            <w:pPr>
              <w:ind w:left="30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87"/>
        </w:trPr>
        <w:tc>
          <w:tcPr>
            <w:tcW w:w="760" w:type="dxa"/>
            <w:vAlign w:val="bottom"/>
          </w:tcPr>
          <w:p>
            <w:pPr>
              <w:jc w:val="center"/>
              <w:ind w:right="8"/>
              <w:spacing w:after="0"/>
              <w:rPr>
                <w:sz w:val="20"/>
                <w:szCs w:val="20"/>
                <w:color w:val="auto"/>
              </w:rPr>
            </w:pPr>
            <w:r>
              <w:rPr>
                <w:rFonts w:ascii="Times New Roman" w:cs="Times New Roman" w:eastAsia="Times New Roman" w:hAnsi="Times New Roman"/>
                <w:sz w:val="14"/>
                <w:szCs w:val="14"/>
                <w:b w:val="1"/>
                <w:bCs w:val="1"/>
                <w:color w:val="auto"/>
              </w:rPr>
              <w:t>Interim</w:t>
            </w:r>
          </w:p>
        </w:tc>
        <w:tc>
          <w:tcPr>
            <w:tcW w:w="9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Consulting</w:t>
            </w:r>
          </w:p>
        </w:tc>
        <w:tc>
          <w:tcPr>
            <w:tcW w:w="9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nt</w:t>
            </w:r>
          </w:p>
        </w:tc>
        <w:tc>
          <w:tcPr>
            <w:tcW w:w="840" w:type="dxa"/>
            <w:vAlign w:val="bottom"/>
            <w:vMerge w:val="continue"/>
          </w:tcPr>
          <w:p>
            <w:pPr>
              <w:spacing w:after="0"/>
              <w:rPr>
                <w:sz w:val="16"/>
                <w:szCs w:val="16"/>
                <w:color w:val="auto"/>
              </w:rPr>
            </w:pPr>
          </w:p>
        </w:tc>
        <w:tc>
          <w:tcPr>
            <w:tcW w:w="9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p>
      <w:pPr>
        <w:sectPr>
          <w:pgSz w:w="11900" w:h="16838" w:orient="portrait"/>
          <w:cols w:equalWidth="0" w:num="2">
            <w:col w:w="6660" w:space="120"/>
            <w:col w:w="4460"/>
          </w:cols>
          <w:pgMar w:left="320" w:top="1201" w:right="339" w:bottom="1440" w:gutter="0" w:footer="0" w:header="0"/>
          <w:type w:val="continuous"/>
        </w:sectPr>
      </w:pPr>
    </w:p>
    <w:tbl>
      <w:tblPr>
        <w:tblLayout w:type="fixed"/>
        <w:tblInd w:w="0" w:type="dxa"/>
        <w:tblCellMar>
          <w:top w:w="0" w:type="dxa"/>
          <w:left w:w="0" w:type="dxa"/>
          <w:bottom w:w="0" w:type="dxa"/>
          <w:right w:w="0" w:type="dxa"/>
        </w:tblCellMar>
      </w:tblPr>
      <w:tr>
        <w:trPr>
          <w:trHeight w:val="169"/>
        </w:trPr>
        <w:tc>
          <w:tcPr>
            <w:tcW w:w="2000" w:type="dxa"/>
            <w:vAlign w:val="bottom"/>
            <w:tcBorders>
              <w:top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Americas:</w:t>
            </w:r>
          </w:p>
        </w:tc>
        <w:tc>
          <w:tcPr>
            <w:tcW w:w="180" w:type="dxa"/>
            <w:vAlign w:val="bottom"/>
            <w:tcBorders>
              <w:top w:val="single" w:sz="8" w:color="auto"/>
            </w:tcBorders>
            <w:shd w:val="clear" w:color="auto" w:fill="CFF0FC"/>
          </w:tcPr>
          <w:p>
            <w:pPr>
              <w:spacing w:after="0"/>
              <w:rPr>
                <w:sz w:val="14"/>
                <w:szCs w:val="14"/>
                <w:color w:val="auto"/>
              </w:rPr>
            </w:pPr>
          </w:p>
        </w:tc>
        <w:tc>
          <w:tcPr>
            <w:tcW w:w="640" w:type="dxa"/>
            <w:vAlign w:val="bottom"/>
            <w:tcBorders>
              <w:top w:val="single" w:sz="8" w:color="auto"/>
            </w:tcBorders>
            <w:shd w:val="clear" w:color="auto" w:fill="CFF0FC"/>
          </w:tcPr>
          <w:p>
            <w:pPr>
              <w:spacing w:after="0"/>
              <w:rPr>
                <w:sz w:val="14"/>
                <w:szCs w:val="14"/>
                <w:color w:val="auto"/>
              </w:rPr>
            </w:pPr>
          </w:p>
        </w:tc>
        <w:tc>
          <w:tcPr>
            <w:tcW w:w="360" w:type="dxa"/>
            <w:vAlign w:val="bottom"/>
            <w:tcBorders>
              <w:top w:val="single" w:sz="8" w:color="auto"/>
            </w:tcBorders>
            <w:shd w:val="clear" w:color="auto" w:fill="CFF0FC"/>
          </w:tcPr>
          <w:p>
            <w:pPr>
              <w:spacing w:after="0"/>
              <w:rPr>
                <w:sz w:val="14"/>
                <w:szCs w:val="14"/>
                <w:color w:val="auto"/>
              </w:rPr>
            </w:pPr>
          </w:p>
        </w:tc>
        <w:tc>
          <w:tcPr>
            <w:tcW w:w="600" w:type="dxa"/>
            <w:vAlign w:val="bottom"/>
            <w:tcBorders>
              <w:top w:val="single" w:sz="8" w:color="auto"/>
            </w:tcBorders>
            <w:shd w:val="clear" w:color="auto" w:fill="CFF0FC"/>
          </w:tcPr>
          <w:p>
            <w:pPr>
              <w:spacing w:after="0"/>
              <w:rPr>
                <w:sz w:val="14"/>
                <w:szCs w:val="14"/>
                <w:color w:val="auto"/>
              </w:rPr>
            </w:pPr>
          </w:p>
        </w:tc>
        <w:tc>
          <w:tcPr>
            <w:tcW w:w="360" w:type="dxa"/>
            <w:vAlign w:val="bottom"/>
            <w:tcBorders>
              <w:top w:val="single" w:sz="8" w:color="auto"/>
            </w:tcBorders>
            <w:shd w:val="clear" w:color="auto" w:fill="CFF0FC"/>
          </w:tcPr>
          <w:p>
            <w:pPr>
              <w:spacing w:after="0"/>
              <w:rPr>
                <w:sz w:val="14"/>
                <w:szCs w:val="14"/>
                <w:color w:val="auto"/>
              </w:rPr>
            </w:pPr>
          </w:p>
        </w:tc>
        <w:tc>
          <w:tcPr>
            <w:tcW w:w="620" w:type="dxa"/>
            <w:vAlign w:val="bottom"/>
            <w:tcBorders>
              <w:top w:val="single" w:sz="8" w:color="auto"/>
            </w:tcBorders>
            <w:shd w:val="clear" w:color="auto" w:fill="CFF0FC"/>
          </w:tcPr>
          <w:p>
            <w:pPr>
              <w:spacing w:after="0"/>
              <w:rPr>
                <w:sz w:val="14"/>
                <w:szCs w:val="14"/>
                <w:color w:val="auto"/>
              </w:rPr>
            </w:pPr>
          </w:p>
        </w:tc>
        <w:tc>
          <w:tcPr>
            <w:tcW w:w="360" w:type="dxa"/>
            <w:vAlign w:val="bottom"/>
            <w:tcBorders>
              <w:top w:val="single" w:sz="8" w:color="auto"/>
            </w:tcBorders>
            <w:shd w:val="clear" w:color="auto" w:fill="CFF0FC"/>
          </w:tcPr>
          <w:p>
            <w:pPr>
              <w:spacing w:after="0"/>
              <w:rPr>
                <w:sz w:val="14"/>
                <w:szCs w:val="14"/>
                <w:color w:val="auto"/>
              </w:rPr>
            </w:pPr>
          </w:p>
        </w:tc>
        <w:tc>
          <w:tcPr>
            <w:tcW w:w="740" w:type="dxa"/>
            <w:vAlign w:val="bottom"/>
            <w:tcBorders>
              <w:top w:val="single" w:sz="8" w:color="auto"/>
            </w:tcBorders>
            <w:shd w:val="clear" w:color="auto" w:fill="CFF0FC"/>
          </w:tcPr>
          <w:p>
            <w:pPr>
              <w:spacing w:after="0"/>
              <w:rPr>
                <w:sz w:val="14"/>
                <w:szCs w:val="14"/>
                <w:color w:val="auto"/>
              </w:rPr>
            </w:pPr>
          </w:p>
        </w:tc>
        <w:tc>
          <w:tcPr>
            <w:tcW w:w="160" w:type="dxa"/>
            <w:vAlign w:val="bottom"/>
            <w:tcBorders>
              <w:top w:val="single" w:sz="8" w:color="auto"/>
            </w:tcBorders>
            <w:shd w:val="clear" w:color="auto" w:fill="CFF0FC"/>
          </w:tcPr>
          <w:p>
            <w:pPr>
              <w:spacing w:after="0"/>
              <w:rPr>
                <w:sz w:val="14"/>
                <w:szCs w:val="14"/>
                <w:color w:val="auto"/>
              </w:rPr>
            </w:pPr>
          </w:p>
        </w:tc>
        <w:tc>
          <w:tcPr>
            <w:tcW w:w="640" w:type="dxa"/>
            <w:vAlign w:val="bottom"/>
            <w:tcBorders>
              <w:top w:val="single" w:sz="8" w:color="auto"/>
            </w:tcBorders>
            <w:shd w:val="clear" w:color="auto" w:fill="CFF0FC"/>
          </w:tcPr>
          <w:p>
            <w:pPr>
              <w:spacing w:after="0"/>
              <w:rPr>
                <w:sz w:val="14"/>
                <w:szCs w:val="14"/>
                <w:color w:val="auto"/>
              </w:rPr>
            </w:pPr>
          </w:p>
        </w:tc>
        <w:tc>
          <w:tcPr>
            <w:tcW w:w="120" w:type="dxa"/>
            <w:vAlign w:val="bottom"/>
            <w:tcBorders>
              <w:top w:val="single" w:sz="8" w:color="CFF0FC"/>
            </w:tcBorders>
            <w:shd w:val="clear" w:color="auto" w:fill="CFF0FC"/>
          </w:tcPr>
          <w:p>
            <w:pPr>
              <w:spacing w:after="0"/>
              <w:rPr>
                <w:sz w:val="14"/>
                <w:szCs w:val="14"/>
                <w:color w:val="auto"/>
              </w:rPr>
            </w:pPr>
          </w:p>
        </w:tc>
        <w:tc>
          <w:tcPr>
            <w:tcW w:w="160" w:type="dxa"/>
            <w:vAlign w:val="bottom"/>
            <w:tcBorders>
              <w:top w:val="single" w:sz="8" w:color="auto"/>
            </w:tcBorders>
            <w:shd w:val="clear" w:color="auto" w:fill="CFF0FC"/>
          </w:tcPr>
          <w:p>
            <w:pPr>
              <w:spacing w:after="0"/>
              <w:rPr>
                <w:sz w:val="14"/>
                <w:szCs w:val="14"/>
                <w:color w:val="auto"/>
              </w:rPr>
            </w:pPr>
          </w:p>
        </w:tc>
        <w:tc>
          <w:tcPr>
            <w:tcW w:w="640" w:type="dxa"/>
            <w:vAlign w:val="bottom"/>
            <w:tcBorders>
              <w:top w:val="single" w:sz="8" w:color="auto"/>
            </w:tcBorders>
            <w:shd w:val="clear" w:color="auto" w:fill="CFF0FC"/>
          </w:tcPr>
          <w:p>
            <w:pPr>
              <w:spacing w:after="0"/>
              <w:rPr>
                <w:sz w:val="14"/>
                <w:szCs w:val="14"/>
                <w:color w:val="auto"/>
              </w:rPr>
            </w:pPr>
          </w:p>
        </w:tc>
        <w:tc>
          <w:tcPr>
            <w:tcW w:w="340" w:type="dxa"/>
            <w:vAlign w:val="bottom"/>
            <w:tcBorders>
              <w:top w:val="single" w:sz="8" w:color="auto"/>
            </w:tcBorders>
            <w:shd w:val="clear" w:color="auto" w:fill="CFF0FC"/>
          </w:tcPr>
          <w:p>
            <w:pPr>
              <w:spacing w:after="0"/>
              <w:rPr>
                <w:sz w:val="14"/>
                <w:szCs w:val="14"/>
                <w:color w:val="auto"/>
              </w:rPr>
            </w:pPr>
          </w:p>
        </w:tc>
        <w:tc>
          <w:tcPr>
            <w:tcW w:w="580" w:type="dxa"/>
            <w:vAlign w:val="bottom"/>
            <w:tcBorders>
              <w:top w:val="single" w:sz="8" w:color="auto"/>
            </w:tcBorders>
            <w:shd w:val="clear" w:color="auto" w:fill="CFF0FC"/>
          </w:tcPr>
          <w:p>
            <w:pPr>
              <w:spacing w:after="0"/>
              <w:rPr>
                <w:sz w:val="14"/>
                <w:szCs w:val="14"/>
                <w:color w:val="auto"/>
              </w:rPr>
            </w:pPr>
          </w:p>
        </w:tc>
        <w:tc>
          <w:tcPr>
            <w:tcW w:w="340" w:type="dxa"/>
            <w:vAlign w:val="bottom"/>
            <w:tcBorders>
              <w:top w:val="single" w:sz="8" w:color="auto"/>
            </w:tcBorders>
            <w:shd w:val="clear" w:color="auto" w:fill="CFF0FC"/>
          </w:tcPr>
          <w:p>
            <w:pPr>
              <w:spacing w:after="0"/>
              <w:rPr>
                <w:sz w:val="14"/>
                <w:szCs w:val="14"/>
                <w:color w:val="auto"/>
              </w:rPr>
            </w:pPr>
          </w:p>
        </w:tc>
        <w:tc>
          <w:tcPr>
            <w:tcW w:w="580" w:type="dxa"/>
            <w:vAlign w:val="bottom"/>
            <w:tcBorders>
              <w:top w:val="single" w:sz="8" w:color="auto"/>
            </w:tcBorders>
            <w:shd w:val="clear" w:color="auto" w:fill="CFF0FC"/>
          </w:tcPr>
          <w:p>
            <w:pPr>
              <w:spacing w:after="0"/>
              <w:rPr>
                <w:sz w:val="14"/>
                <w:szCs w:val="14"/>
                <w:color w:val="auto"/>
              </w:rPr>
            </w:pPr>
          </w:p>
        </w:tc>
        <w:tc>
          <w:tcPr>
            <w:tcW w:w="300" w:type="dxa"/>
            <w:vAlign w:val="bottom"/>
            <w:tcBorders>
              <w:top w:val="single" w:sz="8" w:color="auto"/>
            </w:tcBorders>
            <w:shd w:val="clear" w:color="auto" w:fill="CFF0FC"/>
          </w:tcPr>
          <w:p>
            <w:pPr>
              <w:spacing w:after="0"/>
              <w:rPr>
                <w:sz w:val="14"/>
                <w:szCs w:val="14"/>
                <w:color w:val="auto"/>
              </w:rPr>
            </w:pPr>
          </w:p>
        </w:tc>
        <w:tc>
          <w:tcPr>
            <w:tcW w:w="640" w:type="dxa"/>
            <w:vAlign w:val="bottom"/>
            <w:tcBorders>
              <w:top w:val="single" w:sz="8" w:color="auto"/>
            </w:tcBorders>
            <w:shd w:val="clear" w:color="auto" w:fill="CFF0FC"/>
          </w:tcPr>
          <w:p>
            <w:pPr>
              <w:spacing w:after="0"/>
              <w:rPr>
                <w:sz w:val="14"/>
                <w:szCs w:val="14"/>
                <w:color w:val="auto"/>
              </w:rPr>
            </w:pPr>
          </w:p>
        </w:tc>
        <w:tc>
          <w:tcPr>
            <w:tcW w:w="200" w:type="dxa"/>
            <w:vAlign w:val="bottom"/>
            <w:tcBorders>
              <w:top w:val="single" w:sz="8" w:color="auto"/>
            </w:tcBorders>
            <w:shd w:val="clear" w:color="auto" w:fill="CFF0FC"/>
          </w:tcPr>
          <w:p>
            <w:pPr>
              <w:spacing w:after="0"/>
              <w:rPr>
                <w:sz w:val="14"/>
                <w:szCs w:val="14"/>
                <w:color w:val="auto"/>
              </w:rPr>
            </w:pPr>
          </w:p>
        </w:tc>
        <w:tc>
          <w:tcPr>
            <w:tcW w:w="680" w:type="dxa"/>
            <w:vAlign w:val="bottom"/>
            <w:tcBorders>
              <w:top w:val="single" w:sz="8" w:color="auto"/>
            </w:tcBorders>
            <w:shd w:val="clear" w:color="auto" w:fill="CFF0FC"/>
          </w:tcPr>
          <w:p>
            <w:pPr>
              <w:spacing w:after="0"/>
              <w:rPr>
                <w:sz w:val="14"/>
                <w:szCs w:val="14"/>
                <w:color w:val="auto"/>
              </w:rPr>
            </w:pPr>
          </w:p>
        </w:tc>
      </w:tr>
      <w:tr>
        <w:trPr>
          <w:trHeight w:val="175"/>
        </w:trPr>
        <w:tc>
          <w:tcPr>
            <w:tcW w:w="200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United States</w:t>
            </w:r>
          </w:p>
        </w:tc>
        <w:tc>
          <w:tcPr>
            <w:tcW w:w="1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1,231.2</w:t>
            </w:r>
          </w:p>
        </w:tc>
        <w:tc>
          <w:tcPr>
            <w:tcW w:w="36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5.8</w:t>
            </w:r>
          </w:p>
        </w:tc>
        <w:tc>
          <w:tcPr>
            <w:tcW w:w="36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57.2</w:t>
            </w:r>
          </w:p>
        </w:tc>
        <w:tc>
          <w:tcPr>
            <w:tcW w:w="36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Pr>
          <w:p>
            <w:pPr>
              <w:jc w:val="right"/>
              <w:ind w:right="188"/>
              <w:spacing w:after="0"/>
              <w:rPr>
                <w:sz w:val="20"/>
                <w:szCs w:val="20"/>
                <w:color w:val="auto"/>
              </w:rPr>
            </w:pPr>
            <w:r>
              <w:rPr>
                <w:rFonts w:ascii="Times New Roman" w:cs="Times New Roman" w:eastAsia="Times New Roman" w:hAnsi="Times New Roman"/>
                <w:sz w:val="14"/>
                <w:szCs w:val="14"/>
                <w:color w:val="auto"/>
              </w:rPr>
              <w:t>83.2</w:t>
            </w:r>
          </w:p>
        </w:tc>
        <w:tc>
          <w:tcPr>
            <w:tcW w:w="1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1,377.4</w:t>
            </w:r>
          </w:p>
        </w:tc>
        <w:tc>
          <w:tcPr>
            <w:tcW w:w="28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1,289.5</w:t>
            </w:r>
          </w:p>
        </w:tc>
        <w:tc>
          <w:tcPr>
            <w:tcW w:w="34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9.2</w:t>
            </w:r>
          </w:p>
        </w:tc>
        <w:tc>
          <w:tcPr>
            <w:tcW w:w="34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69.7</w:t>
            </w:r>
          </w:p>
        </w:tc>
        <w:tc>
          <w:tcPr>
            <w:tcW w:w="30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Pr>
          <w:p>
            <w:pPr>
              <w:jc w:val="right"/>
              <w:ind w:right="148"/>
              <w:spacing w:after="0"/>
              <w:rPr>
                <w:sz w:val="20"/>
                <w:szCs w:val="20"/>
                <w:color w:val="auto"/>
              </w:rPr>
            </w:pPr>
            <w:r>
              <w:rPr>
                <w:rFonts w:ascii="Times New Roman" w:cs="Times New Roman" w:eastAsia="Times New Roman" w:hAnsi="Times New Roman"/>
                <w:sz w:val="14"/>
                <w:szCs w:val="14"/>
                <w:color w:val="auto"/>
              </w:rPr>
              <w:t>82.3</w:t>
            </w:r>
          </w:p>
        </w:tc>
        <w:tc>
          <w:tcPr>
            <w:tcW w:w="2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1,450.7</w:t>
            </w:r>
          </w:p>
        </w:tc>
      </w:tr>
      <w:tr>
        <w:trPr>
          <w:trHeight w:val="176"/>
        </w:trPr>
        <w:tc>
          <w:tcPr>
            <w:tcW w:w="200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4"/>
                <w:szCs w:val="14"/>
                <w:color w:val="auto"/>
              </w:rPr>
              <w:t>Other Americas</w:t>
            </w:r>
          </w:p>
        </w:tc>
        <w:tc>
          <w:tcPr>
            <w:tcW w:w="180" w:type="dxa"/>
            <w:vAlign w:val="bottom"/>
            <w:tcBorders>
              <w:bottom w:val="single" w:sz="8" w:color="auto"/>
            </w:tcBorders>
            <w:shd w:val="clear" w:color="auto" w:fill="CFF0FC"/>
          </w:tcPr>
          <w:p>
            <w:pPr>
              <w:spacing w:after="0"/>
              <w:rPr>
                <w:sz w:val="15"/>
                <w:szCs w:val="15"/>
                <w:color w:val="auto"/>
              </w:rPr>
            </w:pPr>
          </w:p>
        </w:tc>
        <w:tc>
          <w:tcPr>
            <w:tcW w:w="640" w:type="dxa"/>
            <w:vAlign w:val="bottom"/>
            <w:tcBorders>
              <w:bottom w:val="single" w:sz="8" w:color="auto"/>
            </w:tcBorders>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rPr>
              <w:t>669.9</w:t>
            </w:r>
          </w:p>
        </w:tc>
        <w:tc>
          <w:tcPr>
            <w:tcW w:w="360" w:type="dxa"/>
            <w:vAlign w:val="bottom"/>
            <w:tcBorders>
              <w:bottom w:val="single" w:sz="8" w:color="auto"/>
            </w:tcBorders>
            <w:shd w:val="clear" w:color="auto" w:fill="CFF0FC"/>
          </w:tcPr>
          <w:p>
            <w:pPr>
              <w:spacing w:after="0"/>
              <w:rPr>
                <w:sz w:val="15"/>
                <w:szCs w:val="15"/>
                <w:color w:val="auto"/>
              </w:rPr>
            </w:pPr>
          </w:p>
        </w:tc>
        <w:tc>
          <w:tcPr>
            <w:tcW w:w="600" w:type="dxa"/>
            <w:vAlign w:val="bottom"/>
            <w:tcBorders>
              <w:bottom w:val="single" w:sz="8" w:color="auto"/>
            </w:tcBorders>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23.6</w:t>
            </w:r>
          </w:p>
        </w:tc>
        <w:tc>
          <w:tcPr>
            <w:tcW w:w="360" w:type="dxa"/>
            <w:vAlign w:val="bottom"/>
            <w:tcBorders>
              <w:bottom w:val="single" w:sz="8" w:color="auto"/>
            </w:tcBorders>
            <w:shd w:val="clear" w:color="auto" w:fill="CFF0FC"/>
          </w:tcPr>
          <w:p>
            <w:pPr>
              <w:spacing w:after="0"/>
              <w:rPr>
                <w:sz w:val="15"/>
                <w:szCs w:val="15"/>
                <w:color w:val="auto"/>
              </w:rPr>
            </w:pPr>
          </w:p>
        </w:tc>
        <w:tc>
          <w:tcPr>
            <w:tcW w:w="620" w:type="dxa"/>
            <w:vAlign w:val="bottom"/>
            <w:tcBorders>
              <w:bottom w:val="single" w:sz="8" w:color="auto"/>
            </w:tcBorders>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rPr>
              <w:t>24.1</w:t>
            </w:r>
          </w:p>
        </w:tc>
        <w:tc>
          <w:tcPr>
            <w:tcW w:w="360" w:type="dxa"/>
            <w:vAlign w:val="bottom"/>
            <w:tcBorders>
              <w:bottom w:val="single" w:sz="8" w:color="auto"/>
            </w:tcBorders>
            <w:shd w:val="clear" w:color="auto" w:fill="CFF0FC"/>
          </w:tcPr>
          <w:p>
            <w:pPr>
              <w:spacing w:after="0"/>
              <w:rPr>
                <w:sz w:val="15"/>
                <w:szCs w:val="15"/>
                <w:color w:val="auto"/>
              </w:rPr>
            </w:pPr>
          </w:p>
        </w:tc>
        <w:tc>
          <w:tcPr>
            <w:tcW w:w="740" w:type="dxa"/>
            <w:vAlign w:val="bottom"/>
            <w:tcBorders>
              <w:bottom w:val="single" w:sz="8" w:color="auto"/>
            </w:tcBorders>
            <w:shd w:val="clear" w:color="auto" w:fill="CFF0FC"/>
          </w:tcPr>
          <w:p>
            <w:pPr>
              <w:jc w:val="right"/>
              <w:ind w:right="188"/>
              <w:spacing w:after="0"/>
              <w:rPr>
                <w:sz w:val="20"/>
                <w:szCs w:val="20"/>
                <w:color w:val="auto"/>
              </w:rPr>
            </w:pPr>
            <w:r>
              <w:rPr>
                <w:rFonts w:ascii="Times New Roman" w:cs="Times New Roman" w:eastAsia="Times New Roman" w:hAnsi="Times New Roman"/>
                <w:sz w:val="14"/>
                <w:szCs w:val="14"/>
                <w:color w:val="auto"/>
              </w:rPr>
              <w:t>5.8</w:t>
            </w:r>
          </w:p>
        </w:tc>
        <w:tc>
          <w:tcPr>
            <w:tcW w:w="160" w:type="dxa"/>
            <w:vAlign w:val="bottom"/>
            <w:tcBorders>
              <w:bottom w:val="single" w:sz="8" w:color="auto"/>
            </w:tcBorders>
            <w:shd w:val="clear" w:color="auto" w:fill="CFF0FC"/>
          </w:tcPr>
          <w:p>
            <w:pPr>
              <w:spacing w:after="0"/>
              <w:rPr>
                <w:sz w:val="15"/>
                <w:szCs w:val="15"/>
                <w:color w:val="auto"/>
              </w:rPr>
            </w:pPr>
          </w:p>
        </w:tc>
        <w:tc>
          <w:tcPr>
            <w:tcW w:w="640" w:type="dxa"/>
            <w:vAlign w:val="bottom"/>
            <w:tcBorders>
              <w:bottom w:val="single" w:sz="8" w:color="auto"/>
            </w:tcBorders>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723.4</w:t>
            </w:r>
          </w:p>
        </w:tc>
        <w:tc>
          <w:tcPr>
            <w:tcW w:w="120" w:type="dxa"/>
            <w:vAlign w:val="bottom"/>
            <w:tcBorders>
              <w:bottom w:val="single" w:sz="8" w:color="CFF0FC"/>
            </w:tcBorders>
            <w:shd w:val="clear" w:color="auto" w:fill="CFF0FC"/>
          </w:tcPr>
          <w:p>
            <w:pPr>
              <w:spacing w:after="0"/>
              <w:rPr>
                <w:sz w:val="15"/>
                <w:szCs w:val="15"/>
                <w:color w:val="auto"/>
              </w:rPr>
            </w:pPr>
          </w:p>
        </w:tc>
        <w:tc>
          <w:tcPr>
            <w:tcW w:w="160" w:type="dxa"/>
            <w:vAlign w:val="bottom"/>
            <w:tcBorders>
              <w:bottom w:val="single" w:sz="8" w:color="auto"/>
            </w:tcBorders>
            <w:shd w:val="clear" w:color="auto" w:fill="CFF0FC"/>
          </w:tcPr>
          <w:p>
            <w:pPr>
              <w:spacing w:after="0"/>
              <w:rPr>
                <w:sz w:val="15"/>
                <w:szCs w:val="15"/>
                <w:color w:val="auto"/>
              </w:rPr>
            </w:pPr>
          </w:p>
        </w:tc>
        <w:tc>
          <w:tcPr>
            <w:tcW w:w="640" w:type="dxa"/>
            <w:vAlign w:val="bottom"/>
            <w:tcBorders>
              <w:bottom w:val="single" w:sz="8" w:color="auto"/>
            </w:tcBorders>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727.7</w:t>
            </w:r>
          </w:p>
        </w:tc>
        <w:tc>
          <w:tcPr>
            <w:tcW w:w="340" w:type="dxa"/>
            <w:vAlign w:val="bottom"/>
            <w:tcBorders>
              <w:bottom w:val="single" w:sz="8" w:color="auto"/>
            </w:tcBorders>
            <w:shd w:val="clear" w:color="auto" w:fill="CFF0FC"/>
          </w:tcPr>
          <w:p>
            <w:pPr>
              <w:spacing w:after="0"/>
              <w:rPr>
                <w:sz w:val="15"/>
                <w:szCs w:val="15"/>
                <w:color w:val="auto"/>
              </w:rPr>
            </w:pPr>
          </w:p>
        </w:tc>
        <w:tc>
          <w:tcPr>
            <w:tcW w:w="580" w:type="dxa"/>
            <w:vAlign w:val="bottom"/>
            <w:tcBorders>
              <w:bottom w:val="single" w:sz="8" w:color="auto"/>
            </w:tcBorders>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22.6</w:t>
            </w:r>
          </w:p>
        </w:tc>
        <w:tc>
          <w:tcPr>
            <w:tcW w:w="340" w:type="dxa"/>
            <w:vAlign w:val="bottom"/>
            <w:tcBorders>
              <w:bottom w:val="single" w:sz="8" w:color="auto"/>
            </w:tcBorders>
            <w:shd w:val="clear" w:color="auto" w:fill="CFF0FC"/>
          </w:tcPr>
          <w:p>
            <w:pPr>
              <w:spacing w:after="0"/>
              <w:rPr>
                <w:sz w:val="15"/>
                <w:szCs w:val="15"/>
                <w:color w:val="auto"/>
              </w:rPr>
            </w:pPr>
          </w:p>
        </w:tc>
        <w:tc>
          <w:tcPr>
            <w:tcW w:w="580" w:type="dxa"/>
            <w:vAlign w:val="bottom"/>
            <w:tcBorders>
              <w:bottom w:val="single" w:sz="8" w:color="auto"/>
            </w:tcBorders>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23.5</w:t>
            </w:r>
          </w:p>
        </w:tc>
        <w:tc>
          <w:tcPr>
            <w:tcW w:w="300" w:type="dxa"/>
            <w:vAlign w:val="bottom"/>
            <w:tcBorders>
              <w:bottom w:val="single" w:sz="8" w:color="auto"/>
            </w:tcBorders>
            <w:shd w:val="clear" w:color="auto" w:fill="CFF0FC"/>
          </w:tcPr>
          <w:p>
            <w:pPr>
              <w:spacing w:after="0"/>
              <w:rPr>
                <w:sz w:val="15"/>
                <w:szCs w:val="15"/>
                <w:color w:val="auto"/>
              </w:rPr>
            </w:pPr>
          </w:p>
        </w:tc>
        <w:tc>
          <w:tcPr>
            <w:tcW w:w="640" w:type="dxa"/>
            <w:vAlign w:val="bottom"/>
            <w:tcBorders>
              <w:bottom w:val="single" w:sz="8" w:color="auto"/>
            </w:tcBorders>
            <w:shd w:val="clear" w:color="auto" w:fill="CFF0FC"/>
          </w:tcPr>
          <w:p>
            <w:pPr>
              <w:jc w:val="right"/>
              <w:ind w:right="148"/>
              <w:spacing w:after="0"/>
              <w:rPr>
                <w:sz w:val="20"/>
                <w:szCs w:val="20"/>
                <w:color w:val="auto"/>
              </w:rPr>
            </w:pPr>
            <w:r>
              <w:rPr>
                <w:rFonts w:ascii="Times New Roman" w:cs="Times New Roman" w:eastAsia="Times New Roman" w:hAnsi="Times New Roman"/>
                <w:sz w:val="14"/>
                <w:szCs w:val="14"/>
                <w:color w:val="auto"/>
              </w:rPr>
              <w:t>4.4</w:t>
            </w:r>
          </w:p>
        </w:tc>
        <w:tc>
          <w:tcPr>
            <w:tcW w:w="200" w:type="dxa"/>
            <w:vAlign w:val="bottom"/>
            <w:tcBorders>
              <w:bottom w:val="single" w:sz="8" w:color="auto"/>
            </w:tcBorders>
            <w:shd w:val="clear" w:color="auto" w:fill="CFF0FC"/>
          </w:tcPr>
          <w:p>
            <w:pPr>
              <w:spacing w:after="0"/>
              <w:rPr>
                <w:sz w:val="15"/>
                <w:szCs w:val="15"/>
                <w:color w:val="auto"/>
              </w:rPr>
            </w:pPr>
          </w:p>
        </w:tc>
        <w:tc>
          <w:tcPr>
            <w:tcW w:w="680" w:type="dxa"/>
            <w:vAlign w:val="bottom"/>
            <w:tcBorders>
              <w:bottom w:val="single" w:sz="8" w:color="auto"/>
            </w:tcBorders>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778.2</w:t>
            </w:r>
          </w:p>
        </w:tc>
      </w:tr>
      <w:tr>
        <w:trPr>
          <w:trHeight w:val="169"/>
        </w:trPr>
        <w:tc>
          <w:tcPr>
            <w:tcW w:w="200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color w:val="auto"/>
              </w:rPr>
              <w:t>1,901.1</w:t>
            </w:r>
          </w:p>
        </w:tc>
        <w:tc>
          <w:tcPr>
            <w:tcW w:w="36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29.4</w:t>
            </w:r>
          </w:p>
        </w:tc>
        <w:tc>
          <w:tcPr>
            <w:tcW w:w="36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color w:val="auto"/>
              </w:rPr>
              <w:t>81.3</w:t>
            </w:r>
          </w:p>
        </w:tc>
        <w:tc>
          <w:tcPr>
            <w:tcW w:w="36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188"/>
              <w:spacing w:after="0"/>
              <w:rPr>
                <w:sz w:val="20"/>
                <w:szCs w:val="20"/>
                <w:color w:val="auto"/>
              </w:rPr>
            </w:pPr>
            <w:r>
              <w:rPr>
                <w:rFonts w:ascii="Times New Roman" w:cs="Times New Roman" w:eastAsia="Times New Roman" w:hAnsi="Times New Roman"/>
                <w:sz w:val="14"/>
                <w:szCs w:val="14"/>
                <w:color w:val="auto"/>
              </w:rPr>
              <w:t>89.0</w:t>
            </w:r>
          </w:p>
        </w:tc>
        <w:tc>
          <w:tcPr>
            <w:tcW w:w="1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2,100.8</w:t>
            </w:r>
          </w:p>
        </w:tc>
        <w:tc>
          <w:tcPr>
            <w:tcW w:w="1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2,017.2</w:t>
            </w:r>
          </w:p>
        </w:tc>
        <w:tc>
          <w:tcPr>
            <w:tcW w:w="34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31.8</w:t>
            </w:r>
          </w:p>
        </w:tc>
        <w:tc>
          <w:tcPr>
            <w:tcW w:w="34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93.2</w:t>
            </w:r>
          </w:p>
        </w:tc>
        <w:tc>
          <w:tcPr>
            <w:tcW w:w="30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48"/>
              <w:spacing w:after="0"/>
              <w:rPr>
                <w:sz w:val="20"/>
                <w:szCs w:val="20"/>
                <w:color w:val="auto"/>
              </w:rPr>
            </w:pPr>
            <w:r>
              <w:rPr>
                <w:rFonts w:ascii="Times New Roman" w:cs="Times New Roman" w:eastAsia="Times New Roman" w:hAnsi="Times New Roman"/>
                <w:sz w:val="14"/>
                <w:szCs w:val="14"/>
                <w:color w:val="auto"/>
              </w:rPr>
              <w:t>86.7</w:t>
            </w:r>
          </w:p>
        </w:tc>
        <w:tc>
          <w:tcPr>
            <w:tcW w:w="20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2,228.9</w:t>
            </w:r>
          </w:p>
        </w:tc>
      </w:tr>
      <w:tr>
        <w:trPr>
          <w:trHeight w:val="169"/>
        </w:trPr>
        <w:tc>
          <w:tcPr>
            <w:tcW w:w="20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Southern Europe:</w:t>
            </w:r>
          </w:p>
        </w:tc>
        <w:tc>
          <w:tcPr>
            <w:tcW w:w="180" w:type="dxa"/>
            <w:vAlign w:val="bottom"/>
            <w:shd w:val="clear" w:color="auto" w:fill="CFF0FC"/>
          </w:tcPr>
          <w:p>
            <w:pPr>
              <w:spacing w:after="0"/>
              <w:rPr>
                <w:sz w:val="14"/>
                <w:szCs w:val="14"/>
                <w:color w:val="auto"/>
              </w:rPr>
            </w:pPr>
          </w:p>
        </w:tc>
        <w:tc>
          <w:tcPr>
            <w:tcW w:w="640" w:type="dxa"/>
            <w:vAlign w:val="bottom"/>
            <w:shd w:val="clear" w:color="auto" w:fill="CFF0FC"/>
          </w:tcPr>
          <w:p>
            <w:pPr>
              <w:spacing w:after="0"/>
              <w:rPr>
                <w:sz w:val="14"/>
                <w:szCs w:val="14"/>
                <w:color w:val="auto"/>
              </w:rPr>
            </w:pPr>
          </w:p>
        </w:tc>
        <w:tc>
          <w:tcPr>
            <w:tcW w:w="360" w:type="dxa"/>
            <w:vAlign w:val="bottom"/>
            <w:shd w:val="clear" w:color="auto" w:fill="CFF0FC"/>
          </w:tcPr>
          <w:p>
            <w:pPr>
              <w:spacing w:after="0"/>
              <w:rPr>
                <w:sz w:val="14"/>
                <w:szCs w:val="14"/>
                <w:color w:val="auto"/>
              </w:rPr>
            </w:pPr>
          </w:p>
        </w:tc>
        <w:tc>
          <w:tcPr>
            <w:tcW w:w="600" w:type="dxa"/>
            <w:vAlign w:val="bottom"/>
            <w:shd w:val="clear" w:color="auto" w:fill="CFF0FC"/>
          </w:tcPr>
          <w:p>
            <w:pPr>
              <w:spacing w:after="0"/>
              <w:rPr>
                <w:sz w:val="14"/>
                <w:szCs w:val="14"/>
                <w:color w:val="auto"/>
              </w:rPr>
            </w:pPr>
          </w:p>
        </w:tc>
        <w:tc>
          <w:tcPr>
            <w:tcW w:w="360" w:type="dxa"/>
            <w:vAlign w:val="bottom"/>
            <w:shd w:val="clear" w:color="auto" w:fill="CFF0FC"/>
          </w:tcPr>
          <w:p>
            <w:pPr>
              <w:spacing w:after="0"/>
              <w:rPr>
                <w:sz w:val="14"/>
                <w:szCs w:val="14"/>
                <w:color w:val="auto"/>
              </w:rPr>
            </w:pPr>
          </w:p>
        </w:tc>
        <w:tc>
          <w:tcPr>
            <w:tcW w:w="620" w:type="dxa"/>
            <w:vAlign w:val="bottom"/>
            <w:shd w:val="clear" w:color="auto" w:fill="CFF0FC"/>
          </w:tcPr>
          <w:p>
            <w:pPr>
              <w:spacing w:after="0"/>
              <w:rPr>
                <w:sz w:val="14"/>
                <w:szCs w:val="14"/>
                <w:color w:val="auto"/>
              </w:rPr>
            </w:pPr>
          </w:p>
        </w:tc>
        <w:tc>
          <w:tcPr>
            <w:tcW w:w="360" w:type="dxa"/>
            <w:vAlign w:val="bottom"/>
            <w:shd w:val="clear" w:color="auto" w:fill="CFF0FC"/>
          </w:tcPr>
          <w:p>
            <w:pPr>
              <w:spacing w:after="0"/>
              <w:rPr>
                <w:sz w:val="14"/>
                <w:szCs w:val="14"/>
                <w:color w:val="auto"/>
              </w:rPr>
            </w:pPr>
          </w:p>
        </w:tc>
        <w:tc>
          <w:tcPr>
            <w:tcW w:w="74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6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640" w:type="dxa"/>
            <w:vAlign w:val="bottom"/>
            <w:shd w:val="clear" w:color="auto" w:fill="CFF0FC"/>
          </w:tcPr>
          <w:p>
            <w:pPr>
              <w:spacing w:after="0"/>
              <w:rPr>
                <w:sz w:val="14"/>
                <w:szCs w:val="14"/>
                <w:color w:val="auto"/>
              </w:rPr>
            </w:pPr>
          </w:p>
        </w:tc>
        <w:tc>
          <w:tcPr>
            <w:tcW w:w="340" w:type="dxa"/>
            <w:vAlign w:val="bottom"/>
            <w:shd w:val="clear" w:color="auto" w:fill="CFF0FC"/>
          </w:tcPr>
          <w:p>
            <w:pPr>
              <w:spacing w:after="0"/>
              <w:rPr>
                <w:sz w:val="14"/>
                <w:szCs w:val="14"/>
                <w:color w:val="auto"/>
              </w:rPr>
            </w:pPr>
          </w:p>
        </w:tc>
        <w:tc>
          <w:tcPr>
            <w:tcW w:w="580" w:type="dxa"/>
            <w:vAlign w:val="bottom"/>
            <w:shd w:val="clear" w:color="auto" w:fill="CFF0FC"/>
          </w:tcPr>
          <w:p>
            <w:pPr>
              <w:spacing w:after="0"/>
              <w:rPr>
                <w:sz w:val="14"/>
                <w:szCs w:val="14"/>
                <w:color w:val="auto"/>
              </w:rPr>
            </w:pPr>
          </w:p>
        </w:tc>
        <w:tc>
          <w:tcPr>
            <w:tcW w:w="340" w:type="dxa"/>
            <w:vAlign w:val="bottom"/>
            <w:shd w:val="clear" w:color="auto" w:fill="CFF0FC"/>
          </w:tcPr>
          <w:p>
            <w:pPr>
              <w:spacing w:after="0"/>
              <w:rPr>
                <w:sz w:val="14"/>
                <w:szCs w:val="14"/>
                <w:color w:val="auto"/>
              </w:rPr>
            </w:pPr>
          </w:p>
        </w:tc>
        <w:tc>
          <w:tcPr>
            <w:tcW w:w="58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64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680" w:type="dxa"/>
            <w:vAlign w:val="bottom"/>
            <w:shd w:val="clear" w:color="auto" w:fill="CFF0FC"/>
          </w:tcPr>
          <w:p>
            <w:pPr>
              <w:spacing w:after="0"/>
              <w:rPr>
                <w:sz w:val="14"/>
                <w:szCs w:val="14"/>
                <w:color w:val="auto"/>
              </w:rPr>
            </w:pPr>
          </w:p>
        </w:tc>
      </w:tr>
      <w:tr>
        <w:trPr>
          <w:trHeight w:val="175"/>
        </w:trPr>
        <w:tc>
          <w:tcPr>
            <w:tcW w:w="200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France</w:t>
            </w:r>
          </w:p>
        </w:tc>
        <w:tc>
          <w:tcPr>
            <w:tcW w:w="180" w:type="dxa"/>
            <w:vAlign w:val="bottom"/>
          </w:tcPr>
          <w:p>
            <w:pPr>
              <w:spacing w:after="0"/>
              <w:rPr>
                <w:sz w:val="15"/>
                <w:szCs w:val="15"/>
                <w:color w:val="auto"/>
              </w:rPr>
            </w:pPr>
          </w:p>
        </w:tc>
        <w:tc>
          <w:tcPr>
            <w:tcW w:w="64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2,093.2</w:t>
            </w:r>
          </w:p>
        </w:tc>
        <w:tc>
          <w:tcPr>
            <w:tcW w:w="360" w:type="dxa"/>
            <w:vAlign w:val="bottom"/>
          </w:tcPr>
          <w:p>
            <w:pPr>
              <w:spacing w:after="0"/>
              <w:rPr>
                <w:sz w:val="15"/>
                <w:szCs w:val="15"/>
                <w:color w:val="auto"/>
              </w:rPr>
            </w:pPr>
          </w:p>
        </w:tc>
        <w:tc>
          <w:tcPr>
            <w:tcW w:w="6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141.0</w:t>
            </w:r>
          </w:p>
        </w:tc>
        <w:tc>
          <w:tcPr>
            <w:tcW w:w="360" w:type="dxa"/>
            <w:vAlign w:val="bottom"/>
          </w:tcPr>
          <w:p>
            <w:pPr>
              <w:spacing w:after="0"/>
              <w:rPr>
                <w:sz w:val="15"/>
                <w:szCs w:val="15"/>
                <w:color w:val="auto"/>
              </w:rPr>
            </w:pPr>
          </w:p>
        </w:tc>
        <w:tc>
          <w:tcPr>
            <w:tcW w:w="62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28.6</w:t>
            </w:r>
          </w:p>
        </w:tc>
        <w:tc>
          <w:tcPr>
            <w:tcW w:w="360" w:type="dxa"/>
            <w:vAlign w:val="bottom"/>
          </w:tcPr>
          <w:p>
            <w:pPr>
              <w:spacing w:after="0"/>
              <w:rPr>
                <w:sz w:val="15"/>
                <w:szCs w:val="15"/>
                <w:color w:val="auto"/>
              </w:rPr>
            </w:pPr>
          </w:p>
        </w:tc>
        <w:tc>
          <w:tcPr>
            <w:tcW w:w="740" w:type="dxa"/>
            <w:vAlign w:val="bottom"/>
          </w:tcPr>
          <w:p>
            <w:pPr>
              <w:jc w:val="right"/>
              <w:ind w:right="188"/>
              <w:spacing w:after="0"/>
              <w:rPr>
                <w:sz w:val="20"/>
                <w:szCs w:val="20"/>
                <w:color w:val="auto"/>
              </w:rPr>
            </w:pPr>
            <w:r>
              <w:rPr>
                <w:rFonts w:ascii="Times New Roman" w:cs="Times New Roman" w:eastAsia="Times New Roman" w:hAnsi="Times New Roman"/>
                <w:sz w:val="14"/>
                <w:szCs w:val="14"/>
                <w:color w:val="auto"/>
              </w:rPr>
              <w:t>41.4</w:t>
            </w:r>
          </w:p>
        </w:tc>
        <w:tc>
          <w:tcPr>
            <w:tcW w:w="160" w:type="dxa"/>
            <w:vAlign w:val="bottom"/>
          </w:tcPr>
          <w:p>
            <w:pPr>
              <w:spacing w:after="0"/>
              <w:rPr>
                <w:sz w:val="15"/>
                <w:szCs w:val="15"/>
                <w:color w:val="auto"/>
              </w:rPr>
            </w:pPr>
          </w:p>
        </w:tc>
        <w:tc>
          <w:tcPr>
            <w:tcW w:w="6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2,304.2</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2,234.5</w:t>
            </w:r>
          </w:p>
        </w:tc>
        <w:tc>
          <w:tcPr>
            <w:tcW w:w="340" w:type="dxa"/>
            <w:vAlign w:val="bottom"/>
          </w:tcPr>
          <w:p>
            <w:pPr>
              <w:spacing w:after="0"/>
              <w:rPr>
                <w:sz w:val="15"/>
                <w:szCs w:val="15"/>
                <w:color w:val="auto"/>
              </w:rPr>
            </w:pPr>
          </w:p>
        </w:tc>
        <w:tc>
          <w:tcPr>
            <w:tcW w:w="5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144.4</w:t>
            </w:r>
          </w:p>
        </w:tc>
        <w:tc>
          <w:tcPr>
            <w:tcW w:w="340" w:type="dxa"/>
            <w:vAlign w:val="bottom"/>
          </w:tcPr>
          <w:p>
            <w:pPr>
              <w:spacing w:after="0"/>
              <w:rPr>
                <w:sz w:val="15"/>
                <w:szCs w:val="15"/>
                <w:color w:val="auto"/>
              </w:rPr>
            </w:pPr>
          </w:p>
        </w:tc>
        <w:tc>
          <w:tcPr>
            <w:tcW w:w="5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32.7</w:t>
            </w:r>
          </w:p>
        </w:tc>
        <w:tc>
          <w:tcPr>
            <w:tcW w:w="300" w:type="dxa"/>
            <w:vAlign w:val="bottom"/>
          </w:tcPr>
          <w:p>
            <w:pPr>
              <w:spacing w:after="0"/>
              <w:rPr>
                <w:sz w:val="15"/>
                <w:szCs w:val="15"/>
                <w:color w:val="auto"/>
              </w:rPr>
            </w:pPr>
          </w:p>
        </w:tc>
        <w:tc>
          <w:tcPr>
            <w:tcW w:w="640" w:type="dxa"/>
            <w:vAlign w:val="bottom"/>
          </w:tcPr>
          <w:p>
            <w:pPr>
              <w:jc w:val="right"/>
              <w:ind w:right="148"/>
              <w:spacing w:after="0"/>
              <w:rPr>
                <w:sz w:val="20"/>
                <w:szCs w:val="20"/>
                <w:color w:val="auto"/>
              </w:rPr>
            </w:pPr>
            <w:r>
              <w:rPr>
                <w:rFonts w:ascii="Times New Roman" w:cs="Times New Roman" w:eastAsia="Times New Roman" w:hAnsi="Times New Roman"/>
                <w:sz w:val="14"/>
                <w:szCs w:val="14"/>
                <w:color w:val="auto"/>
              </w:rPr>
              <w:t>35.9</w:t>
            </w:r>
          </w:p>
        </w:tc>
        <w:tc>
          <w:tcPr>
            <w:tcW w:w="200" w:type="dxa"/>
            <w:vAlign w:val="bottom"/>
          </w:tcPr>
          <w:p>
            <w:pPr>
              <w:spacing w:after="0"/>
              <w:rPr>
                <w:sz w:val="15"/>
                <w:szCs w:val="15"/>
                <w:color w:val="auto"/>
              </w:rPr>
            </w:pPr>
          </w:p>
        </w:tc>
        <w:tc>
          <w:tcPr>
            <w:tcW w:w="6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2,447.5</w:t>
            </w:r>
          </w:p>
        </w:tc>
      </w:tr>
      <w:tr>
        <w:trPr>
          <w:trHeight w:val="175"/>
        </w:trPr>
        <w:tc>
          <w:tcPr>
            <w:tcW w:w="20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4"/>
                <w:szCs w:val="14"/>
                <w:color w:val="auto"/>
              </w:rPr>
              <w:t>Italy</w:t>
            </w:r>
          </w:p>
        </w:tc>
        <w:tc>
          <w:tcPr>
            <w:tcW w:w="180" w:type="dxa"/>
            <w:vAlign w:val="bottom"/>
            <w:shd w:val="clear" w:color="auto" w:fill="CFF0FC"/>
          </w:tcPr>
          <w:p>
            <w:pPr>
              <w:spacing w:after="0"/>
              <w:rPr>
                <w:sz w:val="15"/>
                <w:szCs w:val="15"/>
                <w:color w:val="auto"/>
              </w:rPr>
            </w:pPr>
          </w:p>
        </w:tc>
        <w:tc>
          <w:tcPr>
            <w:tcW w:w="640" w:type="dxa"/>
            <w:vAlign w:val="bottom"/>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rPr>
              <w:t>777.8</w:t>
            </w:r>
          </w:p>
        </w:tc>
        <w:tc>
          <w:tcPr>
            <w:tcW w:w="360" w:type="dxa"/>
            <w:vAlign w:val="bottom"/>
            <w:shd w:val="clear" w:color="auto" w:fill="CFF0FC"/>
          </w:tcPr>
          <w:p>
            <w:pPr>
              <w:spacing w:after="0"/>
              <w:rPr>
                <w:sz w:val="15"/>
                <w:szCs w:val="15"/>
                <w:color w:val="auto"/>
              </w:rPr>
            </w:pPr>
          </w:p>
        </w:tc>
        <w:tc>
          <w:tcPr>
            <w:tcW w:w="60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17.5</w:t>
            </w:r>
          </w:p>
        </w:tc>
        <w:tc>
          <w:tcPr>
            <w:tcW w:w="360" w:type="dxa"/>
            <w:vAlign w:val="bottom"/>
            <w:shd w:val="clear" w:color="auto" w:fill="CFF0FC"/>
          </w:tcPr>
          <w:p>
            <w:pPr>
              <w:spacing w:after="0"/>
              <w:rPr>
                <w:sz w:val="15"/>
                <w:szCs w:val="15"/>
                <w:color w:val="auto"/>
              </w:rPr>
            </w:pPr>
          </w:p>
        </w:tc>
        <w:tc>
          <w:tcPr>
            <w:tcW w:w="620" w:type="dxa"/>
            <w:vAlign w:val="bottom"/>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rPr>
              <w:t>26.7</w:t>
            </w:r>
          </w:p>
        </w:tc>
        <w:tc>
          <w:tcPr>
            <w:tcW w:w="360" w:type="dxa"/>
            <w:vAlign w:val="bottom"/>
            <w:shd w:val="clear" w:color="auto" w:fill="CFF0FC"/>
          </w:tcPr>
          <w:p>
            <w:pPr>
              <w:spacing w:after="0"/>
              <w:rPr>
                <w:sz w:val="15"/>
                <w:szCs w:val="15"/>
                <w:color w:val="auto"/>
              </w:rPr>
            </w:pPr>
          </w:p>
        </w:tc>
        <w:tc>
          <w:tcPr>
            <w:tcW w:w="740" w:type="dxa"/>
            <w:vAlign w:val="bottom"/>
            <w:shd w:val="clear" w:color="auto" w:fill="CFF0FC"/>
          </w:tcPr>
          <w:p>
            <w:pPr>
              <w:jc w:val="right"/>
              <w:ind w:right="188"/>
              <w:spacing w:after="0"/>
              <w:rPr>
                <w:sz w:val="20"/>
                <w:szCs w:val="20"/>
                <w:color w:val="auto"/>
              </w:rPr>
            </w:pPr>
            <w:r>
              <w:rPr>
                <w:rFonts w:ascii="Times New Roman" w:cs="Times New Roman" w:eastAsia="Times New Roman" w:hAnsi="Times New Roman"/>
                <w:sz w:val="14"/>
                <w:szCs w:val="14"/>
                <w:color w:val="auto"/>
              </w:rPr>
              <w:t>17.2</w:t>
            </w:r>
          </w:p>
        </w:tc>
        <w:tc>
          <w:tcPr>
            <w:tcW w:w="160" w:type="dxa"/>
            <w:vAlign w:val="bottom"/>
            <w:shd w:val="clear" w:color="auto" w:fill="CFF0FC"/>
          </w:tcPr>
          <w:p>
            <w:pPr>
              <w:spacing w:after="0"/>
              <w:rPr>
                <w:sz w:val="15"/>
                <w:szCs w:val="15"/>
                <w:color w:val="auto"/>
              </w:rPr>
            </w:pPr>
          </w:p>
        </w:tc>
        <w:tc>
          <w:tcPr>
            <w:tcW w:w="64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839.2</w:t>
            </w:r>
          </w:p>
        </w:tc>
        <w:tc>
          <w:tcPr>
            <w:tcW w:w="12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64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818.3</w:t>
            </w:r>
          </w:p>
        </w:tc>
        <w:tc>
          <w:tcPr>
            <w:tcW w:w="340" w:type="dxa"/>
            <w:vAlign w:val="bottom"/>
            <w:shd w:val="clear" w:color="auto" w:fill="CFF0FC"/>
          </w:tcPr>
          <w:p>
            <w:pPr>
              <w:spacing w:after="0"/>
              <w:rPr>
                <w:sz w:val="15"/>
                <w:szCs w:val="15"/>
                <w:color w:val="auto"/>
              </w:rPr>
            </w:pPr>
          </w:p>
        </w:tc>
        <w:tc>
          <w:tcPr>
            <w:tcW w:w="58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19.6</w:t>
            </w:r>
          </w:p>
        </w:tc>
        <w:tc>
          <w:tcPr>
            <w:tcW w:w="340" w:type="dxa"/>
            <w:vAlign w:val="bottom"/>
            <w:shd w:val="clear" w:color="auto" w:fill="CFF0FC"/>
          </w:tcPr>
          <w:p>
            <w:pPr>
              <w:spacing w:after="0"/>
              <w:rPr>
                <w:sz w:val="15"/>
                <w:szCs w:val="15"/>
                <w:color w:val="auto"/>
              </w:rPr>
            </w:pPr>
          </w:p>
        </w:tc>
        <w:tc>
          <w:tcPr>
            <w:tcW w:w="58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30.3</w:t>
            </w:r>
          </w:p>
        </w:tc>
        <w:tc>
          <w:tcPr>
            <w:tcW w:w="300" w:type="dxa"/>
            <w:vAlign w:val="bottom"/>
            <w:shd w:val="clear" w:color="auto" w:fill="CFF0FC"/>
          </w:tcPr>
          <w:p>
            <w:pPr>
              <w:spacing w:after="0"/>
              <w:rPr>
                <w:sz w:val="15"/>
                <w:szCs w:val="15"/>
                <w:color w:val="auto"/>
              </w:rPr>
            </w:pPr>
          </w:p>
        </w:tc>
        <w:tc>
          <w:tcPr>
            <w:tcW w:w="640" w:type="dxa"/>
            <w:vAlign w:val="bottom"/>
            <w:shd w:val="clear" w:color="auto" w:fill="CFF0FC"/>
          </w:tcPr>
          <w:p>
            <w:pPr>
              <w:jc w:val="right"/>
              <w:ind w:right="148"/>
              <w:spacing w:after="0"/>
              <w:rPr>
                <w:sz w:val="20"/>
                <w:szCs w:val="20"/>
                <w:color w:val="auto"/>
              </w:rPr>
            </w:pPr>
            <w:r>
              <w:rPr>
                <w:rFonts w:ascii="Times New Roman" w:cs="Times New Roman" w:eastAsia="Times New Roman" w:hAnsi="Times New Roman"/>
                <w:sz w:val="14"/>
                <w:szCs w:val="14"/>
                <w:color w:val="auto"/>
              </w:rPr>
              <w:t>11.8</w:t>
            </w:r>
          </w:p>
        </w:tc>
        <w:tc>
          <w:tcPr>
            <w:tcW w:w="200" w:type="dxa"/>
            <w:vAlign w:val="bottom"/>
            <w:shd w:val="clear" w:color="auto" w:fill="CFF0FC"/>
          </w:tcPr>
          <w:p>
            <w:pPr>
              <w:spacing w:after="0"/>
              <w:rPr>
                <w:sz w:val="15"/>
                <w:szCs w:val="15"/>
                <w:color w:val="auto"/>
              </w:rPr>
            </w:pPr>
          </w:p>
        </w:tc>
        <w:tc>
          <w:tcPr>
            <w:tcW w:w="68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880.0</w:t>
            </w:r>
          </w:p>
        </w:tc>
      </w:tr>
      <w:tr>
        <w:trPr>
          <w:trHeight w:val="175"/>
        </w:trPr>
        <w:tc>
          <w:tcPr>
            <w:tcW w:w="200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Other Southern Europe</w:t>
            </w:r>
          </w:p>
        </w:tc>
        <w:tc>
          <w:tcPr>
            <w:tcW w:w="18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color w:val="auto"/>
              </w:rPr>
              <w:t>746.0</w:t>
            </w:r>
          </w:p>
        </w:tc>
        <w:tc>
          <w:tcPr>
            <w:tcW w:w="36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149.1</w:t>
            </w:r>
          </w:p>
        </w:tc>
        <w:tc>
          <w:tcPr>
            <w:tcW w:w="36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color w:val="auto"/>
              </w:rPr>
              <w:t>26.5</w:t>
            </w:r>
          </w:p>
        </w:tc>
        <w:tc>
          <w:tcPr>
            <w:tcW w:w="36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ind w:right="188"/>
              <w:spacing w:after="0"/>
              <w:rPr>
                <w:sz w:val="20"/>
                <w:szCs w:val="20"/>
                <w:color w:val="auto"/>
              </w:rPr>
            </w:pPr>
            <w:r>
              <w:rPr>
                <w:rFonts w:ascii="Times New Roman" w:cs="Times New Roman" w:eastAsia="Times New Roman" w:hAnsi="Times New Roman"/>
                <w:sz w:val="14"/>
                <w:szCs w:val="14"/>
                <w:color w:val="auto"/>
              </w:rPr>
              <w:t>14.3</w:t>
            </w:r>
          </w:p>
        </w:tc>
        <w:tc>
          <w:tcPr>
            <w:tcW w:w="16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935.9</w:t>
            </w:r>
          </w:p>
        </w:tc>
        <w:tc>
          <w:tcPr>
            <w:tcW w:w="12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763.2</w:t>
            </w:r>
          </w:p>
        </w:tc>
        <w:tc>
          <w:tcPr>
            <w:tcW w:w="34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157.9</w:t>
            </w:r>
          </w:p>
        </w:tc>
        <w:tc>
          <w:tcPr>
            <w:tcW w:w="34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31.4</w:t>
            </w:r>
          </w:p>
        </w:tc>
        <w:tc>
          <w:tcPr>
            <w:tcW w:w="30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ind w:right="148"/>
              <w:spacing w:after="0"/>
              <w:rPr>
                <w:sz w:val="20"/>
                <w:szCs w:val="20"/>
                <w:color w:val="auto"/>
              </w:rPr>
            </w:pPr>
            <w:r>
              <w:rPr>
                <w:rFonts w:ascii="Times New Roman" w:cs="Times New Roman" w:eastAsia="Times New Roman" w:hAnsi="Times New Roman"/>
                <w:sz w:val="14"/>
                <w:szCs w:val="14"/>
                <w:color w:val="auto"/>
              </w:rPr>
              <w:t>14.8</w:t>
            </w:r>
          </w:p>
        </w:tc>
        <w:tc>
          <w:tcPr>
            <w:tcW w:w="20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967.3</w:t>
            </w:r>
          </w:p>
        </w:tc>
      </w:tr>
      <w:tr>
        <w:trPr>
          <w:trHeight w:val="169"/>
        </w:trPr>
        <w:tc>
          <w:tcPr>
            <w:tcW w:w="2000" w:type="dxa"/>
            <w:vAlign w:val="bottom"/>
            <w:tcBorders>
              <w:bottom w:val="single" w:sz="8" w:color="CFF0FC"/>
            </w:tcBorders>
            <w:shd w:val="clear" w:color="auto" w:fill="CFF0FC"/>
          </w:tcPr>
          <w:p>
            <w:pPr>
              <w:spacing w:after="0"/>
              <w:rPr>
                <w:sz w:val="14"/>
                <w:szCs w:val="14"/>
                <w:color w:val="auto"/>
              </w:rPr>
            </w:pPr>
          </w:p>
        </w:tc>
        <w:tc>
          <w:tcPr>
            <w:tcW w:w="180" w:type="dxa"/>
            <w:vAlign w:val="bottom"/>
            <w:tcBorders>
              <w:bottom w:val="single" w:sz="8" w:color="auto"/>
            </w:tcBorders>
            <w:shd w:val="clear" w:color="auto" w:fill="CFF0FC"/>
          </w:tcPr>
          <w:p>
            <w:pPr>
              <w:spacing w:after="0"/>
              <w:rPr>
                <w:sz w:val="14"/>
                <w:szCs w:val="14"/>
                <w:color w:val="auto"/>
              </w:rPr>
            </w:pPr>
          </w:p>
        </w:tc>
        <w:tc>
          <w:tcPr>
            <w:tcW w:w="640" w:type="dxa"/>
            <w:vAlign w:val="bottom"/>
            <w:tcBorders>
              <w:bottom w:val="single" w:sz="8" w:color="auto"/>
            </w:tcBorders>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rPr>
              <w:t>3,617.0</w:t>
            </w:r>
          </w:p>
        </w:tc>
        <w:tc>
          <w:tcPr>
            <w:tcW w:w="360" w:type="dxa"/>
            <w:vAlign w:val="bottom"/>
            <w:tcBorders>
              <w:bottom w:val="single" w:sz="8" w:color="auto"/>
            </w:tcBorders>
            <w:shd w:val="clear" w:color="auto" w:fill="CFF0FC"/>
          </w:tcPr>
          <w:p>
            <w:pPr>
              <w:spacing w:after="0"/>
              <w:rPr>
                <w:sz w:val="14"/>
                <w:szCs w:val="14"/>
                <w:color w:val="auto"/>
              </w:rPr>
            </w:pPr>
          </w:p>
        </w:tc>
        <w:tc>
          <w:tcPr>
            <w:tcW w:w="600" w:type="dxa"/>
            <w:vAlign w:val="bottom"/>
            <w:tcBorders>
              <w:bottom w:val="single" w:sz="8" w:color="auto"/>
            </w:tcBorders>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307.6</w:t>
            </w:r>
          </w:p>
        </w:tc>
        <w:tc>
          <w:tcPr>
            <w:tcW w:w="360" w:type="dxa"/>
            <w:vAlign w:val="bottom"/>
            <w:tcBorders>
              <w:bottom w:val="single" w:sz="8" w:color="auto"/>
            </w:tcBorders>
            <w:shd w:val="clear" w:color="auto" w:fill="CFF0FC"/>
          </w:tcPr>
          <w:p>
            <w:pPr>
              <w:spacing w:after="0"/>
              <w:rPr>
                <w:sz w:val="14"/>
                <w:szCs w:val="14"/>
                <w:color w:val="auto"/>
              </w:rPr>
            </w:pPr>
          </w:p>
        </w:tc>
        <w:tc>
          <w:tcPr>
            <w:tcW w:w="620" w:type="dxa"/>
            <w:vAlign w:val="bottom"/>
            <w:tcBorders>
              <w:bottom w:val="single" w:sz="8" w:color="auto"/>
            </w:tcBorders>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rPr>
              <w:t>81.8</w:t>
            </w:r>
          </w:p>
        </w:tc>
        <w:tc>
          <w:tcPr>
            <w:tcW w:w="360" w:type="dxa"/>
            <w:vAlign w:val="bottom"/>
            <w:tcBorders>
              <w:bottom w:val="single" w:sz="8" w:color="auto"/>
            </w:tcBorders>
            <w:shd w:val="clear" w:color="auto" w:fill="CFF0FC"/>
          </w:tcPr>
          <w:p>
            <w:pPr>
              <w:spacing w:after="0"/>
              <w:rPr>
                <w:sz w:val="14"/>
                <w:szCs w:val="14"/>
                <w:color w:val="auto"/>
              </w:rPr>
            </w:pPr>
          </w:p>
        </w:tc>
        <w:tc>
          <w:tcPr>
            <w:tcW w:w="740" w:type="dxa"/>
            <w:vAlign w:val="bottom"/>
            <w:tcBorders>
              <w:bottom w:val="single" w:sz="8" w:color="auto"/>
            </w:tcBorders>
            <w:shd w:val="clear" w:color="auto" w:fill="CFF0FC"/>
          </w:tcPr>
          <w:p>
            <w:pPr>
              <w:jc w:val="right"/>
              <w:ind w:right="188"/>
              <w:spacing w:after="0"/>
              <w:rPr>
                <w:sz w:val="20"/>
                <w:szCs w:val="20"/>
                <w:color w:val="auto"/>
              </w:rPr>
            </w:pPr>
            <w:r>
              <w:rPr>
                <w:rFonts w:ascii="Times New Roman" w:cs="Times New Roman" w:eastAsia="Times New Roman" w:hAnsi="Times New Roman"/>
                <w:sz w:val="14"/>
                <w:szCs w:val="14"/>
                <w:color w:val="auto"/>
              </w:rPr>
              <w:t>72.9</w:t>
            </w:r>
          </w:p>
        </w:tc>
        <w:tc>
          <w:tcPr>
            <w:tcW w:w="160" w:type="dxa"/>
            <w:vAlign w:val="bottom"/>
            <w:tcBorders>
              <w:bottom w:val="single" w:sz="8" w:color="auto"/>
            </w:tcBorders>
            <w:shd w:val="clear" w:color="auto" w:fill="CFF0FC"/>
          </w:tcPr>
          <w:p>
            <w:pPr>
              <w:spacing w:after="0"/>
              <w:rPr>
                <w:sz w:val="14"/>
                <w:szCs w:val="14"/>
                <w:color w:val="auto"/>
              </w:rPr>
            </w:pPr>
          </w:p>
        </w:tc>
        <w:tc>
          <w:tcPr>
            <w:tcW w:w="640" w:type="dxa"/>
            <w:vAlign w:val="bottom"/>
            <w:tcBorders>
              <w:bottom w:val="single" w:sz="8" w:color="auto"/>
            </w:tcBorders>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4,079.3</w:t>
            </w:r>
          </w:p>
        </w:tc>
        <w:tc>
          <w:tcPr>
            <w:tcW w:w="120" w:type="dxa"/>
            <w:vAlign w:val="bottom"/>
            <w:tcBorders>
              <w:bottom w:val="single" w:sz="8" w:color="CFF0FC"/>
            </w:tcBorders>
            <w:shd w:val="clear" w:color="auto" w:fill="CFF0FC"/>
          </w:tcPr>
          <w:p>
            <w:pPr>
              <w:spacing w:after="0"/>
              <w:rPr>
                <w:sz w:val="14"/>
                <w:szCs w:val="14"/>
                <w:color w:val="auto"/>
              </w:rPr>
            </w:pPr>
          </w:p>
        </w:tc>
        <w:tc>
          <w:tcPr>
            <w:tcW w:w="160" w:type="dxa"/>
            <w:vAlign w:val="bottom"/>
            <w:tcBorders>
              <w:bottom w:val="single" w:sz="8" w:color="auto"/>
            </w:tcBorders>
            <w:shd w:val="clear" w:color="auto" w:fill="CFF0FC"/>
          </w:tcPr>
          <w:p>
            <w:pPr>
              <w:spacing w:after="0"/>
              <w:rPr>
                <w:sz w:val="14"/>
                <w:szCs w:val="14"/>
                <w:color w:val="auto"/>
              </w:rPr>
            </w:pPr>
          </w:p>
        </w:tc>
        <w:tc>
          <w:tcPr>
            <w:tcW w:w="640" w:type="dxa"/>
            <w:vAlign w:val="bottom"/>
            <w:tcBorders>
              <w:bottom w:val="single" w:sz="8" w:color="auto"/>
            </w:tcBorders>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3,816.0</w:t>
            </w:r>
          </w:p>
        </w:tc>
        <w:tc>
          <w:tcPr>
            <w:tcW w:w="340" w:type="dxa"/>
            <w:vAlign w:val="bottom"/>
            <w:tcBorders>
              <w:bottom w:val="single" w:sz="8" w:color="auto"/>
            </w:tcBorders>
            <w:shd w:val="clear" w:color="auto" w:fill="CFF0FC"/>
          </w:tcPr>
          <w:p>
            <w:pPr>
              <w:spacing w:after="0"/>
              <w:rPr>
                <w:sz w:val="14"/>
                <w:szCs w:val="14"/>
                <w:color w:val="auto"/>
              </w:rPr>
            </w:pPr>
          </w:p>
        </w:tc>
        <w:tc>
          <w:tcPr>
            <w:tcW w:w="580" w:type="dxa"/>
            <w:vAlign w:val="bottom"/>
            <w:tcBorders>
              <w:bottom w:val="single" w:sz="8" w:color="auto"/>
            </w:tcBorders>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321.9</w:t>
            </w:r>
          </w:p>
        </w:tc>
        <w:tc>
          <w:tcPr>
            <w:tcW w:w="340" w:type="dxa"/>
            <w:vAlign w:val="bottom"/>
            <w:tcBorders>
              <w:bottom w:val="single" w:sz="8" w:color="auto"/>
            </w:tcBorders>
            <w:shd w:val="clear" w:color="auto" w:fill="CFF0FC"/>
          </w:tcPr>
          <w:p>
            <w:pPr>
              <w:spacing w:after="0"/>
              <w:rPr>
                <w:sz w:val="14"/>
                <w:szCs w:val="14"/>
                <w:color w:val="auto"/>
              </w:rPr>
            </w:pPr>
          </w:p>
        </w:tc>
        <w:tc>
          <w:tcPr>
            <w:tcW w:w="580" w:type="dxa"/>
            <w:vAlign w:val="bottom"/>
            <w:tcBorders>
              <w:bottom w:val="single" w:sz="8" w:color="auto"/>
            </w:tcBorders>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94.4</w:t>
            </w:r>
          </w:p>
        </w:tc>
        <w:tc>
          <w:tcPr>
            <w:tcW w:w="300" w:type="dxa"/>
            <w:vAlign w:val="bottom"/>
            <w:tcBorders>
              <w:bottom w:val="single" w:sz="8" w:color="auto"/>
            </w:tcBorders>
            <w:shd w:val="clear" w:color="auto" w:fill="CFF0FC"/>
          </w:tcPr>
          <w:p>
            <w:pPr>
              <w:spacing w:after="0"/>
              <w:rPr>
                <w:sz w:val="14"/>
                <w:szCs w:val="14"/>
                <w:color w:val="auto"/>
              </w:rPr>
            </w:pPr>
          </w:p>
        </w:tc>
        <w:tc>
          <w:tcPr>
            <w:tcW w:w="640" w:type="dxa"/>
            <w:vAlign w:val="bottom"/>
            <w:tcBorders>
              <w:bottom w:val="single" w:sz="8" w:color="auto"/>
            </w:tcBorders>
            <w:shd w:val="clear" w:color="auto" w:fill="CFF0FC"/>
          </w:tcPr>
          <w:p>
            <w:pPr>
              <w:jc w:val="right"/>
              <w:ind w:right="148"/>
              <w:spacing w:after="0"/>
              <w:rPr>
                <w:sz w:val="20"/>
                <w:szCs w:val="20"/>
                <w:color w:val="auto"/>
              </w:rPr>
            </w:pPr>
            <w:r>
              <w:rPr>
                <w:rFonts w:ascii="Times New Roman" w:cs="Times New Roman" w:eastAsia="Times New Roman" w:hAnsi="Times New Roman"/>
                <w:sz w:val="14"/>
                <w:szCs w:val="14"/>
                <w:color w:val="auto"/>
              </w:rPr>
              <w:t>62.5</w:t>
            </w:r>
          </w:p>
        </w:tc>
        <w:tc>
          <w:tcPr>
            <w:tcW w:w="200" w:type="dxa"/>
            <w:vAlign w:val="bottom"/>
            <w:tcBorders>
              <w:bottom w:val="single" w:sz="8" w:color="auto"/>
            </w:tcBorders>
            <w:shd w:val="clear" w:color="auto" w:fill="CFF0FC"/>
          </w:tcPr>
          <w:p>
            <w:pPr>
              <w:spacing w:after="0"/>
              <w:rPr>
                <w:sz w:val="14"/>
                <w:szCs w:val="14"/>
                <w:color w:val="auto"/>
              </w:rPr>
            </w:pPr>
          </w:p>
        </w:tc>
        <w:tc>
          <w:tcPr>
            <w:tcW w:w="680" w:type="dxa"/>
            <w:vAlign w:val="bottom"/>
            <w:tcBorders>
              <w:bottom w:val="single" w:sz="8" w:color="auto"/>
            </w:tcBorders>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4,294.8</w:t>
            </w:r>
          </w:p>
        </w:tc>
      </w:tr>
      <w:tr>
        <w:trPr>
          <w:trHeight w:val="169"/>
        </w:trPr>
        <w:tc>
          <w:tcPr>
            <w:tcW w:w="20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Northern Europe</w:t>
            </w:r>
          </w:p>
        </w:tc>
        <w:tc>
          <w:tcPr>
            <w:tcW w:w="180" w:type="dxa"/>
            <w:vAlign w:val="bottom"/>
          </w:tcPr>
          <w:p>
            <w:pPr>
              <w:spacing w:after="0"/>
              <w:rPr>
                <w:sz w:val="14"/>
                <w:szCs w:val="14"/>
                <w:color w:val="auto"/>
              </w:rPr>
            </w:pPr>
          </w:p>
        </w:tc>
        <w:tc>
          <w:tcPr>
            <w:tcW w:w="64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1,452.2</w:t>
            </w:r>
          </w:p>
        </w:tc>
        <w:tc>
          <w:tcPr>
            <w:tcW w:w="360" w:type="dxa"/>
            <w:vAlign w:val="bottom"/>
          </w:tcPr>
          <w:p>
            <w:pPr>
              <w:spacing w:after="0"/>
              <w:rPr>
                <w:sz w:val="14"/>
                <w:szCs w:val="14"/>
                <w:color w:val="auto"/>
              </w:rPr>
            </w:pPr>
          </w:p>
        </w:tc>
        <w:tc>
          <w:tcPr>
            <w:tcW w:w="6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137.7</w:t>
            </w:r>
          </w:p>
        </w:tc>
        <w:tc>
          <w:tcPr>
            <w:tcW w:w="360" w:type="dxa"/>
            <w:vAlign w:val="bottom"/>
          </w:tcPr>
          <w:p>
            <w:pPr>
              <w:spacing w:after="0"/>
              <w:rPr>
                <w:sz w:val="14"/>
                <w:szCs w:val="14"/>
                <w:color w:val="auto"/>
              </w:rPr>
            </w:pPr>
          </w:p>
        </w:tc>
        <w:tc>
          <w:tcPr>
            <w:tcW w:w="62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65.6</w:t>
            </w:r>
          </w:p>
        </w:tc>
        <w:tc>
          <w:tcPr>
            <w:tcW w:w="360" w:type="dxa"/>
            <w:vAlign w:val="bottom"/>
          </w:tcPr>
          <w:p>
            <w:pPr>
              <w:spacing w:after="0"/>
              <w:rPr>
                <w:sz w:val="14"/>
                <w:szCs w:val="14"/>
                <w:color w:val="auto"/>
              </w:rPr>
            </w:pPr>
          </w:p>
        </w:tc>
        <w:tc>
          <w:tcPr>
            <w:tcW w:w="740" w:type="dxa"/>
            <w:vAlign w:val="bottom"/>
          </w:tcPr>
          <w:p>
            <w:pPr>
              <w:jc w:val="right"/>
              <w:ind w:right="188"/>
              <w:spacing w:after="0"/>
              <w:rPr>
                <w:sz w:val="20"/>
                <w:szCs w:val="20"/>
                <w:color w:val="auto"/>
              </w:rPr>
            </w:pPr>
            <w:r>
              <w:rPr>
                <w:rFonts w:ascii="Times New Roman" w:cs="Times New Roman" w:eastAsia="Times New Roman" w:hAnsi="Times New Roman"/>
                <w:sz w:val="14"/>
                <w:szCs w:val="14"/>
                <w:color w:val="auto"/>
              </w:rPr>
              <w:t>52.1</w:t>
            </w:r>
          </w:p>
        </w:tc>
        <w:tc>
          <w:tcPr>
            <w:tcW w:w="160" w:type="dxa"/>
            <w:vAlign w:val="bottom"/>
          </w:tcPr>
          <w:p>
            <w:pPr>
              <w:spacing w:after="0"/>
              <w:rPr>
                <w:sz w:val="14"/>
                <w:szCs w:val="14"/>
                <w:color w:val="auto"/>
              </w:rPr>
            </w:pPr>
          </w:p>
        </w:tc>
        <w:tc>
          <w:tcPr>
            <w:tcW w:w="6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1,707.6</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1,615.4</w:t>
            </w:r>
          </w:p>
        </w:tc>
        <w:tc>
          <w:tcPr>
            <w:tcW w:w="340" w:type="dxa"/>
            <w:vAlign w:val="bottom"/>
          </w:tcPr>
          <w:p>
            <w:pPr>
              <w:spacing w:after="0"/>
              <w:rPr>
                <w:sz w:val="14"/>
                <w:szCs w:val="14"/>
                <w:color w:val="auto"/>
              </w:rPr>
            </w:pPr>
          </w:p>
        </w:tc>
        <w:tc>
          <w:tcPr>
            <w:tcW w:w="5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172.3</w:t>
            </w:r>
          </w:p>
        </w:tc>
        <w:tc>
          <w:tcPr>
            <w:tcW w:w="340" w:type="dxa"/>
            <w:vAlign w:val="bottom"/>
          </w:tcPr>
          <w:p>
            <w:pPr>
              <w:spacing w:after="0"/>
              <w:rPr>
                <w:sz w:val="14"/>
                <w:szCs w:val="14"/>
                <w:color w:val="auto"/>
              </w:rPr>
            </w:pPr>
          </w:p>
        </w:tc>
        <w:tc>
          <w:tcPr>
            <w:tcW w:w="5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83.0</w:t>
            </w:r>
          </w:p>
        </w:tc>
        <w:tc>
          <w:tcPr>
            <w:tcW w:w="300" w:type="dxa"/>
            <w:vAlign w:val="bottom"/>
          </w:tcPr>
          <w:p>
            <w:pPr>
              <w:spacing w:after="0"/>
              <w:rPr>
                <w:sz w:val="14"/>
                <w:szCs w:val="14"/>
                <w:color w:val="auto"/>
              </w:rPr>
            </w:pPr>
          </w:p>
        </w:tc>
        <w:tc>
          <w:tcPr>
            <w:tcW w:w="640" w:type="dxa"/>
            <w:vAlign w:val="bottom"/>
          </w:tcPr>
          <w:p>
            <w:pPr>
              <w:jc w:val="right"/>
              <w:ind w:right="148"/>
              <w:spacing w:after="0"/>
              <w:rPr>
                <w:sz w:val="20"/>
                <w:szCs w:val="20"/>
                <w:color w:val="auto"/>
              </w:rPr>
            </w:pPr>
            <w:r>
              <w:rPr>
                <w:rFonts w:ascii="Times New Roman" w:cs="Times New Roman" w:eastAsia="Times New Roman" w:hAnsi="Times New Roman"/>
                <w:sz w:val="14"/>
                <w:szCs w:val="14"/>
                <w:color w:val="auto"/>
              </w:rPr>
              <w:t>49.4</w:t>
            </w:r>
          </w:p>
        </w:tc>
        <w:tc>
          <w:tcPr>
            <w:tcW w:w="200" w:type="dxa"/>
            <w:vAlign w:val="bottom"/>
          </w:tcPr>
          <w:p>
            <w:pPr>
              <w:spacing w:after="0"/>
              <w:rPr>
                <w:sz w:val="14"/>
                <w:szCs w:val="14"/>
                <w:color w:val="auto"/>
              </w:rPr>
            </w:pPr>
          </w:p>
        </w:tc>
        <w:tc>
          <w:tcPr>
            <w:tcW w:w="6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1,920.1</w:t>
            </w:r>
          </w:p>
        </w:tc>
      </w:tr>
      <w:tr>
        <w:trPr>
          <w:trHeight w:val="175"/>
        </w:trPr>
        <w:tc>
          <w:tcPr>
            <w:tcW w:w="20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APME</w:t>
            </w:r>
          </w:p>
        </w:tc>
        <w:tc>
          <w:tcPr>
            <w:tcW w:w="180" w:type="dxa"/>
            <w:vAlign w:val="bottom"/>
            <w:tcBorders>
              <w:bottom w:val="single" w:sz="8" w:color="auto"/>
            </w:tcBorders>
            <w:shd w:val="clear" w:color="auto" w:fill="CFF0FC"/>
          </w:tcPr>
          <w:p>
            <w:pPr>
              <w:spacing w:after="0"/>
              <w:rPr>
                <w:sz w:val="15"/>
                <w:szCs w:val="15"/>
                <w:color w:val="auto"/>
              </w:rPr>
            </w:pPr>
          </w:p>
        </w:tc>
        <w:tc>
          <w:tcPr>
            <w:tcW w:w="640" w:type="dxa"/>
            <w:vAlign w:val="bottom"/>
            <w:tcBorders>
              <w:bottom w:val="single" w:sz="8" w:color="auto"/>
            </w:tcBorders>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rPr>
              <w:t>857.8</w:t>
            </w:r>
          </w:p>
        </w:tc>
        <w:tc>
          <w:tcPr>
            <w:tcW w:w="360" w:type="dxa"/>
            <w:vAlign w:val="bottom"/>
            <w:tcBorders>
              <w:bottom w:val="single" w:sz="8" w:color="auto"/>
            </w:tcBorders>
            <w:shd w:val="clear" w:color="auto" w:fill="CFF0FC"/>
          </w:tcPr>
          <w:p>
            <w:pPr>
              <w:spacing w:after="0"/>
              <w:rPr>
                <w:sz w:val="15"/>
                <w:szCs w:val="15"/>
                <w:color w:val="auto"/>
              </w:rPr>
            </w:pPr>
          </w:p>
        </w:tc>
        <w:tc>
          <w:tcPr>
            <w:tcW w:w="600" w:type="dxa"/>
            <w:vAlign w:val="bottom"/>
            <w:tcBorders>
              <w:bottom w:val="single" w:sz="8" w:color="auto"/>
            </w:tcBorders>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170.7</w:t>
            </w:r>
          </w:p>
        </w:tc>
        <w:tc>
          <w:tcPr>
            <w:tcW w:w="360" w:type="dxa"/>
            <w:vAlign w:val="bottom"/>
            <w:tcBorders>
              <w:bottom w:val="single" w:sz="8" w:color="auto"/>
            </w:tcBorders>
            <w:shd w:val="clear" w:color="auto" w:fill="CFF0FC"/>
          </w:tcPr>
          <w:p>
            <w:pPr>
              <w:spacing w:after="0"/>
              <w:rPr>
                <w:sz w:val="15"/>
                <w:szCs w:val="15"/>
                <w:color w:val="auto"/>
              </w:rPr>
            </w:pPr>
          </w:p>
        </w:tc>
        <w:tc>
          <w:tcPr>
            <w:tcW w:w="620" w:type="dxa"/>
            <w:vAlign w:val="bottom"/>
            <w:tcBorders>
              <w:bottom w:val="single" w:sz="8" w:color="auto"/>
            </w:tcBorders>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rPr>
              <w:t>27.4</w:t>
            </w:r>
          </w:p>
        </w:tc>
        <w:tc>
          <w:tcPr>
            <w:tcW w:w="360" w:type="dxa"/>
            <w:vAlign w:val="bottom"/>
            <w:tcBorders>
              <w:bottom w:val="single" w:sz="8" w:color="auto"/>
            </w:tcBorders>
            <w:shd w:val="clear" w:color="auto" w:fill="CFF0FC"/>
          </w:tcPr>
          <w:p>
            <w:pPr>
              <w:spacing w:after="0"/>
              <w:rPr>
                <w:sz w:val="15"/>
                <w:szCs w:val="15"/>
                <w:color w:val="auto"/>
              </w:rPr>
            </w:pPr>
          </w:p>
        </w:tc>
        <w:tc>
          <w:tcPr>
            <w:tcW w:w="740" w:type="dxa"/>
            <w:vAlign w:val="bottom"/>
            <w:tcBorders>
              <w:bottom w:val="single" w:sz="8" w:color="auto"/>
            </w:tcBorders>
            <w:shd w:val="clear" w:color="auto" w:fill="CFF0FC"/>
          </w:tcPr>
          <w:p>
            <w:pPr>
              <w:jc w:val="right"/>
              <w:ind w:right="188"/>
              <w:spacing w:after="0"/>
              <w:rPr>
                <w:sz w:val="20"/>
                <w:szCs w:val="20"/>
                <w:color w:val="auto"/>
              </w:rPr>
            </w:pPr>
            <w:r>
              <w:rPr>
                <w:rFonts w:ascii="Times New Roman" w:cs="Times New Roman" w:eastAsia="Times New Roman" w:hAnsi="Times New Roman"/>
                <w:sz w:val="14"/>
                <w:szCs w:val="14"/>
                <w:color w:val="auto"/>
              </w:rPr>
              <w:t>20.6</w:t>
            </w:r>
          </w:p>
        </w:tc>
        <w:tc>
          <w:tcPr>
            <w:tcW w:w="160" w:type="dxa"/>
            <w:vAlign w:val="bottom"/>
            <w:tcBorders>
              <w:bottom w:val="single" w:sz="8" w:color="auto"/>
            </w:tcBorders>
            <w:shd w:val="clear" w:color="auto" w:fill="CFF0FC"/>
          </w:tcPr>
          <w:p>
            <w:pPr>
              <w:spacing w:after="0"/>
              <w:rPr>
                <w:sz w:val="15"/>
                <w:szCs w:val="15"/>
                <w:color w:val="auto"/>
              </w:rPr>
            </w:pPr>
          </w:p>
        </w:tc>
        <w:tc>
          <w:tcPr>
            <w:tcW w:w="640" w:type="dxa"/>
            <w:vAlign w:val="bottom"/>
            <w:tcBorders>
              <w:bottom w:val="single" w:sz="8" w:color="auto"/>
            </w:tcBorders>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1,076.5</w:t>
            </w:r>
          </w:p>
        </w:tc>
        <w:tc>
          <w:tcPr>
            <w:tcW w:w="120" w:type="dxa"/>
            <w:vAlign w:val="bottom"/>
            <w:tcBorders>
              <w:bottom w:val="single" w:sz="8" w:color="CFF0FC"/>
            </w:tcBorders>
            <w:shd w:val="clear" w:color="auto" w:fill="CFF0FC"/>
          </w:tcPr>
          <w:p>
            <w:pPr>
              <w:spacing w:after="0"/>
              <w:rPr>
                <w:sz w:val="15"/>
                <w:szCs w:val="15"/>
                <w:color w:val="auto"/>
              </w:rPr>
            </w:pPr>
          </w:p>
        </w:tc>
        <w:tc>
          <w:tcPr>
            <w:tcW w:w="160" w:type="dxa"/>
            <w:vAlign w:val="bottom"/>
            <w:tcBorders>
              <w:bottom w:val="single" w:sz="8" w:color="auto"/>
            </w:tcBorders>
            <w:shd w:val="clear" w:color="auto" w:fill="CFF0FC"/>
          </w:tcPr>
          <w:p>
            <w:pPr>
              <w:spacing w:after="0"/>
              <w:rPr>
                <w:sz w:val="15"/>
                <w:szCs w:val="15"/>
                <w:color w:val="auto"/>
              </w:rPr>
            </w:pPr>
          </w:p>
        </w:tc>
        <w:tc>
          <w:tcPr>
            <w:tcW w:w="640" w:type="dxa"/>
            <w:vAlign w:val="bottom"/>
            <w:tcBorders>
              <w:bottom w:val="single" w:sz="8" w:color="auto"/>
            </w:tcBorders>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908.1</w:t>
            </w:r>
          </w:p>
        </w:tc>
        <w:tc>
          <w:tcPr>
            <w:tcW w:w="340" w:type="dxa"/>
            <w:vAlign w:val="bottom"/>
            <w:tcBorders>
              <w:bottom w:val="single" w:sz="8" w:color="auto"/>
            </w:tcBorders>
            <w:shd w:val="clear" w:color="auto" w:fill="CFF0FC"/>
          </w:tcPr>
          <w:p>
            <w:pPr>
              <w:spacing w:after="0"/>
              <w:rPr>
                <w:sz w:val="15"/>
                <w:szCs w:val="15"/>
                <w:color w:val="auto"/>
              </w:rPr>
            </w:pPr>
          </w:p>
        </w:tc>
        <w:tc>
          <w:tcPr>
            <w:tcW w:w="580" w:type="dxa"/>
            <w:vAlign w:val="bottom"/>
            <w:tcBorders>
              <w:bottom w:val="single" w:sz="8" w:color="auto"/>
            </w:tcBorders>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198.4</w:t>
            </w:r>
          </w:p>
        </w:tc>
        <w:tc>
          <w:tcPr>
            <w:tcW w:w="340" w:type="dxa"/>
            <w:vAlign w:val="bottom"/>
            <w:tcBorders>
              <w:bottom w:val="single" w:sz="8" w:color="auto"/>
            </w:tcBorders>
            <w:shd w:val="clear" w:color="auto" w:fill="CFF0FC"/>
          </w:tcPr>
          <w:p>
            <w:pPr>
              <w:spacing w:after="0"/>
              <w:rPr>
                <w:sz w:val="15"/>
                <w:szCs w:val="15"/>
                <w:color w:val="auto"/>
              </w:rPr>
            </w:pPr>
          </w:p>
        </w:tc>
        <w:tc>
          <w:tcPr>
            <w:tcW w:w="580" w:type="dxa"/>
            <w:vAlign w:val="bottom"/>
            <w:tcBorders>
              <w:bottom w:val="single" w:sz="8" w:color="auto"/>
            </w:tcBorders>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75.5</w:t>
            </w:r>
          </w:p>
        </w:tc>
        <w:tc>
          <w:tcPr>
            <w:tcW w:w="300" w:type="dxa"/>
            <w:vAlign w:val="bottom"/>
            <w:tcBorders>
              <w:bottom w:val="single" w:sz="8" w:color="auto"/>
            </w:tcBorders>
            <w:shd w:val="clear" w:color="auto" w:fill="CFF0FC"/>
          </w:tcPr>
          <w:p>
            <w:pPr>
              <w:spacing w:after="0"/>
              <w:rPr>
                <w:sz w:val="15"/>
                <w:szCs w:val="15"/>
                <w:color w:val="auto"/>
              </w:rPr>
            </w:pPr>
          </w:p>
        </w:tc>
        <w:tc>
          <w:tcPr>
            <w:tcW w:w="640" w:type="dxa"/>
            <w:vAlign w:val="bottom"/>
            <w:tcBorders>
              <w:bottom w:val="single" w:sz="8" w:color="auto"/>
            </w:tcBorders>
            <w:shd w:val="clear" w:color="auto" w:fill="CFF0FC"/>
          </w:tcPr>
          <w:p>
            <w:pPr>
              <w:jc w:val="right"/>
              <w:ind w:right="148"/>
              <w:spacing w:after="0"/>
              <w:rPr>
                <w:sz w:val="20"/>
                <w:szCs w:val="20"/>
                <w:color w:val="auto"/>
              </w:rPr>
            </w:pPr>
            <w:r>
              <w:rPr>
                <w:rFonts w:ascii="Times New Roman" w:cs="Times New Roman" w:eastAsia="Times New Roman" w:hAnsi="Times New Roman"/>
                <w:sz w:val="14"/>
                <w:szCs w:val="14"/>
                <w:color w:val="auto"/>
              </w:rPr>
              <w:t>23.3</w:t>
            </w:r>
          </w:p>
        </w:tc>
        <w:tc>
          <w:tcPr>
            <w:tcW w:w="200" w:type="dxa"/>
            <w:vAlign w:val="bottom"/>
            <w:tcBorders>
              <w:bottom w:val="single" w:sz="8" w:color="auto"/>
            </w:tcBorders>
            <w:shd w:val="clear" w:color="auto" w:fill="CFF0FC"/>
          </w:tcPr>
          <w:p>
            <w:pPr>
              <w:spacing w:after="0"/>
              <w:rPr>
                <w:sz w:val="15"/>
                <w:szCs w:val="15"/>
                <w:color w:val="auto"/>
              </w:rPr>
            </w:pPr>
          </w:p>
        </w:tc>
        <w:tc>
          <w:tcPr>
            <w:tcW w:w="680" w:type="dxa"/>
            <w:vAlign w:val="bottom"/>
            <w:tcBorders>
              <w:bottom w:val="single" w:sz="8" w:color="auto"/>
            </w:tcBorders>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1,205.3</w:t>
            </w:r>
          </w:p>
        </w:tc>
      </w:tr>
      <w:tr>
        <w:trPr>
          <w:trHeight w:val="169"/>
        </w:trPr>
        <w:tc>
          <w:tcPr>
            <w:tcW w:w="200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color w:val="auto"/>
              </w:rPr>
              <w:t>7,828.1</w:t>
            </w:r>
          </w:p>
        </w:tc>
        <w:tc>
          <w:tcPr>
            <w:tcW w:w="36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645.4</w:t>
            </w:r>
          </w:p>
        </w:tc>
        <w:tc>
          <w:tcPr>
            <w:tcW w:w="36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color w:val="auto"/>
              </w:rPr>
              <w:t>256.1</w:t>
            </w:r>
          </w:p>
        </w:tc>
        <w:tc>
          <w:tcPr>
            <w:tcW w:w="36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188"/>
              <w:spacing w:after="0"/>
              <w:rPr>
                <w:sz w:val="20"/>
                <w:szCs w:val="20"/>
                <w:color w:val="auto"/>
              </w:rPr>
            </w:pPr>
            <w:r>
              <w:rPr>
                <w:rFonts w:ascii="Times New Roman" w:cs="Times New Roman" w:eastAsia="Times New Roman" w:hAnsi="Times New Roman"/>
                <w:sz w:val="14"/>
                <w:szCs w:val="14"/>
                <w:color w:val="auto"/>
              </w:rPr>
              <w:t>234.6</w:t>
            </w:r>
          </w:p>
        </w:tc>
        <w:tc>
          <w:tcPr>
            <w:tcW w:w="1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8,964.2</w:t>
            </w:r>
          </w:p>
        </w:tc>
        <w:tc>
          <w:tcPr>
            <w:tcW w:w="1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8,356.7</w:t>
            </w:r>
          </w:p>
        </w:tc>
        <w:tc>
          <w:tcPr>
            <w:tcW w:w="34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724.4</w:t>
            </w:r>
          </w:p>
        </w:tc>
        <w:tc>
          <w:tcPr>
            <w:tcW w:w="34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346.1</w:t>
            </w:r>
          </w:p>
        </w:tc>
        <w:tc>
          <w:tcPr>
            <w:tcW w:w="30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48"/>
              <w:spacing w:after="0"/>
              <w:rPr>
                <w:sz w:val="20"/>
                <w:szCs w:val="20"/>
                <w:color w:val="auto"/>
              </w:rPr>
            </w:pPr>
            <w:r>
              <w:rPr>
                <w:rFonts w:ascii="Times New Roman" w:cs="Times New Roman" w:eastAsia="Times New Roman" w:hAnsi="Times New Roman"/>
                <w:sz w:val="14"/>
                <w:szCs w:val="14"/>
                <w:color w:val="auto"/>
              </w:rPr>
              <w:t>221.9</w:t>
            </w:r>
          </w:p>
        </w:tc>
        <w:tc>
          <w:tcPr>
            <w:tcW w:w="20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9,649.1</w:t>
            </w:r>
          </w:p>
        </w:tc>
      </w:tr>
      <w:tr>
        <w:trPr>
          <w:trHeight w:val="169"/>
        </w:trPr>
        <w:tc>
          <w:tcPr>
            <w:tcW w:w="20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Intercompany Eliminations</w:t>
            </w:r>
          </w:p>
        </w:tc>
        <w:tc>
          <w:tcPr>
            <w:tcW w:w="180" w:type="dxa"/>
            <w:vAlign w:val="bottom"/>
            <w:tcBorders>
              <w:bottom w:val="single" w:sz="8" w:color="CFF0FC"/>
            </w:tcBorders>
            <w:shd w:val="clear" w:color="auto" w:fill="CFF0FC"/>
          </w:tcPr>
          <w:p>
            <w:pPr>
              <w:spacing w:after="0"/>
              <w:rPr>
                <w:sz w:val="14"/>
                <w:szCs w:val="14"/>
                <w:color w:val="auto"/>
              </w:rPr>
            </w:pPr>
          </w:p>
        </w:tc>
        <w:tc>
          <w:tcPr>
            <w:tcW w:w="640" w:type="dxa"/>
            <w:vAlign w:val="bottom"/>
            <w:tcBorders>
              <w:bottom w:val="single" w:sz="8" w:color="CFF0FC"/>
            </w:tcBorders>
            <w:shd w:val="clear" w:color="auto" w:fill="CFF0FC"/>
          </w:tcPr>
          <w:p>
            <w:pPr>
              <w:spacing w:after="0"/>
              <w:rPr>
                <w:sz w:val="14"/>
                <w:szCs w:val="14"/>
                <w:color w:val="auto"/>
              </w:rPr>
            </w:pPr>
          </w:p>
        </w:tc>
        <w:tc>
          <w:tcPr>
            <w:tcW w:w="360" w:type="dxa"/>
            <w:vAlign w:val="bottom"/>
            <w:tcBorders>
              <w:bottom w:val="single" w:sz="8" w:color="CFF0FC"/>
            </w:tcBorders>
            <w:shd w:val="clear" w:color="auto" w:fill="CFF0FC"/>
          </w:tcPr>
          <w:p>
            <w:pPr>
              <w:spacing w:after="0"/>
              <w:rPr>
                <w:sz w:val="14"/>
                <w:szCs w:val="14"/>
                <w:color w:val="auto"/>
              </w:rPr>
            </w:pPr>
          </w:p>
        </w:tc>
        <w:tc>
          <w:tcPr>
            <w:tcW w:w="600" w:type="dxa"/>
            <w:vAlign w:val="bottom"/>
            <w:tcBorders>
              <w:bottom w:val="single" w:sz="8" w:color="CFF0FC"/>
            </w:tcBorders>
            <w:shd w:val="clear" w:color="auto" w:fill="CFF0FC"/>
          </w:tcPr>
          <w:p>
            <w:pPr>
              <w:spacing w:after="0"/>
              <w:rPr>
                <w:sz w:val="14"/>
                <w:szCs w:val="14"/>
                <w:color w:val="auto"/>
              </w:rPr>
            </w:pPr>
          </w:p>
        </w:tc>
        <w:tc>
          <w:tcPr>
            <w:tcW w:w="360" w:type="dxa"/>
            <w:vAlign w:val="bottom"/>
            <w:tcBorders>
              <w:bottom w:val="single" w:sz="8" w:color="CFF0FC"/>
            </w:tcBorders>
            <w:shd w:val="clear" w:color="auto" w:fill="CFF0FC"/>
          </w:tcPr>
          <w:p>
            <w:pPr>
              <w:spacing w:after="0"/>
              <w:rPr>
                <w:sz w:val="14"/>
                <w:szCs w:val="14"/>
                <w:color w:val="auto"/>
              </w:rPr>
            </w:pPr>
          </w:p>
        </w:tc>
        <w:tc>
          <w:tcPr>
            <w:tcW w:w="620" w:type="dxa"/>
            <w:vAlign w:val="bottom"/>
            <w:tcBorders>
              <w:bottom w:val="single" w:sz="8" w:color="CFF0FC"/>
            </w:tcBorders>
            <w:shd w:val="clear" w:color="auto" w:fill="CFF0FC"/>
          </w:tcPr>
          <w:p>
            <w:pPr>
              <w:spacing w:after="0"/>
              <w:rPr>
                <w:sz w:val="14"/>
                <w:szCs w:val="14"/>
                <w:color w:val="auto"/>
              </w:rPr>
            </w:pPr>
          </w:p>
        </w:tc>
        <w:tc>
          <w:tcPr>
            <w:tcW w:w="360" w:type="dxa"/>
            <w:vAlign w:val="bottom"/>
            <w:tcBorders>
              <w:bottom w:val="single" w:sz="8" w:color="CFF0FC"/>
            </w:tcBorders>
            <w:shd w:val="clear" w:color="auto" w:fill="CFF0FC"/>
          </w:tcPr>
          <w:p>
            <w:pPr>
              <w:spacing w:after="0"/>
              <w:rPr>
                <w:sz w:val="14"/>
                <w:szCs w:val="14"/>
                <w:color w:val="auto"/>
              </w:rPr>
            </w:pPr>
          </w:p>
        </w:tc>
        <w:tc>
          <w:tcPr>
            <w:tcW w:w="740" w:type="dxa"/>
            <w:vAlign w:val="bottom"/>
            <w:tcBorders>
              <w:bottom w:val="single" w:sz="8" w:color="CFF0FC"/>
            </w:tcBorders>
            <w:shd w:val="clear" w:color="auto" w:fill="CFF0FC"/>
          </w:tcPr>
          <w:p>
            <w:pPr>
              <w:spacing w:after="0"/>
              <w:rPr>
                <w:sz w:val="14"/>
                <w:szCs w:val="14"/>
                <w:color w:val="auto"/>
              </w:rPr>
            </w:pPr>
          </w:p>
        </w:tc>
        <w:tc>
          <w:tcPr>
            <w:tcW w:w="160" w:type="dxa"/>
            <w:vAlign w:val="bottom"/>
            <w:tcBorders>
              <w:bottom w:val="single" w:sz="8" w:color="auto"/>
            </w:tcBorders>
            <w:shd w:val="clear" w:color="auto" w:fill="CFF0FC"/>
          </w:tcPr>
          <w:p>
            <w:pPr>
              <w:spacing w:after="0"/>
              <w:rPr>
                <w:sz w:val="14"/>
                <w:szCs w:val="14"/>
                <w:color w:val="auto"/>
              </w:rPr>
            </w:pPr>
          </w:p>
        </w:tc>
        <w:tc>
          <w:tcPr>
            <w:tcW w:w="6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(40.2 )</w:t>
            </w:r>
          </w:p>
        </w:tc>
        <w:tc>
          <w:tcPr>
            <w:tcW w:w="120" w:type="dxa"/>
            <w:vAlign w:val="bottom"/>
            <w:tcBorders>
              <w:bottom w:val="single" w:sz="8" w:color="CFF0FC"/>
            </w:tcBorders>
            <w:shd w:val="clear" w:color="auto" w:fill="CFF0FC"/>
          </w:tcPr>
          <w:p>
            <w:pPr>
              <w:spacing w:after="0"/>
              <w:rPr>
                <w:sz w:val="14"/>
                <w:szCs w:val="14"/>
                <w:color w:val="auto"/>
              </w:rPr>
            </w:pPr>
          </w:p>
        </w:tc>
        <w:tc>
          <w:tcPr>
            <w:tcW w:w="160" w:type="dxa"/>
            <w:vAlign w:val="bottom"/>
            <w:tcBorders>
              <w:bottom w:val="single" w:sz="8" w:color="CFF0FC"/>
            </w:tcBorders>
            <w:shd w:val="clear" w:color="auto" w:fill="CFF0FC"/>
          </w:tcPr>
          <w:p>
            <w:pPr>
              <w:spacing w:after="0"/>
              <w:rPr>
                <w:sz w:val="14"/>
                <w:szCs w:val="14"/>
                <w:color w:val="auto"/>
              </w:rPr>
            </w:pPr>
          </w:p>
        </w:tc>
        <w:tc>
          <w:tcPr>
            <w:tcW w:w="640" w:type="dxa"/>
            <w:vAlign w:val="bottom"/>
            <w:tcBorders>
              <w:bottom w:val="single" w:sz="8" w:color="CFF0FC"/>
            </w:tcBorders>
            <w:shd w:val="clear" w:color="auto" w:fill="CFF0FC"/>
          </w:tcPr>
          <w:p>
            <w:pPr>
              <w:spacing w:after="0"/>
              <w:rPr>
                <w:sz w:val="14"/>
                <w:szCs w:val="14"/>
                <w:color w:val="auto"/>
              </w:rPr>
            </w:pPr>
          </w:p>
        </w:tc>
        <w:tc>
          <w:tcPr>
            <w:tcW w:w="340" w:type="dxa"/>
            <w:vAlign w:val="bottom"/>
            <w:tcBorders>
              <w:bottom w:val="single" w:sz="8" w:color="CFF0FC"/>
            </w:tcBorders>
            <w:shd w:val="clear" w:color="auto" w:fill="CFF0FC"/>
          </w:tcPr>
          <w:p>
            <w:pPr>
              <w:spacing w:after="0"/>
              <w:rPr>
                <w:sz w:val="14"/>
                <w:szCs w:val="14"/>
                <w:color w:val="auto"/>
              </w:rPr>
            </w:pPr>
          </w:p>
        </w:tc>
        <w:tc>
          <w:tcPr>
            <w:tcW w:w="580" w:type="dxa"/>
            <w:vAlign w:val="bottom"/>
            <w:tcBorders>
              <w:bottom w:val="single" w:sz="8" w:color="CFF0FC"/>
            </w:tcBorders>
            <w:shd w:val="clear" w:color="auto" w:fill="CFF0FC"/>
          </w:tcPr>
          <w:p>
            <w:pPr>
              <w:spacing w:after="0"/>
              <w:rPr>
                <w:sz w:val="14"/>
                <w:szCs w:val="14"/>
                <w:color w:val="auto"/>
              </w:rPr>
            </w:pPr>
          </w:p>
        </w:tc>
        <w:tc>
          <w:tcPr>
            <w:tcW w:w="340" w:type="dxa"/>
            <w:vAlign w:val="bottom"/>
            <w:tcBorders>
              <w:bottom w:val="single" w:sz="8" w:color="CFF0FC"/>
            </w:tcBorders>
            <w:shd w:val="clear" w:color="auto" w:fill="CFF0FC"/>
          </w:tcPr>
          <w:p>
            <w:pPr>
              <w:spacing w:after="0"/>
              <w:rPr>
                <w:sz w:val="14"/>
                <w:szCs w:val="14"/>
                <w:color w:val="auto"/>
              </w:rPr>
            </w:pPr>
          </w:p>
        </w:tc>
        <w:tc>
          <w:tcPr>
            <w:tcW w:w="580" w:type="dxa"/>
            <w:vAlign w:val="bottom"/>
            <w:tcBorders>
              <w:bottom w:val="single" w:sz="8" w:color="CFF0FC"/>
            </w:tcBorders>
            <w:shd w:val="clear" w:color="auto" w:fill="CFF0FC"/>
          </w:tcPr>
          <w:p>
            <w:pPr>
              <w:spacing w:after="0"/>
              <w:rPr>
                <w:sz w:val="14"/>
                <w:szCs w:val="14"/>
                <w:color w:val="auto"/>
              </w:rPr>
            </w:pPr>
          </w:p>
        </w:tc>
        <w:tc>
          <w:tcPr>
            <w:tcW w:w="300" w:type="dxa"/>
            <w:vAlign w:val="bottom"/>
            <w:tcBorders>
              <w:bottom w:val="single" w:sz="8" w:color="CFF0FC"/>
            </w:tcBorders>
            <w:shd w:val="clear" w:color="auto" w:fill="CFF0FC"/>
          </w:tcPr>
          <w:p>
            <w:pPr>
              <w:spacing w:after="0"/>
              <w:rPr>
                <w:sz w:val="14"/>
                <w:szCs w:val="14"/>
                <w:color w:val="auto"/>
              </w:rPr>
            </w:pPr>
          </w:p>
        </w:tc>
        <w:tc>
          <w:tcPr>
            <w:tcW w:w="640" w:type="dxa"/>
            <w:vAlign w:val="bottom"/>
            <w:tcBorders>
              <w:bottom w:val="single" w:sz="8" w:color="CFF0FC"/>
            </w:tcBorders>
            <w:shd w:val="clear" w:color="auto" w:fill="CFF0FC"/>
          </w:tcPr>
          <w:p>
            <w:pPr>
              <w:spacing w:after="0"/>
              <w:rPr>
                <w:sz w:val="14"/>
                <w:szCs w:val="14"/>
                <w:color w:val="auto"/>
              </w:rPr>
            </w:pPr>
          </w:p>
        </w:tc>
        <w:tc>
          <w:tcPr>
            <w:tcW w:w="200" w:type="dxa"/>
            <w:vAlign w:val="bottom"/>
            <w:tcBorders>
              <w:bottom w:val="single" w:sz="8" w:color="auto"/>
            </w:tcBorders>
            <w:shd w:val="clear" w:color="auto" w:fill="CFF0FC"/>
          </w:tcPr>
          <w:p>
            <w:pPr>
              <w:spacing w:after="0"/>
              <w:rPr>
                <w:sz w:val="14"/>
                <w:szCs w:val="14"/>
                <w:color w:val="auto"/>
              </w:rPr>
            </w:pPr>
          </w:p>
        </w:tc>
        <w:tc>
          <w:tcPr>
            <w:tcW w:w="6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(40.7 )</w:t>
            </w:r>
          </w:p>
        </w:tc>
      </w:tr>
      <w:tr>
        <w:trPr>
          <w:trHeight w:val="169"/>
        </w:trPr>
        <w:tc>
          <w:tcPr>
            <w:tcW w:w="20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Total</w:t>
            </w:r>
          </w:p>
        </w:tc>
        <w:tc>
          <w:tcPr>
            <w:tcW w:w="1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6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8,924.0</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9,608.4</w:t>
            </w:r>
          </w:p>
        </w:tc>
      </w:tr>
      <w:tr>
        <w:trPr>
          <w:trHeight w:val="20"/>
        </w:trPr>
        <w:tc>
          <w:tcPr>
            <w:tcW w:w="20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4231005</wp:posOffset>
            </wp:positionH>
            <wp:positionV relativeFrom="paragraph">
              <wp:posOffset>-1310640</wp:posOffset>
            </wp:positionV>
            <wp:extent cx="68580"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4231005</wp:posOffset>
            </wp:positionH>
            <wp:positionV relativeFrom="paragraph">
              <wp:posOffset>-616585</wp:posOffset>
            </wp:positionV>
            <wp:extent cx="68580"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4231005</wp:posOffset>
            </wp:positionH>
            <wp:positionV relativeFrom="paragraph">
              <wp:posOffset>-385445</wp:posOffset>
            </wp:positionV>
            <wp:extent cx="68580"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4231005</wp:posOffset>
            </wp:positionH>
            <wp:positionV relativeFrom="paragraph">
              <wp:posOffset>-144780</wp:posOffset>
            </wp:positionV>
            <wp:extent cx="68580"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ind w:left="520" w:right="460" w:hanging="512"/>
        <w:spacing w:after="0" w:line="280" w:lineRule="auto"/>
        <w:tabs>
          <w:tab w:leader="none" w:pos="520" w:val="left"/>
        </w:tabs>
        <w:numPr>
          <w:ilvl w:val="0"/>
          <w:numId w:val="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Effective January 1, 2024, our segment reporting was realigned to include our Puerto Rico business within Other Americas. Accordingly, United States is now adjusted to exclude Puerto Rico. All previously reported results have been restated to conform to the current year presentation.</w:t>
      </w:r>
    </w:p>
    <w:p>
      <w:pPr>
        <w:spacing w:after="0" w:line="1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type w:val="continuous"/>
        </w:sectPr>
      </w:pPr>
    </w:p>
    <w:bookmarkStart w:id="10" w:name="page11"/>
    <w:bookmarkEnd w:id="10"/>
    <w:p>
      <w:pPr>
        <w:spacing w:after="0"/>
        <w:rPr>
          <w:sz w:val="20"/>
          <w:szCs w:val="20"/>
          <w:color w:val="auto"/>
        </w:rPr>
      </w:pPr>
      <w:r>
        <w:rPr>
          <w:rFonts w:ascii="Times New Roman" w:cs="Times New Roman" w:eastAsia="Times New Roman" w:hAnsi="Times New Roman"/>
          <w:sz w:val="18"/>
          <w:szCs w:val="18"/>
          <w:color w:val="auto"/>
        </w:rPr>
        <w:t>In the following table, revenue is disaggregated by timing of revenue recognition for each of our reportable segments:</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300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2440" w:type="dxa"/>
            <w:vAlign w:val="bottom"/>
            <w:tcBorders>
              <w:bottom w:val="single" w:sz="8" w:color="auto"/>
            </w:tcBorders>
            <w:gridSpan w:val="4"/>
          </w:tcPr>
          <w:p>
            <w:pPr>
              <w:jc w:val="right"/>
              <w:ind w:right="388"/>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28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30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tcPr>
          <w:p>
            <w:pPr>
              <w:jc w:val="right"/>
              <w:ind w:right="588"/>
              <w:spacing w:after="0"/>
              <w:rPr>
                <w:sz w:val="20"/>
                <w:szCs w:val="20"/>
                <w:color w:val="auto"/>
              </w:rPr>
            </w:pPr>
            <w:r>
              <w:rPr>
                <w:rFonts w:ascii="Times New Roman" w:cs="Times New Roman" w:eastAsia="Times New Roman" w:hAnsi="Times New Roman"/>
                <w:sz w:val="14"/>
                <w:szCs w:val="14"/>
                <w:b w:val="1"/>
                <w:bCs w:val="1"/>
                <w:color w:val="auto"/>
              </w:rPr>
              <w:t>2024</w:t>
            </w:r>
          </w:p>
        </w:tc>
        <w:tc>
          <w:tcPr>
            <w:tcW w:w="22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jc w:val="right"/>
              <w:ind w:right="508"/>
              <w:spacing w:after="0" w:line="169" w:lineRule="exact"/>
              <w:rPr>
                <w:sz w:val="20"/>
                <w:szCs w:val="20"/>
                <w:color w:val="auto"/>
              </w:rPr>
            </w:pPr>
            <w:r>
              <w:rPr>
                <w:rFonts w:ascii="Times New Roman" w:cs="Times New Roman" w:eastAsia="Times New Roman" w:hAnsi="Times New Roman"/>
                <w:sz w:val="14"/>
                <w:szCs w:val="14"/>
                <w:b w:val="1"/>
                <w:bCs w:val="1"/>
                <w:color w:val="auto"/>
              </w:rPr>
              <w:t>2023</w:t>
            </w:r>
            <w:r>
              <w:rPr>
                <w:rFonts w:ascii="Times New Roman" w:cs="Times New Roman" w:eastAsia="Times New Roman" w:hAnsi="Times New Roman"/>
                <w:sz w:val="19"/>
                <w:szCs w:val="19"/>
                <w:b w:val="1"/>
                <w:bCs w:val="1"/>
                <w:color w:val="auto"/>
                <w:vertAlign w:val="superscript"/>
              </w:rPr>
              <w:t>(a)</w:t>
            </w:r>
          </w:p>
        </w:tc>
        <w:tc>
          <w:tcPr>
            <w:tcW w:w="26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31"/>
        </w:trPr>
        <w:tc>
          <w:tcPr>
            <w:tcW w:w="30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vMerge w:val="restart"/>
          </w:tcPr>
          <w:p>
            <w:pPr>
              <w:jc w:val="center"/>
              <w:ind w:right="188"/>
              <w:spacing w:after="0"/>
              <w:rPr>
                <w:sz w:val="20"/>
                <w:szCs w:val="20"/>
                <w:color w:val="auto"/>
              </w:rPr>
            </w:pPr>
            <w:r>
              <w:rPr>
                <w:rFonts w:ascii="Times New Roman" w:cs="Times New Roman" w:eastAsia="Times New Roman" w:hAnsi="Times New Roman"/>
                <w:sz w:val="14"/>
                <w:szCs w:val="14"/>
                <w:b w:val="1"/>
                <w:bCs w:val="1"/>
                <w:color w:val="auto"/>
              </w:rPr>
              <w:t>Services</w:t>
            </w:r>
          </w:p>
        </w:tc>
        <w:tc>
          <w:tcPr>
            <w:tcW w:w="280" w:type="dxa"/>
            <w:vAlign w:val="bottom"/>
          </w:tcPr>
          <w:p>
            <w:pPr>
              <w:spacing w:after="0"/>
              <w:rPr>
                <w:sz w:val="11"/>
                <w:szCs w:val="11"/>
                <w:color w:val="auto"/>
              </w:rPr>
            </w:pPr>
          </w:p>
        </w:tc>
        <w:tc>
          <w:tcPr>
            <w:tcW w:w="1260" w:type="dxa"/>
            <w:vAlign w:val="bottom"/>
          </w:tcPr>
          <w:p>
            <w:pPr>
              <w:jc w:val="center"/>
              <w:ind w:right="328"/>
              <w:spacing w:after="0" w:line="131" w:lineRule="exact"/>
              <w:rPr>
                <w:sz w:val="20"/>
                <w:szCs w:val="20"/>
                <w:color w:val="auto"/>
              </w:rPr>
            </w:pPr>
            <w:r>
              <w:rPr>
                <w:rFonts w:ascii="Times New Roman" w:cs="Times New Roman" w:eastAsia="Times New Roman" w:hAnsi="Times New Roman"/>
                <w:sz w:val="14"/>
                <w:szCs w:val="14"/>
                <w:b w:val="1"/>
                <w:bCs w:val="1"/>
                <w:color w:val="auto"/>
              </w:rPr>
              <w:t>Services</w:t>
            </w:r>
          </w:p>
        </w:tc>
        <w:tc>
          <w:tcPr>
            <w:tcW w:w="22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00" w:type="dxa"/>
            <w:vAlign w:val="bottom"/>
            <w:vMerge w:val="restart"/>
          </w:tcPr>
          <w:p>
            <w:pPr>
              <w:jc w:val="center"/>
              <w:ind w:right="208"/>
              <w:spacing w:after="0"/>
              <w:rPr>
                <w:sz w:val="20"/>
                <w:szCs w:val="20"/>
                <w:color w:val="auto"/>
              </w:rPr>
            </w:pPr>
            <w:r>
              <w:rPr>
                <w:rFonts w:ascii="Times New Roman" w:cs="Times New Roman" w:eastAsia="Times New Roman" w:hAnsi="Times New Roman"/>
                <w:sz w:val="14"/>
                <w:szCs w:val="14"/>
                <w:b w:val="1"/>
                <w:bCs w:val="1"/>
                <w:color w:val="auto"/>
              </w:rPr>
              <w:t>Services</w:t>
            </w:r>
          </w:p>
        </w:tc>
        <w:tc>
          <w:tcPr>
            <w:tcW w:w="280" w:type="dxa"/>
            <w:vAlign w:val="bottom"/>
          </w:tcPr>
          <w:p>
            <w:pPr>
              <w:spacing w:after="0"/>
              <w:rPr>
                <w:sz w:val="11"/>
                <w:szCs w:val="11"/>
                <w:color w:val="auto"/>
              </w:rPr>
            </w:pPr>
          </w:p>
        </w:tc>
        <w:tc>
          <w:tcPr>
            <w:tcW w:w="1220" w:type="dxa"/>
            <w:vAlign w:val="bottom"/>
          </w:tcPr>
          <w:p>
            <w:pPr>
              <w:jc w:val="center"/>
              <w:ind w:right="328"/>
              <w:spacing w:after="0" w:line="131" w:lineRule="exact"/>
              <w:rPr>
                <w:sz w:val="20"/>
                <w:szCs w:val="20"/>
                <w:color w:val="auto"/>
              </w:rPr>
            </w:pPr>
            <w:r>
              <w:rPr>
                <w:rFonts w:ascii="Times New Roman" w:cs="Times New Roman" w:eastAsia="Times New Roman" w:hAnsi="Times New Roman"/>
                <w:sz w:val="14"/>
                <w:szCs w:val="14"/>
                <w:b w:val="1"/>
                <w:bCs w:val="1"/>
                <w:color w:val="auto"/>
              </w:rPr>
              <w:t>Services</w:t>
            </w:r>
          </w:p>
        </w:tc>
        <w:tc>
          <w:tcPr>
            <w:tcW w:w="2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30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vMerge w:val="continue"/>
          </w:tcPr>
          <w:p>
            <w:pPr>
              <w:spacing w:after="0"/>
              <w:rPr>
                <w:sz w:val="12"/>
                <w:szCs w:val="12"/>
                <w:color w:val="auto"/>
              </w:rPr>
            </w:pPr>
          </w:p>
        </w:tc>
        <w:tc>
          <w:tcPr>
            <w:tcW w:w="280" w:type="dxa"/>
            <w:vAlign w:val="bottom"/>
          </w:tcPr>
          <w:p>
            <w:pPr>
              <w:spacing w:after="0"/>
              <w:rPr>
                <w:sz w:val="12"/>
                <w:szCs w:val="12"/>
                <w:color w:val="auto"/>
              </w:rPr>
            </w:pPr>
          </w:p>
        </w:tc>
        <w:tc>
          <w:tcPr>
            <w:tcW w:w="1260" w:type="dxa"/>
            <w:vAlign w:val="bottom"/>
          </w:tcPr>
          <w:p>
            <w:pPr>
              <w:jc w:val="center"/>
              <w:ind w:right="328"/>
              <w:spacing w:after="0" w:line="149" w:lineRule="exact"/>
              <w:rPr>
                <w:sz w:val="20"/>
                <w:szCs w:val="20"/>
                <w:color w:val="auto"/>
              </w:rPr>
            </w:pPr>
            <w:r>
              <w:rPr>
                <w:rFonts w:ascii="Times New Roman" w:cs="Times New Roman" w:eastAsia="Times New Roman" w:hAnsi="Times New Roman"/>
                <w:sz w:val="14"/>
                <w:szCs w:val="14"/>
                <w:b w:val="1"/>
                <w:bCs w:val="1"/>
                <w:color w:val="auto"/>
              </w:rPr>
              <w:t>transferred</w:t>
            </w:r>
          </w:p>
        </w:tc>
        <w:tc>
          <w:tcPr>
            <w:tcW w:w="2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00" w:type="dxa"/>
            <w:vAlign w:val="bottom"/>
            <w:vMerge w:val="continue"/>
          </w:tcPr>
          <w:p>
            <w:pPr>
              <w:spacing w:after="0"/>
              <w:rPr>
                <w:sz w:val="12"/>
                <w:szCs w:val="12"/>
                <w:color w:val="auto"/>
              </w:rPr>
            </w:pPr>
          </w:p>
        </w:tc>
        <w:tc>
          <w:tcPr>
            <w:tcW w:w="280" w:type="dxa"/>
            <w:vAlign w:val="bottom"/>
          </w:tcPr>
          <w:p>
            <w:pPr>
              <w:spacing w:after="0"/>
              <w:rPr>
                <w:sz w:val="12"/>
                <w:szCs w:val="12"/>
                <w:color w:val="auto"/>
              </w:rPr>
            </w:pPr>
          </w:p>
        </w:tc>
        <w:tc>
          <w:tcPr>
            <w:tcW w:w="1220" w:type="dxa"/>
            <w:vAlign w:val="bottom"/>
          </w:tcPr>
          <w:p>
            <w:pPr>
              <w:jc w:val="center"/>
              <w:ind w:right="328"/>
              <w:spacing w:after="0" w:line="149" w:lineRule="exact"/>
              <w:rPr>
                <w:sz w:val="20"/>
                <w:szCs w:val="20"/>
                <w:color w:val="auto"/>
              </w:rPr>
            </w:pPr>
            <w:r>
              <w:rPr>
                <w:rFonts w:ascii="Times New Roman" w:cs="Times New Roman" w:eastAsia="Times New Roman" w:hAnsi="Times New Roman"/>
                <w:sz w:val="14"/>
                <w:szCs w:val="14"/>
                <w:b w:val="1"/>
                <w:bCs w:val="1"/>
                <w:color w:val="auto"/>
              </w:rPr>
              <w:t>transferred</w:t>
            </w:r>
          </w:p>
        </w:tc>
        <w:tc>
          <w:tcPr>
            <w:tcW w:w="2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0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tcPr>
          <w:p>
            <w:pPr>
              <w:jc w:val="center"/>
              <w:ind w:right="208"/>
              <w:spacing w:after="0" w:line="149" w:lineRule="exact"/>
              <w:rPr>
                <w:sz w:val="20"/>
                <w:szCs w:val="20"/>
                <w:color w:val="auto"/>
              </w:rPr>
            </w:pPr>
            <w:r>
              <w:rPr>
                <w:rFonts w:ascii="Times New Roman" w:cs="Times New Roman" w:eastAsia="Times New Roman" w:hAnsi="Times New Roman"/>
                <w:sz w:val="14"/>
                <w:szCs w:val="14"/>
                <w:b w:val="1"/>
                <w:bCs w:val="1"/>
                <w:color w:val="auto"/>
              </w:rPr>
              <w:t>transferred</w:t>
            </w:r>
          </w:p>
        </w:tc>
        <w:tc>
          <w:tcPr>
            <w:tcW w:w="280" w:type="dxa"/>
            <w:vAlign w:val="bottom"/>
          </w:tcPr>
          <w:p>
            <w:pPr>
              <w:spacing w:after="0"/>
              <w:rPr>
                <w:sz w:val="12"/>
                <w:szCs w:val="12"/>
                <w:color w:val="auto"/>
              </w:rPr>
            </w:pPr>
          </w:p>
        </w:tc>
        <w:tc>
          <w:tcPr>
            <w:tcW w:w="1260" w:type="dxa"/>
            <w:vAlign w:val="bottom"/>
          </w:tcPr>
          <w:p>
            <w:pPr>
              <w:jc w:val="center"/>
              <w:ind w:right="328"/>
              <w:spacing w:after="0" w:line="149" w:lineRule="exact"/>
              <w:rPr>
                <w:sz w:val="20"/>
                <w:szCs w:val="20"/>
                <w:color w:val="auto"/>
              </w:rPr>
            </w:pPr>
            <w:r>
              <w:rPr>
                <w:rFonts w:ascii="Times New Roman" w:cs="Times New Roman" w:eastAsia="Times New Roman" w:hAnsi="Times New Roman"/>
                <w:sz w:val="14"/>
                <w:szCs w:val="14"/>
                <w:b w:val="1"/>
                <w:bCs w:val="1"/>
                <w:color w:val="auto"/>
              </w:rPr>
              <w:t>at a point</w:t>
            </w:r>
          </w:p>
        </w:tc>
        <w:tc>
          <w:tcPr>
            <w:tcW w:w="220" w:type="dxa"/>
            <w:vAlign w:val="bottom"/>
          </w:tcPr>
          <w:p>
            <w:pPr>
              <w:spacing w:after="0"/>
              <w:rPr>
                <w:sz w:val="12"/>
                <w:szCs w:val="12"/>
                <w:color w:val="auto"/>
              </w:rPr>
            </w:pPr>
          </w:p>
        </w:tc>
        <w:tc>
          <w:tcPr>
            <w:tcW w:w="1060" w:type="dxa"/>
            <w:vAlign w:val="bottom"/>
            <w:vMerge w:val="restart"/>
          </w:tcPr>
          <w:p>
            <w:pPr>
              <w:jc w:val="right"/>
              <w:ind w:right="448"/>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00" w:type="dxa"/>
            <w:vAlign w:val="bottom"/>
          </w:tcPr>
          <w:p>
            <w:pPr>
              <w:jc w:val="center"/>
              <w:ind w:right="208"/>
              <w:spacing w:after="0" w:line="149" w:lineRule="exact"/>
              <w:rPr>
                <w:sz w:val="20"/>
                <w:szCs w:val="20"/>
                <w:color w:val="auto"/>
              </w:rPr>
            </w:pPr>
            <w:r>
              <w:rPr>
                <w:rFonts w:ascii="Times New Roman" w:cs="Times New Roman" w:eastAsia="Times New Roman" w:hAnsi="Times New Roman"/>
                <w:sz w:val="14"/>
                <w:szCs w:val="14"/>
                <w:b w:val="1"/>
                <w:bCs w:val="1"/>
                <w:color w:val="auto"/>
              </w:rPr>
              <w:t>transferred</w:t>
            </w:r>
          </w:p>
        </w:tc>
        <w:tc>
          <w:tcPr>
            <w:tcW w:w="280" w:type="dxa"/>
            <w:vAlign w:val="bottom"/>
          </w:tcPr>
          <w:p>
            <w:pPr>
              <w:spacing w:after="0"/>
              <w:rPr>
                <w:sz w:val="12"/>
                <w:szCs w:val="12"/>
                <w:color w:val="auto"/>
              </w:rPr>
            </w:pPr>
          </w:p>
        </w:tc>
        <w:tc>
          <w:tcPr>
            <w:tcW w:w="1220" w:type="dxa"/>
            <w:vAlign w:val="bottom"/>
          </w:tcPr>
          <w:p>
            <w:pPr>
              <w:jc w:val="center"/>
              <w:ind w:right="328"/>
              <w:spacing w:after="0" w:line="149" w:lineRule="exact"/>
              <w:rPr>
                <w:sz w:val="20"/>
                <w:szCs w:val="20"/>
                <w:color w:val="auto"/>
              </w:rPr>
            </w:pPr>
            <w:r>
              <w:rPr>
                <w:rFonts w:ascii="Times New Roman" w:cs="Times New Roman" w:eastAsia="Times New Roman" w:hAnsi="Times New Roman"/>
                <w:sz w:val="14"/>
                <w:szCs w:val="14"/>
                <w:b w:val="1"/>
                <w:bCs w:val="1"/>
                <w:color w:val="auto"/>
              </w:rPr>
              <w:t>at a point</w:t>
            </w:r>
          </w:p>
        </w:tc>
        <w:tc>
          <w:tcPr>
            <w:tcW w:w="260" w:type="dxa"/>
            <w:vAlign w:val="bottom"/>
          </w:tcPr>
          <w:p>
            <w:pPr>
              <w:spacing w:after="0"/>
              <w:rPr>
                <w:sz w:val="12"/>
                <w:szCs w:val="12"/>
                <w:color w:val="auto"/>
              </w:rPr>
            </w:pPr>
          </w:p>
        </w:tc>
        <w:tc>
          <w:tcPr>
            <w:tcW w:w="1040" w:type="dxa"/>
            <w:vAlign w:val="bottom"/>
            <w:vMerge w:val="restart"/>
          </w:tcPr>
          <w:p>
            <w:pPr>
              <w:jc w:val="right"/>
              <w:ind w:right="488"/>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87"/>
        </w:trPr>
        <w:tc>
          <w:tcPr>
            <w:tcW w:w="30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center"/>
              <w:ind w:right="208"/>
              <w:spacing w:after="0"/>
              <w:rPr>
                <w:sz w:val="20"/>
                <w:szCs w:val="20"/>
                <w:color w:val="auto"/>
              </w:rPr>
            </w:pPr>
            <w:r>
              <w:rPr>
                <w:rFonts w:ascii="Times New Roman" w:cs="Times New Roman" w:eastAsia="Times New Roman" w:hAnsi="Times New Roman"/>
                <w:sz w:val="14"/>
                <w:szCs w:val="14"/>
                <w:b w:val="1"/>
                <w:bCs w:val="1"/>
                <w:color w:val="auto"/>
              </w:rPr>
              <w:t>over time</w:t>
            </w:r>
          </w:p>
        </w:tc>
        <w:tc>
          <w:tcPr>
            <w:tcW w:w="28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center"/>
              <w:ind w:right="328"/>
              <w:spacing w:after="0"/>
              <w:rPr>
                <w:sz w:val="20"/>
                <w:szCs w:val="20"/>
                <w:color w:val="auto"/>
              </w:rPr>
            </w:pPr>
            <w:r>
              <w:rPr>
                <w:rFonts w:ascii="Times New Roman" w:cs="Times New Roman" w:eastAsia="Times New Roman" w:hAnsi="Times New Roman"/>
                <w:sz w:val="14"/>
                <w:szCs w:val="14"/>
                <w:b w:val="1"/>
                <w:bCs w:val="1"/>
                <w:color w:val="auto"/>
              </w:rPr>
              <w:t>in time</w:t>
            </w:r>
          </w:p>
        </w:tc>
        <w:tc>
          <w:tcPr>
            <w:tcW w:w="2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vMerge w:val="continue"/>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center"/>
              <w:ind w:right="208"/>
              <w:spacing w:after="0"/>
              <w:rPr>
                <w:sz w:val="20"/>
                <w:szCs w:val="20"/>
                <w:color w:val="auto"/>
              </w:rPr>
            </w:pPr>
            <w:r>
              <w:rPr>
                <w:rFonts w:ascii="Times New Roman" w:cs="Times New Roman" w:eastAsia="Times New Roman" w:hAnsi="Times New Roman"/>
                <w:sz w:val="14"/>
                <w:szCs w:val="14"/>
                <w:b w:val="1"/>
                <w:bCs w:val="1"/>
                <w:color w:val="auto"/>
              </w:rPr>
              <w:t>over time</w:t>
            </w:r>
          </w:p>
        </w:tc>
        <w:tc>
          <w:tcPr>
            <w:tcW w:w="2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center"/>
              <w:ind w:right="328"/>
              <w:spacing w:after="0"/>
              <w:rPr>
                <w:sz w:val="20"/>
                <w:szCs w:val="20"/>
                <w:color w:val="auto"/>
              </w:rPr>
            </w:pPr>
            <w:r>
              <w:rPr>
                <w:rFonts w:ascii="Times New Roman" w:cs="Times New Roman" w:eastAsia="Times New Roman" w:hAnsi="Times New Roman"/>
                <w:sz w:val="14"/>
                <w:szCs w:val="14"/>
                <w:b w:val="1"/>
                <w:bCs w:val="1"/>
                <w:color w:val="auto"/>
              </w:rPr>
              <w:t>in time</w:t>
            </w:r>
          </w:p>
        </w:tc>
        <w:tc>
          <w:tcPr>
            <w:tcW w:w="26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30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Americas:</w:t>
            </w:r>
          </w:p>
        </w:tc>
        <w:tc>
          <w:tcPr>
            <w:tcW w:w="140" w:type="dxa"/>
            <w:vAlign w:val="bottom"/>
            <w:shd w:val="clear" w:color="auto" w:fill="CFF0FC"/>
          </w:tcPr>
          <w:p>
            <w:pPr>
              <w:spacing w:after="0"/>
              <w:rPr>
                <w:sz w:val="14"/>
                <w:szCs w:val="14"/>
                <w:color w:val="auto"/>
              </w:rPr>
            </w:pPr>
          </w:p>
        </w:tc>
        <w:tc>
          <w:tcPr>
            <w:tcW w:w="110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126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0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10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122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104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300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United States</w:t>
            </w: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681.2</w:t>
            </w:r>
          </w:p>
        </w:tc>
        <w:tc>
          <w:tcPr>
            <w:tcW w:w="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60" w:type="dxa"/>
            <w:vAlign w:val="bottom"/>
          </w:tcPr>
          <w:p>
            <w:pPr>
              <w:jc w:val="right"/>
              <w:ind w:right="188"/>
              <w:spacing w:after="0"/>
              <w:rPr>
                <w:sz w:val="20"/>
                <w:szCs w:val="20"/>
                <w:color w:val="auto"/>
              </w:rPr>
            </w:pPr>
            <w:r>
              <w:rPr>
                <w:rFonts w:ascii="Times New Roman" w:cs="Times New Roman" w:eastAsia="Times New Roman" w:hAnsi="Times New Roman"/>
                <w:sz w:val="14"/>
                <w:szCs w:val="14"/>
                <w:color w:val="auto"/>
              </w:rPr>
              <w:t>15.8</w:t>
            </w:r>
          </w:p>
        </w:tc>
        <w:tc>
          <w:tcPr>
            <w:tcW w:w="2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697.0</w:t>
            </w:r>
          </w:p>
        </w:tc>
        <w:tc>
          <w:tcPr>
            <w:tcW w:w="28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689.8</w:t>
            </w:r>
          </w:p>
        </w:tc>
        <w:tc>
          <w:tcPr>
            <w:tcW w:w="2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tcPr>
          <w:p>
            <w:pPr>
              <w:jc w:val="right"/>
              <w:ind w:right="168"/>
              <w:spacing w:after="0"/>
              <w:rPr>
                <w:sz w:val="20"/>
                <w:szCs w:val="20"/>
                <w:color w:val="auto"/>
              </w:rPr>
            </w:pPr>
            <w:r>
              <w:rPr>
                <w:rFonts w:ascii="Times New Roman" w:cs="Times New Roman" w:eastAsia="Times New Roman" w:hAnsi="Times New Roman"/>
                <w:sz w:val="14"/>
                <w:szCs w:val="14"/>
                <w:color w:val="auto"/>
              </w:rPr>
              <w:t>19.3</w:t>
            </w:r>
          </w:p>
        </w:tc>
        <w:tc>
          <w:tcPr>
            <w:tcW w:w="26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709.1</w:t>
            </w:r>
          </w:p>
        </w:tc>
        <w:tc>
          <w:tcPr>
            <w:tcW w:w="0" w:type="dxa"/>
            <w:vAlign w:val="bottom"/>
          </w:tcPr>
          <w:p>
            <w:pPr>
              <w:spacing w:after="0"/>
              <w:rPr>
                <w:sz w:val="1"/>
                <w:szCs w:val="1"/>
                <w:color w:val="auto"/>
              </w:rPr>
            </w:pPr>
          </w:p>
        </w:tc>
      </w:tr>
      <w:tr>
        <w:trPr>
          <w:trHeight w:val="176"/>
        </w:trPr>
        <w:tc>
          <w:tcPr>
            <w:tcW w:w="300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4"/>
                <w:szCs w:val="14"/>
                <w:color w:val="auto"/>
              </w:rPr>
              <w:t>Other Americas</w:t>
            </w:r>
          </w:p>
        </w:tc>
        <w:tc>
          <w:tcPr>
            <w:tcW w:w="140" w:type="dxa"/>
            <w:vAlign w:val="bottom"/>
            <w:tcBorders>
              <w:bottom w:val="single" w:sz="8" w:color="auto"/>
            </w:tcBorders>
            <w:shd w:val="clear" w:color="auto" w:fill="CFF0FC"/>
          </w:tcPr>
          <w:p>
            <w:pPr>
              <w:spacing w:after="0"/>
              <w:rPr>
                <w:sz w:val="15"/>
                <w:szCs w:val="15"/>
                <w:color w:val="auto"/>
              </w:rPr>
            </w:pPr>
          </w:p>
        </w:tc>
        <w:tc>
          <w:tcPr>
            <w:tcW w:w="1100" w:type="dxa"/>
            <w:vAlign w:val="bottom"/>
            <w:tcBorders>
              <w:bottom w:val="single" w:sz="8" w:color="auto"/>
            </w:tcBorders>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359.4</w:t>
            </w:r>
          </w:p>
        </w:tc>
        <w:tc>
          <w:tcPr>
            <w:tcW w:w="280" w:type="dxa"/>
            <w:vAlign w:val="bottom"/>
            <w:tcBorders>
              <w:bottom w:val="single" w:sz="8" w:color="auto"/>
            </w:tcBorders>
            <w:shd w:val="clear" w:color="auto" w:fill="CFF0FC"/>
          </w:tcPr>
          <w:p>
            <w:pPr>
              <w:spacing w:after="0"/>
              <w:rPr>
                <w:sz w:val="15"/>
                <w:szCs w:val="15"/>
                <w:color w:val="auto"/>
              </w:rPr>
            </w:pPr>
          </w:p>
        </w:tc>
        <w:tc>
          <w:tcPr>
            <w:tcW w:w="1260" w:type="dxa"/>
            <w:vAlign w:val="bottom"/>
            <w:tcBorders>
              <w:bottom w:val="single" w:sz="8" w:color="auto"/>
            </w:tcBorders>
            <w:shd w:val="clear" w:color="auto" w:fill="CFF0FC"/>
          </w:tcPr>
          <w:p>
            <w:pPr>
              <w:jc w:val="right"/>
              <w:ind w:right="188"/>
              <w:spacing w:after="0"/>
              <w:rPr>
                <w:sz w:val="20"/>
                <w:szCs w:val="20"/>
                <w:color w:val="auto"/>
              </w:rPr>
            </w:pPr>
            <w:r>
              <w:rPr>
                <w:rFonts w:ascii="Times New Roman" w:cs="Times New Roman" w:eastAsia="Times New Roman" w:hAnsi="Times New Roman"/>
                <w:sz w:val="14"/>
                <w:szCs w:val="14"/>
                <w:color w:val="auto"/>
              </w:rPr>
              <w:t>8.0</w:t>
            </w:r>
          </w:p>
        </w:tc>
        <w:tc>
          <w:tcPr>
            <w:tcW w:w="220" w:type="dxa"/>
            <w:vAlign w:val="bottom"/>
            <w:tcBorders>
              <w:bottom w:val="single" w:sz="8" w:color="auto"/>
            </w:tcBorders>
            <w:shd w:val="clear" w:color="auto" w:fill="CFF0FC"/>
          </w:tcPr>
          <w:p>
            <w:pPr>
              <w:spacing w:after="0"/>
              <w:rPr>
                <w:sz w:val="15"/>
                <w:szCs w:val="15"/>
                <w:color w:val="auto"/>
              </w:rPr>
            </w:pPr>
          </w:p>
        </w:tc>
        <w:tc>
          <w:tcPr>
            <w:tcW w:w="1060" w:type="dxa"/>
            <w:vAlign w:val="bottom"/>
            <w:tcBorders>
              <w:bottom w:val="single" w:sz="8" w:color="auto"/>
            </w:tcBorders>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367.4</w:t>
            </w:r>
          </w:p>
        </w:tc>
        <w:tc>
          <w:tcPr>
            <w:tcW w:w="120" w:type="dxa"/>
            <w:vAlign w:val="bottom"/>
            <w:tcBorders>
              <w:bottom w:val="single" w:sz="8" w:color="CFF0FC"/>
            </w:tcBorders>
            <w:shd w:val="clear" w:color="auto" w:fill="CFF0FC"/>
          </w:tcPr>
          <w:p>
            <w:pPr>
              <w:spacing w:after="0"/>
              <w:rPr>
                <w:sz w:val="15"/>
                <w:szCs w:val="15"/>
                <w:color w:val="auto"/>
              </w:rPr>
            </w:pPr>
          </w:p>
        </w:tc>
        <w:tc>
          <w:tcPr>
            <w:tcW w:w="160" w:type="dxa"/>
            <w:vAlign w:val="bottom"/>
            <w:tcBorders>
              <w:bottom w:val="single" w:sz="8" w:color="auto"/>
            </w:tcBorders>
            <w:shd w:val="clear" w:color="auto" w:fill="CFF0FC"/>
          </w:tcPr>
          <w:p>
            <w:pPr>
              <w:spacing w:after="0"/>
              <w:rPr>
                <w:sz w:val="15"/>
                <w:szCs w:val="15"/>
                <w:color w:val="auto"/>
              </w:rPr>
            </w:pPr>
          </w:p>
        </w:tc>
        <w:tc>
          <w:tcPr>
            <w:tcW w:w="1100" w:type="dxa"/>
            <w:vAlign w:val="bottom"/>
            <w:tcBorders>
              <w:bottom w:val="single" w:sz="8" w:color="auto"/>
            </w:tcBorders>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382.0</w:t>
            </w:r>
          </w:p>
        </w:tc>
        <w:tc>
          <w:tcPr>
            <w:tcW w:w="280" w:type="dxa"/>
            <w:vAlign w:val="bottom"/>
            <w:tcBorders>
              <w:bottom w:val="single" w:sz="8" w:color="auto"/>
            </w:tcBorders>
            <w:shd w:val="clear" w:color="auto" w:fill="CFF0FC"/>
          </w:tcPr>
          <w:p>
            <w:pPr>
              <w:spacing w:after="0"/>
              <w:rPr>
                <w:sz w:val="15"/>
                <w:szCs w:val="15"/>
                <w:color w:val="auto"/>
              </w:rPr>
            </w:pPr>
          </w:p>
        </w:tc>
        <w:tc>
          <w:tcPr>
            <w:tcW w:w="1220" w:type="dxa"/>
            <w:vAlign w:val="bottom"/>
            <w:tcBorders>
              <w:bottom w:val="single" w:sz="8" w:color="auto"/>
            </w:tcBorders>
            <w:shd w:val="clear" w:color="auto" w:fill="CFF0FC"/>
          </w:tcPr>
          <w:p>
            <w:pPr>
              <w:jc w:val="right"/>
              <w:ind w:right="168"/>
              <w:spacing w:after="0"/>
              <w:rPr>
                <w:sz w:val="20"/>
                <w:szCs w:val="20"/>
                <w:color w:val="auto"/>
              </w:rPr>
            </w:pPr>
            <w:r>
              <w:rPr>
                <w:rFonts w:ascii="Times New Roman" w:cs="Times New Roman" w:eastAsia="Times New Roman" w:hAnsi="Times New Roman"/>
                <w:sz w:val="14"/>
                <w:szCs w:val="14"/>
                <w:color w:val="auto"/>
              </w:rPr>
              <w:t>7.6</w:t>
            </w:r>
          </w:p>
        </w:tc>
        <w:tc>
          <w:tcPr>
            <w:tcW w:w="260" w:type="dxa"/>
            <w:vAlign w:val="bottom"/>
            <w:tcBorders>
              <w:bottom w:val="single" w:sz="8" w:color="auto"/>
            </w:tcBorders>
            <w:shd w:val="clear" w:color="auto" w:fill="CFF0FC"/>
          </w:tcPr>
          <w:p>
            <w:pPr>
              <w:spacing w:after="0"/>
              <w:rPr>
                <w:sz w:val="15"/>
                <w:szCs w:val="15"/>
                <w:color w:val="auto"/>
              </w:rPr>
            </w:pPr>
          </w:p>
        </w:tc>
        <w:tc>
          <w:tcPr>
            <w:tcW w:w="1040" w:type="dxa"/>
            <w:vAlign w:val="bottom"/>
            <w:tcBorders>
              <w:bottom w:val="single" w:sz="8" w:color="auto"/>
            </w:tcBorders>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389.6</w:t>
            </w:r>
          </w:p>
        </w:tc>
        <w:tc>
          <w:tcPr>
            <w:tcW w:w="0" w:type="dxa"/>
            <w:vAlign w:val="bottom"/>
          </w:tcPr>
          <w:p>
            <w:pPr>
              <w:spacing w:after="0"/>
              <w:rPr>
                <w:sz w:val="1"/>
                <w:szCs w:val="1"/>
                <w:color w:val="auto"/>
              </w:rPr>
            </w:pPr>
          </w:p>
        </w:tc>
      </w:tr>
      <w:tr>
        <w:trPr>
          <w:trHeight w:val="169"/>
        </w:trPr>
        <w:tc>
          <w:tcPr>
            <w:tcW w:w="30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1,040.6</w:t>
            </w:r>
          </w:p>
        </w:tc>
        <w:tc>
          <w:tcPr>
            <w:tcW w:w="28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tcPr>
          <w:p>
            <w:pPr>
              <w:jc w:val="right"/>
              <w:ind w:right="188"/>
              <w:spacing w:after="0"/>
              <w:rPr>
                <w:sz w:val="20"/>
                <w:szCs w:val="20"/>
                <w:color w:val="auto"/>
              </w:rPr>
            </w:pPr>
            <w:r>
              <w:rPr>
                <w:rFonts w:ascii="Times New Roman" w:cs="Times New Roman" w:eastAsia="Times New Roman" w:hAnsi="Times New Roman"/>
                <w:sz w:val="14"/>
                <w:szCs w:val="14"/>
                <w:color w:val="auto"/>
              </w:rPr>
              <w:t>23.8</w:t>
            </w:r>
          </w:p>
        </w:tc>
        <w:tc>
          <w:tcPr>
            <w:tcW w:w="22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1,064.4</w:t>
            </w:r>
          </w:p>
        </w:tc>
        <w:tc>
          <w:tcPr>
            <w:tcW w:w="1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1,071.8</w:t>
            </w:r>
          </w:p>
        </w:tc>
        <w:tc>
          <w:tcPr>
            <w:tcW w:w="28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jc w:val="right"/>
              <w:ind w:right="168"/>
              <w:spacing w:after="0"/>
              <w:rPr>
                <w:sz w:val="20"/>
                <w:szCs w:val="20"/>
                <w:color w:val="auto"/>
              </w:rPr>
            </w:pPr>
            <w:r>
              <w:rPr>
                <w:rFonts w:ascii="Times New Roman" w:cs="Times New Roman" w:eastAsia="Times New Roman" w:hAnsi="Times New Roman"/>
                <w:sz w:val="14"/>
                <w:szCs w:val="14"/>
                <w:color w:val="auto"/>
              </w:rPr>
              <w:t>26.9</w:t>
            </w:r>
          </w:p>
        </w:tc>
        <w:tc>
          <w:tcPr>
            <w:tcW w:w="26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1,098.7</w:t>
            </w:r>
          </w:p>
        </w:tc>
        <w:tc>
          <w:tcPr>
            <w:tcW w:w="0" w:type="dxa"/>
            <w:vAlign w:val="bottom"/>
          </w:tcPr>
          <w:p>
            <w:pPr>
              <w:spacing w:after="0"/>
              <w:rPr>
                <w:sz w:val="1"/>
                <w:szCs w:val="1"/>
                <w:color w:val="auto"/>
              </w:rPr>
            </w:pPr>
          </w:p>
        </w:tc>
      </w:tr>
      <w:tr>
        <w:trPr>
          <w:trHeight w:val="169"/>
        </w:trPr>
        <w:tc>
          <w:tcPr>
            <w:tcW w:w="30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Southern Europe:</w:t>
            </w:r>
          </w:p>
        </w:tc>
        <w:tc>
          <w:tcPr>
            <w:tcW w:w="140" w:type="dxa"/>
            <w:vAlign w:val="bottom"/>
            <w:shd w:val="clear" w:color="auto" w:fill="CFF0FC"/>
          </w:tcPr>
          <w:p>
            <w:pPr>
              <w:spacing w:after="0"/>
              <w:rPr>
                <w:sz w:val="14"/>
                <w:szCs w:val="14"/>
                <w:color w:val="auto"/>
              </w:rPr>
            </w:pPr>
          </w:p>
        </w:tc>
        <w:tc>
          <w:tcPr>
            <w:tcW w:w="110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126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0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10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122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104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300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France</w:t>
            </w:r>
          </w:p>
        </w:tc>
        <w:tc>
          <w:tcPr>
            <w:tcW w:w="140" w:type="dxa"/>
            <w:vAlign w:val="bottom"/>
          </w:tcPr>
          <w:p>
            <w:pPr>
              <w:spacing w:after="0"/>
              <w:rPr>
                <w:sz w:val="15"/>
                <w:szCs w:val="15"/>
                <w:color w:val="auto"/>
              </w:rPr>
            </w:pPr>
          </w:p>
        </w:tc>
        <w:tc>
          <w:tcPr>
            <w:tcW w:w="11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1,172.5</w:t>
            </w:r>
          </w:p>
        </w:tc>
        <w:tc>
          <w:tcPr>
            <w:tcW w:w="280" w:type="dxa"/>
            <w:vAlign w:val="bottom"/>
          </w:tcPr>
          <w:p>
            <w:pPr>
              <w:spacing w:after="0"/>
              <w:rPr>
                <w:sz w:val="15"/>
                <w:szCs w:val="15"/>
                <w:color w:val="auto"/>
              </w:rPr>
            </w:pPr>
          </w:p>
        </w:tc>
        <w:tc>
          <w:tcPr>
            <w:tcW w:w="1260" w:type="dxa"/>
            <w:vAlign w:val="bottom"/>
          </w:tcPr>
          <w:p>
            <w:pPr>
              <w:jc w:val="right"/>
              <w:ind w:right="188"/>
              <w:spacing w:after="0"/>
              <w:rPr>
                <w:sz w:val="20"/>
                <w:szCs w:val="20"/>
                <w:color w:val="auto"/>
              </w:rPr>
            </w:pPr>
            <w:r>
              <w:rPr>
                <w:rFonts w:ascii="Times New Roman" w:cs="Times New Roman" w:eastAsia="Times New Roman" w:hAnsi="Times New Roman"/>
                <w:sz w:val="14"/>
                <w:szCs w:val="14"/>
                <w:color w:val="auto"/>
              </w:rPr>
              <w:t>12.4</w:t>
            </w:r>
          </w:p>
        </w:tc>
        <w:tc>
          <w:tcPr>
            <w:tcW w:w="220" w:type="dxa"/>
            <w:vAlign w:val="bottom"/>
          </w:tcPr>
          <w:p>
            <w:pPr>
              <w:spacing w:after="0"/>
              <w:rPr>
                <w:sz w:val="15"/>
                <w:szCs w:val="15"/>
                <w:color w:val="auto"/>
              </w:rPr>
            </w:pPr>
          </w:p>
        </w:tc>
        <w:tc>
          <w:tcPr>
            <w:tcW w:w="106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1,184.9</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1,263.5</w:t>
            </w:r>
          </w:p>
        </w:tc>
        <w:tc>
          <w:tcPr>
            <w:tcW w:w="280" w:type="dxa"/>
            <w:vAlign w:val="bottom"/>
          </w:tcPr>
          <w:p>
            <w:pPr>
              <w:spacing w:after="0"/>
              <w:rPr>
                <w:sz w:val="15"/>
                <w:szCs w:val="15"/>
                <w:color w:val="auto"/>
              </w:rPr>
            </w:pPr>
          </w:p>
        </w:tc>
        <w:tc>
          <w:tcPr>
            <w:tcW w:w="1220" w:type="dxa"/>
            <w:vAlign w:val="bottom"/>
          </w:tcPr>
          <w:p>
            <w:pPr>
              <w:jc w:val="right"/>
              <w:ind w:right="168"/>
              <w:spacing w:after="0"/>
              <w:rPr>
                <w:sz w:val="20"/>
                <w:szCs w:val="20"/>
                <w:color w:val="auto"/>
              </w:rPr>
            </w:pPr>
            <w:r>
              <w:rPr>
                <w:rFonts w:ascii="Times New Roman" w:cs="Times New Roman" w:eastAsia="Times New Roman" w:hAnsi="Times New Roman"/>
                <w:sz w:val="14"/>
                <w:szCs w:val="14"/>
                <w:color w:val="auto"/>
              </w:rPr>
              <w:t>14.7</w:t>
            </w:r>
          </w:p>
        </w:tc>
        <w:tc>
          <w:tcPr>
            <w:tcW w:w="260" w:type="dxa"/>
            <w:vAlign w:val="bottom"/>
          </w:tcPr>
          <w:p>
            <w:pPr>
              <w:spacing w:after="0"/>
              <w:rPr>
                <w:sz w:val="15"/>
                <w:szCs w:val="15"/>
                <w:color w:val="auto"/>
              </w:rPr>
            </w:pPr>
          </w:p>
        </w:tc>
        <w:tc>
          <w:tcPr>
            <w:tcW w:w="10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1,278.2</w:t>
            </w:r>
          </w:p>
        </w:tc>
        <w:tc>
          <w:tcPr>
            <w:tcW w:w="0" w:type="dxa"/>
            <w:vAlign w:val="bottom"/>
          </w:tcPr>
          <w:p>
            <w:pPr>
              <w:spacing w:after="0"/>
              <w:rPr>
                <w:sz w:val="1"/>
                <w:szCs w:val="1"/>
                <w:color w:val="auto"/>
              </w:rPr>
            </w:pPr>
          </w:p>
        </w:tc>
      </w:tr>
      <w:tr>
        <w:trPr>
          <w:trHeight w:val="176"/>
        </w:trPr>
        <w:tc>
          <w:tcPr>
            <w:tcW w:w="30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4"/>
                <w:szCs w:val="14"/>
                <w:color w:val="auto"/>
              </w:rPr>
              <w:t>Italy</w:t>
            </w:r>
          </w:p>
        </w:tc>
        <w:tc>
          <w:tcPr>
            <w:tcW w:w="140" w:type="dxa"/>
            <w:vAlign w:val="bottom"/>
            <w:shd w:val="clear" w:color="auto" w:fill="CFF0FC"/>
          </w:tcPr>
          <w:p>
            <w:pPr>
              <w:spacing w:after="0"/>
              <w:rPr>
                <w:sz w:val="15"/>
                <w:szCs w:val="15"/>
                <w:color w:val="auto"/>
              </w:rPr>
            </w:pPr>
          </w:p>
        </w:tc>
        <w:tc>
          <w:tcPr>
            <w:tcW w:w="110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422.8</w:t>
            </w:r>
          </w:p>
        </w:tc>
        <w:tc>
          <w:tcPr>
            <w:tcW w:w="280" w:type="dxa"/>
            <w:vAlign w:val="bottom"/>
            <w:shd w:val="clear" w:color="auto" w:fill="CFF0FC"/>
          </w:tcPr>
          <w:p>
            <w:pPr>
              <w:spacing w:after="0"/>
              <w:rPr>
                <w:sz w:val="15"/>
                <w:szCs w:val="15"/>
                <w:color w:val="auto"/>
              </w:rPr>
            </w:pPr>
          </w:p>
        </w:tc>
        <w:tc>
          <w:tcPr>
            <w:tcW w:w="1260" w:type="dxa"/>
            <w:vAlign w:val="bottom"/>
            <w:shd w:val="clear" w:color="auto" w:fill="CFF0FC"/>
          </w:tcPr>
          <w:p>
            <w:pPr>
              <w:jc w:val="right"/>
              <w:ind w:right="188"/>
              <w:spacing w:after="0"/>
              <w:rPr>
                <w:sz w:val="20"/>
                <w:szCs w:val="20"/>
                <w:color w:val="auto"/>
              </w:rPr>
            </w:pPr>
            <w:r>
              <w:rPr>
                <w:rFonts w:ascii="Times New Roman" w:cs="Times New Roman" w:eastAsia="Times New Roman" w:hAnsi="Times New Roman"/>
                <w:sz w:val="14"/>
                <w:szCs w:val="14"/>
                <w:color w:val="auto"/>
              </w:rPr>
              <w:t>12.1</w:t>
            </w:r>
          </w:p>
        </w:tc>
        <w:tc>
          <w:tcPr>
            <w:tcW w:w="220" w:type="dxa"/>
            <w:vAlign w:val="bottom"/>
            <w:shd w:val="clear" w:color="auto" w:fill="CFF0FC"/>
          </w:tcPr>
          <w:p>
            <w:pPr>
              <w:spacing w:after="0"/>
              <w:rPr>
                <w:sz w:val="15"/>
                <w:szCs w:val="15"/>
                <w:color w:val="auto"/>
              </w:rPr>
            </w:pPr>
          </w:p>
        </w:tc>
        <w:tc>
          <w:tcPr>
            <w:tcW w:w="106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434.9</w:t>
            </w:r>
          </w:p>
        </w:tc>
        <w:tc>
          <w:tcPr>
            <w:tcW w:w="12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10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443.5</w:t>
            </w:r>
          </w:p>
        </w:tc>
        <w:tc>
          <w:tcPr>
            <w:tcW w:w="280" w:type="dxa"/>
            <w:vAlign w:val="bottom"/>
            <w:shd w:val="clear" w:color="auto" w:fill="CFF0FC"/>
          </w:tcPr>
          <w:p>
            <w:pPr>
              <w:spacing w:after="0"/>
              <w:rPr>
                <w:sz w:val="15"/>
                <w:szCs w:val="15"/>
                <w:color w:val="auto"/>
              </w:rPr>
            </w:pPr>
          </w:p>
        </w:tc>
        <w:tc>
          <w:tcPr>
            <w:tcW w:w="1220" w:type="dxa"/>
            <w:vAlign w:val="bottom"/>
            <w:shd w:val="clear" w:color="auto" w:fill="CFF0FC"/>
          </w:tcPr>
          <w:p>
            <w:pPr>
              <w:jc w:val="right"/>
              <w:ind w:right="168"/>
              <w:spacing w:after="0"/>
              <w:rPr>
                <w:sz w:val="20"/>
                <w:szCs w:val="20"/>
                <w:color w:val="auto"/>
              </w:rPr>
            </w:pPr>
            <w:r>
              <w:rPr>
                <w:rFonts w:ascii="Times New Roman" w:cs="Times New Roman" w:eastAsia="Times New Roman" w:hAnsi="Times New Roman"/>
                <w:sz w:val="14"/>
                <w:szCs w:val="14"/>
                <w:color w:val="auto"/>
              </w:rPr>
              <w:t>14.3</w:t>
            </w:r>
          </w:p>
        </w:tc>
        <w:tc>
          <w:tcPr>
            <w:tcW w:w="260" w:type="dxa"/>
            <w:vAlign w:val="bottom"/>
            <w:shd w:val="clear" w:color="auto" w:fill="CFF0FC"/>
          </w:tcPr>
          <w:p>
            <w:pPr>
              <w:spacing w:after="0"/>
              <w:rPr>
                <w:sz w:val="15"/>
                <w:szCs w:val="15"/>
                <w:color w:val="auto"/>
              </w:rPr>
            </w:pPr>
          </w:p>
        </w:tc>
        <w:tc>
          <w:tcPr>
            <w:tcW w:w="104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457.8</w:t>
            </w:r>
          </w:p>
        </w:tc>
        <w:tc>
          <w:tcPr>
            <w:tcW w:w="0" w:type="dxa"/>
            <w:vAlign w:val="bottom"/>
          </w:tcPr>
          <w:p>
            <w:pPr>
              <w:spacing w:after="0"/>
              <w:rPr>
                <w:sz w:val="1"/>
                <w:szCs w:val="1"/>
                <w:color w:val="auto"/>
              </w:rPr>
            </w:pPr>
          </w:p>
        </w:tc>
      </w:tr>
      <w:tr>
        <w:trPr>
          <w:trHeight w:val="175"/>
        </w:trPr>
        <w:tc>
          <w:tcPr>
            <w:tcW w:w="300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Other Southern Europe</w:t>
            </w:r>
          </w:p>
        </w:tc>
        <w:tc>
          <w:tcPr>
            <w:tcW w:w="14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467.5</w:t>
            </w:r>
          </w:p>
        </w:tc>
        <w:tc>
          <w:tcPr>
            <w:tcW w:w="28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right"/>
              <w:ind w:right="188"/>
              <w:spacing w:after="0"/>
              <w:rPr>
                <w:sz w:val="20"/>
                <w:szCs w:val="20"/>
                <w:color w:val="auto"/>
              </w:rPr>
            </w:pPr>
            <w:r>
              <w:rPr>
                <w:rFonts w:ascii="Times New Roman" w:cs="Times New Roman" w:eastAsia="Times New Roman" w:hAnsi="Times New Roman"/>
                <w:sz w:val="14"/>
                <w:szCs w:val="14"/>
                <w:color w:val="auto"/>
              </w:rPr>
              <w:t>10.7</w:t>
            </w:r>
          </w:p>
        </w:tc>
        <w:tc>
          <w:tcPr>
            <w:tcW w:w="22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478.2</w:t>
            </w:r>
          </w:p>
        </w:tc>
        <w:tc>
          <w:tcPr>
            <w:tcW w:w="12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478.3</w:t>
            </w:r>
          </w:p>
        </w:tc>
        <w:tc>
          <w:tcPr>
            <w:tcW w:w="28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right"/>
              <w:ind w:right="168"/>
              <w:spacing w:after="0"/>
              <w:rPr>
                <w:sz w:val="20"/>
                <w:szCs w:val="20"/>
                <w:color w:val="auto"/>
              </w:rPr>
            </w:pPr>
            <w:r>
              <w:rPr>
                <w:rFonts w:ascii="Times New Roman" w:cs="Times New Roman" w:eastAsia="Times New Roman" w:hAnsi="Times New Roman"/>
                <w:sz w:val="14"/>
                <w:szCs w:val="14"/>
                <w:color w:val="auto"/>
              </w:rPr>
              <w:t>12.6</w:t>
            </w:r>
          </w:p>
        </w:tc>
        <w:tc>
          <w:tcPr>
            <w:tcW w:w="26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490.9</w:t>
            </w:r>
          </w:p>
        </w:tc>
        <w:tc>
          <w:tcPr>
            <w:tcW w:w="0" w:type="dxa"/>
            <w:vAlign w:val="bottom"/>
          </w:tcPr>
          <w:p>
            <w:pPr>
              <w:spacing w:after="0"/>
              <w:rPr>
                <w:sz w:val="1"/>
                <w:szCs w:val="1"/>
                <w:color w:val="auto"/>
              </w:rPr>
            </w:pPr>
          </w:p>
        </w:tc>
      </w:tr>
      <w:tr>
        <w:trPr>
          <w:trHeight w:val="169"/>
        </w:trPr>
        <w:tc>
          <w:tcPr>
            <w:tcW w:w="3000" w:type="dxa"/>
            <w:vAlign w:val="bottom"/>
            <w:tcBorders>
              <w:bottom w:val="single" w:sz="8" w:color="CFF0FC"/>
            </w:tcBorders>
            <w:shd w:val="clear" w:color="auto" w:fill="CFF0FC"/>
          </w:tcPr>
          <w:p>
            <w:pPr>
              <w:spacing w:after="0"/>
              <w:rPr>
                <w:sz w:val="14"/>
                <w:szCs w:val="14"/>
                <w:color w:val="auto"/>
              </w:rPr>
            </w:pPr>
          </w:p>
        </w:tc>
        <w:tc>
          <w:tcPr>
            <w:tcW w:w="140" w:type="dxa"/>
            <w:vAlign w:val="bottom"/>
            <w:tcBorders>
              <w:bottom w:val="single" w:sz="8" w:color="auto"/>
            </w:tcBorders>
            <w:shd w:val="clear" w:color="auto" w:fill="CFF0FC"/>
          </w:tcPr>
          <w:p>
            <w:pPr>
              <w:spacing w:after="0"/>
              <w:rPr>
                <w:sz w:val="14"/>
                <w:szCs w:val="14"/>
                <w:color w:val="auto"/>
              </w:rPr>
            </w:pPr>
          </w:p>
        </w:tc>
        <w:tc>
          <w:tcPr>
            <w:tcW w:w="1100" w:type="dxa"/>
            <w:vAlign w:val="bottom"/>
            <w:tcBorders>
              <w:bottom w:val="single" w:sz="8" w:color="auto"/>
            </w:tcBorders>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2,062.8</w:t>
            </w:r>
          </w:p>
        </w:tc>
        <w:tc>
          <w:tcPr>
            <w:tcW w:w="280" w:type="dxa"/>
            <w:vAlign w:val="bottom"/>
            <w:tcBorders>
              <w:bottom w:val="single" w:sz="8" w:color="auto"/>
            </w:tcBorders>
            <w:shd w:val="clear" w:color="auto" w:fill="CFF0FC"/>
          </w:tcPr>
          <w:p>
            <w:pPr>
              <w:spacing w:after="0"/>
              <w:rPr>
                <w:sz w:val="14"/>
                <w:szCs w:val="14"/>
                <w:color w:val="auto"/>
              </w:rPr>
            </w:pPr>
          </w:p>
        </w:tc>
        <w:tc>
          <w:tcPr>
            <w:tcW w:w="1260" w:type="dxa"/>
            <w:vAlign w:val="bottom"/>
            <w:tcBorders>
              <w:bottom w:val="single" w:sz="8" w:color="auto"/>
            </w:tcBorders>
            <w:shd w:val="clear" w:color="auto" w:fill="CFF0FC"/>
          </w:tcPr>
          <w:p>
            <w:pPr>
              <w:jc w:val="right"/>
              <w:ind w:right="188"/>
              <w:spacing w:after="0"/>
              <w:rPr>
                <w:sz w:val="20"/>
                <w:szCs w:val="20"/>
                <w:color w:val="auto"/>
              </w:rPr>
            </w:pPr>
            <w:r>
              <w:rPr>
                <w:rFonts w:ascii="Times New Roman" w:cs="Times New Roman" w:eastAsia="Times New Roman" w:hAnsi="Times New Roman"/>
                <w:sz w:val="14"/>
                <w:szCs w:val="14"/>
                <w:color w:val="auto"/>
              </w:rPr>
              <w:t>35.2</w:t>
            </w:r>
          </w:p>
        </w:tc>
        <w:tc>
          <w:tcPr>
            <w:tcW w:w="220" w:type="dxa"/>
            <w:vAlign w:val="bottom"/>
            <w:tcBorders>
              <w:bottom w:val="single" w:sz="8" w:color="auto"/>
            </w:tcBorders>
            <w:shd w:val="clear" w:color="auto" w:fill="CFF0FC"/>
          </w:tcPr>
          <w:p>
            <w:pPr>
              <w:spacing w:after="0"/>
              <w:rPr>
                <w:sz w:val="14"/>
                <w:szCs w:val="14"/>
                <w:color w:val="auto"/>
              </w:rPr>
            </w:pPr>
          </w:p>
        </w:tc>
        <w:tc>
          <w:tcPr>
            <w:tcW w:w="1060" w:type="dxa"/>
            <w:vAlign w:val="bottom"/>
            <w:tcBorders>
              <w:bottom w:val="single" w:sz="8" w:color="auto"/>
            </w:tcBorders>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2,098.0</w:t>
            </w:r>
          </w:p>
        </w:tc>
        <w:tc>
          <w:tcPr>
            <w:tcW w:w="120" w:type="dxa"/>
            <w:vAlign w:val="bottom"/>
            <w:tcBorders>
              <w:bottom w:val="single" w:sz="8" w:color="CFF0FC"/>
            </w:tcBorders>
            <w:shd w:val="clear" w:color="auto" w:fill="CFF0FC"/>
          </w:tcPr>
          <w:p>
            <w:pPr>
              <w:spacing w:after="0"/>
              <w:rPr>
                <w:sz w:val="14"/>
                <w:szCs w:val="14"/>
                <w:color w:val="auto"/>
              </w:rPr>
            </w:pPr>
          </w:p>
        </w:tc>
        <w:tc>
          <w:tcPr>
            <w:tcW w:w="160" w:type="dxa"/>
            <w:vAlign w:val="bottom"/>
            <w:tcBorders>
              <w:bottom w:val="single" w:sz="8" w:color="auto"/>
            </w:tcBorders>
            <w:shd w:val="clear" w:color="auto" w:fill="CFF0FC"/>
          </w:tcPr>
          <w:p>
            <w:pPr>
              <w:spacing w:after="0"/>
              <w:rPr>
                <w:sz w:val="14"/>
                <w:szCs w:val="14"/>
                <w:color w:val="auto"/>
              </w:rPr>
            </w:pPr>
          </w:p>
        </w:tc>
        <w:tc>
          <w:tcPr>
            <w:tcW w:w="1100" w:type="dxa"/>
            <w:vAlign w:val="bottom"/>
            <w:tcBorders>
              <w:bottom w:val="single" w:sz="8" w:color="auto"/>
            </w:tcBorders>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2,185.3</w:t>
            </w:r>
          </w:p>
        </w:tc>
        <w:tc>
          <w:tcPr>
            <w:tcW w:w="280" w:type="dxa"/>
            <w:vAlign w:val="bottom"/>
            <w:tcBorders>
              <w:bottom w:val="single" w:sz="8" w:color="auto"/>
            </w:tcBorders>
            <w:shd w:val="clear" w:color="auto" w:fill="CFF0FC"/>
          </w:tcPr>
          <w:p>
            <w:pPr>
              <w:spacing w:after="0"/>
              <w:rPr>
                <w:sz w:val="14"/>
                <w:szCs w:val="14"/>
                <w:color w:val="auto"/>
              </w:rPr>
            </w:pPr>
          </w:p>
        </w:tc>
        <w:tc>
          <w:tcPr>
            <w:tcW w:w="1220" w:type="dxa"/>
            <w:vAlign w:val="bottom"/>
            <w:tcBorders>
              <w:bottom w:val="single" w:sz="8" w:color="auto"/>
            </w:tcBorders>
            <w:shd w:val="clear" w:color="auto" w:fill="CFF0FC"/>
          </w:tcPr>
          <w:p>
            <w:pPr>
              <w:jc w:val="right"/>
              <w:ind w:right="168"/>
              <w:spacing w:after="0"/>
              <w:rPr>
                <w:sz w:val="20"/>
                <w:szCs w:val="20"/>
                <w:color w:val="auto"/>
              </w:rPr>
            </w:pPr>
            <w:r>
              <w:rPr>
                <w:rFonts w:ascii="Times New Roman" w:cs="Times New Roman" w:eastAsia="Times New Roman" w:hAnsi="Times New Roman"/>
                <w:sz w:val="14"/>
                <w:szCs w:val="14"/>
                <w:color w:val="auto"/>
              </w:rPr>
              <w:t>41.6</w:t>
            </w:r>
          </w:p>
        </w:tc>
        <w:tc>
          <w:tcPr>
            <w:tcW w:w="260" w:type="dxa"/>
            <w:vAlign w:val="bottom"/>
            <w:tcBorders>
              <w:bottom w:val="single" w:sz="8" w:color="auto"/>
            </w:tcBorders>
            <w:shd w:val="clear" w:color="auto" w:fill="CFF0FC"/>
          </w:tcPr>
          <w:p>
            <w:pPr>
              <w:spacing w:after="0"/>
              <w:rPr>
                <w:sz w:val="14"/>
                <w:szCs w:val="14"/>
                <w:color w:val="auto"/>
              </w:rPr>
            </w:pPr>
          </w:p>
        </w:tc>
        <w:tc>
          <w:tcPr>
            <w:tcW w:w="1040" w:type="dxa"/>
            <w:vAlign w:val="bottom"/>
            <w:tcBorders>
              <w:bottom w:val="single" w:sz="8" w:color="auto"/>
            </w:tcBorders>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2,226.9</w:t>
            </w:r>
          </w:p>
        </w:tc>
        <w:tc>
          <w:tcPr>
            <w:tcW w:w="0" w:type="dxa"/>
            <w:vAlign w:val="bottom"/>
          </w:tcPr>
          <w:p>
            <w:pPr>
              <w:spacing w:after="0"/>
              <w:rPr>
                <w:sz w:val="1"/>
                <w:szCs w:val="1"/>
                <w:color w:val="auto"/>
              </w:rPr>
            </w:pPr>
          </w:p>
        </w:tc>
      </w:tr>
      <w:tr>
        <w:trPr>
          <w:trHeight w:val="169"/>
        </w:trPr>
        <w:tc>
          <w:tcPr>
            <w:tcW w:w="30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Northern Europe</w:t>
            </w:r>
          </w:p>
        </w:tc>
        <w:tc>
          <w:tcPr>
            <w:tcW w:w="140" w:type="dxa"/>
            <w:vAlign w:val="bottom"/>
          </w:tcPr>
          <w:p>
            <w:pPr>
              <w:spacing w:after="0"/>
              <w:rPr>
                <w:sz w:val="14"/>
                <w:szCs w:val="14"/>
                <w:color w:val="auto"/>
              </w:rPr>
            </w:pPr>
          </w:p>
        </w:tc>
        <w:tc>
          <w:tcPr>
            <w:tcW w:w="11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812.0</w:t>
            </w:r>
          </w:p>
        </w:tc>
        <w:tc>
          <w:tcPr>
            <w:tcW w:w="280" w:type="dxa"/>
            <w:vAlign w:val="bottom"/>
          </w:tcPr>
          <w:p>
            <w:pPr>
              <w:spacing w:after="0"/>
              <w:rPr>
                <w:sz w:val="14"/>
                <w:szCs w:val="14"/>
                <w:color w:val="auto"/>
              </w:rPr>
            </w:pPr>
          </w:p>
        </w:tc>
        <w:tc>
          <w:tcPr>
            <w:tcW w:w="1260" w:type="dxa"/>
            <w:vAlign w:val="bottom"/>
          </w:tcPr>
          <w:p>
            <w:pPr>
              <w:jc w:val="right"/>
              <w:ind w:right="188"/>
              <w:spacing w:after="0"/>
              <w:rPr>
                <w:sz w:val="20"/>
                <w:szCs w:val="20"/>
                <w:color w:val="auto"/>
              </w:rPr>
            </w:pPr>
            <w:r>
              <w:rPr>
                <w:rFonts w:ascii="Times New Roman" w:cs="Times New Roman" w:eastAsia="Times New Roman" w:hAnsi="Times New Roman"/>
                <w:sz w:val="14"/>
                <w:szCs w:val="14"/>
                <w:color w:val="auto"/>
              </w:rPr>
              <w:t>25.3</w:t>
            </w:r>
          </w:p>
        </w:tc>
        <w:tc>
          <w:tcPr>
            <w:tcW w:w="220" w:type="dxa"/>
            <w:vAlign w:val="bottom"/>
          </w:tcPr>
          <w:p>
            <w:pPr>
              <w:spacing w:after="0"/>
              <w:rPr>
                <w:sz w:val="14"/>
                <w:szCs w:val="14"/>
                <w:color w:val="auto"/>
              </w:rPr>
            </w:pPr>
          </w:p>
        </w:tc>
        <w:tc>
          <w:tcPr>
            <w:tcW w:w="106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837.3</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921.3</w:t>
            </w:r>
          </w:p>
        </w:tc>
        <w:tc>
          <w:tcPr>
            <w:tcW w:w="280" w:type="dxa"/>
            <w:vAlign w:val="bottom"/>
          </w:tcPr>
          <w:p>
            <w:pPr>
              <w:spacing w:after="0"/>
              <w:rPr>
                <w:sz w:val="14"/>
                <w:szCs w:val="14"/>
                <w:color w:val="auto"/>
              </w:rPr>
            </w:pPr>
          </w:p>
        </w:tc>
        <w:tc>
          <w:tcPr>
            <w:tcW w:w="1220" w:type="dxa"/>
            <w:vAlign w:val="bottom"/>
          </w:tcPr>
          <w:p>
            <w:pPr>
              <w:jc w:val="right"/>
              <w:ind w:right="168"/>
              <w:spacing w:after="0"/>
              <w:rPr>
                <w:sz w:val="20"/>
                <w:szCs w:val="20"/>
                <w:color w:val="auto"/>
              </w:rPr>
            </w:pPr>
            <w:r>
              <w:rPr>
                <w:rFonts w:ascii="Times New Roman" w:cs="Times New Roman" w:eastAsia="Times New Roman" w:hAnsi="Times New Roman"/>
                <w:sz w:val="14"/>
                <w:szCs w:val="14"/>
                <w:color w:val="auto"/>
              </w:rPr>
              <w:t>31.2</w:t>
            </w:r>
          </w:p>
        </w:tc>
        <w:tc>
          <w:tcPr>
            <w:tcW w:w="260" w:type="dxa"/>
            <w:vAlign w:val="bottom"/>
          </w:tcPr>
          <w:p>
            <w:pPr>
              <w:spacing w:after="0"/>
              <w:rPr>
                <w:sz w:val="14"/>
                <w:szCs w:val="14"/>
                <w:color w:val="auto"/>
              </w:rPr>
            </w:pPr>
          </w:p>
        </w:tc>
        <w:tc>
          <w:tcPr>
            <w:tcW w:w="10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952.5</w:t>
            </w:r>
          </w:p>
        </w:tc>
        <w:tc>
          <w:tcPr>
            <w:tcW w:w="0" w:type="dxa"/>
            <w:vAlign w:val="bottom"/>
          </w:tcPr>
          <w:p>
            <w:pPr>
              <w:spacing w:after="0"/>
              <w:rPr>
                <w:sz w:val="1"/>
                <w:szCs w:val="1"/>
                <w:color w:val="auto"/>
              </w:rPr>
            </w:pPr>
          </w:p>
        </w:tc>
      </w:tr>
      <w:tr>
        <w:trPr>
          <w:trHeight w:val="175"/>
        </w:trPr>
        <w:tc>
          <w:tcPr>
            <w:tcW w:w="30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APME</w:t>
            </w:r>
          </w:p>
        </w:tc>
        <w:tc>
          <w:tcPr>
            <w:tcW w:w="140" w:type="dxa"/>
            <w:vAlign w:val="bottom"/>
            <w:tcBorders>
              <w:bottom w:val="single" w:sz="8" w:color="auto"/>
            </w:tcBorders>
            <w:shd w:val="clear" w:color="auto" w:fill="CFF0FC"/>
          </w:tcPr>
          <w:p>
            <w:pPr>
              <w:spacing w:after="0"/>
              <w:rPr>
                <w:sz w:val="15"/>
                <w:szCs w:val="15"/>
                <w:color w:val="auto"/>
              </w:rPr>
            </w:pPr>
          </w:p>
        </w:tc>
        <w:tc>
          <w:tcPr>
            <w:tcW w:w="1100" w:type="dxa"/>
            <w:vAlign w:val="bottom"/>
            <w:tcBorders>
              <w:bottom w:val="single" w:sz="8" w:color="auto"/>
            </w:tcBorders>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528.9</w:t>
            </w:r>
          </w:p>
        </w:tc>
        <w:tc>
          <w:tcPr>
            <w:tcW w:w="280" w:type="dxa"/>
            <w:vAlign w:val="bottom"/>
            <w:tcBorders>
              <w:bottom w:val="single" w:sz="8" w:color="auto"/>
            </w:tcBorders>
            <w:shd w:val="clear" w:color="auto" w:fill="CFF0FC"/>
          </w:tcPr>
          <w:p>
            <w:pPr>
              <w:spacing w:after="0"/>
              <w:rPr>
                <w:sz w:val="15"/>
                <w:szCs w:val="15"/>
                <w:color w:val="auto"/>
              </w:rPr>
            </w:pPr>
          </w:p>
        </w:tc>
        <w:tc>
          <w:tcPr>
            <w:tcW w:w="1260" w:type="dxa"/>
            <w:vAlign w:val="bottom"/>
            <w:tcBorders>
              <w:bottom w:val="single" w:sz="8" w:color="auto"/>
            </w:tcBorders>
            <w:shd w:val="clear" w:color="auto" w:fill="CFF0FC"/>
          </w:tcPr>
          <w:p>
            <w:pPr>
              <w:jc w:val="right"/>
              <w:ind w:right="188"/>
              <w:spacing w:after="0"/>
              <w:rPr>
                <w:sz w:val="20"/>
                <w:szCs w:val="20"/>
                <w:color w:val="auto"/>
              </w:rPr>
            </w:pPr>
            <w:r>
              <w:rPr>
                <w:rFonts w:ascii="Times New Roman" w:cs="Times New Roman" w:eastAsia="Times New Roman" w:hAnsi="Times New Roman"/>
                <w:sz w:val="14"/>
                <w:szCs w:val="14"/>
                <w:color w:val="auto"/>
              </w:rPr>
              <w:t>12.5</w:t>
            </w:r>
          </w:p>
        </w:tc>
        <w:tc>
          <w:tcPr>
            <w:tcW w:w="220" w:type="dxa"/>
            <w:vAlign w:val="bottom"/>
            <w:tcBorders>
              <w:bottom w:val="single" w:sz="8" w:color="auto"/>
            </w:tcBorders>
            <w:shd w:val="clear" w:color="auto" w:fill="CFF0FC"/>
          </w:tcPr>
          <w:p>
            <w:pPr>
              <w:spacing w:after="0"/>
              <w:rPr>
                <w:sz w:val="15"/>
                <w:szCs w:val="15"/>
                <w:color w:val="auto"/>
              </w:rPr>
            </w:pPr>
          </w:p>
        </w:tc>
        <w:tc>
          <w:tcPr>
            <w:tcW w:w="1060" w:type="dxa"/>
            <w:vAlign w:val="bottom"/>
            <w:tcBorders>
              <w:bottom w:val="single" w:sz="8" w:color="auto"/>
            </w:tcBorders>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541.4</w:t>
            </w:r>
          </w:p>
        </w:tc>
        <w:tc>
          <w:tcPr>
            <w:tcW w:w="120" w:type="dxa"/>
            <w:vAlign w:val="bottom"/>
            <w:tcBorders>
              <w:bottom w:val="single" w:sz="8" w:color="CFF0FC"/>
            </w:tcBorders>
            <w:shd w:val="clear" w:color="auto" w:fill="CFF0FC"/>
          </w:tcPr>
          <w:p>
            <w:pPr>
              <w:spacing w:after="0"/>
              <w:rPr>
                <w:sz w:val="15"/>
                <w:szCs w:val="15"/>
                <w:color w:val="auto"/>
              </w:rPr>
            </w:pPr>
          </w:p>
        </w:tc>
        <w:tc>
          <w:tcPr>
            <w:tcW w:w="160" w:type="dxa"/>
            <w:vAlign w:val="bottom"/>
            <w:tcBorders>
              <w:bottom w:val="single" w:sz="8" w:color="auto"/>
            </w:tcBorders>
            <w:shd w:val="clear" w:color="auto" w:fill="CFF0FC"/>
          </w:tcPr>
          <w:p>
            <w:pPr>
              <w:spacing w:after="0"/>
              <w:rPr>
                <w:sz w:val="15"/>
                <w:szCs w:val="15"/>
                <w:color w:val="auto"/>
              </w:rPr>
            </w:pPr>
          </w:p>
        </w:tc>
        <w:tc>
          <w:tcPr>
            <w:tcW w:w="1100" w:type="dxa"/>
            <w:vAlign w:val="bottom"/>
            <w:tcBorders>
              <w:bottom w:val="single" w:sz="8" w:color="auto"/>
            </w:tcBorders>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578.4</w:t>
            </w:r>
          </w:p>
        </w:tc>
        <w:tc>
          <w:tcPr>
            <w:tcW w:w="280" w:type="dxa"/>
            <w:vAlign w:val="bottom"/>
            <w:tcBorders>
              <w:bottom w:val="single" w:sz="8" w:color="auto"/>
            </w:tcBorders>
            <w:shd w:val="clear" w:color="auto" w:fill="CFF0FC"/>
          </w:tcPr>
          <w:p>
            <w:pPr>
              <w:spacing w:after="0"/>
              <w:rPr>
                <w:sz w:val="15"/>
                <w:szCs w:val="15"/>
                <w:color w:val="auto"/>
              </w:rPr>
            </w:pPr>
          </w:p>
        </w:tc>
        <w:tc>
          <w:tcPr>
            <w:tcW w:w="1220" w:type="dxa"/>
            <w:vAlign w:val="bottom"/>
            <w:tcBorders>
              <w:bottom w:val="single" w:sz="8" w:color="auto"/>
            </w:tcBorders>
            <w:shd w:val="clear" w:color="auto" w:fill="CFF0FC"/>
          </w:tcPr>
          <w:p>
            <w:pPr>
              <w:jc w:val="right"/>
              <w:ind w:right="168"/>
              <w:spacing w:after="0"/>
              <w:rPr>
                <w:sz w:val="20"/>
                <w:szCs w:val="20"/>
                <w:color w:val="auto"/>
              </w:rPr>
            </w:pPr>
            <w:r>
              <w:rPr>
                <w:rFonts w:ascii="Times New Roman" w:cs="Times New Roman" w:eastAsia="Times New Roman" w:hAnsi="Times New Roman"/>
                <w:sz w:val="14"/>
                <w:szCs w:val="14"/>
                <w:color w:val="auto"/>
              </w:rPr>
              <w:t>21.0</w:t>
            </w:r>
          </w:p>
        </w:tc>
        <w:tc>
          <w:tcPr>
            <w:tcW w:w="260" w:type="dxa"/>
            <w:vAlign w:val="bottom"/>
            <w:tcBorders>
              <w:bottom w:val="single" w:sz="8" w:color="auto"/>
            </w:tcBorders>
            <w:shd w:val="clear" w:color="auto" w:fill="CFF0FC"/>
          </w:tcPr>
          <w:p>
            <w:pPr>
              <w:spacing w:after="0"/>
              <w:rPr>
                <w:sz w:val="15"/>
                <w:szCs w:val="15"/>
                <w:color w:val="auto"/>
              </w:rPr>
            </w:pPr>
          </w:p>
        </w:tc>
        <w:tc>
          <w:tcPr>
            <w:tcW w:w="1040" w:type="dxa"/>
            <w:vAlign w:val="bottom"/>
            <w:tcBorders>
              <w:bottom w:val="single" w:sz="8" w:color="auto"/>
            </w:tcBorders>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599.4</w:t>
            </w:r>
          </w:p>
        </w:tc>
        <w:tc>
          <w:tcPr>
            <w:tcW w:w="0" w:type="dxa"/>
            <w:vAlign w:val="bottom"/>
          </w:tcPr>
          <w:p>
            <w:pPr>
              <w:spacing w:after="0"/>
              <w:rPr>
                <w:sz w:val="1"/>
                <w:szCs w:val="1"/>
                <w:color w:val="auto"/>
              </w:rPr>
            </w:pPr>
          </w:p>
        </w:tc>
      </w:tr>
      <w:tr>
        <w:trPr>
          <w:trHeight w:val="169"/>
        </w:trPr>
        <w:tc>
          <w:tcPr>
            <w:tcW w:w="30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4,444.3</w:t>
            </w:r>
          </w:p>
        </w:tc>
        <w:tc>
          <w:tcPr>
            <w:tcW w:w="28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tcPr>
          <w:p>
            <w:pPr>
              <w:jc w:val="right"/>
              <w:ind w:right="188"/>
              <w:spacing w:after="0"/>
              <w:rPr>
                <w:sz w:val="20"/>
                <w:szCs w:val="20"/>
                <w:color w:val="auto"/>
              </w:rPr>
            </w:pPr>
            <w:r>
              <w:rPr>
                <w:rFonts w:ascii="Times New Roman" w:cs="Times New Roman" w:eastAsia="Times New Roman" w:hAnsi="Times New Roman"/>
                <w:sz w:val="14"/>
                <w:szCs w:val="14"/>
                <w:color w:val="auto"/>
              </w:rPr>
              <w:t>96.8</w:t>
            </w:r>
          </w:p>
        </w:tc>
        <w:tc>
          <w:tcPr>
            <w:tcW w:w="22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4,541.1</w:t>
            </w:r>
          </w:p>
        </w:tc>
        <w:tc>
          <w:tcPr>
            <w:tcW w:w="1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4,756.8</w:t>
            </w:r>
          </w:p>
        </w:tc>
        <w:tc>
          <w:tcPr>
            <w:tcW w:w="28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jc w:val="right"/>
              <w:ind w:right="168"/>
              <w:spacing w:after="0"/>
              <w:rPr>
                <w:sz w:val="20"/>
                <w:szCs w:val="20"/>
                <w:color w:val="auto"/>
              </w:rPr>
            </w:pPr>
            <w:r>
              <w:rPr>
                <w:rFonts w:ascii="Times New Roman" w:cs="Times New Roman" w:eastAsia="Times New Roman" w:hAnsi="Times New Roman"/>
                <w:sz w:val="14"/>
                <w:szCs w:val="14"/>
                <w:color w:val="auto"/>
              </w:rPr>
              <w:t>120.7</w:t>
            </w:r>
          </w:p>
        </w:tc>
        <w:tc>
          <w:tcPr>
            <w:tcW w:w="26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4,877.5</w:t>
            </w:r>
          </w:p>
        </w:tc>
        <w:tc>
          <w:tcPr>
            <w:tcW w:w="0" w:type="dxa"/>
            <w:vAlign w:val="bottom"/>
          </w:tcPr>
          <w:p>
            <w:pPr>
              <w:spacing w:after="0"/>
              <w:rPr>
                <w:sz w:val="1"/>
                <w:szCs w:val="1"/>
                <w:color w:val="auto"/>
              </w:rPr>
            </w:pPr>
          </w:p>
        </w:tc>
      </w:tr>
      <w:tr>
        <w:trPr>
          <w:trHeight w:val="169"/>
        </w:trPr>
        <w:tc>
          <w:tcPr>
            <w:tcW w:w="30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Intercompany Eliminations</w:t>
            </w:r>
          </w:p>
        </w:tc>
        <w:tc>
          <w:tcPr>
            <w:tcW w:w="140" w:type="dxa"/>
            <w:vAlign w:val="bottom"/>
            <w:tcBorders>
              <w:bottom w:val="single" w:sz="8" w:color="CFF0FC"/>
            </w:tcBorders>
            <w:shd w:val="clear" w:color="auto" w:fill="CFF0FC"/>
          </w:tcPr>
          <w:p>
            <w:pPr>
              <w:spacing w:after="0"/>
              <w:rPr>
                <w:sz w:val="14"/>
                <w:szCs w:val="14"/>
                <w:color w:val="auto"/>
              </w:rPr>
            </w:pPr>
          </w:p>
        </w:tc>
        <w:tc>
          <w:tcPr>
            <w:tcW w:w="1100" w:type="dxa"/>
            <w:vAlign w:val="bottom"/>
            <w:tcBorders>
              <w:bottom w:val="single" w:sz="8" w:color="CFF0FC"/>
            </w:tcBorders>
            <w:shd w:val="clear" w:color="auto" w:fill="CFF0FC"/>
          </w:tcPr>
          <w:p>
            <w:pPr>
              <w:spacing w:after="0"/>
              <w:rPr>
                <w:sz w:val="14"/>
                <w:szCs w:val="14"/>
                <w:color w:val="auto"/>
              </w:rPr>
            </w:pPr>
          </w:p>
        </w:tc>
        <w:tc>
          <w:tcPr>
            <w:tcW w:w="280" w:type="dxa"/>
            <w:vAlign w:val="bottom"/>
            <w:tcBorders>
              <w:bottom w:val="single" w:sz="8" w:color="CFF0FC"/>
            </w:tcBorders>
            <w:shd w:val="clear" w:color="auto" w:fill="CFF0FC"/>
          </w:tcPr>
          <w:p>
            <w:pPr>
              <w:spacing w:after="0"/>
              <w:rPr>
                <w:sz w:val="14"/>
                <w:szCs w:val="14"/>
                <w:color w:val="auto"/>
              </w:rPr>
            </w:pPr>
          </w:p>
        </w:tc>
        <w:tc>
          <w:tcPr>
            <w:tcW w:w="1260" w:type="dxa"/>
            <w:vAlign w:val="bottom"/>
            <w:tcBorders>
              <w:bottom w:val="single" w:sz="8" w:color="CFF0FC"/>
            </w:tcBorders>
            <w:shd w:val="clear" w:color="auto" w:fill="CFF0FC"/>
          </w:tcPr>
          <w:p>
            <w:pPr>
              <w:spacing w:after="0"/>
              <w:rPr>
                <w:sz w:val="14"/>
                <w:szCs w:val="14"/>
                <w:color w:val="auto"/>
              </w:rPr>
            </w:pPr>
          </w:p>
        </w:tc>
        <w:tc>
          <w:tcPr>
            <w:tcW w:w="220" w:type="dxa"/>
            <w:vAlign w:val="bottom"/>
            <w:tcBorders>
              <w:bottom w:val="single" w:sz="8" w:color="auto"/>
            </w:tcBorders>
            <w:shd w:val="clear" w:color="auto" w:fill="CFF0FC"/>
          </w:tcPr>
          <w:p>
            <w:pPr>
              <w:spacing w:after="0"/>
              <w:rPr>
                <w:sz w:val="14"/>
                <w:szCs w:val="14"/>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(20.4 )</w:t>
            </w:r>
          </w:p>
        </w:tc>
        <w:tc>
          <w:tcPr>
            <w:tcW w:w="120" w:type="dxa"/>
            <w:vAlign w:val="bottom"/>
            <w:tcBorders>
              <w:bottom w:val="single" w:sz="8" w:color="CFF0FC"/>
            </w:tcBorders>
            <w:shd w:val="clear" w:color="auto" w:fill="CFF0FC"/>
          </w:tcPr>
          <w:p>
            <w:pPr>
              <w:spacing w:after="0"/>
              <w:rPr>
                <w:sz w:val="14"/>
                <w:szCs w:val="14"/>
                <w:color w:val="auto"/>
              </w:rPr>
            </w:pPr>
          </w:p>
        </w:tc>
        <w:tc>
          <w:tcPr>
            <w:tcW w:w="160" w:type="dxa"/>
            <w:vAlign w:val="bottom"/>
            <w:tcBorders>
              <w:bottom w:val="single" w:sz="8" w:color="CFF0FC"/>
            </w:tcBorders>
            <w:shd w:val="clear" w:color="auto" w:fill="CFF0FC"/>
          </w:tcPr>
          <w:p>
            <w:pPr>
              <w:spacing w:after="0"/>
              <w:rPr>
                <w:sz w:val="14"/>
                <w:szCs w:val="14"/>
                <w:color w:val="auto"/>
              </w:rPr>
            </w:pPr>
          </w:p>
        </w:tc>
        <w:tc>
          <w:tcPr>
            <w:tcW w:w="1100" w:type="dxa"/>
            <w:vAlign w:val="bottom"/>
            <w:tcBorders>
              <w:bottom w:val="single" w:sz="8" w:color="CFF0FC"/>
            </w:tcBorders>
            <w:shd w:val="clear" w:color="auto" w:fill="CFF0FC"/>
          </w:tcPr>
          <w:p>
            <w:pPr>
              <w:spacing w:after="0"/>
              <w:rPr>
                <w:sz w:val="14"/>
                <w:szCs w:val="14"/>
                <w:color w:val="auto"/>
              </w:rPr>
            </w:pPr>
          </w:p>
        </w:tc>
        <w:tc>
          <w:tcPr>
            <w:tcW w:w="280" w:type="dxa"/>
            <w:vAlign w:val="bottom"/>
            <w:tcBorders>
              <w:bottom w:val="single" w:sz="8" w:color="CFF0FC"/>
            </w:tcBorders>
            <w:shd w:val="clear" w:color="auto" w:fill="CFF0FC"/>
          </w:tcPr>
          <w:p>
            <w:pPr>
              <w:spacing w:after="0"/>
              <w:rPr>
                <w:sz w:val="14"/>
                <w:szCs w:val="14"/>
                <w:color w:val="auto"/>
              </w:rPr>
            </w:pPr>
          </w:p>
        </w:tc>
        <w:tc>
          <w:tcPr>
            <w:tcW w:w="1220" w:type="dxa"/>
            <w:vAlign w:val="bottom"/>
            <w:tcBorders>
              <w:bottom w:val="single" w:sz="8" w:color="CFF0FC"/>
            </w:tcBorders>
            <w:shd w:val="clear" w:color="auto" w:fill="CFF0FC"/>
          </w:tcPr>
          <w:p>
            <w:pPr>
              <w:spacing w:after="0"/>
              <w:rPr>
                <w:sz w:val="14"/>
                <w:szCs w:val="14"/>
                <w:color w:val="auto"/>
              </w:rPr>
            </w:pPr>
          </w:p>
        </w:tc>
        <w:tc>
          <w:tcPr>
            <w:tcW w:w="260" w:type="dxa"/>
            <w:vAlign w:val="bottom"/>
            <w:tcBorders>
              <w:bottom w:val="single" w:sz="8" w:color="auto"/>
            </w:tcBorders>
            <w:shd w:val="clear" w:color="auto" w:fill="CFF0FC"/>
          </w:tcPr>
          <w:p>
            <w:pPr>
              <w:spacing w:after="0"/>
              <w:rPr>
                <w:sz w:val="14"/>
                <w:szCs w:val="14"/>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(21.4 )</w:t>
            </w:r>
          </w:p>
        </w:tc>
        <w:tc>
          <w:tcPr>
            <w:tcW w:w="0" w:type="dxa"/>
            <w:vAlign w:val="bottom"/>
          </w:tcPr>
          <w:p>
            <w:pPr>
              <w:spacing w:after="0"/>
              <w:rPr>
                <w:sz w:val="1"/>
                <w:szCs w:val="1"/>
                <w:color w:val="auto"/>
              </w:rPr>
            </w:pPr>
          </w:p>
        </w:tc>
      </w:tr>
      <w:tr>
        <w:trPr>
          <w:trHeight w:val="169"/>
        </w:trPr>
        <w:tc>
          <w:tcPr>
            <w:tcW w:w="30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Total</w:t>
            </w:r>
          </w:p>
        </w:tc>
        <w:tc>
          <w:tcPr>
            <w:tcW w:w="1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22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4,520.7</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260" w:type="dxa"/>
            <w:vAlign w:val="bottom"/>
            <w:tcBorders>
              <w:bottom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4,856.1</w:t>
            </w:r>
          </w:p>
        </w:tc>
        <w:tc>
          <w:tcPr>
            <w:tcW w:w="0" w:type="dxa"/>
            <w:vAlign w:val="bottom"/>
          </w:tcPr>
          <w:p>
            <w:pPr>
              <w:spacing w:after="0"/>
              <w:rPr>
                <w:sz w:val="1"/>
                <w:szCs w:val="1"/>
                <w:color w:val="auto"/>
              </w:rPr>
            </w:pPr>
          </w:p>
        </w:tc>
      </w:tr>
      <w:tr>
        <w:trPr>
          <w:trHeight w:val="20"/>
        </w:trPr>
        <w:tc>
          <w:tcPr>
            <w:tcW w:w="30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4488180</wp:posOffset>
            </wp:positionH>
            <wp:positionV relativeFrom="paragraph">
              <wp:posOffset>-1310640</wp:posOffset>
            </wp:positionV>
            <wp:extent cx="68580"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4488180</wp:posOffset>
            </wp:positionH>
            <wp:positionV relativeFrom="paragraph">
              <wp:posOffset>-616585</wp:posOffset>
            </wp:positionV>
            <wp:extent cx="68580"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4488180</wp:posOffset>
            </wp:positionH>
            <wp:positionV relativeFrom="paragraph">
              <wp:posOffset>-385445</wp:posOffset>
            </wp:positionV>
            <wp:extent cx="68580"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4488180</wp:posOffset>
            </wp:positionH>
            <wp:positionV relativeFrom="paragraph">
              <wp:posOffset>-144780</wp:posOffset>
            </wp:positionV>
            <wp:extent cx="68580"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ind w:left="520" w:right="460" w:hanging="512"/>
        <w:spacing w:after="0" w:line="280" w:lineRule="auto"/>
        <w:tabs>
          <w:tab w:leader="none" w:pos="520" w:val="left"/>
        </w:tabs>
        <w:numPr>
          <w:ilvl w:val="0"/>
          <w:numId w:val="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Effective January 1, 2024, our segment reporting was realigned to include our Puerto Rico business within Other Americas. Accordingly, United States is now adjusted to exclude Puerto Rico. All previously reported results have been restated to conform to the current year presentation.</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30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400" w:type="dxa"/>
            <w:vAlign w:val="bottom"/>
            <w:tcBorders>
              <w:bottom w:val="single" w:sz="8" w:color="auto"/>
            </w:tcBorders>
            <w:gridSpan w:val="4"/>
          </w:tcPr>
          <w:p>
            <w:pPr>
              <w:ind w:left="180"/>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2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30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tcPr>
          <w:p>
            <w:pPr>
              <w:jc w:val="right"/>
              <w:ind w:right="588"/>
              <w:spacing w:after="0"/>
              <w:rPr>
                <w:sz w:val="20"/>
                <w:szCs w:val="20"/>
                <w:color w:val="auto"/>
              </w:rPr>
            </w:pPr>
            <w:r>
              <w:rPr>
                <w:rFonts w:ascii="Times New Roman" w:cs="Times New Roman" w:eastAsia="Times New Roman" w:hAnsi="Times New Roman"/>
                <w:sz w:val="14"/>
                <w:szCs w:val="14"/>
                <w:b w:val="1"/>
                <w:bCs w:val="1"/>
                <w:color w:val="auto"/>
              </w:rPr>
              <w:t>2024</w:t>
            </w:r>
          </w:p>
        </w:tc>
        <w:tc>
          <w:tcPr>
            <w:tcW w:w="26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jc w:val="right"/>
              <w:ind w:right="508"/>
              <w:spacing w:after="0" w:line="169" w:lineRule="exact"/>
              <w:rPr>
                <w:sz w:val="20"/>
                <w:szCs w:val="20"/>
                <w:color w:val="auto"/>
              </w:rPr>
            </w:pPr>
            <w:r>
              <w:rPr>
                <w:rFonts w:ascii="Times New Roman" w:cs="Times New Roman" w:eastAsia="Times New Roman" w:hAnsi="Times New Roman"/>
                <w:sz w:val="14"/>
                <w:szCs w:val="14"/>
                <w:b w:val="1"/>
                <w:bCs w:val="1"/>
                <w:color w:val="auto"/>
              </w:rPr>
              <w:t>2023</w:t>
            </w:r>
            <w:r>
              <w:rPr>
                <w:rFonts w:ascii="Times New Roman" w:cs="Times New Roman" w:eastAsia="Times New Roman" w:hAnsi="Times New Roman"/>
                <w:sz w:val="19"/>
                <w:szCs w:val="19"/>
                <w:b w:val="1"/>
                <w:bCs w:val="1"/>
                <w:color w:val="auto"/>
                <w:vertAlign w:val="superscript"/>
              </w:rPr>
              <w:t>(a)</w:t>
            </w:r>
          </w:p>
        </w:tc>
        <w:tc>
          <w:tcPr>
            <w:tcW w:w="26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31"/>
        </w:trPr>
        <w:tc>
          <w:tcPr>
            <w:tcW w:w="30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vMerge w:val="restart"/>
          </w:tcPr>
          <w:p>
            <w:pPr>
              <w:jc w:val="center"/>
              <w:ind w:right="188"/>
              <w:spacing w:after="0"/>
              <w:rPr>
                <w:sz w:val="20"/>
                <w:szCs w:val="20"/>
                <w:color w:val="auto"/>
              </w:rPr>
            </w:pPr>
            <w:r>
              <w:rPr>
                <w:rFonts w:ascii="Times New Roman" w:cs="Times New Roman" w:eastAsia="Times New Roman" w:hAnsi="Times New Roman"/>
                <w:sz w:val="14"/>
                <w:szCs w:val="14"/>
                <w:b w:val="1"/>
                <w:bCs w:val="1"/>
                <w:color w:val="auto"/>
              </w:rPr>
              <w:t>Services</w:t>
            </w:r>
          </w:p>
        </w:tc>
        <w:tc>
          <w:tcPr>
            <w:tcW w:w="280" w:type="dxa"/>
            <w:vAlign w:val="bottom"/>
          </w:tcPr>
          <w:p>
            <w:pPr>
              <w:spacing w:after="0"/>
              <w:rPr>
                <w:sz w:val="11"/>
                <w:szCs w:val="11"/>
                <w:color w:val="auto"/>
              </w:rPr>
            </w:pPr>
          </w:p>
        </w:tc>
        <w:tc>
          <w:tcPr>
            <w:tcW w:w="1260" w:type="dxa"/>
            <w:vAlign w:val="bottom"/>
          </w:tcPr>
          <w:p>
            <w:pPr>
              <w:jc w:val="center"/>
              <w:ind w:right="328"/>
              <w:spacing w:after="0" w:line="131" w:lineRule="exact"/>
              <w:rPr>
                <w:sz w:val="20"/>
                <w:szCs w:val="20"/>
                <w:color w:val="auto"/>
              </w:rPr>
            </w:pPr>
            <w:r>
              <w:rPr>
                <w:rFonts w:ascii="Times New Roman" w:cs="Times New Roman" w:eastAsia="Times New Roman" w:hAnsi="Times New Roman"/>
                <w:sz w:val="14"/>
                <w:szCs w:val="14"/>
                <w:b w:val="1"/>
                <w:bCs w:val="1"/>
                <w:color w:val="auto"/>
              </w:rPr>
              <w:t>Services</w:t>
            </w:r>
          </w:p>
        </w:tc>
        <w:tc>
          <w:tcPr>
            <w:tcW w:w="2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00" w:type="dxa"/>
            <w:vAlign w:val="bottom"/>
            <w:vMerge w:val="restart"/>
          </w:tcPr>
          <w:p>
            <w:pPr>
              <w:jc w:val="center"/>
              <w:ind w:right="208"/>
              <w:spacing w:after="0"/>
              <w:rPr>
                <w:sz w:val="20"/>
                <w:szCs w:val="20"/>
                <w:color w:val="auto"/>
              </w:rPr>
            </w:pPr>
            <w:r>
              <w:rPr>
                <w:rFonts w:ascii="Times New Roman" w:cs="Times New Roman" w:eastAsia="Times New Roman" w:hAnsi="Times New Roman"/>
                <w:sz w:val="14"/>
                <w:szCs w:val="14"/>
                <w:b w:val="1"/>
                <w:bCs w:val="1"/>
                <w:color w:val="auto"/>
              </w:rPr>
              <w:t>Services</w:t>
            </w:r>
          </w:p>
        </w:tc>
        <w:tc>
          <w:tcPr>
            <w:tcW w:w="280" w:type="dxa"/>
            <w:vAlign w:val="bottom"/>
          </w:tcPr>
          <w:p>
            <w:pPr>
              <w:spacing w:after="0"/>
              <w:rPr>
                <w:sz w:val="11"/>
                <w:szCs w:val="11"/>
                <w:color w:val="auto"/>
              </w:rPr>
            </w:pPr>
          </w:p>
        </w:tc>
        <w:tc>
          <w:tcPr>
            <w:tcW w:w="1220" w:type="dxa"/>
            <w:vAlign w:val="bottom"/>
          </w:tcPr>
          <w:p>
            <w:pPr>
              <w:jc w:val="center"/>
              <w:ind w:right="328"/>
              <w:spacing w:after="0" w:line="131" w:lineRule="exact"/>
              <w:rPr>
                <w:sz w:val="20"/>
                <w:szCs w:val="20"/>
                <w:color w:val="auto"/>
              </w:rPr>
            </w:pPr>
            <w:r>
              <w:rPr>
                <w:rFonts w:ascii="Times New Roman" w:cs="Times New Roman" w:eastAsia="Times New Roman" w:hAnsi="Times New Roman"/>
                <w:sz w:val="14"/>
                <w:szCs w:val="14"/>
                <w:b w:val="1"/>
                <w:bCs w:val="1"/>
                <w:color w:val="auto"/>
              </w:rPr>
              <w:t>Services</w:t>
            </w:r>
          </w:p>
        </w:tc>
        <w:tc>
          <w:tcPr>
            <w:tcW w:w="2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30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vMerge w:val="continue"/>
          </w:tcPr>
          <w:p>
            <w:pPr>
              <w:spacing w:after="0"/>
              <w:rPr>
                <w:sz w:val="12"/>
                <w:szCs w:val="12"/>
                <w:color w:val="auto"/>
              </w:rPr>
            </w:pPr>
          </w:p>
        </w:tc>
        <w:tc>
          <w:tcPr>
            <w:tcW w:w="280" w:type="dxa"/>
            <w:vAlign w:val="bottom"/>
          </w:tcPr>
          <w:p>
            <w:pPr>
              <w:spacing w:after="0"/>
              <w:rPr>
                <w:sz w:val="12"/>
                <w:szCs w:val="12"/>
                <w:color w:val="auto"/>
              </w:rPr>
            </w:pPr>
          </w:p>
        </w:tc>
        <w:tc>
          <w:tcPr>
            <w:tcW w:w="1260" w:type="dxa"/>
            <w:vAlign w:val="bottom"/>
          </w:tcPr>
          <w:p>
            <w:pPr>
              <w:jc w:val="center"/>
              <w:ind w:right="328"/>
              <w:spacing w:after="0" w:line="149" w:lineRule="exact"/>
              <w:rPr>
                <w:sz w:val="20"/>
                <w:szCs w:val="20"/>
                <w:color w:val="auto"/>
              </w:rPr>
            </w:pPr>
            <w:r>
              <w:rPr>
                <w:rFonts w:ascii="Times New Roman" w:cs="Times New Roman" w:eastAsia="Times New Roman" w:hAnsi="Times New Roman"/>
                <w:sz w:val="14"/>
                <w:szCs w:val="14"/>
                <w:b w:val="1"/>
                <w:bCs w:val="1"/>
                <w:color w:val="auto"/>
              </w:rPr>
              <w:t>transferred</w:t>
            </w:r>
          </w:p>
        </w:tc>
        <w:tc>
          <w:tcPr>
            <w:tcW w:w="26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00" w:type="dxa"/>
            <w:vAlign w:val="bottom"/>
            <w:vMerge w:val="continue"/>
          </w:tcPr>
          <w:p>
            <w:pPr>
              <w:spacing w:after="0"/>
              <w:rPr>
                <w:sz w:val="12"/>
                <w:szCs w:val="12"/>
                <w:color w:val="auto"/>
              </w:rPr>
            </w:pPr>
          </w:p>
        </w:tc>
        <w:tc>
          <w:tcPr>
            <w:tcW w:w="280" w:type="dxa"/>
            <w:vAlign w:val="bottom"/>
          </w:tcPr>
          <w:p>
            <w:pPr>
              <w:spacing w:after="0"/>
              <w:rPr>
                <w:sz w:val="12"/>
                <w:szCs w:val="12"/>
                <w:color w:val="auto"/>
              </w:rPr>
            </w:pPr>
          </w:p>
        </w:tc>
        <w:tc>
          <w:tcPr>
            <w:tcW w:w="1220" w:type="dxa"/>
            <w:vAlign w:val="bottom"/>
          </w:tcPr>
          <w:p>
            <w:pPr>
              <w:jc w:val="center"/>
              <w:ind w:right="328"/>
              <w:spacing w:after="0" w:line="149" w:lineRule="exact"/>
              <w:rPr>
                <w:sz w:val="20"/>
                <w:szCs w:val="20"/>
                <w:color w:val="auto"/>
              </w:rPr>
            </w:pPr>
            <w:r>
              <w:rPr>
                <w:rFonts w:ascii="Times New Roman" w:cs="Times New Roman" w:eastAsia="Times New Roman" w:hAnsi="Times New Roman"/>
                <w:sz w:val="14"/>
                <w:szCs w:val="14"/>
                <w:b w:val="1"/>
                <w:bCs w:val="1"/>
                <w:color w:val="auto"/>
              </w:rPr>
              <w:t>transferred</w:t>
            </w:r>
          </w:p>
        </w:tc>
        <w:tc>
          <w:tcPr>
            <w:tcW w:w="2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0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tcPr>
          <w:p>
            <w:pPr>
              <w:jc w:val="center"/>
              <w:ind w:right="208"/>
              <w:spacing w:after="0" w:line="149" w:lineRule="exact"/>
              <w:rPr>
                <w:sz w:val="20"/>
                <w:szCs w:val="20"/>
                <w:color w:val="auto"/>
              </w:rPr>
            </w:pPr>
            <w:r>
              <w:rPr>
                <w:rFonts w:ascii="Times New Roman" w:cs="Times New Roman" w:eastAsia="Times New Roman" w:hAnsi="Times New Roman"/>
                <w:sz w:val="14"/>
                <w:szCs w:val="14"/>
                <w:b w:val="1"/>
                <w:bCs w:val="1"/>
                <w:color w:val="auto"/>
              </w:rPr>
              <w:t>transferred</w:t>
            </w:r>
          </w:p>
        </w:tc>
        <w:tc>
          <w:tcPr>
            <w:tcW w:w="280" w:type="dxa"/>
            <w:vAlign w:val="bottom"/>
          </w:tcPr>
          <w:p>
            <w:pPr>
              <w:spacing w:after="0"/>
              <w:rPr>
                <w:sz w:val="12"/>
                <w:szCs w:val="12"/>
                <w:color w:val="auto"/>
              </w:rPr>
            </w:pPr>
          </w:p>
        </w:tc>
        <w:tc>
          <w:tcPr>
            <w:tcW w:w="1260" w:type="dxa"/>
            <w:vAlign w:val="bottom"/>
          </w:tcPr>
          <w:p>
            <w:pPr>
              <w:jc w:val="center"/>
              <w:ind w:right="328"/>
              <w:spacing w:after="0" w:line="149" w:lineRule="exact"/>
              <w:rPr>
                <w:sz w:val="20"/>
                <w:szCs w:val="20"/>
                <w:color w:val="auto"/>
              </w:rPr>
            </w:pPr>
            <w:r>
              <w:rPr>
                <w:rFonts w:ascii="Times New Roman" w:cs="Times New Roman" w:eastAsia="Times New Roman" w:hAnsi="Times New Roman"/>
                <w:sz w:val="14"/>
                <w:szCs w:val="14"/>
                <w:b w:val="1"/>
                <w:bCs w:val="1"/>
                <w:color w:val="auto"/>
              </w:rPr>
              <w:t>at a point</w:t>
            </w:r>
          </w:p>
        </w:tc>
        <w:tc>
          <w:tcPr>
            <w:tcW w:w="260" w:type="dxa"/>
            <w:vAlign w:val="bottom"/>
          </w:tcPr>
          <w:p>
            <w:pPr>
              <w:spacing w:after="0"/>
              <w:rPr>
                <w:sz w:val="12"/>
                <w:szCs w:val="12"/>
                <w:color w:val="auto"/>
              </w:rPr>
            </w:pPr>
          </w:p>
        </w:tc>
        <w:tc>
          <w:tcPr>
            <w:tcW w:w="1020" w:type="dxa"/>
            <w:vAlign w:val="bottom"/>
            <w:vMerge w:val="restart"/>
          </w:tcPr>
          <w:p>
            <w:pPr>
              <w:ind w:left="18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00" w:type="dxa"/>
            <w:vAlign w:val="bottom"/>
          </w:tcPr>
          <w:p>
            <w:pPr>
              <w:jc w:val="center"/>
              <w:ind w:right="208"/>
              <w:spacing w:after="0" w:line="149" w:lineRule="exact"/>
              <w:rPr>
                <w:sz w:val="20"/>
                <w:szCs w:val="20"/>
                <w:color w:val="auto"/>
              </w:rPr>
            </w:pPr>
            <w:r>
              <w:rPr>
                <w:rFonts w:ascii="Times New Roman" w:cs="Times New Roman" w:eastAsia="Times New Roman" w:hAnsi="Times New Roman"/>
                <w:sz w:val="14"/>
                <w:szCs w:val="14"/>
                <w:b w:val="1"/>
                <w:bCs w:val="1"/>
                <w:color w:val="auto"/>
              </w:rPr>
              <w:t>transferred</w:t>
            </w:r>
          </w:p>
        </w:tc>
        <w:tc>
          <w:tcPr>
            <w:tcW w:w="280" w:type="dxa"/>
            <w:vAlign w:val="bottom"/>
          </w:tcPr>
          <w:p>
            <w:pPr>
              <w:spacing w:after="0"/>
              <w:rPr>
                <w:sz w:val="12"/>
                <w:szCs w:val="12"/>
                <w:color w:val="auto"/>
              </w:rPr>
            </w:pPr>
          </w:p>
        </w:tc>
        <w:tc>
          <w:tcPr>
            <w:tcW w:w="1220" w:type="dxa"/>
            <w:vAlign w:val="bottom"/>
          </w:tcPr>
          <w:p>
            <w:pPr>
              <w:jc w:val="center"/>
              <w:ind w:right="328"/>
              <w:spacing w:after="0" w:line="149" w:lineRule="exact"/>
              <w:rPr>
                <w:sz w:val="20"/>
                <w:szCs w:val="20"/>
                <w:color w:val="auto"/>
              </w:rPr>
            </w:pPr>
            <w:r>
              <w:rPr>
                <w:rFonts w:ascii="Times New Roman" w:cs="Times New Roman" w:eastAsia="Times New Roman" w:hAnsi="Times New Roman"/>
                <w:sz w:val="14"/>
                <w:szCs w:val="14"/>
                <w:b w:val="1"/>
                <w:bCs w:val="1"/>
                <w:color w:val="auto"/>
              </w:rPr>
              <w:t>at a point</w:t>
            </w:r>
          </w:p>
        </w:tc>
        <w:tc>
          <w:tcPr>
            <w:tcW w:w="260" w:type="dxa"/>
            <w:vAlign w:val="bottom"/>
          </w:tcPr>
          <w:p>
            <w:pPr>
              <w:spacing w:after="0"/>
              <w:rPr>
                <w:sz w:val="12"/>
                <w:szCs w:val="12"/>
                <w:color w:val="auto"/>
              </w:rPr>
            </w:pPr>
          </w:p>
        </w:tc>
        <w:tc>
          <w:tcPr>
            <w:tcW w:w="1040" w:type="dxa"/>
            <w:vAlign w:val="bottom"/>
            <w:vMerge w:val="restart"/>
          </w:tcPr>
          <w:p>
            <w:pPr>
              <w:jc w:val="right"/>
              <w:ind w:right="488"/>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87"/>
        </w:trPr>
        <w:tc>
          <w:tcPr>
            <w:tcW w:w="30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center"/>
              <w:ind w:right="208"/>
              <w:spacing w:after="0"/>
              <w:rPr>
                <w:sz w:val="20"/>
                <w:szCs w:val="20"/>
                <w:color w:val="auto"/>
              </w:rPr>
            </w:pPr>
            <w:r>
              <w:rPr>
                <w:rFonts w:ascii="Times New Roman" w:cs="Times New Roman" w:eastAsia="Times New Roman" w:hAnsi="Times New Roman"/>
                <w:sz w:val="14"/>
                <w:szCs w:val="14"/>
                <w:b w:val="1"/>
                <w:bCs w:val="1"/>
                <w:color w:val="auto"/>
              </w:rPr>
              <w:t>over time</w:t>
            </w:r>
          </w:p>
        </w:tc>
        <w:tc>
          <w:tcPr>
            <w:tcW w:w="28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center"/>
              <w:ind w:right="328"/>
              <w:spacing w:after="0"/>
              <w:rPr>
                <w:sz w:val="20"/>
                <w:szCs w:val="20"/>
                <w:color w:val="auto"/>
              </w:rPr>
            </w:pPr>
            <w:r>
              <w:rPr>
                <w:rFonts w:ascii="Times New Roman" w:cs="Times New Roman" w:eastAsia="Times New Roman" w:hAnsi="Times New Roman"/>
                <w:sz w:val="14"/>
                <w:szCs w:val="14"/>
                <w:b w:val="1"/>
                <w:bCs w:val="1"/>
                <w:color w:val="auto"/>
              </w:rPr>
              <w:t>in time</w:t>
            </w:r>
          </w:p>
        </w:tc>
        <w:tc>
          <w:tcPr>
            <w:tcW w:w="26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vMerge w:val="continue"/>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center"/>
              <w:ind w:right="208"/>
              <w:spacing w:after="0"/>
              <w:rPr>
                <w:sz w:val="20"/>
                <w:szCs w:val="20"/>
                <w:color w:val="auto"/>
              </w:rPr>
            </w:pPr>
            <w:r>
              <w:rPr>
                <w:rFonts w:ascii="Times New Roman" w:cs="Times New Roman" w:eastAsia="Times New Roman" w:hAnsi="Times New Roman"/>
                <w:sz w:val="14"/>
                <w:szCs w:val="14"/>
                <w:b w:val="1"/>
                <w:bCs w:val="1"/>
                <w:color w:val="auto"/>
              </w:rPr>
              <w:t>over time</w:t>
            </w:r>
          </w:p>
        </w:tc>
        <w:tc>
          <w:tcPr>
            <w:tcW w:w="2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center"/>
              <w:ind w:right="328"/>
              <w:spacing w:after="0"/>
              <w:rPr>
                <w:sz w:val="20"/>
                <w:szCs w:val="20"/>
                <w:color w:val="auto"/>
              </w:rPr>
            </w:pPr>
            <w:r>
              <w:rPr>
                <w:rFonts w:ascii="Times New Roman" w:cs="Times New Roman" w:eastAsia="Times New Roman" w:hAnsi="Times New Roman"/>
                <w:sz w:val="14"/>
                <w:szCs w:val="14"/>
                <w:b w:val="1"/>
                <w:bCs w:val="1"/>
                <w:color w:val="auto"/>
              </w:rPr>
              <w:t>in time</w:t>
            </w:r>
          </w:p>
        </w:tc>
        <w:tc>
          <w:tcPr>
            <w:tcW w:w="26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30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Americas:</w:t>
            </w:r>
          </w:p>
        </w:tc>
        <w:tc>
          <w:tcPr>
            <w:tcW w:w="140" w:type="dxa"/>
            <w:vAlign w:val="bottom"/>
            <w:shd w:val="clear" w:color="auto" w:fill="CFF0FC"/>
          </w:tcPr>
          <w:p>
            <w:pPr>
              <w:spacing w:after="0"/>
              <w:rPr>
                <w:sz w:val="14"/>
                <w:szCs w:val="14"/>
                <w:color w:val="auto"/>
              </w:rPr>
            </w:pPr>
          </w:p>
        </w:tc>
        <w:tc>
          <w:tcPr>
            <w:tcW w:w="110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126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10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10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122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104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300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United States</w:t>
            </w: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1,343.9</w:t>
            </w:r>
          </w:p>
        </w:tc>
        <w:tc>
          <w:tcPr>
            <w:tcW w:w="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60" w:type="dxa"/>
            <w:vAlign w:val="bottom"/>
          </w:tcPr>
          <w:p>
            <w:pPr>
              <w:jc w:val="right"/>
              <w:ind w:right="188"/>
              <w:spacing w:after="0"/>
              <w:rPr>
                <w:sz w:val="20"/>
                <w:szCs w:val="20"/>
                <w:color w:val="auto"/>
              </w:rPr>
            </w:pPr>
            <w:r>
              <w:rPr>
                <w:rFonts w:ascii="Times New Roman" w:cs="Times New Roman" w:eastAsia="Times New Roman" w:hAnsi="Times New Roman"/>
                <w:sz w:val="14"/>
                <w:szCs w:val="14"/>
                <w:color w:val="auto"/>
              </w:rPr>
              <w:t>33.5</w:t>
            </w:r>
          </w:p>
        </w:tc>
        <w:tc>
          <w:tcPr>
            <w:tcW w:w="26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1,377.4</w:t>
            </w:r>
          </w:p>
        </w:tc>
        <w:tc>
          <w:tcPr>
            <w:tcW w:w="28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1,409.9</w:t>
            </w:r>
          </w:p>
        </w:tc>
        <w:tc>
          <w:tcPr>
            <w:tcW w:w="2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tcPr>
          <w:p>
            <w:pPr>
              <w:jc w:val="right"/>
              <w:ind w:right="168"/>
              <w:spacing w:after="0"/>
              <w:rPr>
                <w:sz w:val="20"/>
                <w:szCs w:val="20"/>
                <w:color w:val="auto"/>
              </w:rPr>
            </w:pPr>
            <w:r>
              <w:rPr>
                <w:rFonts w:ascii="Times New Roman" w:cs="Times New Roman" w:eastAsia="Times New Roman" w:hAnsi="Times New Roman"/>
                <w:sz w:val="14"/>
                <w:szCs w:val="14"/>
                <w:color w:val="auto"/>
              </w:rPr>
              <w:t>40.8</w:t>
            </w:r>
          </w:p>
        </w:tc>
        <w:tc>
          <w:tcPr>
            <w:tcW w:w="26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1,450.7</w:t>
            </w:r>
          </w:p>
        </w:tc>
        <w:tc>
          <w:tcPr>
            <w:tcW w:w="0" w:type="dxa"/>
            <w:vAlign w:val="bottom"/>
          </w:tcPr>
          <w:p>
            <w:pPr>
              <w:spacing w:after="0"/>
              <w:rPr>
                <w:sz w:val="1"/>
                <w:szCs w:val="1"/>
                <w:color w:val="auto"/>
              </w:rPr>
            </w:pPr>
          </w:p>
        </w:tc>
      </w:tr>
      <w:tr>
        <w:trPr>
          <w:trHeight w:val="175"/>
        </w:trPr>
        <w:tc>
          <w:tcPr>
            <w:tcW w:w="300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4"/>
                <w:szCs w:val="14"/>
                <w:color w:val="auto"/>
              </w:rPr>
              <w:t>Other Americas</w:t>
            </w:r>
          </w:p>
        </w:tc>
        <w:tc>
          <w:tcPr>
            <w:tcW w:w="140" w:type="dxa"/>
            <w:vAlign w:val="bottom"/>
            <w:tcBorders>
              <w:bottom w:val="single" w:sz="8" w:color="auto"/>
            </w:tcBorders>
            <w:shd w:val="clear" w:color="auto" w:fill="CFF0FC"/>
          </w:tcPr>
          <w:p>
            <w:pPr>
              <w:spacing w:after="0"/>
              <w:rPr>
                <w:sz w:val="15"/>
                <w:szCs w:val="15"/>
                <w:color w:val="auto"/>
              </w:rPr>
            </w:pPr>
          </w:p>
        </w:tc>
        <w:tc>
          <w:tcPr>
            <w:tcW w:w="1100" w:type="dxa"/>
            <w:vAlign w:val="bottom"/>
            <w:tcBorders>
              <w:bottom w:val="single" w:sz="8" w:color="auto"/>
            </w:tcBorders>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707.5</w:t>
            </w:r>
          </w:p>
        </w:tc>
        <w:tc>
          <w:tcPr>
            <w:tcW w:w="280" w:type="dxa"/>
            <w:vAlign w:val="bottom"/>
            <w:tcBorders>
              <w:bottom w:val="single" w:sz="8" w:color="auto"/>
            </w:tcBorders>
            <w:shd w:val="clear" w:color="auto" w:fill="CFF0FC"/>
          </w:tcPr>
          <w:p>
            <w:pPr>
              <w:spacing w:after="0"/>
              <w:rPr>
                <w:sz w:val="15"/>
                <w:szCs w:val="15"/>
                <w:color w:val="auto"/>
              </w:rPr>
            </w:pPr>
          </w:p>
        </w:tc>
        <w:tc>
          <w:tcPr>
            <w:tcW w:w="1260" w:type="dxa"/>
            <w:vAlign w:val="bottom"/>
            <w:tcBorders>
              <w:bottom w:val="single" w:sz="8" w:color="auto"/>
            </w:tcBorders>
            <w:shd w:val="clear" w:color="auto" w:fill="CFF0FC"/>
          </w:tcPr>
          <w:p>
            <w:pPr>
              <w:jc w:val="right"/>
              <w:ind w:right="188"/>
              <w:spacing w:after="0"/>
              <w:rPr>
                <w:sz w:val="20"/>
                <w:szCs w:val="20"/>
                <w:color w:val="auto"/>
              </w:rPr>
            </w:pPr>
            <w:r>
              <w:rPr>
                <w:rFonts w:ascii="Times New Roman" w:cs="Times New Roman" w:eastAsia="Times New Roman" w:hAnsi="Times New Roman"/>
                <w:sz w:val="14"/>
                <w:szCs w:val="14"/>
                <w:color w:val="auto"/>
              </w:rPr>
              <w:t>15.9</w:t>
            </w:r>
          </w:p>
        </w:tc>
        <w:tc>
          <w:tcPr>
            <w:tcW w:w="260" w:type="dxa"/>
            <w:vAlign w:val="bottom"/>
            <w:tcBorders>
              <w:bottom w:val="single" w:sz="8" w:color="auto"/>
            </w:tcBorders>
            <w:shd w:val="clear" w:color="auto" w:fill="CFF0FC"/>
          </w:tcPr>
          <w:p>
            <w:pPr>
              <w:spacing w:after="0"/>
              <w:rPr>
                <w:sz w:val="15"/>
                <w:szCs w:val="15"/>
                <w:color w:val="auto"/>
              </w:rPr>
            </w:pPr>
          </w:p>
        </w:tc>
        <w:tc>
          <w:tcPr>
            <w:tcW w:w="1020" w:type="dxa"/>
            <w:vAlign w:val="bottom"/>
            <w:tcBorders>
              <w:bottom w:val="single" w:sz="8" w:color="auto"/>
            </w:tcBorders>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723.4</w:t>
            </w:r>
          </w:p>
        </w:tc>
        <w:tc>
          <w:tcPr>
            <w:tcW w:w="120" w:type="dxa"/>
            <w:vAlign w:val="bottom"/>
            <w:tcBorders>
              <w:bottom w:val="single" w:sz="8" w:color="CFF0FC"/>
            </w:tcBorders>
            <w:shd w:val="clear" w:color="auto" w:fill="CFF0FC"/>
          </w:tcPr>
          <w:p>
            <w:pPr>
              <w:spacing w:after="0"/>
              <w:rPr>
                <w:sz w:val="15"/>
                <w:szCs w:val="15"/>
                <w:color w:val="auto"/>
              </w:rPr>
            </w:pPr>
          </w:p>
        </w:tc>
        <w:tc>
          <w:tcPr>
            <w:tcW w:w="160" w:type="dxa"/>
            <w:vAlign w:val="bottom"/>
            <w:tcBorders>
              <w:bottom w:val="single" w:sz="8" w:color="auto"/>
            </w:tcBorders>
            <w:shd w:val="clear" w:color="auto" w:fill="CFF0FC"/>
          </w:tcPr>
          <w:p>
            <w:pPr>
              <w:spacing w:after="0"/>
              <w:rPr>
                <w:sz w:val="15"/>
                <w:szCs w:val="15"/>
                <w:color w:val="auto"/>
              </w:rPr>
            </w:pPr>
          </w:p>
        </w:tc>
        <w:tc>
          <w:tcPr>
            <w:tcW w:w="1100" w:type="dxa"/>
            <w:vAlign w:val="bottom"/>
            <w:tcBorders>
              <w:bottom w:val="single" w:sz="8" w:color="auto"/>
            </w:tcBorders>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763.2</w:t>
            </w:r>
          </w:p>
        </w:tc>
        <w:tc>
          <w:tcPr>
            <w:tcW w:w="280" w:type="dxa"/>
            <w:vAlign w:val="bottom"/>
            <w:tcBorders>
              <w:bottom w:val="single" w:sz="8" w:color="auto"/>
            </w:tcBorders>
            <w:shd w:val="clear" w:color="auto" w:fill="CFF0FC"/>
          </w:tcPr>
          <w:p>
            <w:pPr>
              <w:spacing w:after="0"/>
              <w:rPr>
                <w:sz w:val="15"/>
                <w:szCs w:val="15"/>
                <w:color w:val="auto"/>
              </w:rPr>
            </w:pPr>
          </w:p>
        </w:tc>
        <w:tc>
          <w:tcPr>
            <w:tcW w:w="1220" w:type="dxa"/>
            <w:vAlign w:val="bottom"/>
            <w:tcBorders>
              <w:bottom w:val="single" w:sz="8" w:color="auto"/>
            </w:tcBorders>
            <w:shd w:val="clear" w:color="auto" w:fill="CFF0FC"/>
          </w:tcPr>
          <w:p>
            <w:pPr>
              <w:jc w:val="right"/>
              <w:ind w:right="168"/>
              <w:spacing w:after="0"/>
              <w:rPr>
                <w:sz w:val="20"/>
                <w:szCs w:val="20"/>
                <w:color w:val="auto"/>
              </w:rPr>
            </w:pPr>
            <w:r>
              <w:rPr>
                <w:rFonts w:ascii="Times New Roman" w:cs="Times New Roman" w:eastAsia="Times New Roman" w:hAnsi="Times New Roman"/>
                <w:sz w:val="14"/>
                <w:szCs w:val="14"/>
                <w:color w:val="auto"/>
              </w:rPr>
              <w:t>15.0</w:t>
            </w:r>
          </w:p>
        </w:tc>
        <w:tc>
          <w:tcPr>
            <w:tcW w:w="260" w:type="dxa"/>
            <w:vAlign w:val="bottom"/>
            <w:tcBorders>
              <w:bottom w:val="single" w:sz="8" w:color="auto"/>
            </w:tcBorders>
            <w:shd w:val="clear" w:color="auto" w:fill="CFF0FC"/>
          </w:tcPr>
          <w:p>
            <w:pPr>
              <w:spacing w:after="0"/>
              <w:rPr>
                <w:sz w:val="15"/>
                <w:szCs w:val="15"/>
                <w:color w:val="auto"/>
              </w:rPr>
            </w:pPr>
          </w:p>
        </w:tc>
        <w:tc>
          <w:tcPr>
            <w:tcW w:w="1040" w:type="dxa"/>
            <w:vAlign w:val="bottom"/>
            <w:tcBorders>
              <w:bottom w:val="single" w:sz="8" w:color="auto"/>
            </w:tcBorders>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778.2</w:t>
            </w:r>
          </w:p>
        </w:tc>
        <w:tc>
          <w:tcPr>
            <w:tcW w:w="0" w:type="dxa"/>
            <w:vAlign w:val="bottom"/>
          </w:tcPr>
          <w:p>
            <w:pPr>
              <w:spacing w:after="0"/>
              <w:rPr>
                <w:sz w:val="1"/>
                <w:szCs w:val="1"/>
                <w:color w:val="auto"/>
              </w:rPr>
            </w:pPr>
          </w:p>
        </w:tc>
      </w:tr>
      <w:tr>
        <w:trPr>
          <w:trHeight w:val="169"/>
        </w:trPr>
        <w:tc>
          <w:tcPr>
            <w:tcW w:w="30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2,051.4</w:t>
            </w:r>
          </w:p>
        </w:tc>
        <w:tc>
          <w:tcPr>
            <w:tcW w:w="28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tcPr>
          <w:p>
            <w:pPr>
              <w:jc w:val="right"/>
              <w:ind w:right="188"/>
              <w:spacing w:after="0"/>
              <w:rPr>
                <w:sz w:val="20"/>
                <w:szCs w:val="20"/>
                <w:color w:val="auto"/>
              </w:rPr>
            </w:pPr>
            <w:r>
              <w:rPr>
                <w:rFonts w:ascii="Times New Roman" w:cs="Times New Roman" w:eastAsia="Times New Roman" w:hAnsi="Times New Roman"/>
                <w:sz w:val="14"/>
                <w:szCs w:val="14"/>
                <w:color w:val="auto"/>
              </w:rPr>
              <w:t>49.4</w:t>
            </w:r>
          </w:p>
        </w:tc>
        <w:tc>
          <w:tcPr>
            <w:tcW w:w="26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2,100.8</w:t>
            </w:r>
          </w:p>
        </w:tc>
        <w:tc>
          <w:tcPr>
            <w:tcW w:w="1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2,173.1</w:t>
            </w:r>
          </w:p>
        </w:tc>
        <w:tc>
          <w:tcPr>
            <w:tcW w:w="28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jc w:val="right"/>
              <w:ind w:right="168"/>
              <w:spacing w:after="0"/>
              <w:rPr>
                <w:sz w:val="20"/>
                <w:szCs w:val="20"/>
                <w:color w:val="auto"/>
              </w:rPr>
            </w:pPr>
            <w:r>
              <w:rPr>
                <w:rFonts w:ascii="Times New Roman" w:cs="Times New Roman" w:eastAsia="Times New Roman" w:hAnsi="Times New Roman"/>
                <w:sz w:val="14"/>
                <w:szCs w:val="14"/>
                <w:color w:val="auto"/>
              </w:rPr>
              <w:t>55.8</w:t>
            </w:r>
          </w:p>
        </w:tc>
        <w:tc>
          <w:tcPr>
            <w:tcW w:w="26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2,228.9</w:t>
            </w:r>
          </w:p>
        </w:tc>
        <w:tc>
          <w:tcPr>
            <w:tcW w:w="0" w:type="dxa"/>
            <w:vAlign w:val="bottom"/>
          </w:tcPr>
          <w:p>
            <w:pPr>
              <w:spacing w:after="0"/>
              <w:rPr>
                <w:sz w:val="1"/>
                <w:szCs w:val="1"/>
                <w:color w:val="auto"/>
              </w:rPr>
            </w:pPr>
          </w:p>
        </w:tc>
      </w:tr>
      <w:tr>
        <w:trPr>
          <w:trHeight w:val="169"/>
        </w:trPr>
        <w:tc>
          <w:tcPr>
            <w:tcW w:w="30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Southern Europe:</w:t>
            </w:r>
          </w:p>
        </w:tc>
        <w:tc>
          <w:tcPr>
            <w:tcW w:w="140" w:type="dxa"/>
            <w:vAlign w:val="bottom"/>
            <w:shd w:val="clear" w:color="auto" w:fill="CFF0FC"/>
          </w:tcPr>
          <w:p>
            <w:pPr>
              <w:spacing w:after="0"/>
              <w:rPr>
                <w:sz w:val="14"/>
                <w:szCs w:val="14"/>
                <w:color w:val="auto"/>
              </w:rPr>
            </w:pPr>
          </w:p>
        </w:tc>
        <w:tc>
          <w:tcPr>
            <w:tcW w:w="110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126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10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10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122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104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300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France</w:t>
            </w:r>
          </w:p>
        </w:tc>
        <w:tc>
          <w:tcPr>
            <w:tcW w:w="140" w:type="dxa"/>
            <w:vAlign w:val="bottom"/>
          </w:tcPr>
          <w:p>
            <w:pPr>
              <w:spacing w:after="0"/>
              <w:rPr>
                <w:sz w:val="15"/>
                <w:szCs w:val="15"/>
                <w:color w:val="auto"/>
              </w:rPr>
            </w:pPr>
          </w:p>
        </w:tc>
        <w:tc>
          <w:tcPr>
            <w:tcW w:w="11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2,278.2</w:t>
            </w:r>
          </w:p>
        </w:tc>
        <w:tc>
          <w:tcPr>
            <w:tcW w:w="280" w:type="dxa"/>
            <w:vAlign w:val="bottom"/>
          </w:tcPr>
          <w:p>
            <w:pPr>
              <w:spacing w:after="0"/>
              <w:rPr>
                <w:sz w:val="15"/>
                <w:szCs w:val="15"/>
                <w:color w:val="auto"/>
              </w:rPr>
            </w:pPr>
          </w:p>
        </w:tc>
        <w:tc>
          <w:tcPr>
            <w:tcW w:w="1260" w:type="dxa"/>
            <w:vAlign w:val="bottom"/>
          </w:tcPr>
          <w:p>
            <w:pPr>
              <w:jc w:val="right"/>
              <w:ind w:right="188"/>
              <w:spacing w:after="0"/>
              <w:rPr>
                <w:sz w:val="20"/>
                <w:szCs w:val="20"/>
                <w:color w:val="auto"/>
              </w:rPr>
            </w:pPr>
            <w:r>
              <w:rPr>
                <w:rFonts w:ascii="Times New Roman" w:cs="Times New Roman" w:eastAsia="Times New Roman" w:hAnsi="Times New Roman"/>
                <w:sz w:val="14"/>
                <w:szCs w:val="14"/>
                <w:color w:val="auto"/>
              </w:rPr>
              <w:t>26.0</w:t>
            </w:r>
          </w:p>
        </w:tc>
        <w:tc>
          <w:tcPr>
            <w:tcW w:w="260" w:type="dxa"/>
            <w:vAlign w:val="bottom"/>
          </w:tcPr>
          <w:p>
            <w:pPr>
              <w:spacing w:after="0"/>
              <w:rPr>
                <w:sz w:val="15"/>
                <w:szCs w:val="15"/>
                <w:color w:val="auto"/>
              </w:rPr>
            </w:pPr>
          </w:p>
        </w:tc>
        <w:tc>
          <w:tcPr>
            <w:tcW w:w="10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2,304.2</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2,417.6</w:t>
            </w:r>
          </w:p>
        </w:tc>
        <w:tc>
          <w:tcPr>
            <w:tcW w:w="280" w:type="dxa"/>
            <w:vAlign w:val="bottom"/>
          </w:tcPr>
          <w:p>
            <w:pPr>
              <w:spacing w:after="0"/>
              <w:rPr>
                <w:sz w:val="15"/>
                <w:szCs w:val="15"/>
                <w:color w:val="auto"/>
              </w:rPr>
            </w:pPr>
          </w:p>
        </w:tc>
        <w:tc>
          <w:tcPr>
            <w:tcW w:w="1220" w:type="dxa"/>
            <w:vAlign w:val="bottom"/>
          </w:tcPr>
          <w:p>
            <w:pPr>
              <w:jc w:val="right"/>
              <w:ind w:right="168"/>
              <w:spacing w:after="0"/>
              <w:rPr>
                <w:sz w:val="20"/>
                <w:szCs w:val="20"/>
                <w:color w:val="auto"/>
              </w:rPr>
            </w:pPr>
            <w:r>
              <w:rPr>
                <w:rFonts w:ascii="Times New Roman" w:cs="Times New Roman" w:eastAsia="Times New Roman" w:hAnsi="Times New Roman"/>
                <w:sz w:val="14"/>
                <w:szCs w:val="14"/>
                <w:color w:val="auto"/>
              </w:rPr>
              <w:t>29.9</w:t>
            </w:r>
          </w:p>
        </w:tc>
        <w:tc>
          <w:tcPr>
            <w:tcW w:w="260" w:type="dxa"/>
            <w:vAlign w:val="bottom"/>
          </w:tcPr>
          <w:p>
            <w:pPr>
              <w:spacing w:after="0"/>
              <w:rPr>
                <w:sz w:val="15"/>
                <w:szCs w:val="15"/>
                <w:color w:val="auto"/>
              </w:rPr>
            </w:pPr>
          </w:p>
        </w:tc>
        <w:tc>
          <w:tcPr>
            <w:tcW w:w="10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2,447.5</w:t>
            </w:r>
          </w:p>
        </w:tc>
        <w:tc>
          <w:tcPr>
            <w:tcW w:w="0" w:type="dxa"/>
            <w:vAlign w:val="bottom"/>
          </w:tcPr>
          <w:p>
            <w:pPr>
              <w:spacing w:after="0"/>
              <w:rPr>
                <w:sz w:val="1"/>
                <w:szCs w:val="1"/>
                <w:color w:val="auto"/>
              </w:rPr>
            </w:pPr>
          </w:p>
        </w:tc>
      </w:tr>
      <w:tr>
        <w:trPr>
          <w:trHeight w:val="175"/>
        </w:trPr>
        <w:tc>
          <w:tcPr>
            <w:tcW w:w="30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4"/>
                <w:szCs w:val="14"/>
                <w:color w:val="auto"/>
              </w:rPr>
              <w:t>Italy</w:t>
            </w:r>
          </w:p>
        </w:tc>
        <w:tc>
          <w:tcPr>
            <w:tcW w:w="140" w:type="dxa"/>
            <w:vAlign w:val="bottom"/>
            <w:shd w:val="clear" w:color="auto" w:fill="CFF0FC"/>
          </w:tcPr>
          <w:p>
            <w:pPr>
              <w:spacing w:after="0"/>
              <w:rPr>
                <w:sz w:val="15"/>
                <w:szCs w:val="15"/>
                <w:color w:val="auto"/>
              </w:rPr>
            </w:pPr>
          </w:p>
        </w:tc>
        <w:tc>
          <w:tcPr>
            <w:tcW w:w="110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814.4</w:t>
            </w:r>
          </w:p>
        </w:tc>
        <w:tc>
          <w:tcPr>
            <w:tcW w:w="280" w:type="dxa"/>
            <w:vAlign w:val="bottom"/>
            <w:shd w:val="clear" w:color="auto" w:fill="CFF0FC"/>
          </w:tcPr>
          <w:p>
            <w:pPr>
              <w:spacing w:after="0"/>
              <w:rPr>
                <w:sz w:val="15"/>
                <w:szCs w:val="15"/>
                <w:color w:val="auto"/>
              </w:rPr>
            </w:pPr>
          </w:p>
        </w:tc>
        <w:tc>
          <w:tcPr>
            <w:tcW w:w="1260" w:type="dxa"/>
            <w:vAlign w:val="bottom"/>
            <w:shd w:val="clear" w:color="auto" w:fill="CFF0FC"/>
          </w:tcPr>
          <w:p>
            <w:pPr>
              <w:jc w:val="right"/>
              <w:ind w:right="188"/>
              <w:spacing w:after="0"/>
              <w:rPr>
                <w:sz w:val="20"/>
                <w:szCs w:val="20"/>
                <w:color w:val="auto"/>
              </w:rPr>
            </w:pPr>
            <w:r>
              <w:rPr>
                <w:rFonts w:ascii="Times New Roman" w:cs="Times New Roman" w:eastAsia="Times New Roman" w:hAnsi="Times New Roman"/>
                <w:sz w:val="14"/>
                <w:szCs w:val="14"/>
                <w:color w:val="auto"/>
              </w:rPr>
              <w:t>24.8</w:t>
            </w:r>
          </w:p>
        </w:tc>
        <w:tc>
          <w:tcPr>
            <w:tcW w:w="260" w:type="dxa"/>
            <w:vAlign w:val="bottom"/>
            <w:shd w:val="clear" w:color="auto" w:fill="CFF0FC"/>
          </w:tcPr>
          <w:p>
            <w:pPr>
              <w:spacing w:after="0"/>
              <w:rPr>
                <w:sz w:val="15"/>
                <w:szCs w:val="15"/>
                <w:color w:val="auto"/>
              </w:rPr>
            </w:pPr>
          </w:p>
        </w:tc>
        <w:tc>
          <w:tcPr>
            <w:tcW w:w="102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839.2</w:t>
            </w:r>
          </w:p>
        </w:tc>
        <w:tc>
          <w:tcPr>
            <w:tcW w:w="12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10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851.7</w:t>
            </w:r>
          </w:p>
        </w:tc>
        <w:tc>
          <w:tcPr>
            <w:tcW w:w="280" w:type="dxa"/>
            <w:vAlign w:val="bottom"/>
            <w:shd w:val="clear" w:color="auto" w:fill="CFF0FC"/>
          </w:tcPr>
          <w:p>
            <w:pPr>
              <w:spacing w:after="0"/>
              <w:rPr>
                <w:sz w:val="15"/>
                <w:szCs w:val="15"/>
                <w:color w:val="auto"/>
              </w:rPr>
            </w:pPr>
          </w:p>
        </w:tc>
        <w:tc>
          <w:tcPr>
            <w:tcW w:w="1220" w:type="dxa"/>
            <w:vAlign w:val="bottom"/>
            <w:shd w:val="clear" w:color="auto" w:fill="CFF0FC"/>
          </w:tcPr>
          <w:p>
            <w:pPr>
              <w:jc w:val="right"/>
              <w:ind w:right="168"/>
              <w:spacing w:after="0"/>
              <w:rPr>
                <w:sz w:val="20"/>
                <w:szCs w:val="20"/>
                <w:color w:val="auto"/>
              </w:rPr>
            </w:pPr>
            <w:r>
              <w:rPr>
                <w:rFonts w:ascii="Times New Roman" w:cs="Times New Roman" w:eastAsia="Times New Roman" w:hAnsi="Times New Roman"/>
                <w:sz w:val="14"/>
                <w:szCs w:val="14"/>
                <w:color w:val="auto"/>
              </w:rPr>
              <w:t>28.3</w:t>
            </w:r>
          </w:p>
        </w:tc>
        <w:tc>
          <w:tcPr>
            <w:tcW w:w="260" w:type="dxa"/>
            <w:vAlign w:val="bottom"/>
            <w:shd w:val="clear" w:color="auto" w:fill="CFF0FC"/>
          </w:tcPr>
          <w:p>
            <w:pPr>
              <w:spacing w:after="0"/>
              <w:rPr>
                <w:sz w:val="15"/>
                <w:szCs w:val="15"/>
                <w:color w:val="auto"/>
              </w:rPr>
            </w:pPr>
          </w:p>
        </w:tc>
        <w:tc>
          <w:tcPr>
            <w:tcW w:w="104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880.0</w:t>
            </w:r>
          </w:p>
        </w:tc>
        <w:tc>
          <w:tcPr>
            <w:tcW w:w="0" w:type="dxa"/>
            <w:vAlign w:val="bottom"/>
          </w:tcPr>
          <w:p>
            <w:pPr>
              <w:spacing w:after="0"/>
              <w:rPr>
                <w:sz w:val="1"/>
                <w:szCs w:val="1"/>
                <w:color w:val="auto"/>
              </w:rPr>
            </w:pPr>
          </w:p>
        </w:tc>
      </w:tr>
      <w:tr>
        <w:trPr>
          <w:trHeight w:val="175"/>
        </w:trPr>
        <w:tc>
          <w:tcPr>
            <w:tcW w:w="300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Other Southern Europe</w:t>
            </w:r>
          </w:p>
        </w:tc>
        <w:tc>
          <w:tcPr>
            <w:tcW w:w="14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913.6</w:t>
            </w:r>
          </w:p>
        </w:tc>
        <w:tc>
          <w:tcPr>
            <w:tcW w:w="28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right"/>
              <w:ind w:right="188"/>
              <w:spacing w:after="0"/>
              <w:rPr>
                <w:sz w:val="20"/>
                <w:szCs w:val="20"/>
                <w:color w:val="auto"/>
              </w:rPr>
            </w:pPr>
            <w:r>
              <w:rPr>
                <w:rFonts w:ascii="Times New Roman" w:cs="Times New Roman" w:eastAsia="Times New Roman" w:hAnsi="Times New Roman"/>
                <w:sz w:val="14"/>
                <w:szCs w:val="14"/>
                <w:color w:val="auto"/>
              </w:rPr>
              <w:t>22.3</w:t>
            </w:r>
          </w:p>
        </w:tc>
        <w:tc>
          <w:tcPr>
            <w:tcW w:w="26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935.9</w:t>
            </w:r>
          </w:p>
        </w:tc>
        <w:tc>
          <w:tcPr>
            <w:tcW w:w="12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941.6</w:t>
            </w:r>
          </w:p>
        </w:tc>
        <w:tc>
          <w:tcPr>
            <w:tcW w:w="28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right"/>
              <w:ind w:right="168"/>
              <w:spacing w:after="0"/>
              <w:rPr>
                <w:sz w:val="20"/>
                <w:szCs w:val="20"/>
                <w:color w:val="auto"/>
              </w:rPr>
            </w:pPr>
            <w:r>
              <w:rPr>
                <w:rFonts w:ascii="Times New Roman" w:cs="Times New Roman" w:eastAsia="Times New Roman" w:hAnsi="Times New Roman"/>
                <w:sz w:val="14"/>
                <w:szCs w:val="14"/>
                <w:color w:val="auto"/>
              </w:rPr>
              <w:t>25.7</w:t>
            </w:r>
          </w:p>
        </w:tc>
        <w:tc>
          <w:tcPr>
            <w:tcW w:w="26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967.3</w:t>
            </w:r>
          </w:p>
        </w:tc>
        <w:tc>
          <w:tcPr>
            <w:tcW w:w="0" w:type="dxa"/>
            <w:vAlign w:val="bottom"/>
          </w:tcPr>
          <w:p>
            <w:pPr>
              <w:spacing w:after="0"/>
              <w:rPr>
                <w:sz w:val="1"/>
                <w:szCs w:val="1"/>
                <w:color w:val="auto"/>
              </w:rPr>
            </w:pPr>
          </w:p>
        </w:tc>
      </w:tr>
      <w:tr>
        <w:trPr>
          <w:trHeight w:val="169"/>
        </w:trPr>
        <w:tc>
          <w:tcPr>
            <w:tcW w:w="3000" w:type="dxa"/>
            <w:vAlign w:val="bottom"/>
            <w:tcBorders>
              <w:bottom w:val="single" w:sz="8" w:color="CFF0FC"/>
            </w:tcBorders>
            <w:shd w:val="clear" w:color="auto" w:fill="CFF0FC"/>
          </w:tcPr>
          <w:p>
            <w:pPr>
              <w:spacing w:after="0"/>
              <w:rPr>
                <w:sz w:val="14"/>
                <w:szCs w:val="14"/>
                <w:color w:val="auto"/>
              </w:rPr>
            </w:pPr>
          </w:p>
        </w:tc>
        <w:tc>
          <w:tcPr>
            <w:tcW w:w="140" w:type="dxa"/>
            <w:vAlign w:val="bottom"/>
            <w:tcBorders>
              <w:bottom w:val="single" w:sz="8" w:color="auto"/>
            </w:tcBorders>
            <w:shd w:val="clear" w:color="auto" w:fill="CFF0FC"/>
          </w:tcPr>
          <w:p>
            <w:pPr>
              <w:spacing w:after="0"/>
              <w:rPr>
                <w:sz w:val="14"/>
                <w:szCs w:val="14"/>
                <w:color w:val="auto"/>
              </w:rPr>
            </w:pPr>
          </w:p>
        </w:tc>
        <w:tc>
          <w:tcPr>
            <w:tcW w:w="1100" w:type="dxa"/>
            <w:vAlign w:val="bottom"/>
            <w:tcBorders>
              <w:bottom w:val="single" w:sz="8" w:color="auto"/>
            </w:tcBorders>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4,006.2</w:t>
            </w:r>
          </w:p>
        </w:tc>
        <w:tc>
          <w:tcPr>
            <w:tcW w:w="280" w:type="dxa"/>
            <w:vAlign w:val="bottom"/>
            <w:tcBorders>
              <w:bottom w:val="single" w:sz="8" w:color="auto"/>
            </w:tcBorders>
            <w:shd w:val="clear" w:color="auto" w:fill="CFF0FC"/>
          </w:tcPr>
          <w:p>
            <w:pPr>
              <w:spacing w:after="0"/>
              <w:rPr>
                <w:sz w:val="14"/>
                <w:szCs w:val="14"/>
                <w:color w:val="auto"/>
              </w:rPr>
            </w:pPr>
          </w:p>
        </w:tc>
        <w:tc>
          <w:tcPr>
            <w:tcW w:w="1260" w:type="dxa"/>
            <w:vAlign w:val="bottom"/>
            <w:tcBorders>
              <w:bottom w:val="single" w:sz="8" w:color="auto"/>
            </w:tcBorders>
            <w:shd w:val="clear" w:color="auto" w:fill="CFF0FC"/>
          </w:tcPr>
          <w:p>
            <w:pPr>
              <w:jc w:val="right"/>
              <w:ind w:right="188"/>
              <w:spacing w:after="0"/>
              <w:rPr>
                <w:sz w:val="20"/>
                <w:szCs w:val="20"/>
                <w:color w:val="auto"/>
              </w:rPr>
            </w:pPr>
            <w:r>
              <w:rPr>
                <w:rFonts w:ascii="Times New Roman" w:cs="Times New Roman" w:eastAsia="Times New Roman" w:hAnsi="Times New Roman"/>
                <w:sz w:val="14"/>
                <w:szCs w:val="14"/>
                <w:color w:val="auto"/>
              </w:rPr>
              <w:t>73.1</w:t>
            </w:r>
          </w:p>
        </w:tc>
        <w:tc>
          <w:tcPr>
            <w:tcW w:w="260" w:type="dxa"/>
            <w:vAlign w:val="bottom"/>
            <w:tcBorders>
              <w:bottom w:val="single" w:sz="8" w:color="auto"/>
            </w:tcBorders>
            <w:shd w:val="clear" w:color="auto" w:fill="CFF0FC"/>
          </w:tcPr>
          <w:p>
            <w:pPr>
              <w:spacing w:after="0"/>
              <w:rPr>
                <w:sz w:val="14"/>
                <w:szCs w:val="14"/>
                <w:color w:val="auto"/>
              </w:rPr>
            </w:pPr>
          </w:p>
        </w:tc>
        <w:tc>
          <w:tcPr>
            <w:tcW w:w="1020" w:type="dxa"/>
            <w:vAlign w:val="bottom"/>
            <w:tcBorders>
              <w:bottom w:val="single" w:sz="8" w:color="auto"/>
            </w:tcBorders>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4,079.3</w:t>
            </w:r>
          </w:p>
        </w:tc>
        <w:tc>
          <w:tcPr>
            <w:tcW w:w="120" w:type="dxa"/>
            <w:vAlign w:val="bottom"/>
            <w:tcBorders>
              <w:bottom w:val="single" w:sz="8" w:color="CFF0FC"/>
            </w:tcBorders>
            <w:shd w:val="clear" w:color="auto" w:fill="CFF0FC"/>
          </w:tcPr>
          <w:p>
            <w:pPr>
              <w:spacing w:after="0"/>
              <w:rPr>
                <w:sz w:val="14"/>
                <w:szCs w:val="14"/>
                <w:color w:val="auto"/>
              </w:rPr>
            </w:pPr>
          </w:p>
        </w:tc>
        <w:tc>
          <w:tcPr>
            <w:tcW w:w="160" w:type="dxa"/>
            <w:vAlign w:val="bottom"/>
            <w:tcBorders>
              <w:bottom w:val="single" w:sz="8" w:color="auto"/>
            </w:tcBorders>
            <w:shd w:val="clear" w:color="auto" w:fill="CFF0FC"/>
          </w:tcPr>
          <w:p>
            <w:pPr>
              <w:spacing w:after="0"/>
              <w:rPr>
                <w:sz w:val="14"/>
                <w:szCs w:val="14"/>
                <w:color w:val="auto"/>
              </w:rPr>
            </w:pPr>
          </w:p>
        </w:tc>
        <w:tc>
          <w:tcPr>
            <w:tcW w:w="1100" w:type="dxa"/>
            <w:vAlign w:val="bottom"/>
            <w:tcBorders>
              <w:bottom w:val="single" w:sz="8" w:color="auto"/>
            </w:tcBorders>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4,210.9</w:t>
            </w:r>
          </w:p>
        </w:tc>
        <w:tc>
          <w:tcPr>
            <w:tcW w:w="280" w:type="dxa"/>
            <w:vAlign w:val="bottom"/>
            <w:tcBorders>
              <w:bottom w:val="single" w:sz="8" w:color="auto"/>
            </w:tcBorders>
            <w:shd w:val="clear" w:color="auto" w:fill="CFF0FC"/>
          </w:tcPr>
          <w:p>
            <w:pPr>
              <w:spacing w:after="0"/>
              <w:rPr>
                <w:sz w:val="14"/>
                <w:szCs w:val="14"/>
                <w:color w:val="auto"/>
              </w:rPr>
            </w:pPr>
          </w:p>
        </w:tc>
        <w:tc>
          <w:tcPr>
            <w:tcW w:w="1220" w:type="dxa"/>
            <w:vAlign w:val="bottom"/>
            <w:tcBorders>
              <w:bottom w:val="single" w:sz="8" w:color="auto"/>
            </w:tcBorders>
            <w:shd w:val="clear" w:color="auto" w:fill="CFF0FC"/>
          </w:tcPr>
          <w:p>
            <w:pPr>
              <w:jc w:val="right"/>
              <w:ind w:right="168"/>
              <w:spacing w:after="0"/>
              <w:rPr>
                <w:sz w:val="20"/>
                <w:szCs w:val="20"/>
                <w:color w:val="auto"/>
              </w:rPr>
            </w:pPr>
            <w:r>
              <w:rPr>
                <w:rFonts w:ascii="Times New Roman" w:cs="Times New Roman" w:eastAsia="Times New Roman" w:hAnsi="Times New Roman"/>
                <w:sz w:val="14"/>
                <w:szCs w:val="14"/>
                <w:color w:val="auto"/>
              </w:rPr>
              <w:t>83.9</w:t>
            </w:r>
          </w:p>
        </w:tc>
        <w:tc>
          <w:tcPr>
            <w:tcW w:w="260" w:type="dxa"/>
            <w:vAlign w:val="bottom"/>
            <w:tcBorders>
              <w:bottom w:val="single" w:sz="8" w:color="auto"/>
            </w:tcBorders>
            <w:shd w:val="clear" w:color="auto" w:fill="CFF0FC"/>
          </w:tcPr>
          <w:p>
            <w:pPr>
              <w:spacing w:after="0"/>
              <w:rPr>
                <w:sz w:val="14"/>
                <w:szCs w:val="14"/>
                <w:color w:val="auto"/>
              </w:rPr>
            </w:pPr>
          </w:p>
        </w:tc>
        <w:tc>
          <w:tcPr>
            <w:tcW w:w="1040" w:type="dxa"/>
            <w:vAlign w:val="bottom"/>
            <w:tcBorders>
              <w:bottom w:val="single" w:sz="8" w:color="auto"/>
            </w:tcBorders>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4,294.8</w:t>
            </w:r>
          </w:p>
        </w:tc>
        <w:tc>
          <w:tcPr>
            <w:tcW w:w="0" w:type="dxa"/>
            <w:vAlign w:val="bottom"/>
          </w:tcPr>
          <w:p>
            <w:pPr>
              <w:spacing w:after="0"/>
              <w:rPr>
                <w:sz w:val="1"/>
                <w:szCs w:val="1"/>
                <w:color w:val="auto"/>
              </w:rPr>
            </w:pPr>
          </w:p>
        </w:tc>
      </w:tr>
      <w:tr>
        <w:trPr>
          <w:trHeight w:val="169"/>
        </w:trPr>
        <w:tc>
          <w:tcPr>
            <w:tcW w:w="30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Northern Europe</w:t>
            </w:r>
          </w:p>
        </w:tc>
        <w:tc>
          <w:tcPr>
            <w:tcW w:w="140" w:type="dxa"/>
            <w:vAlign w:val="bottom"/>
          </w:tcPr>
          <w:p>
            <w:pPr>
              <w:spacing w:after="0"/>
              <w:rPr>
                <w:sz w:val="14"/>
                <w:szCs w:val="14"/>
                <w:color w:val="auto"/>
              </w:rPr>
            </w:pPr>
          </w:p>
        </w:tc>
        <w:tc>
          <w:tcPr>
            <w:tcW w:w="11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1,655.5</w:t>
            </w:r>
          </w:p>
        </w:tc>
        <w:tc>
          <w:tcPr>
            <w:tcW w:w="280" w:type="dxa"/>
            <w:vAlign w:val="bottom"/>
          </w:tcPr>
          <w:p>
            <w:pPr>
              <w:spacing w:after="0"/>
              <w:rPr>
                <w:sz w:val="14"/>
                <w:szCs w:val="14"/>
                <w:color w:val="auto"/>
              </w:rPr>
            </w:pPr>
          </w:p>
        </w:tc>
        <w:tc>
          <w:tcPr>
            <w:tcW w:w="1260" w:type="dxa"/>
            <w:vAlign w:val="bottom"/>
          </w:tcPr>
          <w:p>
            <w:pPr>
              <w:jc w:val="right"/>
              <w:ind w:right="188"/>
              <w:spacing w:after="0"/>
              <w:rPr>
                <w:sz w:val="20"/>
                <w:szCs w:val="20"/>
                <w:color w:val="auto"/>
              </w:rPr>
            </w:pPr>
            <w:r>
              <w:rPr>
                <w:rFonts w:ascii="Times New Roman" w:cs="Times New Roman" w:eastAsia="Times New Roman" w:hAnsi="Times New Roman"/>
                <w:sz w:val="14"/>
                <w:szCs w:val="14"/>
                <w:color w:val="auto"/>
              </w:rPr>
              <w:t>52.1</w:t>
            </w:r>
          </w:p>
        </w:tc>
        <w:tc>
          <w:tcPr>
            <w:tcW w:w="260" w:type="dxa"/>
            <w:vAlign w:val="bottom"/>
          </w:tcPr>
          <w:p>
            <w:pPr>
              <w:spacing w:after="0"/>
              <w:rPr>
                <w:sz w:val="14"/>
                <w:szCs w:val="14"/>
                <w:color w:val="auto"/>
              </w:rPr>
            </w:pPr>
          </w:p>
        </w:tc>
        <w:tc>
          <w:tcPr>
            <w:tcW w:w="10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1,707.6</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1,854.4</w:t>
            </w:r>
          </w:p>
        </w:tc>
        <w:tc>
          <w:tcPr>
            <w:tcW w:w="280" w:type="dxa"/>
            <w:vAlign w:val="bottom"/>
          </w:tcPr>
          <w:p>
            <w:pPr>
              <w:spacing w:after="0"/>
              <w:rPr>
                <w:sz w:val="14"/>
                <w:szCs w:val="14"/>
                <w:color w:val="auto"/>
              </w:rPr>
            </w:pPr>
          </w:p>
        </w:tc>
        <w:tc>
          <w:tcPr>
            <w:tcW w:w="1220" w:type="dxa"/>
            <w:vAlign w:val="bottom"/>
          </w:tcPr>
          <w:p>
            <w:pPr>
              <w:jc w:val="right"/>
              <w:ind w:right="168"/>
              <w:spacing w:after="0"/>
              <w:rPr>
                <w:sz w:val="20"/>
                <w:szCs w:val="20"/>
                <w:color w:val="auto"/>
              </w:rPr>
            </w:pPr>
            <w:r>
              <w:rPr>
                <w:rFonts w:ascii="Times New Roman" w:cs="Times New Roman" w:eastAsia="Times New Roman" w:hAnsi="Times New Roman"/>
                <w:sz w:val="14"/>
                <w:szCs w:val="14"/>
                <w:color w:val="auto"/>
              </w:rPr>
              <w:t>65.7</w:t>
            </w:r>
          </w:p>
        </w:tc>
        <w:tc>
          <w:tcPr>
            <w:tcW w:w="260" w:type="dxa"/>
            <w:vAlign w:val="bottom"/>
          </w:tcPr>
          <w:p>
            <w:pPr>
              <w:spacing w:after="0"/>
              <w:rPr>
                <w:sz w:val="14"/>
                <w:szCs w:val="14"/>
                <w:color w:val="auto"/>
              </w:rPr>
            </w:pPr>
          </w:p>
        </w:tc>
        <w:tc>
          <w:tcPr>
            <w:tcW w:w="10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1,920.1</w:t>
            </w:r>
          </w:p>
        </w:tc>
        <w:tc>
          <w:tcPr>
            <w:tcW w:w="0" w:type="dxa"/>
            <w:vAlign w:val="bottom"/>
          </w:tcPr>
          <w:p>
            <w:pPr>
              <w:spacing w:after="0"/>
              <w:rPr>
                <w:sz w:val="1"/>
                <w:szCs w:val="1"/>
                <w:color w:val="auto"/>
              </w:rPr>
            </w:pPr>
          </w:p>
        </w:tc>
      </w:tr>
      <w:tr>
        <w:trPr>
          <w:trHeight w:val="175"/>
        </w:trPr>
        <w:tc>
          <w:tcPr>
            <w:tcW w:w="30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APME</w:t>
            </w:r>
          </w:p>
        </w:tc>
        <w:tc>
          <w:tcPr>
            <w:tcW w:w="140" w:type="dxa"/>
            <w:vAlign w:val="bottom"/>
            <w:tcBorders>
              <w:bottom w:val="single" w:sz="8" w:color="auto"/>
            </w:tcBorders>
            <w:shd w:val="clear" w:color="auto" w:fill="CFF0FC"/>
          </w:tcPr>
          <w:p>
            <w:pPr>
              <w:spacing w:after="0"/>
              <w:rPr>
                <w:sz w:val="15"/>
                <w:szCs w:val="15"/>
                <w:color w:val="auto"/>
              </w:rPr>
            </w:pPr>
          </w:p>
        </w:tc>
        <w:tc>
          <w:tcPr>
            <w:tcW w:w="1100" w:type="dxa"/>
            <w:vAlign w:val="bottom"/>
            <w:tcBorders>
              <w:bottom w:val="single" w:sz="8" w:color="auto"/>
            </w:tcBorders>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1,053.4</w:t>
            </w:r>
          </w:p>
        </w:tc>
        <w:tc>
          <w:tcPr>
            <w:tcW w:w="280" w:type="dxa"/>
            <w:vAlign w:val="bottom"/>
            <w:tcBorders>
              <w:bottom w:val="single" w:sz="8" w:color="auto"/>
            </w:tcBorders>
            <w:shd w:val="clear" w:color="auto" w:fill="CFF0FC"/>
          </w:tcPr>
          <w:p>
            <w:pPr>
              <w:spacing w:after="0"/>
              <w:rPr>
                <w:sz w:val="15"/>
                <w:szCs w:val="15"/>
                <w:color w:val="auto"/>
              </w:rPr>
            </w:pPr>
          </w:p>
        </w:tc>
        <w:tc>
          <w:tcPr>
            <w:tcW w:w="1260" w:type="dxa"/>
            <w:vAlign w:val="bottom"/>
            <w:tcBorders>
              <w:bottom w:val="single" w:sz="8" w:color="auto"/>
            </w:tcBorders>
            <w:shd w:val="clear" w:color="auto" w:fill="CFF0FC"/>
          </w:tcPr>
          <w:p>
            <w:pPr>
              <w:jc w:val="right"/>
              <w:ind w:right="188"/>
              <w:spacing w:after="0"/>
              <w:rPr>
                <w:sz w:val="20"/>
                <w:szCs w:val="20"/>
                <w:color w:val="auto"/>
              </w:rPr>
            </w:pPr>
            <w:r>
              <w:rPr>
                <w:rFonts w:ascii="Times New Roman" w:cs="Times New Roman" w:eastAsia="Times New Roman" w:hAnsi="Times New Roman"/>
                <w:sz w:val="14"/>
                <w:szCs w:val="14"/>
                <w:color w:val="auto"/>
              </w:rPr>
              <w:t>23.1</w:t>
            </w:r>
          </w:p>
        </w:tc>
        <w:tc>
          <w:tcPr>
            <w:tcW w:w="260" w:type="dxa"/>
            <w:vAlign w:val="bottom"/>
            <w:tcBorders>
              <w:bottom w:val="single" w:sz="8" w:color="auto"/>
            </w:tcBorders>
            <w:shd w:val="clear" w:color="auto" w:fill="CFF0FC"/>
          </w:tcPr>
          <w:p>
            <w:pPr>
              <w:spacing w:after="0"/>
              <w:rPr>
                <w:sz w:val="15"/>
                <w:szCs w:val="15"/>
                <w:color w:val="auto"/>
              </w:rPr>
            </w:pPr>
          </w:p>
        </w:tc>
        <w:tc>
          <w:tcPr>
            <w:tcW w:w="1020" w:type="dxa"/>
            <w:vAlign w:val="bottom"/>
            <w:tcBorders>
              <w:bottom w:val="single" w:sz="8" w:color="auto"/>
            </w:tcBorders>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1,076.5</w:t>
            </w:r>
          </w:p>
        </w:tc>
        <w:tc>
          <w:tcPr>
            <w:tcW w:w="120" w:type="dxa"/>
            <w:vAlign w:val="bottom"/>
            <w:tcBorders>
              <w:bottom w:val="single" w:sz="8" w:color="CFF0FC"/>
            </w:tcBorders>
            <w:shd w:val="clear" w:color="auto" w:fill="CFF0FC"/>
          </w:tcPr>
          <w:p>
            <w:pPr>
              <w:spacing w:after="0"/>
              <w:rPr>
                <w:sz w:val="15"/>
                <w:szCs w:val="15"/>
                <w:color w:val="auto"/>
              </w:rPr>
            </w:pPr>
          </w:p>
        </w:tc>
        <w:tc>
          <w:tcPr>
            <w:tcW w:w="160" w:type="dxa"/>
            <w:vAlign w:val="bottom"/>
            <w:tcBorders>
              <w:bottom w:val="single" w:sz="8" w:color="auto"/>
            </w:tcBorders>
            <w:shd w:val="clear" w:color="auto" w:fill="CFF0FC"/>
          </w:tcPr>
          <w:p>
            <w:pPr>
              <w:spacing w:after="0"/>
              <w:rPr>
                <w:sz w:val="15"/>
                <w:szCs w:val="15"/>
                <w:color w:val="auto"/>
              </w:rPr>
            </w:pPr>
          </w:p>
        </w:tc>
        <w:tc>
          <w:tcPr>
            <w:tcW w:w="1100" w:type="dxa"/>
            <w:vAlign w:val="bottom"/>
            <w:tcBorders>
              <w:bottom w:val="single" w:sz="8" w:color="auto"/>
            </w:tcBorders>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1,163.0</w:t>
            </w:r>
          </w:p>
        </w:tc>
        <w:tc>
          <w:tcPr>
            <w:tcW w:w="280" w:type="dxa"/>
            <w:vAlign w:val="bottom"/>
            <w:tcBorders>
              <w:bottom w:val="single" w:sz="8" w:color="auto"/>
            </w:tcBorders>
            <w:shd w:val="clear" w:color="auto" w:fill="CFF0FC"/>
          </w:tcPr>
          <w:p>
            <w:pPr>
              <w:spacing w:after="0"/>
              <w:rPr>
                <w:sz w:val="15"/>
                <w:szCs w:val="15"/>
                <w:color w:val="auto"/>
              </w:rPr>
            </w:pPr>
          </w:p>
        </w:tc>
        <w:tc>
          <w:tcPr>
            <w:tcW w:w="1220" w:type="dxa"/>
            <w:vAlign w:val="bottom"/>
            <w:tcBorders>
              <w:bottom w:val="single" w:sz="8" w:color="auto"/>
            </w:tcBorders>
            <w:shd w:val="clear" w:color="auto" w:fill="CFF0FC"/>
          </w:tcPr>
          <w:p>
            <w:pPr>
              <w:jc w:val="right"/>
              <w:ind w:right="168"/>
              <w:spacing w:after="0"/>
              <w:rPr>
                <w:sz w:val="20"/>
                <w:szCs w:val="20"/>
                <w:color w:val="auto"/>
              </w:rPr>
            </w:pPr>
            <w:r>
              <w:rPr>
                <w:rFonts w:ascii="Times New Roman" w:cs="Times New Roman" w:eastAsia="Times New Roman" w:hAnsi="Times New Roman"/>
                <w:sz w:val="14"/>
                <w:szCs w:val="14"/>
                <w:color w:val="auto"/>
              </w:rPr>
              <w:t>42.3</w:t>
            </w:r>
          </w:p>
        </w:tc>
        <w:tc>
          <w:tcPr>
            <w:tcW w:w="260" w:type="dxa"/>
            <w:vAlign w:val="bottom"/>
            <w:tcBorders>
              <w:bottom w:val="single" w:sz="8" w:color="auto"/>
            </w:tcBorders>
            <w:shd w:val="clear" w:color="auto" w:fill="CFF0FC"/>
          </w:tcPr>
          <w:p>
            <w:pPr>
              <w:spacing w:after="0"/>
              <w:rPr>
                <w:sz w:val="15"/>
                <w:szCs w:val="15"/>
                <w:color w:val="auto"/>
              </w:rPr>
            </w:pPr>
          </w:p>
        </w:tc>
        <w:tc>
          <w:tcPr>
            <w:tcW w:w="1040" w:type="dxa"/>
            <w:vAlign w:val="bottom"/>
            <w:tcBorders>
              <w:bottom w:val="single" w:sz="8" w:color="auto"/>
            </w:tcBorders>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1,205.3</w:t>
            </w:r>
          </w:p>
        </w:tc>
        <w:tc>
          <w:tcPr>
            <w:tcW w:w="0" w:type="dxa"/>
            <w:vAlign w:val="bottom"/>
          </w:tcPr>
          <w:p>
            <w:pPr>
              <w:spacing w:after="0"/>
              <w:rPr>
                <w:sz w:val="1"/>
                <w:szCs w:val="1"/>
                <w:color w:val="auto"/>
              </w:rPr>
            </w:pPr>
          </w:p>
        </w:tc>
      </w:tr>
      <w:tr>
        <w:trPr>
          <w:trHeight w:val="169"/>
        </w:trPr>
        <w:tc>
          <w:tcPr>
            <w:tcW w:w="30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8,766.5</w:t>
            </w:r>
          </w:p>
        </w:tc>
        <w:tc>
          <w:tcPr>
            <w:tcW w:w="28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tcPr>
          <w:p>
            <w:pPr>
              <w:jc w:val="right"/>
              <w:ind w:right="188"/>
              <w:spacing w:after="0"/>
              <w:rPr>
                <w:sz w:val="20"/>
                <w:szCs w:val="20"/>
                <w:color w:val="auto"/>
              </w:rPr>
            </w:pPr>
            <w:r>
              <w:rPr>
                <w:rFonts w:ascii="Times New Roman" w:cs="Times New Roman" w:eastAsia="Times New Roman" w:hAnsi="Times New Roman"/>
                <w:sz w:val="14"/>
                <w:szCs w:val="14"/>
                <w:color w:val="auto"/>
              </w:rPr>
              <w:t>197.7</w:t>
            </w:r>
          </w:p>
        </w:tc>
        <w:tc>
          <w:tcPr>
            <w:tcW w:w="26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8,964.2</w:t>
            </w:r>
          </w:p>
        </w:tc>
        <w:tc>
          <w:tcPr>
            <w:tcW w:w="1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9,401.4</w:t>
            </w:r>
          </w:p>
        </w:tc>
        <w:tc>
          <w:tcPr>
            <w:tcW w:w="28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jc w:val="right"/>
              <w:ind w:right="168"/>
              <w:spacing w:after="0"/>
              <w:rPr>
                <w:sz w:val="20"/>
                <w:szCs w:val="20"/>
                <w:color w:val="auto"/>
              </w:rPr>
            </w:pPr>
            <w:r>
              <w:rPr>
                <w:rFonts w:ascii="Times New Roman" w:cs="Times New Roman" w:eastAsia="Times New Roman" w:hAnsi="Times New Roman"/>
                <w:sz w:val="14"/>
                <w:szCs w:val="14"/>
                <w:color w:val="auto"/>
              </w:rPr>
              <w:t>247.7</w:t>
            </w:r>
          </w:p>
        </w:tc>
        <w:tc>
          <w:tcPr>
            <w:tcW w:w="26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9,649.1</w:t>
            </w:r>
          </w:p>
        </w:tc>
        <w:tc>
          <w:tcPr>
            <w:tcW w:w="0" w:type="dxa"/>
            <w:vAlign w:val="bottom"/>
          </w:tcPr>
          <w:p>
            <w:pPr>
              <w:spacing w:after="0"/>
              <w:rPr>
                <w:sz w:val="1"/>
                <w:szCs w:val="1"/>
                <w:color w:val="auto"/>
              </w:rPr>
            </w:pPr>
          </w:p>
        </w:tc>
      </w:tr>
      <w:tr>
        <w:trPr>
          <w:trHeight w:val="169"/>
        </w:trPr>
        <w:tc>
          <w:tcPr>
            <w:tcW w:w="30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Intercompany Eliminations</w:t>
            </w:r>
          </w:p>
        </w:tc>
        <w:tc>
          <w:tcPr>
            <w:tcW w:w="140" w:type="dxa"/>
            <w:vAlign w:val="bottom"/>
            <w:tcBorders>
              <w:bottom w:val="single" w:sz="8" w:color="CFF0FC"/>
            </w:tcBorders>
            <w:shd w:val="clear" w:color="auto" w:fill="CFF0FC"/>
          </w:tcPr>
          <w:p>
            <w:pPr>
              <w:spacing w:after="0"/>
              <w:rPr>
                <w:sz w:val="14"/>
                <w:szCs w:val="14"/>
                <w:color w:val="auto"/>
              </w:rPr>
            </w:pPr>
          </w:p>
        </w:tc>
        <w:tc>
          <w:tcPr>
            <w:tcW w:w="1100" w:type="dxa"/>
            <w:vAlign w:val="bottom"/>
            <w:tcBorders>
              <w:bottom w:val="single" w:sz="8" w:color="CFF0FC"/>
            </w:tcBorders>
            <w:shd w:val="clear" w:color="auto" w:fill="CFF0FC"/>
          </w:tcPr>
          <w:p>
            <w:pPr>
              <w:spacing w:after="0"/>
              <w:rPr>
                <w:sz w:val="14"/>
                <w:szCs w:val="14"/>
                <w:color w:val="auto"/>
              </w:rPr>
            </w:pPr>
          </w:p>
        </w:tc>
        <w:tc>
          <w:tcPr>
            <w:tcW w:w="280" w:type="dxa"/>
            <w:vAlign w:val="bottom"/>
            <w:tcBorders>
              <w:bottom w:val="single" w:sz="8" w:color="CFF0FC"/>
            </w:tcBorders>
            <w:shd w:val="clear" w:color="auto" w:fill="CFF0FC"/>
          </w:tcPr>
          <w:p>
            <w:pPr>
              <w:spacing w:after="0"/>
              <w:rPr>
                <w:sz w:val="14"/>
                <w:szCs w:val="14"/>
                <w:color w:val="auto"/>
              </w:rPr>
            </w:pPr>
          </w:p>
        </w:tc>
        <w:tc>
          <w:tcPr>
            <w:tcW w:w="1260" w:type="dxa"/>
            <w:vAlign w:val="bottom"/>
            <w:tcBorders>
              <w:bottom w:val="single" w:sz="8" w:color="CFF0FC"/>
            </w:tcBorders>
            <w:shd w:val="clear" w:color="auto" w:fill="CFF0FC"/>
          </w:tcPr>
          <w:p>
            <w:pPr>
              <w:spacing w:after="0"/>
              <w:rPr>
                <w:sz w:val="14"/>
                <w:szCs w:val="14"/>
                <w:color w:val="auto"/>
              </w:rPr>
            </w:pPr>
          </w:p>
        </w:tc>
        <w:tc>
          <w:tcPr>
            <w:tcW w:w="260" w:type="dxa"/>
            <w:vAlign w:val="bottom"/>
            <w:tcBorders>
              <w:bottom w:val="single" w:sz="8" w:color="auto"/>
            </w:tcBorders>
            <w:shd w:val="clear" w:color="auto" w:fill="CFF0FC"/>
          </w:tcPr>
          <w:p>
            <w:pPr>
              <w:spacing w:after="0"/>
              <w:rPr>
                <w:sz w:val="14"/>
                <w:szCs w:val="14"/>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(40.2 )</w:t>
            </w:r>
          </w:p>
        </w:tc>
        <w:tc>
          <w:tcPr>
            <w:tcW w:w="120" w:type="dxa"/>
            <w:vAlign w:val="bottom"/>
            <w:tcBorders>
              <w:bottom w:val="single" w:sz="8" w:color="CFF0FC"/>
            </w:tcBorders>
            <w:shd w:val="clear" w:color="auto" w:fill="CFF0FC"/>
          </w:tcPr>
          <w:p>
            <w:pPr>
              <w:spacing w:after="0"/>
              <w:rPr>
                <w:sz w:val="14"/>
                <w:szCs w:val="14"/>
                <w:color w:val="auto"/>
              </w:rPr>
            </w:pPr>
          </w:p>
        </w:tc>
        <w:tc>
          <w:tcPr>
            <w:tcW w:w="160" w:type="dxa"/>
            <w:vAlign w:val="bottom"/>
            <w:tcBorders>
              <w:bottom w:val="single" w:sz="8" w:color="CFF0FC"/>
            </w:tcBorders>
            <w:shd w:val="clear" w:color="auto" w:fill="CFF0FC"/>
          </w:tcPr>
          <w:p>
            <w:pPr>
              <w:spacing w:after="0"/>
              <w:rPr>
                <w:sz w:val="14"/>
                <w:szCs w:val="14"/>
                <w:color w:val="auto"/>
              </w:rPr>
            </w:pPr>
          </w:p>
        </w:tc>
        <w:tc>
          <w:tcPr>
            <w:tcW w:w="1100" w:type="dxa"/>
            <w:vAlign w:val="bottom"/>
            <w:tcBorders>
              <w:bottom w:val="single" w:sz="8" w:color="CFF0FC"/>
            </w:tcBorders>
            <w:shd w:val="clear" w:color="auto" w:fill="CFF0FC"/>
          </w:tcPr>
          <w:p>
            <w:pPr>
              <w:spacing w:after="0"/>
              <w:rPr>
                <w:sz w:val="14"/>
                <w:szCs w:val="14"/>
                <w:color w:val="auto"/>
              </w:rPr>
            </w:pPr>
          </w:p>
        </w:tc>
        <w:tc>
          <w:tcPr>
            <w:tcW w:w="280" w:type="dxa"/>
            <w:vAlign w:val="bottom"/>
            <w:tcBorders>
              <w:bottom w:val="single" w:sz="8" w:color="CFF0FC"/>
            </w:tcBorders>
            <w:shd w:val="clear" w:color="auto" w:fill="CFF0FC"/>
          </w:tcPr>
          <w:p>
            <w:pPr>
              <w:spacing w:after="0"/>
              <w:rPr>
                <w:sz w:val="14"/>
                <w:szCs w:val="14"/>
                <w:color w:val="auto"/>
              </w:rPr>
            </w:pPr>
          </w:p>
        </w:tc>
        <w:tc>
          <w:tcPr>
            <w:tcW w:w="1220" w:type="dxa"/>
            <w:vAlign w:val="bottom"/>
            <w:tcBorders>
              <w:bottom w:val="single" w:sz="8" w:color="CFF0FC"/>
            </w:tcBorders>
            <w:shd w:val="clear" w:color="auto" w:fill="CFF0FC"/>
          </w:tcPr>
          <w:p>
            <w:pPr>
              <w:spacing w:after="0"/>
              <w:rPr>
                <w:sz w:val="14"/>
                <w:szCs w:val="14"/>
                <w:color w:val="auto"/>
              </w:rPr>
            </w:pPr>
          </w:p>
        </w:tc>
        <w:tc>
          <w:tcPr>
            <w:tcW w:w="260" w:type="dxa"/>
            <w:vAlign w:val="bottom"/>
            <w:tcBorders>
              <w:bottom w:val="single" w:sz="8" w:color="auto"/>
            </w:tcBorders>
            <w:shd w:val="clear" w:color="auto" w:fill="CFF0FC"/>
          </w:tcPr>
          <w:p>
            <w:pPr>
              <w:spacing w:after="0"/>
              <w:rPr>
                <w:sz w:val="14"/>
                <w:szCs w:val="14"/>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(40.7 )</w:t>
            </w:r>
          </w:p>
        </w:tc>
        <w:tc>
          <w:tcPr>
            <w:tcW w:w="0" w:type="dxa"/>
            <w:vAlign w:val="bottom"/>
          </w:tcPr>
          <w:p>
            <w:pPr>
              <w:spacing w:after="0"/>
              <w:rPr>
                <w:sz w:val="1"/>
                <w:szCs w:val="1"/>
                <w:color w:val="auto"/>
              </w:rPr>
            </w:pPr>
          </w:p>
        </w:tc>
      </w:tr>
      <w:tr>
        <w:trPr>
          <w:trHeight w:val="169"/>
        </w:trPr>
        <w:tc>
          <w:tcPr>
            <w:tcW w:w="30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Total</w:t>
            </w:r>
          </w:p>
        </w:tc>
        <w:tc>
          <w:tcPr>
            <w:tcW w:w="1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260" w:type="dxa"/>
            <w:vAlign w:val="bottom"/>
            <w:tcBorders>
              <w:bottom w:val="single" w:sz="8" w:color="auto"/>
            </w:tcBorders>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8,924.0</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260" w:type="dxa"/>
            <w:vAlign w:val="bottom"/>
            <w:tcBorders>
              <w:bottom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9,608.4</w:t>
            </w:r>
          </w:p>
        </w:tc>
        <w:tc>
          <w:tcPr>
            <w:tcW w:w="0" w:type="dxa"/>
            <w:vAlign w:val="bottom"/>
          </w:tcPr>
          <w:p>
            <w:pPr>
              <w:spacing w:after="0"/>
              <w:rPr>
                <w:sz w:val="1"/>
                <w:szCs w:val="1"/>
                <w:color w:val="auto"/>
              </w:rPr>
            </w:pPr>
          </w:p>
        </w:tc>
      </w:tr>
      <w:tr>
        <w:trPr>
          <w:trHeight w:val="20"/>
        </w:trPr>
        <w:tc>
          <w:tcPr>
            <w:tcW w:w="30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4488180</wp:posOffset>
            </wp:positionH>
            <wp:positionV relativeFrom="paragraph">
              <wp:posOffset>-1310640</wp:posOffset>
            </wp:positionV>
            <wp:extent cx="68580"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4488180</wp:posOffset>
            </wp:positionH>
            <wp:positionV relativeFrom="paragraph">
              <wp:posOffset>-616585</wp:posOffset>
            </wp:positionV>
            <wp:extent cx="68580"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4488180</wp:posOffset>
            </wp:positionH>
            <wp:positionV relativeFrom="paragraph">
              <wp:posOffset>-385445</wp:posOffset>
            </wp:positionV>
            <wp:extent cx="68580"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4488180</wp:posOffset>
            </wp:positionH>
            <wp:positionV relativeFrom="paragraph">
              <wp:posOffset>-145415</wp:posOffset>
            </wp:positionV>
            <wp:extent cx="68580"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ind w:left="520" w:right="460" w:hanging="512"/>
        <w:spacing w:after="0" w:line="280" w:lineRule="auto"/>
        <w:tabs>
          <w:tab w:leader="none" w:pos="520" w:val="left"/>
        </w:tabs>
        <w:numPr>
          <w:ilvl w:val="0"/>
          <w:numId w:val="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Effective January 1, 2024, our segment reporting was realigned to include our Puerto Rico business within Other Americas. Accordingly, United States is now adjusted to exclude Puerto Rico. All previously reported results have been restated to conform to the current year presentation.</w:t>
      </w:r>
    </w:p>
    <w:p>
      <w:pPr>
        <w:spacing w:after="0" w:line="156" w:lineRule="exact"/>
        <w:rPr>
          <w:sz w:val="20"/>
          <w:szCs w:val="20"/>
          <w:color w:val="auto"/>
        </w:rPr>
      </w:pPr>
    </w:p>
    <w:p>
      <w:pPr>
        <w:ind w:left="260" w:hanging="252"/>
        <w:spacing w:after="0"/>
        <w:tabs>
          <w:tab w:leader="none" w:pos="260" w:val="left"/>
        </w:tabs>
        <w:numPr>
          <w:ilvl w:val="0"/>
          <w:numId w:val="1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Share-Based Compensation Plans</w:t>
      </w:r>
    </w:p>
    <w:p>
      <w:pPr>
        <w:spacing w:after="0" w:line="229" w:lineRule="exact"/>
        <w:rPr>
          <w:sz w:val="20"/>
          <w:szCs w:val="20"/>
          <w:color w:val="auto"/>
        </w:rPr>
      </w:pPr>
    </w:p>
    <w:p>
      <w:pPr>
        <w:ind w:right="200"/>
        <w:spacing w:after="0" w:line="281" w:lineRule="auto"/>
        <w:rPr>
          <w:sz w:val="20"/>
          <w:szCs w:val="20"/>
          <w:color w:val="auto"/>
        </w:rPr>
      </w:pPr>
      <w:r>
        <w:rPr>
          <w:rFonts w:ascii="Times New Roman" w:cs="Times New Roman" w:eastAsia="Times New Roman" w:hAnsi="Times New Roman"/>
          <w:sz w:val="17"/>
          <w:szCs w:val="17"/>
          <w:color w:val="auto"/>
        </w:rPr>
        <w:t>During the three months ended June 30, 2024 and 2023, we recognized share-based compensation expense of $7.5 and $6.9, respectively, and $15.0 and $12.0 for the six months ended June 30, 2024 and 2023, respectively. The expense relates to stock options, deferred stock units, restricted stock units and performance share units. We recognize share-based compensation expense in selling and administrative expenses on a straight-line basis over the service period of each award. Consideration received from share-based awards was $0.7 and $1.7 for the six months ended June 30, 2024 and 2023, respectively.</w:t>
      </w:r>
    </w:p>
    <w:p>
      <w:pPr>
        <w:spacing w:after="0" w:line="160" w:lineRule="exact"/>
        <w:rPr>
          <w:sz w:val="20"/>
          <w:szCs w:val="20"/>
          <w:color w:val="auto"/>
        </w:rPr>
      </w:pPr>
    </w:p>
    <w:p>
      <w:pPr>
        <w:ind w:left="260" w:hanging="252"/>
        <w:spacing w:after="0"/>
        <w:tabs>
          <w:tab w:leader="none" w:pos="260" w:val="left"/>
        </w:tabs>
        <w:numPr>
          <w:ilvl w:val="0"/>
          <w:numId w:val="1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Acquisitions and Dispositions</w:t>
      </w:r>
    </w:p>
    <w:p>
      <w:pPr>
        <w:spacing w:after="0" w:line="229"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18"/>
          <w:szCs w:val="18"/>
          <w:color w:val="auto"/>
        </w:rPr>
        <w:t>From time to time, we acquire and invest in companies throughout the world, including franchises. For the six months ended June 30, 2024, total cash consideration paid for acquisitions, net of cash acquired, was $2.8, which represents a contingent consideration payment related to a previous acquisition. No cash consideration was paid during the six months ended June 30, 2023.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11" w:name="page12"/>
    <w:bookmarkEnd w:id="11"/>
    <w:p>
      <w:pPr>
        <w:ind w:left="260" w:hanging="252"/>
        <w:spacing w:after="0"/>
        <w:tabs>
          <w:tab w:leader="none" w:pos="260" w:val="left"/>
        </w:tabs>
        <w:numPr>
          <w:ilvl w:val="0"/>
          <w:numId w:val="1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Restructuring Costs</w:t>
      </w:r>
    </w:p>
    <w:p>
      <w:pPr>
        <w:spacing w:after="0" w:line="229" w:lineRule="exact"/>
        <w:rPr>
          <w:sz w:val="20"/>
          <w:szCs w:val="20"/>
          <w:color w:val="auto"/>
        </w:rPr>
      </w:pPr>
    </w:p>
    <w:p>
      <w:pPr>
        <w:jc w:val="both"/>
        <w:ind w:right="120"/>
        <w:spacing w:after="0" w:line="261" w:lineRule="auto"/>
        <w:rPr>
          <w:sz w:val="20"/>
          <w:szCs w:val="20"/>
          <w:color w:val="auto"/>
        </w:rPr>
      </w:pPr>
      <w:r>
        <w:rPr>
          <w:rFonts w:ascii="Times New Roman" w:cs="Times New Roman" w:eastAsia="Times New Roman" w:hAnsi="Times New Roman"/>
          <w:sz w:val="18"/>
          <w:szCs w:val="18"/>
          <w:color w:val="auto"/>
        </w:rPr>
        <w:t>During the six months ended June 30, 2024, we did not record any restructuring costs. During the six months ended June 30, 2023, we recorded $21.1 in restructuring costs. During the six months ended June 30, 2024, we made payments of $51.0 out of our restructuring reserve, which is used for severance, office closures and consolidations, and professional and other fees related to restructuring in multiple countries and territories. We expect a majority of the remaining $39.0 reserve will be paid by the end of 2024.</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Changes in the restructuring reserve by reportable segment and Corporate are shown below:</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7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0" w:type="dxa"/>
            <w:vAlign w:val="bottom"/>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Southern</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Northern</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272"/>
        </w:trPr>
        <w:tc>
          <w:tcPr>
            <w:tcW w:w="3760" w:type="dxa"/>
            <w:vAlign w:val="bottom"/>
          </w:tcPr>
          <w:p>
            <w:pPr>
              <w:spacing w:after="0"/>
              <w:rPr>
                <w:sz w:val="23"/>
                <w:szCs w:val="23"/>
                <w:color w:val="auto"/>
              </w:rPr>
            </w:pPr>
          </w:p>
        </w:tc>
        <w:tc>
          <w:tcPr>
            <w:tcW w:w="1180" w:type="dxa"/>
            <w:vAlign w:val="bottom"/>
            <w:tcBorders>
              <w:bottom w:val="single" w:sz="8" w:color="auto"/>
            </w:tcBorders>
            <w:gridSpan w:val="2"/>
          </w:tcPr>
          <w:p>
            <w:pPr>
              <w:jc w:val="right"/>
              <w:ind w:right="130"/>
              <w:spacing w:after="0" w:line="272" w:lineRule="exact"/>
              <w:rPr>
                <w:sz w:val="20"/>
                <w:szCs w:val="20"/>
                <w:color w:val="auto"/>
              </w:rPr>
            </w:pPr>
            <w:r>
              <w:rPr>
                <w:rFonts w:ascii="Times New Roman" w:cs="Times New Roman" w:eastAsia="Times New Roman" w:hAnsi="Times New Roman"/>
                <w:sz w:val="18"/>
                <w:szCs w:val="18"/>
                <w:b w:val="1"/>
                <w:bCs w:val="1"/>
                <w:color w:val="auto"/>
              </w:rPr>
              <w:t>Americas</w:t>
            </w:r>
            <w:r>
              <w:rPr>
                <w:rFonts w:ascii="Times New Roman" w:cs="Times New Roman" w:eastAsia="Times New Roman" w:hAnsi="Times New Roman"/>
                <w:sz w:val="24"/>
                <w:szCs w:val="24"/>
                <w:b w:val="1"/>
                <w:bCs w:val="1"/>
                <w:color w:val="auto"/>
                <w:vertAlign w:val="superscript"/>
              </w:rPr>
              <w:t>(a)</w:t>
            </w:r>
          </w:p>
        </w:tc>
        <w:tc>
          <w:tcPr>
            <w:tcW w:w="120" w:type="dxa"/>
            <w:vAlign w:val="bottom"/>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1040" w:type="dxa"/>
            <w:vAlign w:val="bottom"/>
            <w:tcBorders>
              <w:bottom w:val="single" w:sz="8" w:color="auto"/>
            </w:tcBorders>
          </w:tcPr>
          <w:p>
            <w:pPr>
              <w:jc w:val="right"/>
              <w:ind w:right="210"/>
              <w:spacing w:after="0" w:line="272" w:lineRule="exact"/>
              <w:rPr>
                <w:sz w:val="20"/>
                <w:szCs w:val="20"/>
                <w:color w:val="auto"/>
              </w:rPr>
            </w:pPr>
            <w:r>
              <w:rPr>
                <w:rFonts w:ascii="Times New Roman" w:cs="Times New Roman" w:eastAsia="Times New Roman" w:hAnsi="Times New Roman"/>
                <w:sz w:val="18"/>
                <w:szCs w:val="18"/>
                <w:b w:val="1"/>
                <w:bCs w:val="1"/>
                <w:color w:val="auto"/>
                <w:w w:val="93"/>
              </w:rPr>
              <w:t>Europe</w:t>
            </w:r>
            <w:r>
              <w:rPr>
                <w:rFonts w:ascii="Times New Roman" w:cs="Times New Roman" w:eastAsia="Times New Roman" w:hAnsi="Times New Roman"/>
                <w:sz w:val="24"/>
                <w:szCs w:val="24"/>
                <w:b w:val="1"/>
                <w:bCs w:val="1"/>
                <w:color w:val="auto"/>
                <w:w w:val="93"/>
                <w:vertAlign w:val="superscript"/>
              </w:rPr>
              <w:t>(b)</w:t>
            </w:r>
          </w:p>
        </w:tc>
        <w:tc>
          <w:tcPr>
            <w:tcW w:w="100" w:type="dxa"/>
            <w:vAlign w:val="bottom"/>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102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Europe</w:t>
            </w:r>
          </w:p>
        </w:tc>
        <w:tc>
          <w:tcPr>
            <w:tcW w:w="100" w:type="dxa"/>
            <w:vAlign w:val="bottom"/>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96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APME</w:t>
            </w:r>
          </w:p>
        </w:tc>
        <w:tc>
          <w:tcPr>
            <w:tcW w:w="100" w:type="dxa"/>
            <w:vAlign w:val="bottom"/>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10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Corporate</w:t>
            </w:r>
          </w:p>
        </w:tc>
        <w:tc>
          <w:tcPr>
            <w:tcW w:w="100" w:type="dxa"/>
            <w:vAlign w:val="bottom"/>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96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37"/>
        </w:trPr>
        <w:tc>
          <w:tcPr>
            <w:tcW w:w="37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Balance, December 31, 2023</w:t>
            </w:r>
          </w:p>
        </w:tc>
        <w:tc>
          <w:tcPr>
            <w:tcW w:w="440" w:type="dxa"/>
            <w:vAlign w:val="bottom"/>
            <w:shd w:val="clear" w:color="auto" w:fill="CFF0FC"/>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4.8</w:t>
            </w:r>
          </w:p>
        </w:tc>
        <w:tc>
          <w:tcPr>
            <w:tcW w:w="2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5.9</w:t>
            </w:r>
          </w:p>
        </w:tc>
        <w:tc>
          <w:tcPr>
            <w:tcW w:w="2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78.9</w:t>
            </w:r>
          </w:p>
        </w:tc>
        <w:tc>
          <w:tcPr>
            <w:tcW w:w="2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0.4</w:t>
            </w:r>
          </w:p>
        </w:tc>
        <w:tc>
          <w:tcPr>
            <w:tcW w:w="2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FF0FC"/>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gridSpan w:val="2"/>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90.0</w:t>
            </w:r>
          </w:p>
        </w:tc>
      </w:tr>
      <w:tr>
        <w:trPr>
          <w:trHeight w:val="239"/>
        </w:trPr>
        <w:tc>
          <w:tcPr>
            <w:tcW w:w="37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Costs paid</w:t>
            </w:r>
          </w:p>
        </w:tc>
        <w:tc>
          <w:tcPr>
            <w:tcW w:w="44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(3.2 )</w:t>
            </w:r>
          </w:p>
        </w:tc>
        <w:tc>
          <w:tcPr>
            <w:tcW w:w="1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(4.4 )</w:t>
            </w:r>
          </w:p>
        </w:tc>
        <w:tc>
          <w:tcPr>
            <w:tcW w:w="1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(43.2 )</w:t>
            </w:r>
          </w:p>
        </w:tc>
        <w:tc>
          <w:tcPr>
            <w:tcW w:w="1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(0.2 )</w:t>
            </w:r>
          </w:p>
        </w:tc>
        <w:tc>
          <w:tcPr>
            <w:tcW w:w="1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(51.0 )</w:t>
            </w:r>
          </w:p>
        </w:tc>
      </w:tr>
      <w:tr>
        <w:trPr>
          <w:trHeight w:val="276"/>
        </w:trPr>
        <w:tc>
          <w:tcPr>
            <w:tcW w:w="37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Balance, June 30, 2024</w:t>
            </w:r>
          </w:p>
        </w:tc>
        <w:tc>
          <w:tcPr>
            <w:tcW w:w="440" w:type="dxa"/>
            <w:vAlign w:val="bottom"/>
            <w:tcBorders>
              <w:bottom w:val="single" w:sz="8" w:color="auto"/>
            </w:tcBorders>
            <w:shd w:val="clear" w:color="auto" w:fill="CFF0FC"/>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1.6</w:t>
            </w:r>
          </w:p>
        </w:tc>
        <w:tc>
          <w:tcPr>
            <w:tcW w:w="120" w:type="dxa"/>
            <w:vAlign w:val="bottom"/>
            <w:tcBorders>
              <w:bottom w:val="single" w:sz="8" w:color="CFF0FC"/>
            </w:tcBorders>
            <w:shd w:val="clear" w:color="auto" w:fill="CFF0FC"/>
          </w:tcPr>
          <w:p>
            <w:pPr>
              <w:spacing w:after="0"/>
              <w:rPr>
                <w:sz w:val="24"/>
                <w:szCs w:val="24"/>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1.5</w:t>
            </w:r>
          </w:p>
        </w:tc>
        <w:tc>
          <w:tcPr>
            <w:tcW w:w="100" w:type="dxa"/>
            <w:vAlign w:val="bottom"/>
            <w:tcBorders>
              <w:bottom w:val="single" w:sz="8" w:color="CFF0FC"/>
            </w:tcBorders>
            <w:shd w:val="clear" w:color="auto" w:fill="CFF0FC"/>
          </w:tcPr>
          <w:p>
            <w:pPr>
              <w:spacing w:after="0"/>
              <w:rPr>
                <w:sz w:val="24"/>
                <w:szCs w:val="24"/>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35.7</w:t>
            </w:r>
          </w:p>
        </w:tc>
        <w:tc>
          <w:tcPr>
            <w:tcW w:w="100" w:type="dxa"/>
            <w:vAlign w:val="bottom"/>
            <w:tcBorders>
              <w:bottom w:val="single" w:sz="8" w:color="CFF0FC"/>
            </w:tcBorders>
            <w:shd w:val="clear" w:color="auto" w:fill="CFF0FC"/>
          </w:tcPr>
          <w:p>
            <w:pPr>
              <w:spacing w:after="0"/>
              <w:rPr>
                <w:sz w:val="24"/>
                <w:szCs w:val="24"/>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0.2</w:t>
            </w:r>
          </w:p>
        </w:tc>
        <w:tc>
          <w:tcPr>
            <w:tcW w:w="100" w:type="dxa"/>
            <w:vAlign w:val="bottom"/>
            <w:tcBorders>
              <w:bottom w:val="single" w:sz="8" w:color="CFF0FC"/>
            </w:tcBorders>
            <w:shd w:val="clear" w:color="auto" w:fill="CFF0FC"/>
          </w:tcPr>
          <w:p>
            <w:pPr>
              <w:spacing w:after="0"/>
              <w:rPr>
                <w:sz w:val="24"/>
                <w:szCs w:val="24"/>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FF0FC"/>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FF0FC"/>
            </w:tcBorders>
            <w:shd w:val="clear" w:color="auto" w:fill="CFF0FC"/>
          </w:tcPr>
          <w:p>
            <w:pPr>
              <w:spacing w:after="0"/>
              <w:rPr>
                <w:sz w:val="24"/>
                <w:szCs w:val="24"/>
                <w:color w:val="auto"/>
              </w:rPr>
            </w:pPr>
          </w:p>
        </w:tc>
        <w:tc>
          <w:tcPr>
            <w:tcW w:w="22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39.0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3133725</wp:posOffset>
            </wp:positionH>
            <wp:positionV relativeFrom="paragraph">
              <wp:posOffset>-25400</wp:posOffset>
            </wp:positionV>
            <wp:extent cx="77470"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3133725</wp:posOffset>
            </wp:positionH>
            <wp:positionV relativeFrom="paragraph">
              <wp:posOffset>-7620</wp:posOffset>
            </wp:positionV>
            <wp:extent cx="77470"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3956685</wp:posOffset>
            </wp:positionH>
            <wp:positionV relativeFrom="paragraph">
              <wp:posOffset>-25400</wp:posOffset>
            </wp:positionV>
            <wp:extent cx="68580"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3956685</wp:posOffset>
            </wp:positionH>
            <wp:positionV relativeFrom="paragraph">
              <wp:posOffset>-7620</wp:posOffset>
            </wp:positionV>
            <wp:extent cx="68580"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4745355</wp:posOffset>
            </wp:positionH>
            <wp:positionV relativeFrom="paragraph">
              <wp:posOffset>-25400</wp:posOffset>
            </wp:positionV>
            <wp:extent cx="68580"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4745355</wp:posOffset>
            </wp:positionH>
            <wp:positionV relativeFrom="paragraph">
              <wp:posOffset>-7620</wp:posOffset>
            </wp:positionV>
            <wp:extent cx="68580"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5534025</wp:posOffset>
            </wp:positionH>
            <wp:positionV relativeFrom="paragraph">
              <wp:posOffset>-25400</wp:posOffset>
            </wp:positionV>
            <wp:extent cx="68580"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5534025</wp:posOffset>
            </wp:positionH>
            <wp:positionV relativeFrom="paragraph">
              <wp:posOffset>-7620</wp:posOffset>
            </wp:positionV>
            <wp:extent cx="68580"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6322695</wp:posOffset>
            </wp:positionH>
            <wp:positionV relativeFrom="paragraph">
              <wp:posOffset>-25400</wp:posOffset>
            </wp:positionV>
            <wp:extent cx="68580"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6322695</wp:posOffset>
            </wp:positionH>
            <wp:positionV relativeFrom="paragraph">
              <wp:posOffset>-7620</wp:posOffset>
            </wp:positionV>
            <wp:extent cx="68580"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ind w:left="520" w:hanging="512"/>
        <w:spacing w:after="0"/>
        <w:tabs>
          <w:tab w:leader="none" w:pos="520" w:val="left"/>
        </w:tabs>
        <w:numPr>
          <w:ilvl w:val="0"/>
          <w:numId w:val="1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Balances related to the United States were $3.7 and $0.9 as of December 31, 2023 and June 30, 2024, respectively.</w:t>
      </w:r>
    </w:p>
    <w:p>
      <w:pPr>
        <w:spacing w:after="0" w:line="12" w:lineRule="exact"/>
        <w:rPr>
          <w:rFonts w:ascii="Times New Roman" w:cs="Times New Roman" w:eastAsia="Times New Roman" w:hAnsi="Times New Roman"/>
          <w:sz w:val="16"/>
          <w:szCs w:val="16"/>
          <w:color w:val="auto"/>
        </w:rPr>
      </w:pPr>
    </w:p>
    <w:p>
      <w:pPr>
        <w:ind w:right="100" w:firstLine="8"/>
        <w:spacing w:after="0" w:line="288" w:lineRule="auto"/>
        <w:tabs>
          <w:tab w:leader="none" w:pos="509" w:val="left"/>
        </w:tabs>
        <w:numPr>
          <w:ilvl w:val="0"/>
          <w:numId w:val="1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Balances related to France were $2.5 and 0.7 as of December 31, 2023 and June 30, 2024, respectively. Balances related to Italy were $1.0 and $0.5 as of December 31, 2023 and June 30, 2024, respectively.</w:t>
      </w:r>
    </w:p>
    <w:p>
      <w:pPr>
        <w:spacing w:after="0" w:line="352" w:lineRule="exact"/>
        <w:rPr>
          <w:sz w:val="20"/>
          <w:szCs w:val="20"/>
          <w:color w:val="auto"/>
        </w:rPr>
      </w:pPr>
    </w:p>
    <w:p>
      <w:pPr>
        <w:ind w:left="260" w:hanging="252"/>
        <w:spacing w:after="0"/>
        <w:tabs>
          <w:tab w:leader="none" w:pos="260" w:val="left"/>
        </w:tabs>
        <w:numPr>
          <w:ilvl w:val="0"/>
          <w:numId w:val="1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Income Taxes</w:t>
      </w:r>
    </w:p>
    <w:p>
      <w:pPr>
        <w:spacing w:after="0" w:line="229"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8"/>
          <w:szCs w:val="18"/>
          <w:color w:val="auto"/>
        </w:rPr>
        <w:t>We recorded income tax expense at an effective rate of 34.9% for the three months ended June 30, 2024, as compared to an effective rate of 31.9% for the three months ended June 30, 2023. The 2024 rate was unfavorably impacted by the lower level and overall mix of earnings and partially offset by the scheduled reduction in the French business tax rate from 0.38% to 0.28% effective January 1, 2024. The 34.9% effective tax rate for the second quarter of 2024 was higher than the United States Federal statutory rate of 21% primarily due to the French business tax, tax losses in certain countries for which we did not recognize a corresponding tax benefit due to valuation allowances, and the overall mix of earnings.</w:t>
      </w:r>
    </w:p>
    <w:p>
      <w:pPr>
        <w:spacing w:after="0" w:line="183" w:lineRule="exact"/>
        <w:rPr>
          <w:sz w:val="20"/>
          <w:szCs w:val="20"/>
          <w:color w:val="auto"/>
        </w:rPr>
      </w:pPr>
    </w:p>
    <w:p>
      <w:pPr>
        <w:jc w:val="both"/>
        <w:ind w:right="40"/>
        <w:spacing w:after="0" w:line="258" w:lineRule="auto"/>
        <w:rPr>
          <w:sz w:val="20"/>
          <w:szCs w:val="20"/>
          <w:color w:val="auto"/>
        </w:rPr>
      </w:pPr>
      <w:r>
        <w:rPr>
          <w:rFonts w:ascii="Times New Roman" w:cs="Times New Roman" w:eastAsia="Times New Roman" w:hAnsi="Times New Roman"/>
          <w:sz w:val="18"/>
          <w:szCs w:val="18"/>
          <w:color w:val="auto"/>
        </w:rPr>
        <w:t>We recorded income tax expense at an effective rate of 33.4% for the six months ended June 30, 2024, as compared to an effective rate of 30.6% for the six months ended June 30, 2023. The 2024 rate was unfavorably impacted by the lower level and overall mix of earnings and partially offset by the scheduled reduction in the French business tax rate from 0.38% to 0.28% effective January 1, 2024. The 33.4% effective tax rate for the first half of 2024 was higher than the United States Federal statutory rate of 21% primarily due to the French business tax, tax losses in certain countries for which we did not recognize a corresponding tax benefit due to valuation allowances, and the overall mix of earnings.</w:t>
      </w:r>
    </w:p>
    <w:p>
      <w:pPr>
        <w:spacing w:after="0" w:line="183"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We had gross unrecognized tax benefits related to various tax jurisdictions, including interest and penalties, of $35.2 as of June 30, 2024. If recognized, the entire amount would favorably affect the effective tax rate except for $6.0. As of December 31, 2023, we had gross unrecognized tax benefits related to various tax jurisdictions, including interest and penalties, of $32.8.</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conduct business globally in various countries and territories. We are routinely audited by the tax authorities of the various tax jurisdictions in which we operate. Generally, the tax years that could be subject to examination are 2017 through 2024 for our major operations in France, Italy, the United Kingdom and the United States. As of June 30, 2024, we were subject to tax audits in Australia, Austria, France, Germany, India, Israel, Spain and the United States. We believe that the resolution of these audits will not have a material impact on earnings.</w:t>
      </w:r>
    </w:p>
    <w:p>
      <w:pPr>
        <w:spacing w:after="0" w:line="176" w:lineRule="exact"/>
        <w:rPr>
          <w:sz w:val="20"/>
          <w:szCs w:val="20"/>
          <w:color w:val="auto"/>
        </w:rPr>
      </w:pPr>
    </w:p>
    <w:p>
      <w:pPr>
        <w:ind w:left="260" w:hanging="252"/>
        <w:spacing w:after="0"/>
        <w:tabs>
          <w:tab w:leader="none" w:pos="260" w:val="left"/>
        </w:tabs>
        <w:numPr>
          <w:ilvl w:val="0"/>
          <w:numId w:val="1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Net Earnings Per Share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calculations of net earnings per share - basic and net earnings per share - diluted were as follows:</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9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180" w:type="dxa"/>
            <w:vAlign w:val="bottom"/>
            <w:gridSpan w:val="4"/>
          </w:tcPr>
          <w:p>
            <w:pPr>
              <w:jc w:val="right"/>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380" w:type="dxa"/>
            <w:vAlign w:val="bottom"/>
            <w:gridSpan w:val="4"/>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Six Months Ended</w:t>
            </w:r>
          </w:p>
        </w:tc>
      </w:tr>
      <w:tr>
        <w:trPr>
          <w:trHeight w:val="245"/>
        </w:trPr>
        <w:tc>
          <w:tcPr>
            <w:tcW w:w="49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800" w:type="dxa"/>
            <w:vAlign w:val="bottom"/>
            <w:tcBorders>
              <w:bottom w:val="single" w:sz="8" w:color="auto"/>
            </w:tcBorders>
          </w:tcPr>
          <w:p>
            <w:pPr>
              <w:spacing w:after="0"/>
              <w:rPr>
                <w:sz w:val="21"/>
                <w:szCs w:val="21"/>
                <w:color w:val="auto"/>
              </w:rPr>
            </w:pPr>
          </w:p>
        </w:tc>
        <w:tc>
          <w:tcPr>
            <w:tcW w:w="1380" w:type="dxa"/>
            <w:vAlign w:val="bottom"/>
            <w:tcBorders>
              <w:bottom w:val="single" w:sz="8" w:color="auto"/>
            </w:tcBorders>
            <w:gridSpan w:val="3"/>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48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420" w:type="dxa"/>
            <w:vAlign w:val="bottom"/>
            <w:tcBorders>
              <w:bottom w:val="single" w:sz="8" w:color="auto"/>
            </w:tcBorders>
            <w:gridSpan w:val="3"/>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960" w:type="dxa"/>
            <w:vAlign w:val="bottom"/>
            <w:tcBorders>
              <w:bottom w:val="single" w:sz="8" w:color="auto"/>
            </w:tcBorders>
          </w:tcPr>
          <w:p>
            <w:pPr>
              <w:spacing w:after="0"/>
              <w:rPr>
                <w:sz w:val="21"/>
                <w:szCs w:val="21"/>
                <w:color w:val="auto"/>
              </w:rPr>
            </w:pPr>
          </w:p>
        </w:tc>
      </w:tr>
      <w:tr>
        <w:trPr>
          <w:trHeight w:val="241"/>
        </w:trPr>
        <w:tc>
          <w:tcPr>
            <w:tcW w:w="49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480" w:type="dxa"/>
            <w:vAlign w:val="bottom"/>
            <w:tcBorders>
              <w:bottom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2023</w:t>
            </w:r>
          </w:p>
        </w:tc>
        <w:tc>
          <w:tcPr>
            <w:tcW w:w="4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2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75"/>
        </w:trPr>
        <w:tc>
          <w:tcPr>
            <w:tcW w:w="49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earnings available to common shareholders</w:t>
            </w:r>
          </w:p>
        </w:tc>
        <w:tc>
          <w:tcPr>
            <w:tcW w:w="1740" w:type="dxa"/>
            <w:vAlign w:val="bottom"/>
            <w:gridSpan w:val="2"/>
            <w:shd w:val="clear" w:color="auto" w:fill="CFF0FC"/>
          </w:tcPr>
          <w:p>
            <w:pPr>
              <w:jc w:val="right"/>
              <w:ind w:right="59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60.1</w:t>
            </w:r>
          </w:p>
        </w:tc>
        <w:tc>
          <w:tcPr>
            <w:tcW w:w="900" w:type="dxa"/>
            <w:vAlign w:val="bottom"/>
            <w:gridSpan w:val="2"/>
            <w:shd w:val="clear" w:color="auto" w:fill="CFF0FC"/>
          </w:tcPr>
          <w:p>
            <w:pPr>
              <w:jc w:val="right"/>
              <w:ind w:right="57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65.2</w:t>
            </w:r>
          </w:p>
        </w:tc>
        <w:tc>
          <w:tcPr>
            <w:tcW w:w="3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99.8</w:t>
            </w:r>
          </w:p>
        </w:tc>
        <w:tc>
          <w:tcPr>
            <w:tcW w:w="42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143.0</w:t>
            </w:r>
          </w:p>
        </w:tc>
      </w:tr>
      <w:tr>
        <w:trPr>
          <w:trHeight w:val="223"/>
        </w:trPr>
        <w:tc>
          <w:tcPr>
            <w:tcW w:w="492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8"/>
                <w:szCs w:val="18"/>
                <w:color w:val="auto"/>
              </w:rPr>
              <w:t>Weighted-average common shares outstanding (in millions)</w:t>
            </w:r>
          </w:p>
        </w:tc>
        <w:tc>
          <w:tcPr>
            <w:tcW w:w="940" w:type="dxa"/>
            <w:vAlign w:val="bottom"/>
            <w:tcBorders>
              <w:top w:val="single" w:sz="8" w:color="CFF0FC"/>
            </w:tcBorders>
          </w:tcPr>
          <w:p>
            <w:pPr>
              <w:spacing w:after="0"/>
              <w:rPr>
                <w:sz w:val="19"/>
                <w:szCs w:val="19"/>
                <w:color w:val="auto"/>
              </w:rPr>
            </w:pPr>
          </w:p>
        </w:tc>
        <w:tc>
          <w:tcPr>
            <w:tcW w:w="800" w:type="dxa"/>
            <w:vAlign w:val="bottom"/>
            <w:tcBorders>
              <w:top w:val="single" w:sz="8" w:color="auto"/>
            </w:tcBorders>
          </w:tcPr>
          <w:p>
            <w:pPr>
              <w:spacing w:after="0"/>
              <w:rPr>
                <w:sz w:val="19"/>
                <w:szCs w:val="19"/>
                <w:color w:val="auto"/>
              </w:rPr>
            </w:pPr>
          </w:p>
        </w:tc>
        <w:tc>
          <w:tcPr>
            <w:tcW w:w="480" w:type="dxa"/>
            <w:vAlign w:val="bottom"/>
            <w:tcBorders>
              <w:top w:val="single" w:sz="8" w:color="auto"/>
            </w:tcBorders>
          </w:tcPr>
          <w:p>
            <w:pPr>
              <w:spacing w:after="0"/>
              <w:rPr>
                <w:sz w:val="19"/>
                <w:szCs w:val="19"/>
                <w:color w:val="auto"/>
              </w:rPr>
            </w:pPr>
          </w:p>
        </w:tc>
        <w:tc>
          <w:tcPr>
            <w:tcW w:w="140" w:type="dxa"/>
            <w:vAlign w:val="bottom"/>
            <w:tcBorders>
              <w:top w:val="single" w:sz="8" w:color="CFF0FC"/>
            </w:tcBorders>
          </w:tcPr>
          <w:p>
            <w:pPr>
              <w:spacing w:after="0"/>
              <w:rPr>
                <w:sz w:val="19"/>
                <w:szCs w:val="19"/>
                <w:color w:val="auto"/>
              </w:rPr>
            </w:pPr>
          </w:p>
        </w:tc>
        <w:tc>
          <w:tcPr>
            <w:tcW w:w="760" w:type="dxa"/>
            <w:vAlign w:val="bottom"/>
            <w:tcBorders>
              <w:top w:val="single" w:sz="8" w:color="auto"/>
            </w:tcBorders>
          </w:tcPr>
          <w:p>
            <w:pPr>
              <w:spacing w:after="0"/>
              <w:rPr>
                <w:sz w:val="19"/>
                <w:szCs w:val="19"/>
                <w:color w:val="auto"/>
              </w:rPr>
            </w:pPr>
          </w:p>
        </w:tc>
        <w:tc>
          <w:tcPr>
            <w:tcW w:w="480" w:type="dxa"/>
            <w:vAlign w:val="bottom"/>
            <w:tcBorders>
              <w:top w:val="single" w:sz="8" w:color="auto"/>
            </w:tcBorders>
          </w:tcPr>
          <w:p>
            <w:pPr>
              <w:spacing w:after="0"/>
              <w:rPr>
                <w:sz w:val="19"/>
                <w:szCs w:val="19"/>
                <w:color w:val="auto"/>
              </w:rPr>
            </w:pPr>
          </w:p>
        </w:tc>
        <w:tc>
          <w:tcPr>
            <w:tcW w:w="100" w:type="dxa"/>
            <w:vAlign w:val="bottom"/>
            <w:tcBorders>
              <w:top w:val="single" w:sz="8" w:color="CFF0FC"/>
            </w:tcBorders>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spacing w:after="0"/>
              <w:rPr>
                <w:sz w:val="19"/>
                <w:szCs w:val="19"/>
                <w:color w:val="auto"/>
              </w:rPr>
            </w:pPr>
          </w:p>
        </w:tc>
        <w:tc>
          <w:tcPr>
            <w:tcW w:w="120" w:type="dxa"/>
            <w:vAlign w:val="bottom"/>
            <w:tcBorders>
              <w:top w:val="single" w:sz="8" w:color="CFF0FC"/>
            </w:tcBorders>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spacing w:after="0"/>
              <w:rPr>
                <w:sz w:val="19"/>
                <w:szCs w:val="19"/>
                <w:color w:val="auto"/>
              </w:rPr>
            </w:pPr>
          </w:p>
        </w:tc>
      </w:tr>
      <w:tr>
        <w:trPr>
          <w:trHeight w:val="247"/>
        </w:trPr>
        <w:tc>
          <w:tcPr>
            <w:tcW w:w="49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Weighted-average common shares outstanding - basic</w:t>
            </w:r>
          </w:p>
        </w:tc>
        <w:tc>
          <w:tcPr>
            <w:tcW w:w="940" w:type="dxa"/>
            <w:vAlign w:val="bottom"/>
            <w:shd w:val="clear" w:color="auto" w:fill="CFF0FC"/>
          </w:tcPr>
          <w:p>
            <w:pPr>
              <w:spacing w:after="0"/>
              <w:rPr>
                <w:sz w:val="21"/>
                <w:szCs w:val="21"/>
                <w:color w:val="auto"/>
              </w:rPr>
            </w:pPr>
          </w:p>
        </w:tc>
        <w:tc>
          <w:tcPr>
            <w:tcW w:w="800" w:type="dxa"/>
            <w:vAlign w:val="bottom"/>
            <w:shd w:val="clear" w:color="auto" w:fill="CFF0FC"/>
          </w:tcPr>
          <w:p>
            <w:pPr>
              <w:spacing w:after="0"/>
              <w:rPr>
                <w:sz w:val="21"/>
                <w:szCs w:val="21"/>
                <w:color w:val="auto"/>
              </w:rPr>
            </w:pPr>
          </w:p>
        </w:tc>
        <w:tc>
          <w:tcPr>
            <w:tcW w:w="48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47.9</w:t>
            </w:r>
          </w:p>
        </w:tc>
        <w:tc>
          <w:tcPr>
            <w:tcW w:w="140" w:type="dxa"/>
            <w:vAlign w:val="bottom"/>
            <w:shd w:val="clear" w:color="auto" w:fill="CFF0FC"/>
          </w:tcPr>
          <w:p>
            <w:pPr>
              <w:spacing w:after="0"/>
              <w:rPr>
                <w:sz w:val="21"/>
                <w:szCs w:val="21"/>
                <w:color w:val="auto"/>
              </w:rPr>
            </w:pPr>
          </w:p>
        </w:tc>
        <w:tc>
          <w:tcPr>
            <w:tcW w:w="760" w:type="dxa"/>
            <w:vAlign w:val="bottom"/>
            <w:shd w:val="clear" w:color="auto" w:fill="CFF0FC"/>
          </w:tcPr>
          <w:p>
            <w:pPr>
              <w:spacing w:after="0"/>
              <w:rPr>
                <w:sz w:val="21"/>
                <w:szCs w:val="21"/>
                <w:color w:val="auto"/>
              </w:rPr>
            </w:pPr>
          </w:p>
        </w:tc>
        <w:tc>
          <w:tcPr>
            <w:tcW w:w="48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50.2</w:t>
            </w:r>
          </w:p>
        </w:tc>
        <w:tc>
          <w:tcPr>
            <w:tcW w:w="10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00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48.1</w:t>
            </w:r>
          </w:p>
        </w:tc>
        <w:tc>
          <w:tcPr>
            <w:tcW w:w="12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96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50.4</w:t>
            </w:r>
          </w:p>
        </w:tc>
      </w:tr>
      <w:tr>
        <w:trPr>
          <w:trHeight w:val="239"/>
        </w:trPr>
        <w:tc>
          <w:tcPr>
            <w:tcW w:w="4920" w:type="dxa"/>
            <w:vAlign w:val="bottom"/>
            <w:tcBorders>
              <w:bottom w:val="single" w:sz="8" w:color="CFF0FC"/>
            </w:tcBorders>
          </w:tcPr>
          <w:p>
            <w:pPr>
              <w:ind w:left="200"/>
              <w:spacing w:after="0"/>
              <w:rPr>
                <w:sz w:val="20"/>
                <w:szCs w:val="20"/>
                <w:color w:val="auto"/>
              </w:rPr>
            </w:pPr>
            <w:r>
              <w:rPr>
                <w:rFonts w:ascii="Times New Roman" w:cs="Times New Roman" w:eastAsia="Times New Roman" w:hAnsi="Times New Roman"/>
                <w:sz w:val="18"/>
                <w:szCs w:val="18"/>
                <w:color w:val="auto"/>
              </w:rPr>
              <w:t>Effect of dilutive securities - share-based awards</w:t>
            </w:r>
          </w:p>
        </w:tc>
        <w:tc>
          <w:tcPr>
            <w:tcW w:w="940" w:type="dxa"/>
            <w:vAlign w:val="bottom"/>
            <w:tcBorders>
              <w:bottom w:val="single" w:sz="8" w:color="CFF0FC"/>
            </w:tcBorders>
          </w:tcPr>
          <w:p>
            <w:pPr>
              <w:spacing w:after="0"/>
              <w:rPr>
                <w:sz w:val="20"/>
                <w:szCs w:val="20"/>
                <w:color w:val="auto"/>
              </w:rPr>
            </w:pPr>
          </w:p>
        </w:tc>
        <w:tc>
          <w:tcPr>
            <w:tcW w:w="800" w:type="dxa"/>
            <w:vAlign w:val="bottom"/>
            <w:tcBorders>
              <w:bottom w:val="single" w:sz="8" w:color="auto"/>
            </w:tcBorders>
          </w:tcPr>
          <w:p>
            <w:pPr>
              <w:spacing w:after="0"/>
              <w:rPr>
                <w:sz w:val="20"/>
                <w:szCs w:val="20"/>
                <w:color w:val="auto"/>
              </w:rPr>
            </w:pPr>
          </w:p>
        </w:tc>
        <w:tc>
          <w:tcPr>
            <w:tcW w:w="4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0.5</w:t>
            </w:r>
          </w:p>
        </w:tc>
        <w:tc>
          <w:tcPr>
            <w:tcW w:w="140" w:type="dxa"/>
            <w:vAlign w:val="bottom"/>
            <w:tcBorders>
              <w:bottom w:val="single" w:sz="8" w:color="CFF0FC"/>
            </w:tcBorders>
          </w:tcPr>
          <w:p>
            <w:pPr>
              <w:spacing w:after="0"/>
              <w:rPr>
                <w:sz w:val="20"/>
                <w:szCs w:val="20"/>
                <w:color w:val="auto"/>
              </w:rPr>
            </w:pPr>
          </w:p>
        </w:tc>
        <w:tc>
          <w:tcPr>
            <w:tcW w:w="760" w:type="dxa"/>
            <w:vAlign w:val="bottom"/>
            <w:tcBorders>
              <w:bottom w:val="single" w:sz="8" w:color="auto"/>
            </w:tcBorders>
          </w:tcPr>
          <w:p>
            <w:pPr>
              <w:spacing w:after="0"/>
              <w:rPr>
                <w:sz w:val="20"/>
                <w:szCs w:val="20"/>
                <w:color w:val="auto"/>
              </w:rPr>
            </w:pPr>
          </w:p>
        </w:tc>
        <w:tc>
          <w:tcPr>
            <w:tcW w:w="4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0.5</w:t>
            </w:r>
          </w:p>
        </w:tc>
        <w:tc>
          <w:tcPr>
            <w:tcW w:w="100" w:type="dxa"/>
            <w:vAlign w:val="bottom"/>
            <w:tcBorders>
              <w:bottom w:val="single" w:sz="8" w:color="CFF0FC"/>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0.6</w:t>
            </w:r>
          </w:p>
        </w:tc>
        <w:tc>
          <w:tcPr>
            <w:tcW w:w="120" w:type="dxa"/>
            <w:vAlign w:val="bottom"/>
            <w:tcBorders>
              <w:bottom w:val="single" w:sz="8" w:color="CFF0FC"/>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0.6</w:t>
            </w:r>
          </w:p>
        </w:tc>
      </w:tr>
      <w:tr>
        <w:trPr>
          <w:trHeight w:val="276"/>
        </w:trPr>
        <w:tc>
          <w:tcPr>
            <w:tcW w:w="492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Weighted-average common shares outstanding - diluted</w:t>
            </w:r>
          </w:p>
        </w:tc>
        <w:tc>
          <w:tcPr>
            <w:tcW w:w="940" w:type="dxa"/>
            <w:vAlign w:val="bottom"/>
            <w:tcBorders>
              <w:bottom w:val="single" w:sz="8" w:color="CFF0FC"/>
            </w:tcBorders>
            <w:shd w:val="clear" w:color="auto" w:fill="CFF0FC"/>
          </w:tcPr>
          <w:p>
            <w:pPr>
              <w:spacing w:after="0"/>
              <w:rPr>
                <w:sz w:val="24"/>
                <w:szCs w:val="24"/>
                <w:color w:val="auto"/>
              </w:rPr>
            </w:pPr>
          </w:p>
        </w:tc>
        <w:tc>
          <w:tcPr>
            <w:tcW w:w="800" w:type="dxa"/>
            <w:vAlign w:val="bottom"/>
            <w:tcBorders>
              <w:bottom w:val="single" w:sz="8" w:color="auto"/>
            </w:tcBorders>
            <w:shd w:val="clear" w:color="auto" w:fill="CFF0FC"/>
          </w:tcPr>
          <w:p>
            <w:pPr>
              <w:spacing w:after="0"/>
              <w:rPr>
                <w:sz w:val="24"/>
                <w:szCs w:val="24"/>
                <w:color w:val="auto"/>
              </w:rPr>
            </w:pPr>
          </w:p>
        </w:tc>
        <w:tc>
          <w:tcPr>
            <w:tcW w:w="48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48.4</w:t>
            </w:r>
          </w:p>
        </w:tc>
        <w:tc>
          <w:tcPr>
            <w:tcW w:w="140" w:type="dxa"/>
            <w:vAlign w:val="bottom"/>
            <w:tcBorders>
              <w:bottom w:val="single" w:sz="8" w:color="CFF0FC"/>
            </w:tcBorders>
            <w:shd w:val="clear" w:color="auto" w:fill="CFF0FC"/>
          </w:tcPr>
          <w:p>
            <w:pPr>
              <w:spacing w:after="0"/>
              <w:rPr>
                <w:sz w:val="24"/>
                <w:szCs w:val="24"/>
                <w:color w:val="auto"/>
              </w:rPr>
            </w:pPr>
          </w:p>
        </w:tc>
        <w:tc>
          <w:tcPr>
            <w:tcW w:w="760" w:type="dxa"/>
            <w:vAlign w:val="bottom"/>
            <w:tcBorders>
              <w:bottom w:val="single" w:sz="8" w:color="auto"/>
            </w:tcBorders>
            <w:shd w:val="clear" w:color="auto" w:fill="CFF0FC"/>
          </w:tcPr>
          <w:p>
            <w:pPr>
              <w:spacing w:after="0"/>
              <w:rPr>
                <w:sz w:val="24"/>
                <w:szCs w:val="24"/>
                <w:color w:val="auto"/>
              </w:rPr>
            </w:pPr>
          </w:p>
        </w:tc>
        <w:tc>
          <w:tcPr>
            <w:tcW w:w="48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50.7</w:t>
            </w:r>
          </w:p>
        </w:tc>
        <w:tc>
          <w:tcPr>
            <w:tcW w:w="100" w:type="dxa"/>
            <w:vAlign w:val="bottom"/>
            <w:tcBorders>
              <w:bottom w:val="single" w:sz="8" w:color="CFF0FC"/>
            </w:tcBorders>
            <w:shd w:val="clear" w:color="auto" w:fill="CFF0FC"/>
          </w:tcPr>
          <w:p>
            <w:pPr>
              <w:spacing w:after="0"/>
              <w:rPr>
                <w:sz w:val="24"/>
                <w:szCs w:val="24"/>
                <w:color w:val="auto"/>
              </w:rPr>
            </w:pPr>
          </w:p>
        </w:tc>
        <w:tc>
          <w:tcPr>
            <w:tcW w:w="240" w:type="dxa"/>
            <w:vAlign w:val="bottom"/>
            <w:tcBorders>
              <w:bottom w:val="single" w:sz="8" w:color="auto"/>
            </w:tcBorders>
            <w:shd w:val="clear" w:color="auto" w:fill="CFF0FC"/>
          </w:tcPr>
          <w:p>
            <w:pPr>
              <w:spacing w:after="0"/>
              <w:rPr>
                <w:sz w:val="24"/>
                <w:szCs w:val="24"/>
                <w:color w:val="auto"/>
              </w:rPr>
            </w:pPr>
          </w:p>
        </w:tc>
        <w:tc>
          <w:tcPr>
            <w:tcW w:w="100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48.7</w:t>
            </w:r>
          </w:p>
        </w:tc>
        <w:tc>
          <w:tcPr>
            <w:tcW w:w="120" w:type="dxa"/>
            <w:vAlign w:val="bottom"/>
            <w:tcBorders>
              <w:bottom w:val="single" w:sz="8" w:color="CFF0FC"/>
            </w:tcBorders>
            <w:shd w:val="clear" w:color="auto" w:fill="CFF0FC"/>
          </w:tcPr>
          <w:p>
            <w:pPr>
              <w:spacing w:after="0"/>
              <w:rPr>
                <w:sz w:val="24"/>
                <w:szCs w:val="24"/>
                <w:color w:val="auto"/>
              </w:rPr>
            </w:pPr>
          </w:p>
        </w:tc>
        <w:tc>
          <w:tcPr>
            <w:tcW w:w="300" w:type="dxa"/>
            <w:vAlign w:val="bottom"/>
            <w:tcBorders>
              <w:bottom w:val="single" w:sz="8" w:color="auto"/>
            </w:tcBorders>
            <w:shd w:val="clear" w:color="auto" w:fill="CFF0FC"/>
          </w:tcPr>
          <w:p>
            <w:pPr>
              <w:spacing w:after="0"/>
              <w:rPr>
                <w:sz w:val="24"/>
                <w:szCs w:val="24"/>
                <w:color w:val="auto"/>
              </w:rPr>
            </w:pPr>
          </w:p>
        </w:tc>
        <w:tc>
          <w:tcPr>
            <w:tcW w:w="96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51.0</w:t>
            </w:r>
          </w:p>
        </w:tc>
      </w:tr>
      <w:tr>
        <w:trPr>
          <w:trHeight w:val="223"/>
        </w:trPr>
        <w:tc>
          <w:tcPr>
            <w:tcW w:w="4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earnings per share - basic</w:t>
            </w:r>
          </w:p>
        </w:tc>
        <w:tc>
          <w:tcPr>
            <w:tcW w:w="1740" w:type="dxa"/>
            <w:vAlign w:val="bottom"/>
            <w:gridSpan w:val="2"/>
          </w:tcPr>
          <w:p>
            <w:pPr>
              <w:jc w:val="right"/>
              <w:ind w:right="59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1.25</w:t>
            </w:r>
          </w:p>
        </w:tc>
        <w:tc>
          <w:tcPr>
            <w:tcW w:w="900" w:type="dxa"/>
            <w:vAlign w:val="bottom"/>
            <w:gridSpan w:val="2"/>
          </w:tcPr>
          <w:p>
            <w:pPr>
              <w:jc w:val="right"/>
              <w:ind w:right="57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1.30</w:t>
            </w:r>
          </w:p>
        </w:tc>
        <w:tc>
          <w:tcPr>
            <w:tcW w:w="3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2.07</w:t>
            </w:r>
          </w:p>
        </w:tc>
        <w:tc>
          <w:tcPr>
            <w:tcW w:w="4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2.84</w:t>
            </w:r>
          </w:p>
        </w:tc>
      </w:tr>
      <w:tr>
        <w:trPr>
          <w:trHeight w:val="20"/>
        </w:trPr>
        <w:tc>
          <w:tcPr>
            <w:tcW w:w="49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r>
      <w:tr>
        <w:trPr>
          <w:trHeight w:val="264"/>
        </w:trPr>
        <w:tc>
          <w:tcPr>
            <w:tcW w:w="49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earnings per share - diluted</w:t>
            </w:r>
          </w:p>
        </w:tc>
        <w:tc>
          <w:tcPr>
            <w:tcW w:w="1740" w:type="dxa"/>
            <w:vAlign w:val="bottom"/>
            <w:gridSpan w:val="2"/>
            <w:shd w:val="clear" w:color="auto" w:fill="CFF0FC"/>
          </w:tcPr>
          <w:p>
            <w:pPr>
              <w:jc w:val="right"/>
              <w:ind w:right="59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1.24</w:t>
            </w:r>
          </w:p>
        </w:tc>
        <w:tc>
          <w:tcPr>
            <w:tcW w:w="900" w:type="dxa"/>
            <w:vAlign w:val="bottom"/>
            <w:gridSpan w:val="2"/>
            <w:shd w:val="clear" w:color="auto" w:fill="CFF0FC"/>
          </w:tcPr>
          <w:p>
            <w:pPr>
              <w:jc w:val="right"/>
              <w:ind w:right="57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1.29</w:t>
            </w:r>
          </w:p>
        </w:tc>
        <w:tc>
          <w:tcPr>
            <w:tcW w:w="3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2.05</w:t>
            </w:r>
          </w:p>
        </w:tc>
        <w:tc>
          <w:tcPr>
            <w:tcW w:w="42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2.80</w:t>
            </w:r>
          </w:p>
        </w:tc>
      </w:tr>
      <w:tr>
        <w:trPr>
          <w:trHeight w:val="633"/>
        </w:trPr>
        <w:tc>
          <w:tcPr>
            <w:tcW w:w="4920" w:type="dxa"/>
            <w:vAlign w:val="bottom"/>
            <w:tcBorders>
              <w:top w:val="single" w:sz="8" w:color="CFF0FC"/>
            </w:tcBorders>
          </w:tcPr>
          <w:p>
            <w:pPr>
              <w:spacing w:after="0"/>
              <w:rPr>
                <w:sz w:val="24"/>
                <w:szCs w:val="24"/>
                <w:color w:val="auto"/>
              </w:rPr>
            </w:pPr>
          </w:p>
        </w:tc>
        <w:tc>
          <w:tcPr>
            <w:tcW w:w="940" w:type="dxa"/>
            <w:vAlign w:val="bottom"/>
            <w:tcBorders>
              <w:top w:val="single" w:sz="8" w:color="CFF0FC"/>
            </w:tcBorders>
          </w:tcPr>
          <w:p>
            <w:pPr>
              <w:jc w:val="right"/>
              <w:ind w:right="50"/>
              <w:spacing w:after="0"/>
              <w:rPr>
                <w:sz w:val="20"/>
                <w:szCs w:val="20"/>
                <w:color w:val="auto"/>
              </w:rPr>
            </w:pPr>
            <w:r>
              <w:rPr>
                <w:rFonts w:ascii="Times New Roman" w:cs="Times New Roman" w:eastAsia="Times New Roman" w:hAnsi="Times New Roman"/>
                <w:sz w:val="18"/>
                <w:szCs w:val="18"/>
                <w:color w:val="auto"/>
              </w:rPr>
              <w:t>12</w:t>
            </w:r>
          </w:p>
        </w:tc>
        <w:tc>
          <w:tcPr>
            <w:tcW w:w="800" w:type="dxa"/>
            <w:vAlign w:val="bottom"/>
            <w:tcBorders>
              <w:top w:val="single" w:sz="8" w:color="auto"/>
            </w:tcBorders>
          </w:tcPr>
          <w:p>
            <w:pPr>
              <w:spacing w:after="0"/>
              <w:rPr>
                <w:sz w:val="24"/>
                <w:szCs w:val="24"/>
                <w:color w:val="auto"/>
              </w:rPr>
            </w:pPr>
          </w:p>
        </w:tc>
        <w:tc>
          <w:tcPr>
            <w:tcW w:w="480" w:type="dxa"/>
            <w:vAlign w:val="bottom"/>
            <w:tcBorders>
              <w:top w:val="single" w:sz="8" w:color="auto"/>
            </w:tcBorders>
          </w:tcPr>
          <w:p>
            <w:pPr>
              <w:spacing w:after="0"/>
              <w:rPr>
                <w:sz w:val="24"/>
                <w:szCs w:val="24"/>
                <w:color w:val="auto"/>
              </w:rPr>
            </w:pPr>
          </w:p>
        </w:tc>
        <w:tc>
          <w:tcPr>
            <w:tcW w:w="140" w:type="dxa"/>
            <w:vAlign w:val="bottom"/>
            <w:tcBorders>
              <w:top w:val="single" w:sz="8" w:color="CFF0FC"/>
            </w:tcBorders>
          </w:tcPr>
          <w:p>
            <w:pPr>
              <w:spacing w:after="0"/>
              <w:rPr>
                <w:sz w:val="24"/>
                <w:szCs w:val="24"/>
                <w:color w:val="auto"/>
              </w:rPr>
            </w:pPr>
          </w:p>
        </w:tc>
        <w:tc>
          <w:tcPr>
            <w:tcW w:w="760" w:type="dxa"/>
            <w:vAlign w:val="bottom"/>
            <w:tcBorders>
              <w:top w:val="single" w:sz="8" w:color="auto"/>
            </w:tcBorders>
          </w:tcPr>
          <w:p>
            <w:pPr>
              <w:spacing w:after="0"/>
              <w:rPr>
                <w:sz w:val="24"/>
                <w:szCs w:val="24"/>
                <w:color w:val="auto"/>
              </w:rPr>
            </w:pPr>
          </w:p>
        </w:tc>
        <w:tc>
          <w:tcPr>
            <w:tcW w:w="480" w:type="dxa"/>
            <w:vAlign w:val="bottom"/>
            <w:tcBorders>
              <w:top w:val="single" w:sz="8" w:color="auto"/>
            </w:tcBorders>
          </w:tcPr>
          <w:p>
            <w:pPr>
              <w:spacing w:after="0"/>
              <w:rPr>
                <w:sz w:val="24"/>
                <w:szCs w:val="24"/>
                <w:color w:val="auto"/>
              </w:rPr>
            </w:pPr>
          </w:p>
        </w:tc>
        <w:tc>
          <w:tcPr>
            <w:tcW w:w="100" w:type="dxa"/>
            <w:vAlign w:val="bottom"/>
            <w:tcBorders>
              <w:top w:val="single" w:sz="8" w:color="CFF0FC"/>
            </w:tcBorders>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1000" w:type="dxa"/>
            <w:vAlign w:val="bottom"/>
            <w:tcBorders>
              <w:top w:val="single" w:sz="8" w:color="auto"/>
            </w:tcBorders>
          </w:tcPr>
          <w:p>
            <w:pPr>
              <w:spacing w:after="0"/>
              <w:rPr>
                <w:sz w:val="24"/>
                <w:szCs w:val="24"/>
                <w:color w:val="auto"/>
              </w:rPr>
            </w:pPr>
          </w:p>
        </w:tc>
        <w:tc>
          <w:tcPr>
            <w:tcW w:w="120" w:type="dxa"/>
            <w:vAlign w:val="bottom"/>
            <w:tcBorders>
              <w:top w:val="single" w:sz="8" w:color="CFF0FC"/>
            </w:tcBorders>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960" w:type="dxa"/>
            <w:vAlign w:val="bottom"/>
            <w:tcBorders>
              <w:top w:val="single" w:sz="8" w:color="auto"/>
            </w:tcBorders>
          </w:tcPr>
          <w:p>
            <w:pPr>
              <w:spacing w:after="0"/>
              <w:rPr>
                <w:sz w:val="24"/>
                <w:szCs w:val="24"/>
                <w:color w:val="auto"/>
              </w:rPr>
            </w:pPr>
          </w:p>
        </w:tc>
      </w:tr>
      <w:tr>
        <w:trPr>
          <w:trHeight w:val="749"/>
        </w:trPr>
        <w:tc>
          <w:tcPr>
            <w:tcW w:w="4920" w:type="dxa"/>
            <w:vAlign w:val="bottom"/>
            <w:tcBorders>
              <w:bottom w:val="single" w:sz="8" w:color="9A9A9A"/>
            </w:tcBorders>
          </w:tcPr>
          <w:p>
            <w:pPr>
              <w:spacing w:after="0"/>
              <w:rPr>
                <w:sz w:val="24"/>
                <w:szCs w:val="24"/>
                <w:color w:val="auto"/>
              </w:rPr>
            </w:pPr>
          </w:p>
        </w:tc>
        <w:tc>
          <w:tcPr>
            <w:tcW w:w="940" w:type="dxa"/>
            <w:vAlign w:val="bottom"/>
            <w:tcBorders>
              <w:bottom w:val="single" w:sz="8" w:color="9A9A9A"/>
            </w:tcBorders>
          </w:tcPr>
          <w:p>
            <w:pPr>
              <w:spacing w:after="0"/>
              <w:rPr>
                <w:sz w:val="24"/>
                <w:szCs w:val="24"/>
                <w:color w:val="auto"/>
              </w:rPr>
            </w:pPr>
          </w:p>
        </w:tc>
        <w:tc>
          <w:tcPr>
            <w:tcW w:w="800" w:type="dxa"/>
            <w:vAlign w:val="bottom"/>
            <w:tcBorders>
              <w:bottom w:val="single" w:sz="8" w:color="9A9A9A"/>
            </w:tcBorders>
          </w:tcPr>
          <w:p>
            <w:pPr>
              <w:spacing w:after="0"/>
              <w:rPr>
                <w:sz w:val="24"/>
                <w:szCs w:val="24"/>
                <w:color w:val="auto"/>
              </w:rPr>
            </w:pPr>
          </w:p>
        </w:tc>
        <w:tc>
          <w:tcPr>
            <w:tcW w:w="48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760" w:type="dxa"/>
            <w:vAlign w:val="bottom"/>
            <w:tcBorders>
              <w:bottom w:val="single" w:sz="8" w:color="9A9A9A"/>
            </w:tcBorders>
          </w:tcPr>
          <w:p>
            <w:pPr>
              <w:spacing w:after="0"/>
              <w:rPr>
                <w:sz w:val="24"/>
                <w:szCs w:val="24"/>
                <w:color w:val="auto"/>
              </w:rPr>
            </w:pPr>
          </w:p>
        </w:tc>
        <w:tc>
          <w:tcPr>
            <w:tcW w:w="4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100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9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4539615</wp:posOffset>
            </wp:positionH>
            <wp:positionV relativeFrom="paragraph">
              <wp:posOffset>-1936750</wp:posOffset>
            </wp:positionV>
            <wp:extent cx="77470"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4539615</wp:posOffset>
            </wp:positionH>
            <wp:positionV relativeFrom="paragraph">
              <wp:posOffset>-1919605</wp:posOffset>
            </wp:positionV>
            <wp:extent cx="77470" cy="88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5405755</wp:posOffset>
            </wp:positionH>
            <wp:positionV relativeFrom="paragraph">
              <wp:posOffset>-1936750</wp:posOffset>
            </wp:positionV>
            <wp:extent cx="68580"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5405755</wp:posOffset>
            </wp:positionH>
            <wp:positionV relativeFrom="paragraph">
              <wp:posOffset>-1919605</wp:posOffset>
            </wp:positionV>
            <wp:extent cx="68580" cy="88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6263005</wp:posOffset>
            </wp:positionH>
            <wp:positionV relativeFrom="paragraph">
              <wp:posOffset>-1936750</wp:posOffset>
            </wp:positionV>
            <wp:extent cx="68580"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6263005</wp:posOffset>
            </wp:positionH>
            <wp:positionV relativeFrom="paragraph">
              <wp:posOffset>-1919605</wp:posOffset>
            </wp:positionV>
            <wp:extent cx="68580" cy="8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4539615</wp:posOffset>
            </wp:positionH>
            <wp:positionV relativeFrom="paragraph">
              <wp:posOffset>-1285240</wp:posOffset>
            </wp:positionV>
            <wp:extent cx="77470" cy="88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4539615</wp:posOffset>
            </wp:positionH>
            <wp:positionV relativeFrom="paragraph">
              <wp:posOffset>-1268095</wp:posOffset>
            </wp:positionV>
            <wp:extent cx="77470" cy="88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4539615</wp:posOffset>
            </wp:positionH>
            <wp:positionV relativeFrom="paragraph">
              <wp:posOffset>-1447800</wp:posOffset>
            </wp:positionV>
            <wp:extent cx="77470"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5405755</wp:posOffset>
            </wp:positionH>
            <wp:positionV relativeFrom="paragraph">
              <wp:posOffset>-1285240</wp:posOffset>
            </wp:positionV>
            <wp:extent cx="68580" cy="88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5405755</wp:posOffset>
            </wp:positionH>
            <wp:positionV relativeFrom="paragraph">
              <wp:posOffset>-1268095</wp:posOffset>
            </wp:positionV>
            <wp:extent cx="68580" cy="88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5405755</wp:posOffset>
            </wp:positionH>
            <wp:positionV relativeFrom="paragraph">
              <wp:posOffset>-1447800</wp:posOffset>
            </wp:positionV>
            <wp:extent cx="68580"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6263005</wp:posOffset>
            </wp:positionH>
            <wp:positionV relativeFrom="paragraph">
              <wp:posOffset>-1285240</wp:posOffset>
            </wp:positionV>
            <wp:extent cx="68580" cy="88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6263005</wp:posOffset>
            </wp:positionH>
            <wp:positionV relativeFrom="paragraph">
              <wp:posOffset>-1268095</wp:posOffset>
            </wp:positionV>
            <wp:extent cx="68580" cy="88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6263005</wp:posOffset>
            </wp:positionH>
            <wp:positionV relativeFrom="paragraph">
              <wp:posOffset>-1447800</wp:posOffset>
            </wp:positionV>
            <wp:extent cx="68580"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4539615</wp:posOffset>
            </wp:positionH>
            <wp:positionV relativeFrom="paragraph">
              <wp:posOffset>-925195</wp:posOffset>
            </wp:positionV>
            <wp:extent cx="77470" cy="88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4539615</wp:posOffset>
            </wp:positionH>
            <wp:positionV relativeFrom="paragraph">
              <wp:posOffset>-908050</wp:posOffset>
            </wp:positionV>
            <wp:extent cx="77470" cy="88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5405755</wp:posOffset>
            </wp:positionH>
            <wp:positionV relativeFrom="paragraph">
              <wp:posOffset>-925195</wp:posOffset>
            </wp:positionV>
            <wp:extent cx="68580" cy="88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5405755</wp:posOffset>
            </wp:positionH>
            <wp:positionV relativeFrom="paragraph">
              <wp:posOffset>-908050</wp:posOffset>
            </wp:positionV>
            <wp:extent cx="68580" cy="88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6263005</wp:posOffset>
            </wp:positionH>
            <wp:positionV relativeFrom="paragraph">
              <wp:posOffset>-925195</wp:posOffset>
            </wp:positionV>
            <wp:extent cx="68580" cy="88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6263005</wp:posOffset>
            </wp:positionH>
            <wp:positionV relativeFrom="paragraph">
              <wp:posOffset>-908050</wp:posOffset>
            </wp:positionV>
            <wp:extent cx="68580" cy="88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12" w:name="page13"/>
    <w:bookmarkEnd w:id="12"/>
    <w:p>
      <w:pPr>
        <w:ind w:right="80"/>
        <w:spacing w:after="0" w:line="266" w:lineRule="auto"/>
        <w:rPr>
          <w:sz w:val="20"/>
          <w:szCs w:val="20"/>
          <w:color w:val="auto"/>
        </w:rPr>
      </w:pPr>
      <w:r>
        <w:rPr>
          <w:rFonts w:ascii="Times New Roman" w:cs="Times New Roman" w:eastAsia="Times New Roman" w:hAnsi="Times New Roman"/>
          <w:sz w:val="18"/>
          <w:szCs w:val="18"/>
          <w:color w:val="auto"/>
        </w:rPr>
        <w:t>There were 0.8 million and 0.7 million share-based awards excluded from the calculation of net earnings per share - diluted for the three months ended June 30, 2024 and 2023, respectively, because their impact was anti-dilutive. There were 0.8 million and 0.6 million share-based awards excluded from the calculation of net earnings per share - diluted for the six months ended June 30, 2024 and 2023, respectively, because their impact was anti-dilutive.</w:t>
      </w:r>
    </w:p>
    <w:p>
      <w:pPr>
        <w:spacing w:after="0" w:line="172" w:lineRule="exact"/>
        <w:rPr>
          <w:sz w:val="20"/>
          <w:szCs w:val="20"/>
          <w:color w:val="auto"/>
        </w:rPr>
      </w:pPr>
    </w:p>
    <w:p>
      <w:pPr>
        <w:ind w:left="260" w:hanging="252"/>
        <w:spacing w:after="0"/>
        <w:tabs>
          <w:tab w:leader="none" w:pos="260" w:val="left"/>
        </w:tabs>
        <w:numPr>
          <w:ilvl w:val="0"/>
          <w:numId w:val="1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Goodwill and Other Intangible Assets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goodwill, finite-lived intangible assets and indefinite-lived intangible assets as follows:</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84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gridSpan w:val="2"/>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June 30, 2024</w:t>
            </w:r>
          </w:p>
        </w:tc>
        <w:tc>
          <w:tcPr>
            <w:tcW w:w="14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1620" w:type="dxa"/>
            <w:vAlign w:val="bottom"/>
            <w:tcBorders>
              <w:bottom w:val="single" w:sz="8" w:color="auto"/>
            </w:tcBorders>
            <w:gridSpan w:val="5"/>
          </w:tcPr>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December 31, 2023</w:t>
            </w:r>
          </w:p>
        </w:tc>
        <w:tc>
          <w:tcPr>
            <w:tcW w:w="26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r>
      <w:tr>
        <w:trPr>
          <w:trHeight w:val="203"/>
        </w:trPr>
        <w:tc>
          <w:tcPr>
            <w:tcW w:w="28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20" w:type="dxa"/>
            <w:vAlign w:val="bottom"/>
            <w:gridSpan w:val="2"/>
          </w:tcPr>
          <w:p>
            <w:pPr>
              <w:jc w:val="right"/>
              <w:ind w:right="130"/>
              <w:spacing w:after="0" w:line="203" w:lineRule="exact"/>
              <w:rPr>
                <w:sz w:val="20"/>
                <w:szCs w:val="20"/>
                <w:color w:val="auto"/>
              </w:rPr>
            </w:pPr>
            <w:r>
              <w:rPr>
                <w:rFonts w:ascii="Times New Roman" w:cs="Times New Roman" w:eastAsia="Times New Roman" w:hAnsi="Times New Roman"/>
                <w:sz w:val="18"/>
                <w:szCs w:val="18"/>
                <w:b w:val="1"/>
                <w:bCs w:val="1"/>
                <w:color w:val="auto"/>
              </w:rPr>
              <w:t>Accumulated</w:t>
            </w:r>
          </w:p>
        </w:tc>
        <w:tc>
          <w:tcPr>
            <w:tcW w:w="1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20" w:type="dxa"/>
            <w:vAlign w:val="bottom"/>
            <w:gridSpan w:val="3"/>
          </w:tcPr>
          <w:p>
            <w:pPr>
              <w:jc w:val="center"/>
              <w:ind w:right="240"/>
              <w:spacing w:after="0" w:line="203" w:lineRule="exact"/>
              <w:rPr>
                <w:sz w:val="20"/>
                <w:szCs w:val="20"/>
                <w:color w:val="auto"/>
              </w:rPr>
            </w:pPr>
            <w:r>
              <w:rPr>
                <w:rFonts w:ascii="Times New Roman" w:cs="Times New Roman" w:eastAsia="Times New Roman" w:hAnsi="Times New Roman"/>
                <w:sz w:val="18"/>
                <w:szCs w:val="18"/>
                <w:b w:val="1"/>
                <w:bCs w:val="1"/>
                <w:color w:val="auto"/>
                <w:w w:val="99"/>
              </w:rPr>
              <w:t>Accumulated</w:t>
            </w:r>
          </w:p>
        </w:tc>
        <w:tc>
          <w:tcPr>
            <w:tcW w:w="26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245"/>
        </w:trPr>
        <w:tc>
          <w:tcPr>
            <w:tcW w:w="284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Gross</w:t>
            </w:r>
          </w:p>
        </w:tc>
        <w:tc>
          <w:tcPr>
            <w:tcW w:w="140" w:type="dxa"/>
            <w:vAlign w:val="bottom"/>
          </w:tcPr>
          <w:p>
            <w:pPr>
              <w:spacing w:after="0"/>
              <w:rPr>
                <w:sz w:val="21"/>
                <w:szCs w:val="21"/>
                <w:color w:val="auto"/>
              </w:rPr>
            </w:pPr>
          </w:p>
        </w:tc>
        <w:tc>
          <w:tcPr>
            <w:tcW w:w="1320" w:type="dxa"/>
            <w:vAlign w:val="bottom"/>
            <w:tcBorders>
              <w:bottom w:val="single" w:sz="8" w:color="auto"/>
            </w:tcBorders>
            <w:gridSpan w:val="2"/>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Amortization</w:t>
            </w:r>
          </w:p>
        </w:tc>
        <w:tc>
          <w:tcPr>
            <w:tcW w:w="140" w:type="dxa"/>
            <w:vAlign w:val="bottom"/>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Net</w:t>
            </w:r>
          </w:p>
        </w:tc>
        <w:tc>
          <w:tcPr>
            <w:tcW w:w="14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Gross</w:t>
            </w:r>
          </w:p>
        </w:tc>
        <w:tc>
          <w:tcPr>
            <w:tcW w:w="80" w:type="dxa"/>
            <w:vAlign w:val="bottom"/>
            <w:tcBorders>
              <w:bottom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1280" w:type="dxa"/>
            <w:vAlign w:val="bottom"/>
            <w:tcBorders>
              <w:bottom w:val="single" w:sz="8" w:color="auto"/>
            </w:tcBorders>
            <w:gridSpan w:val="2"/>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9"/>
              </w:rPr>
              <w:t>Amortization</w:t>
            </w:r>
          </w:p>
        </w:tc>
        <w:tc>
          <w:tcPr>
            <w:tcW w:w="14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Net</w:t>
            </w:r>
          </w:p>
        </w:tc>
      </w:tr>
      <w:tr>
        <w:trPr>
          <w:trHeight w:val="283"/>
        </w:trPr>
        <w:tc>
          <w:tcPr>
            <w:tcW w:w="2840" w:type="dxa"/>
            <w:vAlign w:val="bottom"/>
            <w:shd w:val="clear" w:color="auto" w:fill="CFF0FC"/>
          </w:tcPr>
          <w:p>
            <w:pPr>
              <w:ind w:left="20"/>
              <w:spacing w:after="0" w:line="243" w:lineRule="exact"/>
              <w:rPr>
                <w:sz w:val="20"/>
                <w:szCs w:val="20"/>
                <w:color w:val="auto"/>
              </w:rPr>
            </w:pPr>
            <w:r>
              <w:rPr>
                <w:rFonts w:ascii="Times New Roman" w:cs="Times New Roman" w:eastAsia="Times New Roman" w:hAnsi="Times New Roman"/>
                <w:sz w:val="18"/>
                <w:szCs w:val="18"/>
                <w:color w:val="auto"/>
              </w:rPr>
              <w:t>Goodwill</w:t>
            </w:r>
            <w:r>
              <w:rPr>
                <w:rFonts w:ascii="Times New Roman" w:cs="Times New Roman" w:eastAsia="Times New Roman" w:hAnsi="Times New Roman"/>
                <w:sz w:val="24"/>
                <w:szCs w:val="24"/>
                <w:color w:val="auto"/>
                <w:vertAlign w:val="superscript"/>
              </w:rPr>
              <w:t>(a)</w:t>
            </w:r>
          </w:p>
        </w:tc>
        <w:tc>
          <w:tcPr>
            <w:tcW w:w="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1,573.2</w:t>
            </w:r>
          </w:p>
        </w:tc>
        <w:tc>
          <w:tcPr>
            <w:tcW w:w="580" w:type="dxa"/>
            <w:vAlign w:val="bottom"/>
            <w:gridSpan w:val="2"/>
            <w:shd w:val="clear" w:color="auto" w:fill="CFF0FC"/>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gridSpan w:val="2"/>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1,573.2</w:t>
            </w:r>
          </w:p>
        </w:tc>
        <w:tc>
          <w:tcPr>
            <w:tcW w:w="380" w:type="dxa"/>
            <w:vAlign w:val="bottom"/>
            <w:gridSpan w:val="2"/>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1,586.8</w:t>
            </w:r>
          </w:p>
        </w:tc>
        <w:tc>
          <w:tcPr>
            <w:tcW w:w="640" w:type="dxa"/>
            <w:vAlign w:val="bottom"/>
            <w:gridSpan w:val="3"/>
            <w:shd w:val="clear" w:color="auto" w:fill="CFF0FC"/>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1,586.8</w:t>
            </w:r>
          </w:p>
        </w:tc>
      </w:tr>
      <w:tr>
        <w:trPr>
          <w:trHeight w:val="219"/>
        </w:trPr>
        <w:tc>
          <w:tcPr>
            <w:tcW w:w="284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8"/>
                <w:szCs w:val="18"/>
                <w:color w:val="auto"/>
              </w:rPr>
              <w:t>Intangible assets:</w:t>
            </w:r>
          </w:p>
        </w:tc>
        <w:tc>
          <w:tcPr>
            <w:tcW w:w="240" w:type="dxa"/>
            <w:vAlign w:val="bottom"/>
            <w:tcBorders>
              <w:top w:val="single" w:sz="8" w:color="auto"/>
            </w:tcBorders>
          </w:tcPr>
          <w:p>
            <w:pPr>
              <w:spacing w:after="0"/>
              <w:rPr>
                <w:sz w:val="19"/>
                <w:szCs w:val="19"/>
                <w:color w:val="auto"/>
              </w:rPr>
            </w:pPr>
          </w:p>
        </w:tc>
        <w:tc>
          <w:tcPr>
            <w:tcW w:w="1080" w:type="dxa"/>
            <w:vAlign w:val="bottom"/>
            <w:tcBorders>
              <w:top w:val="single" w:sz="8" w:color="auto"/>
            </w:tcBorders>
          </w:tcPr>
          <w:p>
            <w:pPr>
              <w:spacing w:after="0"/>
              <w:rPr>
                <w:sz w:val="19"/>
                <w:szCs w:val="19"/>
                <w:color w:val="auto"/>
              </w:rPr>
            </w:pPr>
          </w:p>
        </w:tc>
        <w:tc>
          <w:tcPr>
            <w:tcW w:w="140" w:type="dxa"/>
            <w:vAlign w:val="bottom"/>
            <w:tcBorders>
              <w:top w:val="single" w:sz="8" w:color="CFF0FC"/>
            </w:tcBorders>
          </w:tcPr>
          <w:p>
            <w:pPr>
              <w:spacing w:after="0"/>
              <w:rPr>
                <w:sz w:val="19"/>
                <w:szCs w:val="19"/>
                <w:color w:val="auto"/>
              </w:rPr>
            </w:pPr>
          </w:p>
        </w:tc>
        <w:tc>
          <w:tcPr>
            <w:tcW w:w="44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spacing w:after="0"/>
              <w:rPr>
                <w:sz w:val="19"/>
                <w:szCs w:val="19"/>
                <w:color w:val="auto"/>
              </w:rPr>
            </w:pPr>
          </w:p>
        </w:tc>
        <w:tc>
          <w:tcPr>
            <w:tcW w:w="140" w:type="dxa"/>
            <w:vAlign w:val="bottom"/>
            <w:tcBorders>
              <w:top w:val="single" w:sz="8" w:color="CFF0FC"/>
            </w:tcBorders>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spacing w:after="0"/>
              <w:rPr>
                <w:sz w:val="19"/>
                <w:szCs w:val="19"/>
                <w:color w:val="auto"/>
              </w:rPr>
            </w:pPr>
          </w:p>
        </w:tc>
        <w:tc>
          <w:tcPr>
            <w:tcW w:w="140" w:type="dxa"/>
            <w:vAlign w:val="bottom"/>
            <w:tcBorders>
              <w:top w:val="single" w:sz="8" w:color="CFF0FC"/>
            </w:tcBorders>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120" w:type="dxa"/>
            <w:vAlign w:val="bottom"/>
            <w:tcBorders>
              <w:top w:val="single" w:sz="8" w:color="CFF0FC"/>
            </w:tcBorders>
          </w:tcPr>
          <w:p>
            <w:pPr>
              <w:spacing w:after="0"/>
              <w:rPr>
                <w:sz w:val="19"/>
                <w:szCs w:val="19"/>
                <w:color w:val="auto"/>
              </w:rPr>
            </w:pPr>
          </w:p>
        </w:tc>
        <w:tc>
          <w:tcPr>
            <w:tcW w:w="44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spacing w:after="0"/>
              <w:rPr>
                <w:sz w:val="19"/>
                <w:szCs w:val="19"/>
                <w:color w:val="auto"/>
              </w:rPr>
            </w:pPr>
          </w:p>
        </w:tc>
        <w:tc>
          <w:tcPr>
            <w:tcW w:w="140" w:type="dxa"/>
            <w:vAlign w:val="bottom"/>
            <w:tcBorders>
              <w:top w:val="single" w:sz="8" w:color="CFF0FC"/>
            </w:tcBorders>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spacing w:after="0"/>
              <w:rPr>
                <w:sz w:val="19"/>
                <w:szCs w:val="19"/>
                <w:color w:val="auto"/>
              </w:rPr>
            </w:pPr>
          </w:p>
        </w:tc>
      </w:tr>
      <w:tr>
        <w:trPr>
          <w:trHeight w:val="247"/>
        </w:trPr>
        <w:tc>
          <w:tcPr>
            <w:tcW w:w="28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Finite-lived:</w:t>
            </w:r>
          </w:p>
        </w:tc>
        <w:tc>
          <w:tcPr>
            <w:tcW w:w="240" w:type="dxa"/>
            <w:vAlign w:val="bottom"/>
            <w:shd w:val="clear" w:color="auto" w:fill="CFF0FC"/>
          </w:tcPr>
          <w:p>
            <w:pPr>
              <w:spacing w:after="0"/>
              <w:rPr>
                <w:sz w:val="21"/>
                <w:szCs w:val="21"/>
                <w:color w:val="auto"/>
              </w:rPr>
            </w:pPr>
          </w:p>
        </w:tc>
        <w:tc>
          <w:tcPr>
            <w:tcW w:w="108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440" w:type="dxa"/>
            <w:vAlign w:val="bottom"/>
            <w:shd w:val="clear" w:color="auto" w:fill="CFF0FC"/>
          </w:tcPr>
          <w:p>
            <w:pPr>
              <w:spacing w:after="0"/>
              <w:rPr>
                <w:sz w:val="21"/>
                <w:szCs w:val="21"/>
                <w:color w:val="auto"/>
              </w:rPr>
            </w:pPr>
          </w:p>
        </w:tc>
        <w:tc>
          <w:tcPr>
            <w:tcW w:w="88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98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96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440" w:type="dxa"/>
            <w:vAlign w:val="bottom"/>
            <w:shd w:val="clear" w:color="auto" w:fill="CFF0FC"/>
          </w:tcPr>
          <w:p>
            <w:pPr>
              <w:spacing w:after="0"/>
              <w:rPr>
                <w:sz w:val="21"/>
                <w:szCs w:val="21"/>
                <w:color w:val="auto"/>
              </w:rPr>
            </w:pPr>
          </w:p>
        </w:tc>
        <w:tc>
          <w:tcPr>
            <w:tcW w:w="84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000" w:type="dxa"/>
            <w:vAlign w:val="bottom"/>
            <w:shd w:val="clear" w:color="auto" w:fill="CFF0FC"/>
          </w:tcPr>
          <w:p>
            <w:pPr>
              <w:spacing w:after="0"/>
              <w:rPr>
                <w:sz w:val="21"/>
                <w:szCs w:val="21"/>
                <w:color w:val="auto"/>
              </w:rPr>
            </w:pPr>
          </w:p>
        </w:tc>
      </w:tr>
      <w:tr>
        <w:trPr>
          <w:trHeight w:val="239"/>
        </w:trPr>
        <w:tc>
          <w:tcPr>
            <w:tcW w:w="28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Customer relationships</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819.4</w:t>
            </w:r>
          </w:p>
        </w:tc>
        <w:tc>
          <w:tcPr>
            <w:tcW w:w="580" w:type="dxa"/>
            <w:vAlign w:val="bottom"/>
            <w:gridSpan w:val="2"/>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498.0</w:t>
            </w:r>
          </w:p>
        </w:tc>
        <w:tc>
          <w:tcPr>
            <w:tcW w:w="42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321.4</w:t>
            </w:r>
          </w:p>
        </w:tc>
        <w:tc>
          <w:tcPr>
            <w:tcW w:w="38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824.9</w:t>
            </w:r>
          </w:p>
        </w:tc>
        <w:tc>
          <w:tcPr>
            <w:tcW w:w="640" w:type="dxa"/>
            <w:vAlign w:val="bottom"/>
            <w:gridSpan w:val="3"/>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486.0</w:t>
            </w:r>
          </w:p>
        </w:tc>
        <w:tc>
          <w:tcPr>
            <w:tcW w:w="140" w:type="dxa"/>
            <w:vAlign w:val="bottom"/>
          </w:tcPr>
          <w:p>
            <w:pPr>
              <w:spacing w:after="0"/>
              <w:rPr>
                <w:sz w:val="20"/>
                <w:szCs w:val="20"/>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338.9</w:t>
            </w:r>
          </w:p>
        </w:tc>
      </w:tr>
      <w:tr>
        <w:trPr>
          <w:trHeight w:val="243"/>
        </w:trPr>
        <w:tc>
          <w:tcPr>
            <w:tcW w:w="2840" w:type="dxa"/>
            <w:vAlign w:val="bottom"/>
            <w:tcBorders>
              <w:bottom w:val="single" w:sz="8" w:color="CFF0FC"/>
            </w:tcBorders>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Other</w:t>
            </w:r>
          </w:p>
        </w:tc>
        <w:tc>
          <w:tcPr>
            <w:tcW w:w="240" w:type="dxa"/>
            <w:vAlign w:val="bottom"/>
            <w:tcBorders>
              <w:bottom w:val="single" w:sz="8" w:color="auto"/>
            </w:tcBorders>
            <w:shd w:val="clear" w:color="auto" w:fill="CFF0FC"/>
          </w:tcPr>
          <w:p>
            <w:pPr>
              <w:spacing w:after="0"/>
              <w:rPr>
                <w:sz w:val="21"/>
                <w:szCs w:val="21"/>
                <w:color w:val="auto"/>
              </w:rPr>
            </w:pPr>
          </w:p>
        </w:tc>
        <w:tc>
          <w:tcPr>
            <w:tcW w:w="108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21.2</w:t>
            </w:r>
          </w:p>
        </w:tc>
        <w:tc>
          <w:tcPr>
            <w:tcW w:w="140" w:type="dxa"/>
            <w:vAlign w:val="bottom"/>
            <w:tcBorders>
              <w:bottom w:val="single" w:sz="8" w:color="CFF0FC"/>
            </w:tcBorders>
            <w:shd w:val="clear" w:color="auto" w:fill="CFF0FC"/>
          </w:tcPr>
          <w:p>
            <w:pPr>
              <w:spacing w:after="0"/>
              <w:rPr>
                <w:sz w:val="21"/>
                <w:szCs w:val="21"/>
                <w:color w:val="auto"/>
              </w:rPr>
            </w:pPr>
          </w:p>
        </w:tc>
        <w:tc>
          <w:tcPr>
            <w:tcW w:w="440" w:type="dxa"/>
            <w:vAlign w:val="bottom"/>
            <w:tcBorders>
              <w:bottom w:val="single" w:sz="8" w:color="auto"/>
            </w:tcBorders>
            <w:shd w:val="clear" w:color="auto" w:fill="CFF0FC"/>
          </w:tcPr>
          <w:p>
            <w:pPr>
              <w:spacing w:after="0"/>
              <w:rPr>
                <w:sz w:val="21"/>
                <w:szCs w:val="21"/>
                <w:color w:val="auto"/>
              </w:rPr>
            </w:pPr>
          </w:p>
        </w:tc>
        <w:tc>
          <w:tcPr>
            <w:tcW w:w="88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21.2</w:t>
            </w:r>
          </w:p>
        </w:tc>
        <w:tc>
          <w:tcPr>
            <w:tcW w:w="140" w:type="dxa"/>
            <w:vAlign w:val="bottom"/>
            <w:tcBorders>
              <w:bottom w:val="single" w:sz="8" w:color="CFF0FC"/>
            </w:tcBorders>
            <w:shd w:val="clear" w:color="auto" w:fill="CFF0FC"/>
          </w:tcPr>
          <w:p>
            <w:pPr>
              <w:spacing w:after="0"/>
              <w:rPr>
                <w:sz w:val="21"/>
                <w:szCs w:val="21"/>
                <w:color w:val="auto"/>
              </w:rPr>
            </w:pPr>
          </w:p>
        </w:tc>
        <w:tc>
          <w:tcPr>
            <w:tcW w:w="280" w:type="dxa"/>
            <w:vAlign w:val="bottom"/>
            <w:tcBorders>
              <w:bottom w:val="single" w:sz="8" w:color="auto"/>
            </w:tcBorders>
            <w:shd w:val="clear" w:color="auto" w:fill="CFF0FC"/>
          </w:tcPr>
          <w:p>
            <w:pPr>
              <w:spacing w:after="0"/>
              <w:rPr>
                <w:sz w:val="21"/>
                <w:szCs w:val="21"/>
                <w:color w:val="auto"/>
              </w:rPr>
            </w:pPr>
          </w:p>
        </w:tc>
        <w:tc>
          <w:tcPr>
            <w:tcW w:w="98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auto"/>
            </w:tcBorders>
            <w:shd w:val="clear" w:color="auto" w:fill="CFF0FC"/>
          </w:tcPr>
          <w:p>
            <w:pPr>
              <w:spacing w:after="0"/>
              <w:rPr>
                <w:sz w:val="21"/>
                <w:szCs w:val="21"/>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21.5</w:t>
            </w:r>
          </w:p>
        </w:tc>
        <w:tc>
          <w:tcPr>
            <w:tcW w:w="80" w:type="dxa"/>
            <w:vAlign w:val="bottom"/>
            <w:tcBorders>
              <w:bottom w:val="single" w:sz="8" w:color="auto"/>
            </w:tcBorders>
            <w:shd w:val="clear" w:color="auto" w:fill="CFF0FC"/>
          </w:tcPr>
          <w:p>
            <w:pPr>
              <w:spacing w:after="0"/>
              <w:rPr>
                <w:sz w:val="21"/>
                <w:szCs w:val="21"/>
                <w:color w:val="auto"/>
              </w:rPr>
            </w:pPr>
          </w:p>
        </w:tc>
        <w:tc>
          <w:tcPr>
            <w:tcW w:w="120" w:type="dxa"/>
            <w:vAlign w:val="bottom"/>
            <w:tcBorders>
              <w:bottom w:val="single" w:sz="8" w:color="CFF0FC"/>
            </w:tcBorders>
            <w:shd w:val="clear" w:color="auto" w:fill="CFF0FC"/>
          </w:tcPr>
          <w:p>
            <w:pPr>
              <w:spacing w:after="0"/>
              <w:rPr>
                <w:sz w:val="21"/>
                <w:szCs w:val="21"/>
                <w:color w:val="auto"/>
              </w:rPr>
            </w:pPr>
          </w:p>
        </w:tc>
        <w:tc>
          <w:tcPr>
            <w:tcW w:w="440" w:type="dxa"/>
            <w:vAlign w:val="bottom"/>
            <w:tcBorders>
              <w:bottom w:val="single" w:sz="8" w:color="auto"/>
            </w:tcBorders>
            <w:shd w:val="clear" w:color="auto" w:fill="CFF0FC"/>
          </w:tcPr>
          <w:p>
            <w:pPr>
              <w:spacing w:after="0"/>
              <w:rPr>
                <w:sz w:val="21"/>
                <w:szCs w:val="21"/>
                <w:color w:val="auto"/>
              </w:rPr>
            </w:pPr>
          </w:p>
        </w:tc>
        <w:tc>
          <w:tcPr>
            <w:tcW w:w="84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21.2</w:t>
            </w:r>
          </w:p>
        </w:tc>
        <w:tc>
          <w:tcPr>
            <w:tcW w:w="140" w:type="dxa"/>
            <w:vAlign w:val="bottom"/>
            <w:tcBorders>
              <w:bottom w:val="single" w:sz="8" w:color="CFF0FC"/>
            </w:tcBorders>
            <w:shd w:val="clear" w:color="auto" w:fill="CFF0FC"/>
          </w:tcPr>
          <w:p>
            <w:pPr>
              <w:spacing w:after="0"/>
              <w:rPr>
                <w:sz w:val="21"/>
                <w:szCs w:val="21"/>
                <w:color w:val="auto"/>
              </w:rPr>
            </w:pPr>
          </w:p>
        </w:tc>
        <w:tc>
          <w:tcPr>
            <w:tcW w:w="260" w:type="dxa"/>
            <w:vAlign w:val="bottom"/>
            <w:tcBorders>
              <w:bottom w:val="single" w:sz="8" w:color="auto"/>
            </w:tcBorders>
            <w:shd w:val="clear" w:color="auto" w:fill="CFF0FC"/>
          </w:tcPr>
          <w:p>
            <w:pPr>
              <w:spacing w:after="0"/>
              <w:rPr>
                <w:sz w:val="21"/>
                <w:szCs w:val="21"/>
                <w:color w:val="auto"/>
              </w:rPr>
            </w:pPr>
          </w:p>
        </w:tc>
        <w:tc>
          <w:tcPr>
            <w:tcW w:w="100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0.3</w:t>
            </w:r>
          </w:p>
        </w:tc>
      </w:tr>
      <w:tr>
        <w:trPr>
          <w:trHeight w:val="236"/>
        </w:trPr>
        <w:tc>
          <w:tcPr>
            <w:tcW w:w="284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840.6</w:t>
            </w:r>
          </w:p>
        </w:tc>
        <w:tc>
          <w:tcPr>
            <w:tcW w:w="140" w:type="dxa"/>
            <w:vAlign w:val="bottom"/>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519.2</w:t>
            </w:r>
          </w:p>
        </w:tc>
        <w:tc>
          <w:tcPr>
            <w:tcW w:w="14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321.4</w:t>
            </w:r>
          </w:p>
        </w:tc>
        <w:tc>
          <w:tcPr>
            <w:tcW w:w="14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846.4</w:t>
            </w:r>
          </w:p>
        </w:tc>
        <w:tc>
          <w:tcPr>
            <w:tcW w:w="8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507.2</w:t>
            </w:r>
          </w:p>
        </w:tc>
        <w:tc>
          <w:tcPr>
            <w:tcW w:w="14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339.2</w:t>
            </w:r>
          </w:p>
        </w:tc>
      </w:tr>
      <w:tr>
        <w:trPr>
          <w:trHeight w:val="241"/>
        </w:trPr>
        <w:tc>
          <w:tcPr>
            <w:tcW w:w="28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Indefinite-lived:</w:t>
            </w:r>
          </w:p>
        </w:tc>
        <w:tc>
          <w:tcPr>
            <w:tcW w:w="240" w:type="dxa"/>
            <w:vAlign w:val="bottom"/>
            <w:shd w:val="clear" w:color="auto" w:fill="CFF0FC"/>
          </w:tcPr>
          <w:p>
            <w:pPr>
              <w:spacing w:after="0"/>
              <w:rPr>
                <w:sz w:val="20"/>
                <w:szCs w:val="20"/>
                <w:color w:val="auto"/>
              </w:rPr>
            </w:pPr>
          </w:p>
        </w:tc>
        <w:tc>
          <w:tcPr>
            <w:tcW w:w="108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440" w:type="dxa"/>
            <w:vAlign w:val="bottom"/>
            <w:shd w:val="clear" w:color="auto" w:fill="CFF0FC"/>
          </w:tcPr>
          <w:p>
            <w:pPr>
              <w:spacing w:after="0"/>
              <w:rPr>
                <w:sz w:val="20"/>
                <w:szCs w:val="20"/>
                <w:color w:val="auto"/>
              </w:rPr>
            </w:pPr>
          </w:p>
        </w:tc>
        <w:tc>
          <w:tcPr>
            <w:tcW w:w="88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98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96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440" w:type="dxa"/>
            <w:vAlign w:val="bottom"/>
            <w:shd w:val="clear" w:color="auto" w:fill="CFF0FC"/>
          </w:tcPr>
          <w:p>
            <w:pPr>
              <w:spacing w:after="0"/>
              <w:rPr>
                <w:sz w:val="20"/>
                <w:szCs w:val="20"/>
                <w:color w:val="auto"/>
              </w:rPr>
            </w:pPr>
          </w:p>
        </w:tc>
        <w:tc>
          <w:tcPr>
            <w:tcW w:w="84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1000" w:type="dxa"/>
            <w:vAlign w:val="bottom"/>
            <w:shd w:val="clear" w:color="auto" w:fill="CFF0FC"/>
          </w:tcPr>
          <w:p>
            <w:pPr>
              <w:spacing w:after="0"/>
              <w:rPr>
                <w:sz w:val="20"/>
                <w:szCs w:val="20"/>
                <w:color w:val="auto"/>
              </w:rPr>
            </w:pPr>
          </w:p>
        </w:tc>
      </w:tr>
      <w:tr>
        <w:trPr>
          <w:trHeight w:val="243"/>
        </w:trPr>
        <w:tc>
          <w:tcPr>
            <w:tcW w:w="2840" w:type="dxa"/>
            <w:vAlign w:val="bottom"/>
          </w:tcPr>
          <w:p>
            <w:pPr>
              <w:ind w:left="380"/>
              <w:spacing w:after="0" w:line="243" w:lineRule="exact"/>
              <w:rPr>
                <w:sz w:val="20"/>
                <w:szCs w:val="20"/>
                <w:color w:val="auto"/>
              </w:rPr>
            </w:pPr>
            <w:r>
              <w:rPr>
                <w:rFonts w:ascii="Times New Roman" w:cs="Times New Roman" w:eastAsia="Times New Roman" w:hAnsi="Times New Roman"/>
                <w:sz w:val="18"/>
                <w:szCs w:val="18"/>
                <w:color w:val="auto"/>
              </w:rPr>
              <w:t>Tradenames</w:t>
            </w:r>
            <w:r>
              <w:rPr>
                <w:rFonts w:ascii="Times New Roman" w:cs="Times New Roman" w:eastAsia="Times New Roman" w:hAnsi="Times New Roman"/>
                <w:sz w:val="24"/>
                <w:szCs w:val="24"/>
                <w:color w:val="auto"/>
                <w:vertAlign w:val="superscript"/>
              </w:rPr>
              <w:t>(b)</w:t>
            </w:r>
          </w:p>
        </w:tc>
        <w:tc>
          <w:tcPr>
            <w:tcW w:w="240" w:type="dxa"/>
            <w:vAlign w:val="bottom"/>
          </w:tcPr>
          <w:p>
            <w:pPr>
              <w:spacing w:after="0"/>
              <w:rPr>
                <w:sz w:val="21"/>
                <w:szCs w:val="21"/>
                <w:color w:val="auto"/>
              </w:rPr>
            </w:pPr>
          </w:p>
        </w:tc>
        <w:tc>
          <w:tcPr>
            <w:tcW w:w="10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52.0</w:t>
            </w:r>
          </w:p>
        </w:tc>
        <w:tc>
          <w:tcPr>
            <w:tcW w:w="1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52.0</w:t>
            </w:r>
          </w:p>
        </w:tc>
        <w:tc>
          <w:tcPr>
            <w:tcW w:w="1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52.0</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1"/>
                <w:szCs w:val="21"/>
                <w:color w:val="auto"/>
              </w:rPr>
            </w:pPr>
          </w:p>
        </w:tc>
        <w:tc>
          <w:tcPr>
            <w:tcW w:w="10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52.0</w:t>
            </w:r>
          </w:p>
        </w:tc>
      </w:tr>
      <w:tr>
        <w:trPr>
          <w:trHeight w:val="239"/>
        </w:trPr>
        <w:tc>
          <w:tcPr>
            <w:tcW w:w="2840" w:type="dxa"/>
            <w:vAlign w:val="bottom"/>
            <w:tcBorders>
              <w:bottom w:val="single" w:sz="8" w:color="CFF0FC"/>
            </w:tcBorders>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Reacquired franchise rights</w:t>
            </w:r>
          </w:p>
        </w:tc>
        <w:tc>
          <w:tcPr>
            <w:tcW w:w="240" w:type="dxa"/>
            <w:vAlign w:val="bottom"/>
            <w:tcBorders>
              <w:bottom w:val="single" w:sz="8" w:color="auto"/>
            </w:tcBorders>
            <w:shd w:val="clear" w:color="auto" w:fill="CFF0FC"/>
          </w:tcPr>
          <w:p>
            <w:pPr>
              <w:spacing w:after="0"/>
              <w:rPr>
                <w:sz w:val="20"/>
                <w:szCs w:val="20"/>
                <w:color w:val="auto"/>
              </w:rPr>
            </w:pPr>
          </w:p>
        </w:tc>
        <w:tc>
          <w:tcPr>
            <w:tcW w:w="108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126.4</w:t>
            </w:r>
          </w:p>
        </w:tc>
        <w:tc>
          <w:tcPr>
            <w:tcW w:w="140" w:type="dxa"/>
            <w:vAlign w:val="bottom"/>
            <w:tcBorders>
              <w:bottom w:val="single" w:sz="8" w:color="CFF0FC"/>
            </w:tcBorders>
            <w:shd w:val="clear" w:color="auto" w:fill="CFF0FC"/>
          </w:tcPr>
          <w:p>
            <w:pPr>
              <w:spacing w:after="0"/>
              <w:rPr>
                <w:sz w:val="20"/>
                <w:szCs w:val="20"/>
                <w:color w:val="auto"/>
              </w:rPr>
            </w:pPr>
          </w:p>
        </w:tc>
        <w:tc>
          <w:tcPr>
            <w:tcW w:w="440" w:type="dxa"/>
            <w:vAlign w:val="bottom"/>
            <w:tcBorders>
              <w:bottom w:val="single" w:sz="8" w:color="auto"/>
            </w:tcBorders>
            <w:shd w:val="clear" w:color="auto" w:fill="CFF0FC"/>
          </w:tcPr>
          <w:p>
            <w:pPr>
              <w:spacing w:after="0"/>
              <w:rPr>
                <w:sz w:val="20"/>
                <w:szCs w:val="20"/>
                <w:color w:val="auto"/>
              </w:rPr>
            </w:pPr>
          </w:p>
        </w:tc>
        <w:tc>
          <w:tcPr>
            <w:tcW w:w="88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FF0FC"/>
            </w:tcBorders>
            <w:shd w:val="clear" w:color="auto" w:fill="CFF0FC"/>
          </w:tcPr>
          <w:p>
            <w:pPr>
              <w:spacing w:after="0"/>
              <w:rPr>
                <w:sz w:val="20"/>
                <w:szCs w:val="20"/>
                <w:color w:val="auto"/>
              </w:rPr>
            </w:pPr>
          </w:p>
        </w:tc>
        <w:tc>
          <w:tcPr>
            <w:tcW w:w="280" w:type="dxa"/>
            <w:vAlign w:val="bottom"/>
            <w:tcBorders>
              <w:bottom w:val="single" w:sz="8" w:color="auto"/>
            </w:tcBorders>
            <w:shd w:val="clear" w:color="auto" w:fill="CFF0FC"/>
          </w:tcPr>
          <w:p>
            <w:pPr>
              <w:spacing w:after="0"/>
              <w:rPr>
                <w:sz w:val="20"/>
                <w:szCs w:val="20"/>
                <w:color w:val="auto"/>
              </w:rPr>
            </w:pPr>
          </w:p>
        </w:tc>
        <w:tc>
          <w:tcPr>
            <w:tcW w:w="98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126.4</w:t>
            </w:r>
          </w:p>
        </w:tc>
        <w:tc>
          <w:tcPr>
            <w:tcW w:w="140" w:type="dxa"/>
            <w:vAlign w:val="bottom"/>
            <w:tcBorders>
              <w:bottom w:val="single" w:sz="8" w:color="CFF0FC"/>
            </w:tcBorders>
            <w:shd w:val="clear" w:color="auto" w:fill="CFF0FC"/>
          </w:tcPr>
          <w:p>
            <w:pPr>
              <w:spacing w:after="0"/>
              <w:rPr>
                <w:sz w:val="20"/>
                <w:szCs w:val="20"/>
                <w:color w:val="auto"/>
              </w:rPr>
            </w:pPr>
          </w:p>
        </w:tc>
        <w:tc>
          <w:tcPr>
            <w:tcW w:w="240" w:type="dxa"/>
            <w:vAlign w:val="bottom"/>
            <w:tcBorders>
              <w:bottom w:val="single" w:sz="8" w:color="auto"/>
            </w:tcBorders>
            <w:shd w:val="clear" w:color="auto" w:fill="CFF0FC"/>
          </w:tcPr>
          <w:p>
            <w:pPr>
              <w:spacing w:after="0"/>
              <w:rPr>
                <w:sz w:val="20"/>
                <w:szCs w:val="20"/>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128.4</w:t>
            </w:r>
          </w:p>
        </w:tc>
        <w:tc>
          <w:tcPr>
            <w:tcW w:w="80" w:type="dxa"/>
            <w:vAlign w:val="bottom"/>
            <w:tcBorders>
              <w:bottom w:val="single" w:sz="8" w:color="auto"/>
            </w:tcBorders>
            <w:shd w:val="clear" w:color="auto" w:fill="CFF0FC"/>
          </w:tcPr>
          <w:p>
            <w:pPr>
              <w:spacing w:after="0"/>
              <w:rPr>
                <w:sz w:val="20"/>
                <w:szCs w:val="20"/>
                <w:color w:val="auto"/>
              </w:rPr>
            </w:pPr>
          </w:p>
        </w:tc>
        <w:tc>
          <w:tcPr>
            <w:tcW w:w="120" w:type="dxa"/>
            <w:vAlign w:val="bottom"/>
            <w:tcBorders>
              <w:bottom w:val="single" w:sz="8" w:color="CFF0FC"/>
            </w:tcBorders>
            <w:shd w:val="clear" w:color="auto" w:fill="CFF0FC"/>
          </w:tcPr>
          <w:p>
            <w:pPr>
              <w:spacing w:after="0"/>
              <w:rPr>
                <w:sz w:val="20"/>
                <w:szCs w:val="20"/>
                <w:color w:val="auto"/>
              </w:rPr>
            </w:pPr>
          </w:p>
        </w:tc>
        <w:tc>
          <w:tcPr>
            <w:tcW w:w="440" w:type="dxa"/>
            <w:vAlign w:val="bottom"/>
            <w:tcBorders>
              <w:bottom w:val="single" w:sz="8" w:color="auto"/>
            </w:tcBorders>
            <w:shd w:val="clear" w:color="auto" w:fill="CFF0FC"/>
          </w:tcPr>
          <w:p>
            <w:pPr>
              <w:spacing w:after="0"/>
              <w:rPr>
                <w:sz w:val="20"/>
                <w:szCs w:val="20"/>
                <w:color w:val="auto"/>
              </w:rPr>
            </w:pPr>
          </w:p>
        </w:tc>
        <w:tc>
          <w:tcPr>
            <w:tcW w:w="84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FF0FC"/>
            </w:tcBorders>
            <w:shd w:val="clear" w:color="auto" w:fill="CFF0FC"/>
          </w:tcPr>
          <w:p>
            <w:pPr>
              <w:spacing w:after="0"/>
              <w:rPr>
                <w:sz w:val="20"/>
                <w:szCs w:val="20"/>
                <w:color w:val="auto"/>
              </w:rPr>
            </w:pPr>
          </w:p>
        </w:tc>
        <w:tc>
          <w:tcPr>
            <w:tcW w:w="260" w:type="dxa"/>
            <w:vAlign w:val="bottom"/>
            <w:tcBorders>
              <w:bottom w:val="single" w:sz="8" w:color="auto"/>
            </w:tcBorders>
            <w:shd w:val="clear" w:color="auto" w:fill="CFF0FC"/>
          </w:tcPr>
          <w:p>
            <w:pPr>
              <w:spacing w:after="0"/>
              <w:rPr>
                <w:sz w:val="20"/>
                <w:szCs w:val="20"/>
                <w:color w:val="auto"/>
              </w:rPr>
            </w:pPr>
          </w:p>
        </w:tc>
        <w:tc>
          <w:tcPr>
            <w:tcW w:w="100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128.4</w:t>
            </w:r>
          </w:p>
        </w:tc>
      </w:tr>
      <w:tr>
        <w:trPr>
          <w:trHeight w:val="237"/>
        </w:trPr>
        <w:tc>
          <w:tcPr>
            <w:tcW w:w="284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178.4</w:t>
            </w:r>
          </w:p>
        </w:tc>
        <w:tc>
          <w:tcPr>
            <w:tcW w:w="140" w:type="dxa"/>
            <w:vAlign w:val="bottom"/>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178.4</w:t>
            </w:r>
          </w:p>
        </w:tc>
        <w:tc>
          <w:tcPr>
            <w:tcW w:w="14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180.4</w:t>
            </w:r>
          </w:p>
        </w:tc>
        <w:tc>
          <w:tcPr>
            <w:tcW w:w="8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180.4</w:t>
            </w:r>
          </w:p>
        </w:tc>
      </w:tr>
      <w:tr>
        <w:trPr>
          <w:trHeight w:val="277"/>
        </w:trPr>
        <w:tc>
          <w:tcPr>
            <w:tcW w:w="28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intangible assets</w:t>
            </w: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1,019.0</w:t>
            </w:r>
          </w:p>
        </w:tc>
        <w:tc>
          <w:tcPr>
            <w:tcW w:w="140" w:type="dxa"/>
            <w:vAlign w:val="bottom"/>
            <w:tcBorders>
              <w:bottom w:val="single" w:sz="8" w:color="CFF0FC"/>
            </w:tcBorders>
            <w:shd w:val="clear" w:color="auto" w:fill="CFF0FC"/>
          </w:tcPr>
          <w:p>
            <w:pPr>
              <w:spacing w:after="0"/>
              <w:rPr>
                <w:sz w:val="24"/>
                <w:szCs w:val="24"/>
                <w:color w:val="auto"/>
              </w:rPr>
            </w:pPr>
          </w:p>
        </w:tc>
        <w:tc>
          <w:tcPr>
            <w:tcW w:w="440" w:type="dxa"/>
            <w:vAlign w:val="bottom"/>
            <w:tcBorders>
              <w:bottom w:val="single" w:sz="8" w:color="auto"/>
            </w:tcBorders>
            <w:shd w:val="clear" w:color="auto" w:fill="CFF0FC"/>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519.2</w:t>
            </w:r>
          </w:p>
        </w:tc>
        <w:tc>
          <w:tcPr>
            <w:tcW w:w="140" w:type="dxa"/>
            <w:vAlign w:val="bottom"/>
            <w:tcBorders>
              <w:bottom w:val="single" w:sz="8" w:color="CFF0FC"/>
            </w:tcBorders>
            <w:shd w:val="clear" w:color="auto" w:fill="CFF0FC"/>
          </w:tcPr>
          <w:p>
            <w:pPr>
              <w:spacing w:after="0"/>
              <w:rPr>
                <w:sz w:val="24"/>
                <w:szCs w:val="24"/>
                <w:color w:val="auto"/>
              </w:rPr>
            </w:pPr>
          </w:p>
        </w:tc>
        <w:tc>
          <w:tcPr>
            <w:tcW w:w="280" w:type="dxa"/>
            <w:vAlign w:val="bottom"/>
            <w:tcBorders>
              <w:bottom w:val="single" w:sz="8" w:color="auto"/>
            </w:tcBorders>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499.8</w:t>
            </w:r>
          </w:p>
        </w:tc>
        <w:tc>
          <w:tcPr>
            <w:tcW w:w="140" w:type="dxa"/>
            <w:vAlign w:val="bottom"/>
            <w:tcBorders>
              <w:bottom w:val="single" w:sz="8" w:color="CFF0FC"/>
            </w:tcBorders>
            <w:shd w:val="clear" w:color="auto" w:fill="CFF0FC"/>
          </w:tcPr>
          <w:p>
            <w:pPr>
              <w:spacing w:after="0"/>
              <w:rPr>
                <w:sz w:val="24"/>
                <w:szCs w:val="24"/>
                <w:color w:val="auto"/>
              </w:rPr>
            </w:pP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1,026.8</w:t>
            </w:r>
          </w:p>
        </w:tc>
        <w:tc>
          <w:tcPr>
            <w:tcW w:w="80" w:type="dxa"/>
            <w:vAlign w:val="bottom"/>
            <w:tcBorders>
              <w:bottom w:val="single" w:sz="8" w:color="auto"/>
            </w:tcBorders>
            <w:shd w:val="clear" w:color="auto" w:fill="CFF0FC"/>
          </w:tcPr>
          <w:p>
            <w:pPr>
              <w:spacing w:after="0"/>
              <w:rPr>
                <w:sz w:val="24"/>
                <w:szCs w:val="24"/>
                <w:color w:val="auto"/>
              </w:rPr>
            </w:pPr>
          </w:p>
        </w:tc>
        <w:tc>
          <w:tcPr>
            <w:tcW w:w="120" w:type="dxa"/>
            <w:vAlign w:val="bottom"/>
            <w:tcBorders>
              <w:bottom w:val="single" w:sz="8" w:color="CFF0FC"/>
            </w:tcBorders>
            <w:shd w:val="clear" w:color="auto" w:fill="CFF0FC"/>
          </w:tcPr>
          <w:p>
            <w:pPr>
              <w:spacing w:after="0"/>
              <w:rPr>
                <w:sz w:val="24"/>
                <w:szCs w:val="24"/>
                <w:color w:val="auto"/>
              </w:rPr>
            </w:pPr>
          </w:p>
        </w:tc>
        <w:tc>
          <w:tcPr>
            <w:tcW w:w="440" w:type="dxa"/>
            <w:vAlign w:val="bottom"/>
            <w:tcBorders>
              <w:bottom w:val="single" w:sz="8" w:color="auto"/>
            </w:tcBorders>
            <w:shd w:val="clear" w:color="auto" w:fill="CFF0FC"/>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507.2</w:t>
            </w:r>
          </w:p>
        </w:tc>
        <w:tc>
          <w:tcPr>
            <w:tcW w:w="140" w:type="dxa"/>
            <w:vAlign w:val="bottom"/>
            <w:tcBorders>
              <w:bottom w:val="single" w:sz="8" w:color="CFF0FC"/>
            </w:tcBorders>
            <w:shd w:val="clear" w:color="auto" w:fill="CFF0FC"/>
          </w:tcPr>
          <w:p>
            <w:pPr>
              <w:spacing w:after="0"/>
              <w:rPr>
                <w:sz w:val="24"/>
                <w:szCs w:val="24"/>
                <w:color w:val="auto"/>
              </w:rPr>
            </w:pPr>
          </w:p>
        </w:tc>
        <w:tc>
          <w:tcPr>
            <w:tcW w:w="260" w:type="dxa"/>
            <w:vAlign w:val="bottom"/>
            <w:tcBorders>
              <w:bottom w:val="single" w:sz="8" w:color="auto"/>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519.6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2636520</wp:posOffset>
            </wp:positionH>
            <wp:positionV relativeFrom="paragraph">
              <wp:posOffset>-1628140</wp:posOffset>
            </wp:positionV>
            <wp:extent cx="94615"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94615" cy="8255"/>
                    </a:xfrm>
                    <a:prstGeom prst="rect">
                      <a:avLst/>
                    </a:prstGeom>
                    <a:noFill/>
                  </pic:spPr>
                </pic:pic>
              </a:graphicData>
            </a:graphic>
          </wp:anchor>
        </w:drawing>
        <w:drawing>
          <wp:anchor simplePos="0" relativeHeight="251657728" behindDoc="1" locked="0" layoutInCell="0" allowOverlap="1">
            <wp:simplePos x="0" y="0"/>
            <wp:positionH relativeFrom="column">
              <wp:posOffset>2636520</wp:posOffset>
            </wp:positionH>
            <wp:positionV relativeFrom="paragraph">
              <wp:posOffset>-1610995</wp:posOffset>
            </wp:positionV>
            <wp:extent cx="94615"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94615" cy="8255"/>
                    </a:xfrm>
                    <a:prstGeom prst="rect">
                      <a:avLst/>
                    </a:prstGeom>
                    <a:noFill/>
                  </pic:spPr>
                </pic:pic>
              </a:graphicData>
            </a:graphic>
          </wp:anchor>
        </w:drawing>
        <w:drawing>
          <wp:anchor simplePos="0" relativeHeight="251657728" behindDoc="1" locked="0" layoutInCell="0" allowOverlap="1">
            <wp:simplePos x="0" y="0"/>
            <wp:positionH relativeFrom="column">
              <wp:posOffset>3562350</wp:posOffset>
            </wp:positionH>
            <wp:positionV relativeFrom="paragraph">
              <wp:posOffset>-1628140</wp:posOffset>
            </wp:positionV>
            <wp:extent cx="93980"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3562350</wp:posOffset>
            </wp:positionH>
            <wp:positionV relativeFrom="paragraph">
              <wp:posOffset>-1610995</wp:posOffset>
            </wp:positionV>
            <wp:extent cx="93980"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4462780</wp:posOffset>
            </wp:positionH>
            <wp:positionV relativeFrom="paragraph">
              <wp:posOffset>-1628140</wp:posOffset>
            </wp:positionV>
            <wp:extent cx="85725" cy="82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4462780</wp:posOffset>
            </wp:positionH>
            <wp:positionV relativeFrom="paragraph">
              <wp:posOffset>-1610995</wp:posOffset>
            </wp:positionV>
            <wp:extent cx="85725"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5354320</wp:posOffset>
            </wp:positionH>
            <wp:positionV relativeFrom="paragraph">
              <wp:posOffset>-1628140</wp:posOffset>
            </wp:positionV>
            <wp:extent cx="85725"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5354320</wp:posOffset>
            </wp:positionH>
            <wp:positionV relativeFrom="paragraph">
              <wp:posOffset>-1610995</wp:posOffset>
            </wp:positionV>
            <wp:extent cx="85725"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6245860</wp:posOffset>
            </wp:positionH>
            <wp:positionV relativeFrom="paragraph">
              <wp:posOffset>-1628140</wp:posOffset>
            </wp:positionV>
            <wp:extent cx="85725"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6245860</wp:posOffset>
            </wp:positionH>
            <wp:positionV relativeFrom="paragraph">
              <wp:posOffset>-1610995</wp:posOffset>
            </wp:positionV>
            <wp:extent cx="85725"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2636520</wp:posOffset>
            </wp:positionH>
            <wp:positionV relativeFrom="paragraph">
              <wp:posOffset>-984885</wp:posOffset>
            </wp:positionV>
            <wp:extent cx="94615"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94615" cy="8255"/>
                    </a:xfrm>
                    <a:prstGeom prst="rect">
                      <a:avLst/>
                    </a:prstGeom>
                    <a:noFill/>
                  </pic:spPr>
                </pic:pic>
              </a:graphicData>
            </a:graphic>
          </wp:anchor>
        </w:drawing>
        <w:drawing>
          <wp:anchor simplePos="0" relativeHeight="251657728" behindDoc="1" locked="0" layoutInCell="0" allowOverlap="1">
            <wp:simplePos x="0" y="0"/>
            <wp:positionH relativeFrom="column">
              <wp:posOffset>3562350</wp:posOffset>
            </wp:positionH>
            <wp:positionV relativeFrom="paragraph">
              <wp:posOffset>-984885</wp:posOffset>
            </wp:positionV>
            <wp:extent cx="93980"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4462780</wp:posOffset>
            </wp:positionH>
            <wp:positionV relativeFrom="paragraph">
              <wp:posOffset>-984885</wp:posOffset>
            </wp:positionV>
            <wp:extent cx="85725" cy="8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5354320</wp:posOffset>
            </wp:positionH>
            <wp:positionV relativeFrom="paragraph">
              <wp:posOffset>-984885</wp:posOffset>
            </wp:positionV>
            <wp:extent cx="85725" cy="82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6245860</wp:posOffset>
            </wp:positionH>
            <wp:positionV relativeFrom="paragraph">
              <wp:posOffset>-984885</wp:posOffset>
            </wp:positionV>
            <wp:extent cx="85725" cy="8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2636520</wp:posOffset>
            </wp:positionH>
            <wp:positionV relativeFrom="paragraph">
              <wp:posOffset>-350520</wp:posOffset>
            </wp:positionV>
            <wp:extent cx="94615" cy="889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94615" cy="8890"/>
                    </a:xfrm>
                    <a:prstGeom prst="rect">
                      <a:avLst/>
                    </a:prstGeom>
                    <a:noFill/>
                  </pic:spPr>
                </pic:pic>
              </a:graphicData>
            </a:graphic>
          </wp:anchor>
        </w:drawing>
        <w:drawing>
          <wp:anchor simplePos="0" relativeHeight="251657728" behindDoc="1" locked="0" layoutInCell="0" allowOverlap="1">
            <wp:simplePos x="0" y="0"/>
            <wp:positionH relativeFrom="column">
              <wp:posOffset>3562350</wp:posOffset>
            </wp:positionH>
            <wp:positionV relativeFrom="paragraph">
              <wp:posOffset>-350520</wp:posOffset>
            </wp:positionV>
            <wp:extent cx="93980" cy="889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93980" cy="8890"/>
                    </a:xfrm>
                    <a:prstGeom prst="rect">
                      <a:avLst/>
                    </a:prstGeom>
                    <a:noFill/>
                  </pic:spPr>
                </pic:pic>
              </a:graphicData>
            </a:graphic>
          </wp:anchor>
        </w:drawing>
        <w:drawing>
          <wp:anchor simplePos="0" relativeHeight="251657728" behindDoc="1" locked="0" layoutInCell="0" allowOverlap="1">
            <wp:simplePos x="0" y="0"/>
            <wp:positionH relativeFrom="column">
              <wp:posOffset>4462780</wp:posOffset>
            </wp:positionH>
            <wp:positionV relativeFrom="paragraph">
              <wp:posOffset>-350520</wp:posOffset>
            </wp:positionV>
            <wp:extent cx="85725" cy="889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5354320</wp:posOffset>
            </wp:positionH>
            <wp:positionV relativeFrom="paragraph">
              <wp:posOffset>-350520</wp:posOffset>
            </wp:positionV>
            <wp:extent cx="85725" cy="889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6245860</wp:posOffset>
            </wp:positionH>
            <wp:positionV relativeFrom="paragraph">
              <wp:posOffset>-350520</wp:posOffset>
            </wp:positionV>
            <wp:extent cx="85725" cy="889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2636520</wp:posOffset>
            </wp:positionH>
            <wp:positionV relativeFrom="paragraph">
              <wp:posOffset>-24765</wp:posOffset>
            </wp:positionV>
            <wp:extent cx="94615" cy="82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94615" cy="8255"/>
                    </a:xfrm>
                    <a:prstGeom prst="rect">
                      <a:avLst/>
                    </a:prstGeom>
                    <a:noFill/>
                  </pic:spPr>
                </pic:pic>
              </a:graphicData>
            </a:graphic>
          </wp:anchor>
        </w:drawing>
        <w:drawing>
          <wp:anchor simplePos="0" relativeHeight="251657728" behindDoc="1" locked="0" layoutInCell="0" allowOverlap="1">
            <wp:simplePos x="0" y="0"/>
            <wp:positionH relativeFrom="column">
              <wp:posOffset>2636520</wp:posOffset>
            </wp:positionH>
            <wp:positionV relativeFrom="paragraph">
              <wp:posOffset>-7620</wp:posOffset>
            </wp:positionV>
            <wp:extent cx="94615"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94615" cy="8255"/>
                    </a:xfrm>
                    <a:prstGeom prst="rect">
                      <a:avLst/>
                    </a:prstGeom>
                    <a:noFill/>
                  </pic:spPr>
                </pic:pic>
              </a:graphicData>
            </a:graphic>
          </wp:anchor>
        </w:drawing>
        <w:drawing>
          <wp:anchor simplePos="0" relativeHeight="251657728" behindDoc="1" locked="0" layoutInCell="0" allowOverlap="1">
            <wp:simplePos x="0" y="0"/>
            <wp:positionH relativeFrom="column">
              <wp:posOffset>3562350</wp:posOffset>
            </wp:positionH>
            <wp:positionV relativeFrom="paragraph">
              <wp:posOffset>-24765</wp:posOffset>
            </wp:positionV>
            <wp:extent cx="93980" cy="82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3562350</wp:posOffset>
            </wp:positionH>
            <wp:positionV relativeFrom="paragraph">
              <wp:posOffset>-7620</wp:posOffset>
            </wp:positionV>
            <wp:extent cx="93980" cy="82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4462780</wp:posOffset>
            </wp:positionH>
            <wp:positionV relativeFrom="paragraph">
              <wp:posOffset>-24765</wp:posOffset>
            </wp:positionV>
            <wp:extent cx="85725" cy="82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4462780</wp:posOffset>
            </wp:positionH>
            <wp:positionV relativeFrom="paragraph">
              <wp:posOffset>-7620</wp:posOffset>
            </wp:positionV>
            <wp:extent cx="85725" cy="82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5354320</wp:posOffset>
            </wp:positionH>
            <wp:positionV relativeFrom="paragraph">
              <wp:posOffset>-24765</wp:posOffset>
            </wp:positionV>
            <wp:extent cx="85725" cy="82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5354320</wp:posOffset>
            </wp:positionH>
            <wp:positionV relativeFrom="paragraph">
              <wp:posOffset>-7620</wp:posOffset>
            </wp:positionV>
            <wp:extent cx="85725" cy="82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6245860</wp:posOffset>
            </wp:positionH>
            <wp:positionV relativeFrom="paragraph">
              <wp:posOffset>-24765</wp:posOffset>
            </wp:positionV>
            <wp:extent cx="85725" cy="82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6245860</wp:posOffset>
            </wp:positionH>
            <wp:positionV relativeFrom="paragraph">
              <wp:posOffset>-7620</wp:posOffset>
            </wp:positionV>
            <wp:extent cx="85725" cy="82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85725" cy="8255"/>
                    </a:xfrm>
                    <a:prstGeom prst="rect">
                      <a:avLst/>
                    </a:prstGeom>
                    <a:noFill/>
                  </pic:spPr>
                </pic:pic>
              </a:graphicData>
            </a:graphic>
          </wp:anchor>
        </w:drawing>
      </w:r>
    </w:p>
    <w:p>
      <w:pPr>
        <w:ind w:left="520" w:hanging="512"/>
        <w:spacing w:after="0"/>
        <w:tabs>
          <w:tab w:leader="none" w:pos="520" w:val="left"/>
        </w:tabs>
        <w:numPr>
          <w:ilvl w:val="0"/>
          <w:numId w:val="1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Balances were net of accumulated impairment loss of $749.3 as of both June 30, 2024 and December 31, 2023.</w:t>
      </w:r>
    </w:p>
    <w:p>
      <w:pPr>
        <w:spacing w:after="0" w:line="12" w:lineRule="exact"/>
        <w:rPr>
          <w:rFonts w:ascii="Times New Roman" w:cs="Times New Roman" w:eastAsia="Times New Roman" w:hAnsi="Times New Roman"/>
          <w:sz w:val="16"/>
          <w:szCs w:val="16"/>
          <w:color w:val="auto"/>
        </w:rPr>
      </w:pPr>
    </w:p>
    <w:p>
      <w:pPr>
        <w:ind w:left="520" w:hanging="512"/>
        <w:spacing w:after="0"/>
        <w:tabs>
          <w:tab w:leader="none" w:pos="520" w:val="left"/>
        </w:tabs>
        <w:numPr>
          <w:ilvl w:val="0"/>
          <w:numId w:val="1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Balances were net of accumulated impairment loss of $139.5 as of both June 30, 2024 and December 31, 2023.</w:t>
      </w:r>
    </w:p>
    <w:p>
      <w:pPr>
        <w:spacing w:after="0" w:line="222"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Total consolidated amortization expense related to intangible assets for the remainder of 2024 is expected to be $16.2 and in each of the next five years as follows: 2025 - $30.3, 2026 - $26.8, 2027 - $26.2, 2028 - $26.2 and 2029 - $26.2.</w:t>
      </w: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color w:val="auto"/>
        </w:rPr>
        <w:t>Changes in the carrying value of goodwill by reportable segment and Corporate were as follows:</w:t>
      </w:r>
    </w:p>
    <w:p>
      <w:pPr>
        <w:spacing w:after="0" w:line="223" w:lineRule="exact"/>
        <w:rPr>
          <w:sz w:val="20"/>
          <w:szCs w:val="20"/>
          <w:color w:val="auto"/>
        </w:rPr>
      </w:pPr>
    </w:p>
    <w:tbl>
      <w:tblPr>
        <w:tblLayout w:type="fixed"/>
        <w:tblInd w:w="240" w:type="dxa"/>
        <w:tblCellMar>
          <w:top w:w="0" w:type="dxa"/>
          <w:left w:w="0" w:type="dxa"/>
          <w:bottom w:w="0" w:type="dxa"/>
          <w:right w:w="0" w:type="dxa"/>
        </w:tblCellMar>
      </w:tblPr>
      <w:tr>
        <w:trPr>
          <w:trHeight w:val="207"/>
        </w:trPr>
        <w:tc>
          <w:tcPr>
            <w:tcW w:w="2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Southern</w:t>
            </w: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Northern</w:t>
            </w: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80" w:type="dxa"/>
            <w:vAlign w:val="bottom"/>
          </w:tcPr>
          <w:p>
            <w:pPr>
              <w:spacing w:after="0"/>
              <w:rPr>
                <w:sz w:val="17"/>
                <w:szCs w:val="17"/>
                <w:color w:val="auto"/>
              </w:rPr>
            </w:pPr>
          </w:p>
        </w:tc>
      </w:tr>
      <w:tr>
        <w:trPr>
          <w:trHeight w:val="272"/>
        </w:trPr>
        <w:tc>
          <w:tcPr>
            <w:tcW w:w="2720" w:type="dxa"/>
            <w:vAlign w:val="bottom"/>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1120" w:type="dxa"/>
            <w:vAlign w:val="bottom"/>
            <w:tcBorders>
              <w:bottom w:val="single" w:sz="8" w:color="auto"/>
            </w:tcBorders>
          </w:tcPr>
          <w:p>
            <w:pPr>
              <w:jc w:val="right"/>
              <w:ind w:right="150"/>
              <w:spacing w:after="0" w:line="272" w:lineRule="exact"/>
              <w:rPr>
                <w:sz w:val="20"/>
                <w:szCs w:val="20"/>
                <w:color w:val="auto"/>
              </w:rPr>
            </w:pPr>
            <w:r>
              <w:rPr>
                <w:rFonts w:ascii="Times New Roman" w:cs="Times New Roman" w:eastAsia="Times New Roman" w:hAnsi="Times New Roman"/>
                <w:sz w:val="18"/>
                <w:szCs w:val="18"/>
                <w:b w:val="1"/>
                <w:bCs w:val="1"/>
                <w:color w:val="auto"/>
                <w:w w:val="93"/>
              </w:rPr>
              <w:t>Americas</w:t>
            </w:r>
            <w:r>
              <w:rPr>
                <w:rFonts w:ascii="Times New Roman" w:cs="Times New Roman" w:eastAsia="Times New Roman" w:hAnsi="Times New Roman"/>
                <w:sz w:val="24"/>
                <w:szCs w:val="24"/>
                <w:b w:val="1"/>
                <w:bCs w:val="1"/>
                <w:color w:val="auto"/>
                <w:w w:val="93"/>
                <w:vertAlign w:val="superscript"/>
              </w:rPr>
              <w:t>(a)</w:t>
            </w:r>
          </w:p>
        </w:tc>
        <w:tc>
          <w:tcPr>
            <w:tcW w:w="140" w:type="dxa"/>
            <w:vAlign w:val="bottom"/>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1060" w:type="dxa"/>
            <w:vAlign w:val="bottom"/>
            <w:tcBorders>
              <w:bottom w:val="single" w:sz="8" w:color="auto"/>
            </w:tcBorders>
          </w:tcPr>
          <w:p>
            <w:pPr>
              <w:jc w:val="right"/>
              <w:ind w:right="210"/>
              <w:spacing w:after="0" w:line="272" w:lineRule="exact"/>
              <w:rPr>
                <w:sz w:val="20"/>
                <w:szCs w:val="20"/>
                <w:color w:val="auto"/>
              </w:rPr>
            </w:pPr>
            <w:r>
              <w:rPr>
                <w:rFonts w:ascii="Times New Roman" w:cs="Times New Roman" w:eastAsia="Times New Roman" w:hAnsi="Times New Roman"/>
                <w:sz w:val="18"/>
                <w:szCs w:val="18"/>
                <w:b w:val="1"/>
                <w:bCs w:val="1"/>
                <w:color w:val="auto"/>
                <w:w w:val="96"/>
              </w:rPr>
              <w:t>Europe</w:t>
            </w:r>
            <w:r>
              <w:rPr>
                <w:rFonts w:ascii="Times New Roman" w:cs="Times New Roman" w:eastAsia="Times New Roman" w:hAnsi="Times New Roman"/>
                <w:sz w:val="24"/>
                <w:szCs w:val="24"/>
                <w:b w:val="1"/>
                <w:bCs w:val="1"/>
                <w:color w:val="auto"/>
                <w:w w:val="96"/>
                <w:vertAlign w:val="superscript"/>
              </w:rPr>
              <w:t>(b)</w:t>
            </w:r>
          </w:p>
        </w:tc>
        <w:tc>
          <w:tcPr>
            <w:tcW w:w="160" w:type="dxa"/>
            <w:vAlign w:val="bottom"/>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106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Europe</w:t>
            </w:r>
          </w:p>
        </w:tc>
        <w:tc>
          <w:tcPr>
            <w:tcW w:w="160" w:type="dxa"/>
            <w:vAlign w:val="bottom"/>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102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APME</w:t>
            </w:r>
          </w:p>
        </w:tc>
        <w:tc>
          <w:tcPr>
            <w:tcW w:w="160" w:type="dxa"/>
            <w:vAlign w:val="bottom"/>
          </w:tcPr>
          <w:p>
            <w:pPr>
              <w:spacing w:after="0"/>
              <w:rPr>
                <w:sz w:val="23"/>
                <w:szCs w:val="23"/>
                <w:color w:val="auto"/>
              </w:rPr>
            </w:pPr>
          </w:p>
        </w:tc>
        <w:tc>
          <w:tcPr>
            <w:tcW w:w="1200" w:type="dxa"/>
            <w:vAlign w:val="bottom"/>
            <w:tcBorders>
              <w:bottom w:val="single" w:sz="8" w:color="auto"/>
            </w:tcBorders>
            <w:gridSpan w:val="2"/>
          </w:tcPr>
          <w:p>
            <w:pPr>
              <w:jc w:val="right"/>
              <w:ind w:right="90"/>
              <w:spacing w:after="0" w:line="272" w:lineRule="exact"/>
              <w:rPr>
                <w:sz w:val="20"/>
                <w:szCs w:val="20"/>
                <w:color w:val="auto"/>
              </w:rPr>
            </w:pPr>
            <w:r>
              <w:rPr>
                <w:rFonts w:ascii="Times New Roman" w:cs="Times New Roman" w:eastAsia="Times New Roman" w:hAnsi="Times New Roman"/>
                <w:sz w:val="18"/>
                <w:szCs w:val="18"/>
                <w:b w:val="1"/>
                <w:bCs w:val="1"/>
                <w:color w:val="auto"/>
              </w:rPr>
              <w:t>Corporate</w:t>
            </w:r>
            <w:r>
              <w:rPr>
                <w:rFonts w:ascii="Times New Roman" w:cs="Times New Roman" w:eastAsia="Times New Roman" w:hAnsi="Times New Roman"/>
                <w:sz w:val="24"/>
                <w:szCs w:val="24"/>
                <w:b w:val="1"/>
                <w:bCs w:val="1"/>
                <w:color w:val="auto"/>
                <w:vertAlign w:val="superscript"/>
              </w:rPr>
              <w:t>(c)</w:t>
            </w:r>
          </w:p>
        </w:tc>
        <w:tc>
          <w:tcPr>
            <w:tcW w:w="140" w:type="dxa"/>
            <w:vAlign w:val="bottom"/>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98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37"/>
        </w:trPr>
        <w:tc>
          <w:tcPr>
            <w:tcW w:w="2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Balance, December 31, 2023</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1,050.4</w:t>
            </w:r>
          </w:p>
        </w:tc>
        <w:tc>
          <w:tcPr>
            <w:tcW w:w="3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154.7</w:t>
            </w:r>
          </w:p>
        </w:tc>
        <w:tc>
          <w:tcPr>
            <w:tcW w:w="3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188.0</w:t>
            </w:r>
          </w:p>
        </w:tc>
        <w:tc>
          <w:tcPr>
            <w:tcW w:w="360" w:type="dxa"/>
            <w:vAlign w:val="bottom"/>
            <w:gridSpan w:val="2"/>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67.7</w:t>
            </w:r>
          </w:p>
        </w:tc>
        <w:tc>
          <w:tcPr>
            <w:tcW w:w="560" w:type="dxa"/>
            <w:vAlign w:val="bottom"/>
            <w:gridSpan w:val="2"/>
            <w:shd w:val="clear" w:color="auto" w:fill="CFF0FC"/>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126.0</w:t>
            </w:r>
          </w:p>
        </w:tc>
        <w:tc>
          <w:tcPr>
            <w:tcW w:w="360" w:type="dxa"/>
            <w:vAlign w:val="bottom"/>
            <w:gridSpan w:val="2"/>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1,586.8</w:t>
            </w:r>
          </w:p>
        </w:tc>
      </w:tr>
      <w:tr>
        <w:trPr>
          <w:trHeight w:val="239"/>
        </w:trPr>
        <w:tc>
          <w:tcPr>
            <w:tcW w:w="27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Currency impact</w:t>
            </w:r>
          </w:p>
        </w:tc>
        <w:tc>
          <w:tcPr>
            <w:tcW w:w="1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(1.5 )</w:t>
            </w:r>
          </w:p>
        </w:tc>
        <w:tc>
          <w:tcPr>
            <w:tcW w:w="14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(6.0 )</w:t>
            </w:r>
          </w:p>
        </w:tc>
        <w:tc>
          <w:tcPr>
            <w:tcW w:w="16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(3.0 )</w:t>
            </w:r>
          </w:p>
        </w:tc>
        <w:tc>
          <w:tcPr>
            <w:tcW w:w="16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(3.1 )</w:t>
            </w:r>
          </w:p>
        </w:tc>
        <w:tc>
          <w:tcPr>
            <w:tcW w:w="160" w:type="dxa"/>
            <w:vAlign w:val="bottom"/>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(13.6 )</w:t>
            </w:r>
          </w:p>
        </w:tc>
      </w:tr>
      <w:tr>
        <w:trPr>
          <w:trHeight w:val="276"/>
        </w:trPr>
        <w:tc>
          <w:tcPr>
            <w:tcW w:w="27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Balance, June 30, 2024</w:t>
            </w:r>
          </w:p>
        </w:tc>
        <w:tc>
          <w:tcPr>
            <w:tcW w:w="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1,048.9</w:t>
            </w:r>
          </w:p>
        </w:tc>
        <w:tc>
          <w:tcPr>
            <w:tcW w:w="140" w:type="dxa"/>
            <w:vAlign w:val="bottom"/>
            <w:tcBorders>
              <w:bottom w:val="single" w:sz="8" w:color="CFF0FC"/>
            </w:tcBorders>
            <w:shd w:val="clear" w:color="auto" w:fill="CFF0FC"/>
          </w:tcPr>
          <w:p>
            <w:pPr>
              <w:spacing w:after="0"/>
              <w:rPr>
                <w:sz w:val="24"/>
                <w:szCs w:val="24"/>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148.7</w:t>
            </w:r>
          </w:p>
        </w:tc>
        <w:tc>
          <w:tcPr>
            <w:tcW w:w="160" w:type="dxa"/>
            <w:vAlign w:val="bottom"/>
            <w:tcBorders>
              <w:bottom w:val="single" w:sz="8" w:color="CFF0FC"/>
            </w:tcBorders>
            <w:shd w:val="clear" w:color="auto" w:fill="CFF0FC"/>
          </w:tcPr>
          <w:p>
            <w:pPr>
              <w:spacing w:after="0"/>
              <w:rPr>
                <w:sz w:val="24"/>
                <w:szCs w:val="24"/>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185.0</w:t>
            </w:r>
          </w:p>
        </w:tc>
        <w:tc>
          <w:tcPr>
            <w:tcW w:w="160" w:type="dxa"/>
            <w:vAlign w:val="bottom"/>
            <w:tcBorders>
              <w:bottom w:val="single" w:sz="8" w:color="CFF0FC"/>
            </w:tcBorders>
            <w:shd w:val="clear" w:color="auto" w:fill="CFF0FC"/>
          </w:tcPr>
          <w:p>
            <w:pPr>
              <w:spacing w:after="0"/>
              <w:rPr>
                <w:sz w:val="24"/>
                <w:szCs w:val="24"/>
                <w:color w:val="auto"/>
              </w:rPr>
            </w:pPr>
          </w:p>
        </w:tc>
        <w:tc>
          <w:tcPr>
            <w:tcW w:w="200" w:type="dxa"/>
            <w:vAlign w:val="bottom"/>
            <w:tcBorders>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64.6</w:t>
            </w:r>
          </w:p>
        </w:tc>
        <w:tc>
          <w:tcPr>
            <w:tcW w:w="160" w:type="dxa"/>
            <w:vAlign w:val="bottom"/>
            <w:tcBorders>
              <w:bottom w:val="single" w:sz="8" w:color="CFF0FC"/>
            </w:tcBorders>
            <w:shd w:val="clear" w:color="auto" w:fill="CFF0FC"/>
          </w:tcPr>
          <w:p>
            <w:pPr>
              <w:spacing w:after="0"/>
              <w:rPr>
                <w:sz w:val="24"/>
                <w:szCs w:val="24"/>
                <w:color w:val="auto"/>
              </w:rPr>
            </w:pPr>
          </w:p>
        </w:tc>
        <w:tc>
          <w:tcPr>
            <w:tcW w:w="400" w:type="dxa"/>
            <w:vAlign w:val="bottom"/>
            <w:tcBorders>
              <w:bottom w:val="single" w:sz="8" w:color="auto"/>
            </w:tcBorders>
            <w:shd w:val="clear" w:color="auto" w:fill="CFF0FC"/>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126.0</w:t>
            </w:r>
          </w:p>
        </w:tc>
        <w:tc>
          <w:tcPr>
            <w:tcW w:w="140" w:type="dxa"/>
            <w:vAlign w:val="bottom"/>
            <w:tcBorders>
              <w:bottom w:val="single" w:sz="8" w:color="CFF0FC"/>
            </w:tcBorders>
            <w:shd w:val="clear" w:color="auto" w:fill="CFF0FC"/>
          </w:tcPr>
          <w:p>
            <w:pPr>
              <w:spacing w:after="0"/>
              <w:rPr>
                <w:sz w:val="24"/>
                <w:szCs w:val="24"/>
                <w:color w:val="auto"/>
              </w:rPr>
            </w:pPr>
          </w:p>
        </w:tc>
        <w:tc>
          <w:tcPr>
            <w:tcW w:w="22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1,573.2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2662555</wp:posOffset>
            </wp:positionH>
            <wp:positionV relativeFrom="paragraph">
              <wp:posOffset>-25400</wp:posOffset>
            </wp:positionV>
            <wp:extent cx="94615" cy="889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94615" cy="8890"/>
                    </a:xfrm>
                    <a:prstGeom prst="rect">
                      <a:avLst/>
                    </a:prstGeom>
                    <a:noFill/>
                  </pic:spPr>
                </pic:pic>
              </a:graphicData>
            </a:graphic>
          </wp:anchor>
        </w:drawing>
        <w:drawing>
          <wp:anchor simplePos="0" relativeHeight="251657728" behindDoc="1" locked="0" layoutInCell="0" allowOverlap="1">
            <wp:simplePos x="0" y="0"/>
            <wp:positionH relativeFrom="column">
              <wp:posOffset>2662555</wp:posOffset>
            </wp:positionH>
            <wp:positionV relativeFrom="paragraph">
              <wp:posOffset>-7620</wp:posOffset>
            </wp:positionV>
            <wp:extent cx="94615" cy="825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94615" cy="8255"/>
                    </a:xfrm>
                    <a:prstGeom prst="rect">
                      <a:avLst/>
                    </a:prstGeom>
                    <a:noFill/>
                  </pic:spPr>
                </pic:pic>
              </a:graphicData>
            </a:graphic>
          </wp:anchor>
        </w:drawing>
        <w:drawing>
          <wp:anchor simplePos="0" relativeHeight="251657728" behindDoc="1" locked="0" layoutInCell="0" allowOverlap="1">
            <wp:simplePos x="0" y="0"/>
            <wp:positionH relativeFrom="column">
              <wp:posOffset>3536950</wp:posOffset>
            </wp:positionH>
            <wp:positionV relativeFrom="paragraph">
              <wp:posOffset>-25400</wp:posOffset>
            </wp:positionV>
            <wp:extent cx="93980" cy="889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93980" cy="8890"/>
                    </a:xfrm>
                    <a:prstGeom prst="rect">
                      <a:avLst/>
                    </a:prstGeom>
                    <a:noFill/>
                  </pic:spPr>
                </pic:pic>
              </a:graphicData>
            </a:graphic>
          </wp:anchor>
        </w:drawing>
        <w:drawing>
          <wp:anchor simplePos="0" relativeHeight="251657728" behindDoc="1" locked="0" layoutInCell="0" allowOverlap="1">
            <wp:simplePos x="0" y="0"/>
            <wp:positionH relativeFrom="column">
              <wp:posOffset>3536950</wp:posOffset>
            </wp:positionH>
            <wp:positionV relativeFrom="paragraph">
              <wp:posOffset>-7620</wp:posOffset>
            </wp:positionV>
            <wp:extent cx="93980" cy="825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4411345</wp:posOffset>
            </wp:positionH>
            <wp:positionV relativeFrom="paragraph">
              <wp:posOffset>-25400</wp:posOffset>
            </wp:positionV>
            <wp:extent cx="94615" cy="889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94615" cy="8890"/>
                    </a:xfrm>
                    <a:prstGeom prst="rect">
                      <a:avLst/>
                    </a:prstGeom>
                    <a:noFill/>
                  </pic:spPr>
                </pic:pic>
              </a:graphicData>
            </a:graphic>
          </wp:anchor>
        </w:drawing>
        <w:drawing>
          <wp:anchor simplePos="0" relativeHeight="251657728" behindDoc="1" locked="0" layoutInCell="0" allowOverlap="1">
            <wp:simplePos x="0" y="0"/>
            <wp:positionH relativeFrom="column">
              <wp:posOffset>4411345</wp:posOffset>
            </wp:positionH>
            <wp:positionV relativeFrom="paragraph">
              <wp:posOffset>-7620</wp:posOffset>
            </wp:positionV>
            <wp:extent cx="94615" cy="825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94615" cy="8255"/>
                    </a:xfrm>
                    <a:prstGeom prst="rect">
                      <a:avLst/>
                    </a:prstGeom>
                    <a:noFill/>
                  </pic:spPr>
                </pic:pic>
              </a:graphicData>
            </a:graphic>
          </wp:anchor>
        </w:drawing>
        <w:drawing>
          <wp:anchor simplePos="0" relativeHeight="251657728" behindDoc="1" locked="0" layoutInCell="0" allowOverlap="1">
            <wp:simplePos x="0" y="0"/>
            <wp:positionH relativeFrom="column">
              <wp:posOffset>5285740</wp:posOffset>
            </wp:positionH>
            <wp:positionV relativeFrom="paragraph">
              <wp:posOffset>-25400</wp:posOffset>
            </wp:positionV>
            <wp:extent cx="93980" cy="889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93980" cy="8890"/>
                    </a:xfrm>
                    <a:prstGeom prst="rect">
                      <a:avLst/>
                    </a:prstGeom>
                    <a:noFill/>
                  </pic:spPr>
                </pic:pic>
              </a:graphicData>
            </a:graphic>
          </wp:anchor>
        </w:drawing>
        <w:drawing>
          <wp:anchor simplePos="0" relativeHeight="251657728" behindDoc="1" locked="0" layoutInCell="0" allowOverlap="1">
            <wp:simplePos x="0" y="0"/>
            <wp:positionH relativeFrom="column">
              <wp:posOffset>5285740</wp:posOffset>
            </wp:positionH>
            <wp:positionV relativeFrom="paragraph">
              <wp:posOffset>-7620</wp:posOffset>
            </wp:positionV>
            <wp:extent cx="93980" cy="825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6151245</wp:posOffset>
            </wp:positionH>
            <wp:positionV relativeFrom="paragraph">
              <wp:posOffset>-25400</wp:posOffset>
            </wp:positionV>
            <wp:extent cx="85725" cy="889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6151245</wp:posOffset>
            </wp:positionH>
            <wp:positionV relativeFrom="paragraph">
              <wp:posOffset>-7620</wp:posOffset>
            </wp:positionV>
            <wp:extent cx="85725" cy="825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85725" cy="8255"/>
                    </a:xfrm>
                    <a:prstGeom prst="rect">
                      <a:avLst/>
                    </a:prstGeom>
                    <a:noFill/>
                  </pic:spPr>
                </pic:pic>
              </a:graphicData>
            </a:graphic>
          </wp:anchor>
        </w:drawing>
      </w:r>
    </w:p>
    <w:p>
      <w:pPr>
        <w:ind w:left="600" w:right="180" w:hanging="292"/>
        <w:spacing w:after="0" w:line="261" w:lineRule="auto"/>
        <w:tabs>
          <w:tab w:leader="none" w:pos="600" w:val="left"/>
        </w:tabs>
        <w:numPr>
          <w:ilvl w:val="1"/>
          <w:numId w:val="1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Balances related to the United States were $1,005.8 as of both December 31, 2023 and June 30, 2024. Effective January 1, 2024, our segment reporting was realigned to include our Puerto Rico business within Other Americas. Accordingly, United States is now adjusted to exclude Puerto Rico. All previously reported results have been restated to conform to the current year presentation.</w:t>
      </w:r>
    </w:p>
    <w:p>
      <w:pPr>
        <w:spacing w:after="0" w:line="1" w:lineRule="exact"/>
        <w:rPr>
          <w:rFonts w:ascii="Times New Roman" w:cs="Times New Roman" w:eastAsia="Times New Roman" w:hAnsi="Times New Roman"/>
          <w:sz w:val="16"/>
          <w:szCs w:val="16"/>
          <w:color w:val="auto"/>
        </w:rPr>
      </w:pPr>
    </w:p>
    <w:p>
      <w:pPr>
        <w:ind w:left="600" w:right="460" w:hanging="292"/>
        <w:spacing w:after="0" w:line="264" w:lineRule="auto"/>
        <w:tabs>
          <w:tab w:leader="none" w:pos="600" w:val="left"/>
        </w:tabs>
        <w:numPr>
          <w:ilvl w:val="1"/>
          <w:numId w:val="1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Balances related to France were $75.6 and $73.4 as of December 31, 2023 and June 30, 2024, respectively. Balances related to Italy were $3.8 and $3.7 as of December 31, 2023 and June 30, 2024, respectively.</w:t>
      </w:r>
    </w:p>
    <w:p>
      <w:pPr>
        <w:ind w:left="600" w:right="20" w:hanging="292"/>
        <w:spacing w:after="0" w:line="272" w:lineRule="auto"/>
        <w:tabs>
          <w:tab w:leader="none" w:pos="600" w:val="left"/>
        </w:tabs>
        <w:numPr>
          <w:ilvl w:val="1"/>
          <w:numId w:val="1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majority of the Corporate balance relates to goodwill attributable to our acquisitions of Right Management ($62.1) and Jefferson Wells ($55.5). Jefferson Wells is part of the United States reporting unit. Right Management is allocated to the reporting units of the countries in which Right Management operates. For purposes of monitoring our total assets by segment, we do not allocate the Corporate balances to the respective reportable segments as this is commensurate with how we operate our business. We do, however, include these balances within the appropriate reporting units for our goodwill impairment testing.</w:t>
      </w:r>
    </w:p>
    <w:p>
      <w:pPr>
        <w:spacing w:after="0" w:line="391" w:lineRule="exact"/>
        <w:rPr>
          <w:rFonts w:ascii="Times New Roman" w:cs="Times New Roman" w:eastAsia="Times New Roman" w:hAnsi="Times New Roman"/>
          <w:sz w:val="16"/>
          <w:szCs w:val="16"/>
          <w:color w:val="auto"/>
        </w:rPr>
      </w:pPr>
    </w:p>
    <w:p>
      <w:pPr>
        <w:ind w:left="360" w:hanging="352"/>
        <w:spacing w:after="0"/>
        <w:tabs>
          <w:tab w:leader="none" w:pos="360" w:val="left"/>
        </w:tabs>
        <w:numPr>
          <w:ilvl w:val="0"/>
          <w:numId w:val="1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Retirement Plans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components of the net periodic benefit cost (credit) for our plans were as follows: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5780" w:type="dxa"/>
            <w:vAlign w:val="bottom"/>
          </w:tcPr>
          <w:p>
            <w:pPr>
              <w:spacing w:after="0"/>
              <w:rPr>
                <w:sz w:val="21"/>
                <w:szCs w:val="21"/>
                <w:color w:val="auto"/>
              </w:rPr>
            </w:pPr>
          </w:p>
        </w:tc>
        <w:tc>
          <w:tcPr>
            <w:tcW w:w="820" w:type="dxa"/>
            <w:vAlign w:val="bottom"/>
            <w:tcBorders>
              <w:bottom w:val="single" w:sz="8" w:color="auto"/>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2780" w:type="dxa"/>
            <w:vAlign w:val="bottom"/>
            <w:tcBorders>
              <w:bottom w:val="single" w:sz="8" w:color="auto"/>
            </w:tcBorders>
            <w:gridSpan w:val="6"/>
          </w:tcPr>
          <w:p>
            <w:pPr>
              <w:jc w:val="right"/>
              <w:ind w:right="420"/>
              <w:spacing w:after="0"/>
              <w:rPr>
                <w:sz w:val="20"/>
                <w:szCs w:val="20"/>
                <w:color w:val="auto"/>
              </w:rPr>
            </w:pPr>
            <w:r>
              <w:rPr>
                <w:rFonts w:ascii="Times New Roman" w:cs="Times New Roman" w:eastAsia="Times New Roman" w:hAnsi="Times New Roman"/>
                <w:sz w:val="18"/>
                <w:szCs w:val="18"/>
                <w:b w:val="1"/>
                <w:bCs w:val="1"/>
                <w:color w:val="auto"/>
              </w:rPr>
              <w:t>Defined Benefit Pension Plan</w:t>
            </w:r>
          </w:p>
        </w:tc>
        <w:tc>
          <w:tcPr>
            <w:tcW w:w="30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r>
      <w:tr>
        <w:trPr>
          <w:trHeight w:val="234"/>
        </w:trPr>
        <w:tc>
          <w:tcPr>
            <w:tcW w:w="5780" w:type="dxa"/>
            <w:vAlign w:val="bottom"/>
          </w:tcPr>
          <w:p>
            <w:pPr>
              <w:spacing w:after="0"/>
              <w:rPr>
                <w:sz w:val="20"/>
                <w:szCs w:val="20"/>
                <w:color w:val="auto"/>
              </w:rPr>
            </w:pPr>
          </w:p>
        </w:tc>
        <w:tc>
          <w:tcPr>
            <w:tcW w:w="2240" w:type="dxa"/>
            <w:vAlign w:val="bottom"/>
            <w:gridSpan w:val="4"/>
          </w:tcPr>
          <w:p>
            <w:pPr>
              <w:jc w:val="center"/>
              <w:ind w:left="270"/>
              <w:spacing w:after="0"/>
              <w:rPr>
                <w:sz w:val="20"/>
                <w:szCs w:val="20"/>
                <w:color w:val="auto"/>
              </w:rPr>
            </w:pPr>
            <w:r>
              <w:rPr>
                <w:rFonts w:ascii="Times New Roman" w:cs="Times New Roman" w:eastAsia="Times New Roman" w:hAnsi="Times New Roman"/>
                <w:sz w:val="18"/>
                <w:szCs w:val="18"/>
                <w:b w:val="1"/>
                <w:bCs w:val="1"/>
                <w:color w:val="auto"/>
                <w:w w:val="99"/>
              </w:rPr>
              <w:t>Three Months Ended</w:t>
            </w:r>
          </w:p>
        </w:tc>
        <w:tc>
          <w:tcPr>
            <w:tcW w:w="3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280" w:type="dxa"/>
            <w:vAlign w:val="bottom"/>
            <w:gridSpan w:val="4"/>
          </w:tcPr>
          <w:p>
            <w:pPr>
              <w:jc w:val="center"/>
              <w:ind w:right="170"/>
              <w:spacing w:after="0"/>
              <w:rPr>
                <w:sz w:val="20"/>
                <w:szCs w:val="20"/>
                <w:color w:val="auto"/>
              </w:rPr>
            </w:pPr>
            <w:r>
              <w:rPr>
                <w:rFonts w:ascii="Times New Roman" w:cs="Times New Roman" w:eastAsia="Times New Roman" w:hAnsi="Times New Roman"/>
                <w:sz w:val="18"/>
                <w:szCs w:val="18"/>
                <w:b w:val="1"/>
                <w:bCs w:val="1"/>
                <w:color w:val="auto"/>
                <w:w w:val="99"/>
              </w:rPr>
              <w:t>Six Months Ended</w:t>
            </w:r>
          </w:p>
        </w:tc>
        <w:tc>
          <w:tcPr>
            <w:tcW w:w="100" w:type="dxa"/>
            <w:vAlign w:val="bottom"/>
          </w:tcPr>
          <w:p>
            <w:pPr>
              <w:spacing w:after="0"/>
              <w:rPr>
                <w:sz w:val="20"/>
                <w:szCs w:val="20"/>
                <w:color w:val="auto"/>
              </w:rPr>
            </w:pPr>
          </w:p>
        </w:tc>
      </w:tr>
      <w:tr>
        <w:trPr>
          <w:trHeight w:val="245"/>
        </w:trPr>
        <w:tc>
          <w:tcPr>
            <w:tcW w:w="5780" w:type="dxa"/>
            <w:vAlign w:val="bottom"/>
          </w:tcPr>
          <w:p>
            <w:pPr>
              <w:spacing w:after="0"/>
              <w:rPr>
                <w:sz w:val="21"/>
                <w:szCs w:val="21"/>
                <w:color w:val="auto"/>
              </w:rPr>
            </w:pPr>
          </w:p>
        </w:tc>
        <w:tc>
          <w:tcPr>
            <w:tcW w:w="820" w:type="dxa"/>
            <w:vAlign w:val="bottom"/>
            <w:tcBorders>
              <w:bottom w:val="single" w:sz="8" w:color="auto"/>
            </w:tcBorders>
          </w:tcPr>
          <w:p>
            <w:pPr>
              <w:spacing w:after="0"/>
              <w:rPr>
                <w:sz w:val="21"/>
                <w:szCs w:val="21"/>
                <w:color w:val="auto"/>
              </w:rPr>
            </w:pPr>
          </w:p>
        </w:tc>
        <w:tc>
          <w:tcPr>
            <w:tcW w:w="1420" w:type="dxa"/>
            <w:vAlign w:val="bottom"/>
            <w:tcBorders>
              <w:bottom w:val="single" w:sz="8" w:color="auto"/>
            </w:tcBorders>
            <w:gridSpan w:val="3"/>
          </w:tcPr>
          <w:p>
            <w:pPr>
              <w:jc w:val="center"/>
              <w:ind w:right="370"/>
              <w:spacing w:after="0"/>
              <w:rPr>
                <w:sz w:val="20"/>
                <w:szCs w:val="20"/>
                <w:color w:val="auto"/>
              </w:rPr>
            </w:pPr>
            <w:r>
              <w:rPr>
                <w:rFonts w:ascii="Times New Roman" w:cs="Times New Roman" w:eastAsia="Times New Roman" w:hAnsi="Times New Roman"/>
                <w:sz w:val="18"/>
                <w:szCs w:val="18"/>
                <w:b w:val="1"/>
                <w:bCs w:val="1"/>
                <w:color w:val="auto"/>
                <w:w w:val="99"/>
              </w:rPr>
              <w:t>June 30,</w:t>
            </w:r>
          </w:p>
        </w:tc>
        <w:tc>
          <w:tcPr>
            <w:tcW w:w="360" w:type="dxa"/>
            <w:vAlign w:val="bottom"/>
            <w:tcBorders>
              <w:bottom w:val="single" w:sz="8" w:color="auto"/>
            </w:tcBorders>
          </w:tcPr>
          <w:p>
            <w:pPr>
              <w:spacing w:after="0"/>
              <w:rPr>
                <w:sz w:val="21"/>
                <w:szCs w:val="21"/>
                <w:color w:val="auto"/>
              </w:rPr>
            </w:pPr>
          </w:p>
        </w:tc>
        <w:tc>
          <w:tcPr>
            <w:tcW w:w="24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440" w:type="dxa"/>
            <w:vAlign w:val="bottom"/>
            <w:tcBorders>
              <w:bottom w:val="single" w:sz="8" w:color="auto"/>
            </w:tcBorders>
            <w:gridSpan w:val="3"/>
          </w:tcPr>
          <w:p>
            <w:pPr>
              <w:jc w:val="center"/>
              <w:ind w:left="510"/>
              <w:spacing w:after="0"/>
              <w:rPr>
                <w:sz w:val="20"/>
                <w:szCs w:val="20"/>
                <w:color w:val="auto"/>
              </w:rPr>
            </w:pPr>
            <w:r>
              <w:rPr>
                <w:rFonts w:ascii="Times New Roman" w:cs="Times New Roman" w:eastAsia="Times New Roman" w:hAnsi="Times New Roman"/>
                <w:sz w:val="18"/>
                <w:szCs w:val="18"/>
                <w:b w:val="1"/>
                <w:bCs w:val="1"/>
                <w:color w:val="auto"/>
                <w:w w:val="99"/>
              </w:rPr>
              <w:t>June 30,</w:t>
            </w:r>
          </w:p>
        </w:tc>
        <w:tc>
          <w:tcPr>
            <w:tcW w:w="84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r>
      <w:tr>
        <w:trPr>
          <w:trHeight w:val="241"/>
        </w:trPr>
        <w:tc>
          <w:tcPr>
            <w:tcW w:w="5780" w:type="dxa"/>
            <w:vAlign w:val="bottom"/>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340" w:type="dxa"/>
            <w:vAlign w:val="bottom"/>
            <w:tcBorders>
              <w:bottom w:val="single" w:sz="8" w:color="auto"/>
            </w:tcBorders>
          </w:tcPr>
          <w:p>
            <w:pPr>
              <w:spacing w:after="0"/>
              <w:rPr>
                <w:sz w:val="20"/>
                <w:szCs w:val="20"/>
                <w:color w:val="auto"/>
              </w:rPr>
            </w:pPr>
          </w:p>
        </w:tc>
        <w:tc>
          <w:tcPr>
            <w:tcW w:w="280" w:type="dxa"/>
            <w:vAlign w:val="bottom"/>
          </w:tcPr>
          <w:p>
            <w:pPr>
              <w:spacing w:after="0"/>
              <w:rPr>
                <w:sz w:val="20"/>
                <w:szCs w:val="20"/>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2023</w:t>
            </w:r>
          </w:p>
        </w:tc>
        <w:tc>
          <w:tcPr>
            <w:tcW w:w="360" w:type="dxa"/>
            <w:vAlign w:val="bottom"/>
            <w:tcBorders>
              <w:bottom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4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20"/>
                <w:szCs w:val="20"/>
                <w:color w:val="auto"/>
              </w:rPr>
            </w:pPr>
          </w:p>
        </w:tc>
      </w:tr>
      <w:tr>
        <w:trPr>
          <w:trHeight w:val="239"/>
        </w:trPr>
        <w:tc>
          <w:tcPr>
            <w:tcW w:w="57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Service cost</w:t>
            </w:r>
          </w:p>
        </w:tc>
        <w:tc>
          <w:tcPr>
            <w:tcW w:w="820" w:type="dxa"/>
            <w:vAlign w:val="bottom"/>
            <w:shd w:val="clear" w:color="auto" w:fill="CFF0FC"/>
          </w:tcPr>
          <w:p>
            <w:pPr>
              <w:jc w:val="right"/>
              <w:ind w:right="630"/>
              <w:spacing w:after="0"/>
              <w:rPr>
                <w:sz w:val="20"/>
                <w:szCs w:val="20"/>
                <w:color w:val="auto"/>
              </w:rPr>
            </w:pPr>
            <w:r>
              <w:rPr>
                <w:rFonts w:ascii="Times New Roman" w:cs="Times New Roman" w:eastAsia="Times New Roman" w:hAnsi="Times New Roman"/>
                <w:sz w:val="18"/>
                <w:szCs w:val="18"/>
                <w:color w:val="auto"/>
                <w:w w:val="88"/>
              </w:rPr>
              <w:t>$</w:t>
            </w:r>
          </w:p>
        </w:tc>
        <w:tc>
          <w:tcPr>
            <w:tcW w:w="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280" w:type="dxa"/>
            <w:vAlign w:val="bottom"/>
            <w:shd w:val="clear" w:color="auto" w:fill="CFF0FC"/>
          </w:tcPr>
          <w:p>
            <w:pPr>
              <w:spacing w:after="0"/>
              <w:rPr>
                <w:sz w:val="20"/>
                <w:szCs w:val="20"/>
                <w:color w:val="auto"/>
              </w:rPr>
            </w:pPr>
          </w:p>
        </w:tc>
        <w:tc>
          <w:tcPr>
            <w:tcW w:w="800" w:type="dxa"/>
            <w:vAlign w:val="bottom"/>
            <w:shd w:val="clear" w:color="auto" w:fill="CFF0FC"/>
          </w:tcPr>
          <w:p>
            <w:pPr>
              <w:jc w:val="right"/>
              <w:ind w:right="610"/>
              <w:spacing w:after="0"/>
              <w:rPr>
                <w:sz w:val="20"/>
                <w:szCs w:val="20"/>
                <w:color w:val="auto"/>
              </w:rPr>
            </w:pPr>
            <w:r>
              <w:rPr>
                <w:rFonts w:ascii="Times New Roman" w:cs="Times New Roman" w:eastAsia="Times New Roman" w:hAnsi="Times New Roman"/>
                <w:sz w:val="18"/>
                <w:szCs w:val="18"/>
                <w:color w:val="auto"/>
                <w:w w:val="88"/>
              </w:rPr>
              <w:t>$</w:t>
            </w:r>
          </w:p>
        </w:tc>
        <w:tc>
          <w:tcPr>
            <w:tcW w:w="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240" w:type="dxa"/>
            <w:vAlign w:val="bottom"/>
            <w:shd w:val="clear" w:color="auto" w:fill="CFF0FC"/>
          </w:tcPr>
          <w:p>
            <w:pPr>
              <w:spacing w:after="0"/>
              <w:rPr>
                <w:sz w:val="20"/>
                <w:szCs w:val="20"/>
                <w:color w:val="auto"/>
              </w:rPr>
            </w:pPr>
          </w:p>
        </w:tc>
        <w:tc>
          <w:tcPr>
            <w:tcW w:w="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8.1</w:t>
            </w:r>
          </w:p>
        </w:tc>
        <w:tc>
          <w:tcPr>
            <w:tcW w:w="240" w:type="dxa"/>
            <w:vAlign w:val="bottom"/>
            <w:shd w:val="clear" w:color="auto" w:fill="CFF0FC"/>
          </w:tcPr>
          <w:p>
            <w:pPr>
              <w:spacing w:after="0"/>
              <w:rPr>
                <w:sz w:val="20"/>
                <w:szCs w:val="20"/>
                <w:color w:val="auto"/>
              </w:rPr>
            </w:pPr>
          </w:p>
        </w:tc>
        <w:tc>
          <w:tcPr>
            <w:tcW w:w="30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7.7</w:t>
            </w:r>
          </w:p>
        </w:tc>
        <w:tc>
          <w:tcPr>
            <w:tcW w:w="100" w:type="dxa"/>
            <w:vAlign w:val="bottom"/>
            <w:shd w:val="clear" w:color="auto" w:fill="CFF0FC"/>
          </w:tcPr>
          <w:p>
            <w:pPr>
              <w:spacing w:after="0"/>
              <w:rPr>
                <w:sz w:val="20"/>
                <w:szCs w:val="20"/>
                <w:color w:val="auto"/>
              </w:rPr>
            </w:pPr>
          </w:p>
        </w:tc>
      </w:tr>
      <w:tr>
        <w:trPr>
          <w:trHeight w:val="239"/>
        </w:trPr>
        <w:tc>
          <w:tcPr>
            <w:tcW w:w="5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cost</w:t>
            </w:r>
          </w:p>
        </w:tc>
        <w:tc>
          <w:tcPr>
            <w:tcW w:w="820" w:type="dxa"/>
            <w:vAlign w:val="bottom"/>
          </w:tcPr>
          <w:p>
            <w:pPr>
              <w:spacing w:after="0"/>
              <w:rPr>
                <w:sz w:val="20"/>
                <w:szCs w:val="20"/>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2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w:t>
            </w:r>
          </w:p>
        </w:tc>
        <w:tc>
          <w:tcPr>
            <w:tcW w:w="2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w:t>
            </w:r>
          </w:p>
        </w:tc>
        <w:tc>
          <w:tcPr>
            <w:tcW w:w="100" w:type="dxa"/>
            <w:vAlign w:val="bottom"/>
          </w:tcPr>
          <w:p>
            <w:pPr>
              <w:spacing w:after="0"/>
              <w:rPr>
                <w:sz w:val="20"/>
                <w:szCs w:val="20"/>
                <w:color w:val="auto"/>
              </w:rPr>
            </w:pPr>
          </w:p>
        </w:tc>
      </w:tr>
      <w:tr>
        <w:trPr>
          <w:trHeight w:val="247"/>
        </w:trPr>
        <w:tc>
          <w:tcPr>
            <w:tcW w:w="57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Expected return on assets</w:t>
            </w:r>
          </w:p>
        </w:tc>
        <w:tc>
          <w:tcPr>
            <w:tcW w:w="820" w:type="dxa"/>
            <w:vAlign w:val="bottom"/>
            <w:shd w:val="clear" w:color="auto" w:fill="CFF0FC"/>
          </w:tcPr>
          <w:p>
            <w:pPr>
              <w:spacing w:after="0"/>
              <w:rPr>
                <w:sz w:val="21"/>
                <w:szCs w:val="21"/>
                <w:color w:val="auto"/>
              </w:rPr>
            </w:pPr>
          </w:p>
        </w:tc>
        <w:tc>
          <w:tcPr>
            <w:tcW w:w="62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(4.6 )</w:t>
            </w:r>
          </w:p>
        </w:tc>
        <w:tc>
          <w:tcPr>
            <w:tcW w:w="800" w:type="dxa"/>
            <w:vAlign w:val="bottom"/>
            <w:shd w:val="clear" w:color="auto" w:fill="CFF0FC"/>
          </w:tcPr>
          <w:p>
            <w:pPr>
              <w:spacing w:after="0"/>
              <w:rPr>
                <w:sz w:val="21"/>
                <w:szCs w:val="21"/>
                <w:color w:val="auto"/>
              </w:rPr>
            </w:pPr>
          </w:p>
        </w:tc>
        <w:tc>
          <w:tcPr>
            <w:tcW w:w="6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(4.8 )</w:t>
            </w:r>
          </w:p>
        </w:tc>
        <w:tc>
          <w:tcPr>
            <w:tcW w:w="240" w:type="dxa"/>
            <w:vAlign w:val="bottom"/>
            <w:shd w:val="clear" w:color="auto" w:fill="CFF0FC"/>
          </w:tcPr>
          <w:p>
            <w:pPr>
              <w:spacing w:after="0"/>
              <w:rPr>
                <w:sz w:val="21"/>
                <w:szCs w:val="21"/>
                <w:color w:val="auto"/>
              </w:rPr>
            </w:pPr>
          </w:p>
        </w:tc>
        <w:tc>
          <w:tcPr>
            <w:tcW w:w="11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(9.3 )</w:t>
            </w:r>
          </w:p>
        </w:tc>
        <w:tc>
          <w:tcPr>
            <w:tcW w:w="300" w:type="dxa"/>
            <w:vAlign w:val="bottom"/>
            <w:shd w:val="clear" w:color="auto" w:fill="CFF0FC"/>
          </w:tcPr>
          <w:p>
            <w:pPr>
              <w:spacing w:after="0"/>
              <w:rPr>
                <w:sz w:val="21"/>
                <w:szCs w:val="21"/>
                <w:color w:val="auto"/>
              </w:rPr>
            </w:pPr>
          </w:p>
        </w:tc>
        <w:tc>
          <w:tcPr>
            <w:tcW w:w="9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(9.4 )</w:t>
            </w:r>
          </w:p>
        </w:tc>
      </w:tr>
      <w:tr>
        <w:trPr>
          <w:trHeight w:val="239"/>
        </w:trPr>
        <w:tc>
          <w:tcPr>
            <w:tcW w:w="5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Curtailments</w:t>
            </w:r>
          </w:p>
        </w:tc>
        <w:tc>
          <w:tcPr>
            <w:tcW w:w="820" w:type="dxa"/>
            <w:vAlign w:val="bottom"/>
          </w:tcPr>
          <w:p>
            <w:pPr>
              <w:spacing w:after="0"/>
              <w:rPr>
                <w:sz w:val="20"/>
                <w:szCs w:val="20"/>
                <w:color w:val="auto"/>
              </w:rPr>
            </w:pPr>
          </w:p>
        </w:tc>
        <w:tc>
          <w:tcPr>
            <w:tcW w:w="6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(1.3 )</w:t>
            </w:r>
          </w:p>
        </w:tc>
        <w:tc>
          <w:tcPr>
            <w:tcW w:w="800" w:type="dxa"/>
            <w:vAlign w:val="bottom"/>
          </w:tcPr>
          <w:p>
            <w:pPr>
              <w:spacing w:after="0"/>
              <w:rPr>
                <w:sz w:val="20"/>
                <w:szCs w:val="20"/>
                <w:color w:val="auto"/>
              </w:rPr>
            </w:pPr>
          </w:p>
        </w:tc>
        <w:tc>
          <w:tcPr>
            <w:tcW w:w="6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(1.3 )</w:t>
            </w:r>
          </w:p>
        </w:tc>
        <w:tc>
          <w:tcPr>
            <w:tcW w:w="300" w:type="dxa"/>
            <w:vAlign w:val="bottom"/>
          </w:tcPr>
          <w:p>
            <w:pPr>
              <w:spacing w:after="0"/>
              <w:rPr>
                <w:sz w:val="20"/>
                <w:szCs w:val="20"/>
                <w:color w:val="auto"/>
              </w:rPr>
            </w:pPr>
          </w:p>
        </w:tc>
        <w:tc>
          <w:tcPr>
            <w:tcW w:w="9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47"/>
        </w:trPr>
        <w:tc>
          <w:tcPr>
            <w:tcW w:w="57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gain</w:t>
            </w:r>
          </w:p>
        </w:tc>
        <w:tc>
          <w:tcPr>
            <w:tcW w:w="820" w:type="dxa"/>
            <w:vAlign w:val="bottom"/>
            <w:shd w:val="clear" w:color="auto" w:fill="CFF0FC"/>
          </w:tcPr>
          <w:p>
            <w:pPr>
              <w:spacing w:after="0"/>
              <w:rPr>
                <w:sz w:val="21"/>
                <w:szCs w:val="21"/>
                <w:color w:val="auto"/>
              </w:rPr>
            </w:pPr>
          </w:p>
        </w:tc>
        <w:tc>
          <w:tcPr>
            <w:tcW w:w="62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(0.4 )</w:t>
            </w:r>
          </w:p>
        </w:tc>
        <w:tc>
          <w:tcPr>
            <w:tcW w:w="800" w:type="dxa"/>
            <w:vAlign w:val="bottom"/>
            <w:shd w:val="clear" w:color="auto" w:fill="CFF0FC"/>
          </w:tcPr>
          <w:p>
            <w:pPr>
              <w:spacing w:after="0"/>
              <w:rPr>
                <w:sz w:val="21"/>
                <w:szCs w:val="21"/>
                <w:color w:val="auto"/>
              </w:rPr>
            </w:pPr>
          </w:p>
        </w:tc>
        <w:tc>
          <w:tcPr>
            <w:tcW w:w="6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(0.8 )</w:t>
            </w:r>
          </w:p>
        </w:tc>
        <w:tc>
          <w:tcPr>
            <w:tcW w:w="240" w:type="dxa"/>
            <w:vAlign w:val="bottom"/>
            <w:shd w:val="clear" w:color="auto" w:fill="CFF0FC"/>
          </w:tcPr>
          <w:p>
            <w:pPr>
              <w:spacing w:after="0"/>
              <w:rPr>
                <w:sz w:val="21"/>
                <w:szCs w:val="21"/>
                <w:color w:val="auto"/>
              </w:rPr>
            </w:pPr>
          </w:p>
        </w:tc>
        <w:tc>
          <w:tcPr>
            <w:tcW w:w="11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(0.8 )</w:t>
            </w:r>
          </w:p>
        </w:tc>
        <w:tc>
          <w:tcPr>
            <w:tcW w:w="300" w:type="dxa"/>
            <w:vAlign w:val="bottom"/>
            <w:shd w:val="clear" w:color="auto" w:fill="CFF0FC"/>
          </w:tcPr>
          <w:p>
            <w:pPr>
              <w:spacing w:after="0"/>
              <w:rPr>
                <w:sz w:val="21"/>
                <w:szCs w:val="21"/>
                <w:color w:val="auto"/>
              </w:rPr>
            </w:pPr>
          </w:p>
        </w:tc>
        <w:tc>
          <w:tcPr>
            <w:tcW w:w="9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(1.7 )</w:t>
            </w:r>
          </w:p>
        </w:tc>
      </w:tr>
      <w:tr>
        <w:trPr>
          <w:trHeight w:val="239"/>
        </w:trPr>
        <w:tc>
          <w:tcPr>
            <w:tcW w:w="5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Prior service cost</w:t>
            </w:r>
          </w:p>
        </w:tc>
        <w:tc>
          <w:tcPr>
            <w:tcW w:w="82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280" w:type="dxa"/>
            <w:vAlign w:val="bottom"/>
          </w:tcPr>
          <w:p>
            <w:pPr>
              <w:spacing w:after="0"/>
              <w:rPr>
                <w:sz w:val="20"/>
                <w:szCs w:val="20"/>
                <w:color w:val="auto"/>
              </w:rPr>
            </w:pPr>
          </w:p>
        </w:tc>
        <w:tc>
          <w:tcPr>
            <w:tcW w:w="800" w:type="dxa"/>
            <w:vAlign w:val="bottom"/>
            <w:tcBorders>
              <w:bottom w:val="single" w:sz="8" w:color="auto"/>
            </w:tcBorders>
          </w:tcPr>
          <w:p>
            <w:pPr>
              <w:spacing w:after="0"/>
              <w:rPr>
                <w:sz w:val="20"/>
                <w:szCs w:val="20"/>
                <w:color w:val="auto"/>
              </w:rPr>
            </w:pPr>
          </w:p>
        </w:tc>
        <w:tc>
          <w:tcPr>
            <w:tcW w:w="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24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24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100" w:type="dxa"/>
            <w:vAlign w:val="bottom"/>
          </w:tcPr>
          <w:p>
            <w:pPr>
              <w:spacing w:after="0"/>
              <w:rPr>
                <w:sz w:val="20"/>
                <w:szCs w:val="20"/>
                <w:color w:val="auto"/>
              </w:rPr>
            </w:pPr>
          </w:p>
        </w:tc>
      </w:tr>
      <w:tr>
        <w:trPr>
          <w:trHeight w:val="277"/>
        </w:trPr>
        <w:tc>
          <w:tcPr>
            <w:tcW w:w="578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Total benefit cost</w:t>
            </w:r>
          </w:p>
        </w:tc>
        <w:tc>
          <w:tcPr>
            <w:tcW w:w="820" w:type="dxa"/>
            <w:vAlign w:val="bottom"/>
            <w:tcBorders>
              <w:bottom w:val="single" w:sz="8" w:color="auto"/>
            </w:tcBorders>
            <w:shd w:val="clear" w:color="auto" w:fill="CFF0FC"/>
          </w:tcPr>
          <w:p>
            <w:pPr>
              <w:jc w:val="right"/>
              <w:ind w:right="630"/>
              <w:spacing w:after="0"/>
              <w:rPr>
                <w:sz w:val="20"/>
                <w:szCs w:val="20"/>
                <w:color w:val="auto"/>
              </w:rPr>
            </w:pPr>
            <w:r>
              <w:rPr>
                <w:rFonts w:ascii="Times New Roman" w:cs="Times New Roman" w:eastAsia="Times New Roman" w:hAnsi="Times New Roman"/>
                <w:sz w:val="18"/>
                <w:szCs w:val="18"/>
                <w:color w:val="auto"/>
                <w:w w:val="88"/>
              </w:rPr>
              <w:t>$</w:t>
            </w:r>
          </w:p>
        </w:tc>
        <w:tc>
          <w:tcPr>
            <w:tcW w:w="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280" w:type="dxa"/>
            <w:vAlign w:val="bottom"/>
            <w:tcBorders>
              <w:bottom w:val="single" w:sz="8" w:color="CFF0FC"/>
            </w:tcBorders>
            <w:shd w:val="clear" w:color="auto" w:fill="CFF0FC"/>
          </w:tcPr>
          <w:p>
            <w:pPr>
              <w:spacing w:after="0"/>
              <w:rPr>
                <w:sz w:val="24"/>
                <w:szCs w:val="24"/>
                <w:color w:val="auto"/>
              </w:rPr>
            </w:pPr>
          </w:p>
        </w:tc>
        <w:tc>
          <w:tcPr>
            <w:tcW w:w="800" w:type="dxa"/>
            <w:vAlign w:val="bottom"/>
            <w:tcBorders>
              <w:bottom w:val="single" w:sz="8" w:color="auto"/>
            </w:tcBorders>
            <w:shd w:val="clear" w:color="auto" w:fill="CFF0FC"/>
          </w:tcPr>
          <w:p>
            <w:pPr>
              <w:jc w:val="right"/>
              <w:ind w:right="610"/>
              <w:spacing w:after="0"/>
              <w:rPr>
                <w:sz w:val="20"/>
                <w:szCs w:val="20"/>
                <w:color w:val="auto"/>
              </w:rPr>
            </w:pPr>
            <w:r>
              <w:rPr>
                <w:rFonts w:ascii="Times New Roman" w:cs="Times New Roman" w:eastAsia="Times New Roman" w:hAnsi="Times New Roman"/>
                <w:sz w:val="18"/>
                <w:szCs w:val="18"/>
                <w:color w:val="auto"/>
                <w:w w:val="88"/>
              </w:rPr>
              <w:t>$</w:t>
            </w:r>
          </w:p>
        </w:tc>
        <w:tc>
          <w:tcPr>
            <w:tcW w:w="3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240" w:type="dxa"/>
            <w:vAlign w:val="bottom"/>
            <w:tcBorders>
              <w:bottom w:val="single" w:sz="8" w:color="CFF0FC"/>
            </w:tcBorders>
            <w:shd w:val="clear" w:color="auto" w:fill="CFF0FC"/>
          </w:tcPr>
          <w:p>
            <w:pPr>
              <w:spacing w:after="0"/>
              <w:rPr>
                <w:sz w:val="24"/>
                <w:szCs w:val="24"/>
                <w:color w:val="auto"/>
              </w:rPr>
            </w:pP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240" w:type="dxa"/>
            <w:vAlign w:val="bottom"/>
            <w:tcBorders>
              <w:bottom w:val="single" w:sz="8" w:color="CFF0FC"/>
            </w:tcBorders>
            <w:shd w:val="clear" w:color="auto" w:fill="CFF0FC"/>
          </w:tcPr>
          <w:p>
            <w:pPr>
              <w:spacing w:after="0"/>
              <w:rPr>
                <w:sz w:val="24"/>
                <w:szCs w:val="24"/>
                <w:color w:val="auto"/>
              </w:rPr>
            </w:pPr>
          </w:p>
        </w:tc>
        <w:tc>
          <w:tcPr>
            <w:tcW w:w="300" w:type="dxa"/>
            <w:vAlign w:val="bottom"/>
            <w:tcBorders>
              <w:bottom w:val="single" w:sz="8" w:color="auto"/>
            </w:tcBorders>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100" w:type="dxa"/>
            <w:vAlign w:val="bottom"/>
            <w:tcBorders>
              <w:bottom w:val="single" w:sz="8" w:color="CFF0FC"/>
            </w:tcBorders>
            <w:shd w:val="clear" w:color="auto" w:fill="CFF0FC"/>
          </w:tcPr>
          <w:p>
            <w:pPr>
              <w:spacing w:after="0"/>
              <w:rPr>
                <w:sz w:val="24"/>
                <w:szCs w:val="24"/>
                <w:color w:val="auto"/>
              </w:rPr>
            </w:pPr>
          </w:p>
        </w:tc>
      </w:tr>
      <w:tr>
        <w:trPr>
          <w:trHeight w:val="707"/>
        </w:trPr>
        <w:tc>
          <w:tcPr>
            <w:tcW w:w="5780" w:type="dxa"/>
            <w:vAlign w:val="bottom"/>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2780" w:type="dxa"/>
            <w:vAlign w:val="bottom"/>
            <w:tcBorders>
              <w:bottom w:val="single" w:sz="8" w:color="auto"/>
            </w:tcBorders>
            <w:gridSpan w:val="6"/>
          </w:tcPr>
          <w:p>
            <w:pPr>
              <w:jc w:val="right"/>
              <w:ind w:right="580"/>
              <w:spacing w:after="0"/>
              <w:rPr>
                <w:sz w:val="20"/>
                <w:szCs w:val="20"/>
                <w:color w:val="auto"/>
              </w:rPr>
            </w:pPr>
            <w:r>
              <w:rPr>
                <w:rFonts w:ascii="Times New Roman" w:cs="Times New Roman" w:eastAsia="Times New Roman" w:hAnsi="Times New Roman"/>
                <w:sz w:val="18"/>
                <w:szCs w:val="18"/>
                <w:b w:val="1"/>
                <w:bCs w:val="1"/>
                <w:color w:val="auto"/>
              </w:rPr>
              <w:t>Retiree Health Care Plan</w:t>
            </w:r>
          </w:p>
        </w:tc>
        <w:tc>
          <w:tcPr>
            <w:tcW w:w="30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34"/>
        </w:trPr>
        <w:tc>
          <w:tcPr>
            <w:tcW w:w="5780" w:type="dxa"/>
            <w:vAlign w:val="bottom"/>
          </w:tcPr>
          <w:p>
            <w:pPr>
              <w:spacing w:after="0"/>
              <w:rPr>
                <w:sz w:val="20"/>
                <w:szCs w:val="20"/>
                <w:color w:val="auto"/>
              </w:rPr>
            </w:pPr>
          </w:p>
        </w:tc>
        <w:tc>
          <w:tcPr>
            <w:tcW w:w="2240" w:type="dxa"/>
            <w:vAlign w:val="bottom"/>
            <w:gridSpan w:val="4"/>
          </w:tcPr>
          <w:p>
            <w:pPr>
              <w:jc w:val="center"/>
              <w:ind w:left="270"/>
              <w:spacing w:after="0"/>
              <w:rPr>
                <w:sz w:val="20"/>
                <w:szCs w:val="20"/>
                <w:color w:val="auto"/>
              </w:rPr>
            </w:pPr>
            <w:r>
              <w:rPr>
                <w:rFonts w:ascii="Times New Roman" w:cs="Times New Roman" w:eastAsia="Times New Roman" w:hAnsi="Times New Roman"/>
                <w:sz w:val="18"/>
                <w:szCs w:val="18"/>
                <w:b w:val="1"/>
                <w:bCs w:val="1"/>
                <w:color w:val="auto"/>
                <w:w w:val="99"/>
              </w:rPr>
              <w:t>Three Months Ended</w:t>
            </w:r>
          </w:p>
        </w:tc>
        <w:tc>
          <w:tcPr>
            <w:tcW w:w="3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280" w:type="dxa"/>
            <w:vAlign w:val="bottom"/>
            <w:gridSpan w:val="4"/>
          </w:tcPr>
          <w:p>
            <w:pPr>
              <w:jc w:val="center"/>
              <w:ind w:right="170"/>
              <w:spacing w:after="0"/>
              <w:rPr>
                <w:sz w:val="20"/>
                <w:szCs w:val="20"/>
                <w:color w:val="auto"/>
              </w:rPr>
            </w:pPr>
            <w:r>
              <w:rPr>
                <w:rFonts w:ascii="Times New Roman" w:cs="Times New Roman" w:eastAsia="Times New Roman" w:hAnsi="Times New Roman"/>
                <w:sz w:val="18"/>
                <w:szCs w:val="18"/>
                <w:b w:val="1"/>
                <w:bCs w:val="1"/>
                <w:color w:val="auto"/>
                <w:w w:val="99"/>
              </w:rPr>
              <w:t>Six Months Ended</w:t>
            </w:r>
          </w:p>
        </w:tc>
        <w:tc>
          <w:tcPr>
            <w:tcW w:w="100" w:type="dxa"/>
            <w:vAlign w:val="bottom"/>
          </w:tcPr>
          <w:p>
            <w:pPr>
              <w:spacing w:after="0"/>
              <w:rPr>
                <w:sz w:val="20"/>
                <w:szCs w:val="20"/>
                <w:color w:val="auto"/>
              </w:rPr>
            </w:pPr>
          </w:p>
        </w:tc>
      </w:tr>
      <w:tr>
        <w:trPr>
          <w:trHeight w:val="245"/>
        </w:trPr>
        <w:tc>
          <w:tcPr>
            <w:tcW w:w="5780" w:type="dxa"/>
            <w:vAlign w:val="bottom"/>
          </w:tcPr>
          <w:p>
            <w:pPr>
              <w:spacing w:after="0"/>
              <w:rPr>
                <w:sz w:val="21"/>
                <w:szCs w:val="21"/>
                <w:color w:val="auto"/>
              </w:rPr>
            </w:pPr>
          </w:p>
        </w:tc>
        <w:tc>
          <w:tcPr>
            <w:tcW w:w="820" w:type="dxa"/>
            <w:vAlign w:val="bottom"/>
            <w:tcBorders>
              <w:bottom w:val="single" w:sz="8" w:color="auto"/>
            </w:tcBorders>
          </w:tcPr>
          <w:p>
            <w:pPr>
              <w:spacing w:after="0"/>
              <w:rPr>
                <w:sz w:val="21"/>
                <w:szCs w:val="21"/>
                <w:color w:val="auto"/>
              </w:rPr>
            </w:pPr>
          </w:p>
        </w:tc>
        <w:tc>
          <w:tcPr>
            <w:tcW w:w="1420" w:type="dxa"/>
            <w:vAlign w:val="bottom"/>
            <w:tcBorders>
              <w:bottom w:val="single" w:sz="8" w:color="auto"/>
            </w:tcBorders>
            <w:gridSpan w:val="3"/>
          </w:tcPr>
          <w:p>
            <w:pPr>
              <w:jc w:val="center"/>
              <w:ind w:right="370"/>
              <w:spacing w:after="0"/>
              <w:rPr>
                <w:sz w:val="20"/>
                <w:szCs w:val="20"/>
                <w:color w:val="auto"/>
              </w:rPr>
            </w:pPr>
            <w:r>
              <w:rPr>
                <w:rFonts w:ascii="Times New Roman" w:cs="Times New Roman" w:eastAsia="Times New Roman" w:hAnsi="Times New Roman"/>
                <w:sz w:val="18"/>
                <w:szCs w:val="18"/>
                <w:b w:val="1"/>
                <w:bCs w:val="1"/>
                <w:color w:val="auto"/>
                <w:w w:val="99"/>
              </w:rPr>
              <w:t>June 30,</w:t>
            </w:r>
          </w:p>
        </w:tc>
        <w:tc>
          <w:tcPr>
            <w:tcW w:w="360" w:type="dxa"/>
            <w:vAlign w:val="bottom"/>
            <w:tcBorders>
              <w:bottom w:val="single" w:sz="8" w:color="auto"/>
            </w:tcBorders>
          </w:tcPr>
          <w:p>
            <w:pPr>
              <w:spacing w:after="0"/>
              <w:rPr>
                <w:sz w:val="21"/>
                <w:szCs w:val="21"/>
                <w:color w:val="auto"/>
              </w:rPr>
            </w:pPr>
          </w:p>
        </w:tc>
        <w:tc>
          <w:tcPr>
            <w:tcW w:w="24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440" w:type="dxa"/>
            <w:vAlign w:val="bottom"/>
            <w:tcBorders>
              <w:bottom w:val="single" w:sz="8" w:color="auto"/>
            </w:tcBorders>
            <w:gridSpan w:val="3"/>
          </w:tcPr>
          <w:p>
            <w:pPr>
              <w:jc w:val="center"/>
              <w:ind w:left="510"/>
              <w:spacing w:after="0"/>
              <w:rPr>
                <w:sz w:val="20"/>
                <w:szCs w:val="20"/>
                <w:color w:val="auto"/>
              </w:rPr>
            </w:pPr>
            <w:r>
              <w:rPr>
                <w:rFonts w:ascii="Times New Roman" w:cs="Times New Roman" w:eastAsia="Times New Roman" w:hAnsi="Times New Roman"/>
                <w:sz w:val="18"/>
                <w:szCs w:val="18"/>
                <w:b w:val="1"/>
                <w:bCs w:val="1"/>
                <w:color w:val="auto"/>
                <w:w w:val="99"/>
              </w:rPr>
              <w:t>June 30,</w:t>
            </w:r>
          </w:p>
        </w:tc>
        <w:tc>
          <w:tcPr>
            <w:tcW w:w="84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r>
      <w:tr>
        <w:trPr>
          <w:trHeight w:val="241"/>
        </w:trPr>
        <w:tc>
          <w:tcPr>
            <w:tcW w:w="5780" w:type="dxa"/>
            <w:vAlign w:val="bottom"/>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340" w:type="dxa"/>
            <w:vAlign w:val="bottom"/>
            <w:tcBorders>
              <w:bottom w:val="single" w:sz="8" w:color="auto"/>
            </w:tcBorders>
          </w:tcPr>
          <w:p>
            <w:pPr>
              <w:spacing w:after="0"/>
              <w:rPr>
                <w:sz w:val="20"/>
                <w:szCs w:val="20"/>
                <w:color w:val="auto"/>
              </w:rPr>
            </w:pPr>
          </w:p>
        </w:tc>
        <w:tc>
          <w:tcPr>
            <w:tcW w:w="280" w:type="dxa"/>
            <w:vAlign w:val="bottom"/>
          </w:tcPr>
          <w:p>
            <w:pPr>
              <w:spacing w:after="0"/>
              <w:rPr>
                <w:sz w:val="20"/>
                <w:szCs w:val="20"/>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2023</w:t>
            </w:r>
          </w:p>
        </w:tc>
        <w:tc>
          <w:tcPr>
            <w:tcW w:w="360" w:type="dxa"/>
            <w:vAlign w:val="bottom"/>
            <w:tcBorders>
              <w:bottom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4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20"/>
                <w:szCs w:val="20"/>
                <w:color w:val="auto"/>
              </w:rPr>
            </w:pPr>
          </w:p>
        </w:tc>
      </w:tr>
      <w:tr>
        <w:trPr>
          <w:trHeight w:val="239"/>
        </w:trPr>
        <w:tc>
          <w:tcPr>
            <w:tcW w:w="57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Interest cost</w:t>
            </w:r>
          </w:p>
        </w:tc>
        <w:tc>
          <w:tcPr>
            <w:tcW w:w="820" w:type="dxa"/>
            <w:vAlign w:val="bottom"/>
            <w:shd w:val="clear" w:color="auto" w:fill="CFF0FC"/>
          </w:tcPr>
          <w:p>
            <w:pPr>
              <w:jc w:val="right"/>
              <w:ind w:right="630"/>
              <w:spacing w:after="0"/>
              <w:rPr>
                <w:sz w:val="20"/>
                <w:szCs w:val="20"/>
                <w:color w:val="auto"/>
              </w:rPr>
            </w:pPr>
            <w:r>
              <w:rPr>
                <w:rFonts w:ascii="Times New Roman" w:cs="Times New Roman" w:eastAsia="Times New Roman" w:hAnsi="Times New Roman"/>
                <w:sz w:val="18"/>
                <w:szCs w:val="18"/>
                <w:color w:val="auto"/>
                <w:w w:val="88"/>
              </w:rPr>
              <w:t>$</w:t>
            </w:r>
          </w:p>
        </w:tc>
        <w:tc>
          <w:tcPr>
            <w:tcW w:w="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280" w:type="dxa"/>
            <w:vAlign w:val="bottom"/>
            <w:shd w:val="clear" w:color="auto" w:fill="CFF0FC"/>
          </w:tcPr>
          <w:p>
            <w:pPr>
              <w:spacing w:after="0"/>
              <w:rPr>
                <w:sz w:val="20"/>
                <w:szCs w:val="20"/>
                <w:color w:val="auto"/>
              </w:rPr>
            </w:pPr>
          </w:p>
        </w:tc>
        <w:tc>
          <w:tcPr>
            <w:tcW w:w="800" w:type="dxa"/>
            <w:vAlign w:val="bottom"/>
            <w:shd w:val="clear" w:color="auto" w:fill="CFF0FC"/>
          </w:tcPr>
          <w:p>
            <w:pPr>
              <w:jc w:val="right"/>
              <w:ind w:right="610"/>
              <w:spacing w:after="0"/>
              <w:rPr>
                <w:sz w:val="20"/>
                <w:szCs w:val="20"/>
                <w:color w:val="auto"/>
              </w:rPr>
            </w:pPr>
            <w:r>
              <w:rPr>
                <w:rFonts w:ascii="Times New Roman" w:cs="Times New Roman" w:eastAsia="Times New Roman" w:hAnsi="Times New Roman"/>
                <w:sz w:val="18"/>
                <w:szCs w:val="18"/>
                <w:color w:val="auto"/>
                <w:w w:val="88"/>
              </w:rPr>
              <w:t>$</w:t>
            </w:r>
          </w:p>
        </w:tc>
        <w:tc>
          <w:tcPr>
            <w:tcW w:w="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240" w:type="dxa"/>
            <w:vAlign w:val="bottom"/>
            <w:shd w:val="clear" w:color="auto" w:fill="CFF0FC"/>
          </w:tcPr>
          <w:p>
            <w:pPr>
              <w:spacing w:after="0"/>
              <w:rPr>
                <w:sz w:val="20"/>
                <w:szCs w:val="20"/>
                <w:color w:val="auto"/>
              </w:rPr>
            </w:pPr>
          </w:p>
        </w:tc>
        <w:tc>
          <w:tcPr>
            <w:tcW w:w="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240" w:type="dxa"/>
            <w:vAlign w:val="bottom"/>
            <w:shd w:val="clear" w:color="auto" w:fill="CFF0FC"/>
          </w:tcPr>
          <w:p>
            <w:pPr>
              <w:spacing w:after="0"/>
              <w:rPr>
                <w:sz w:val="20"/>
                <w:szCs w:val="20"/>
                <w:color w:val="auto"/>
              </w:rPr>
            </w:pPr>
          </w:p>
        </w:tc>
        <w:tc>
          <w:tcPr>
            <w:tcW w:w="30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100" w:type="dxa"/>
            <w:vAlign w:val="bottom"/>
            <w:shd w:val="clear" w:color="auto" w:fill="CFF0FC"/>
          </w:tcPr>
          <w:p>
            <w:pPr>
              <w:spacing w:after="0"/>
              <w:rPr>
                <w:sz w:val="20"/>
                <w:szCs w:val="20"/>
                <w:color w:val="auto"/>
              </w:rPr>
            </w:pPr>
          </w:p>
        </w:tc>
      </w:tr>
      <w:tr>
        <w:trPr>
          <w:trHeight w:val="239"/>
        </w:trPr>
        <w:tc>
          <w:tcPr>
            <w:tcW w:w="5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Prior service credit</w:t>
            </w:r>
          </w:p>
        </w:tc>
        <w:tc>
          <w:tcPr>
            <w:tcW w:w="820" w:type="dxa"/>
            <w:vAlign w:val="bottom"/>
          </w:tcPr>
          <w:p>
            <w:pPr>
              <w:spacing w:after="0"/>
              <w:rPr>
                <w:sz w:val="20"/>
                <w:szCs w:val="20"/>
                <w:color w:val="auto"/>
              </w:rPr>
            </w:pPr>
          </w:p>
        </w:tc>
        <w:tc>
          <w:tcPr>
            <w:tcW w:w="6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(0.2 )</w:t>
            </w:r>
          </w:p>
        </w:tc>
        <w:tc>
          <w:tcPr>
            <w:tcW w:w="800" w:type="dxa"/>
            <w:vAlign w:val="bottom"/>
          </w:tcPr>
          <w:p>
            <w:pPr>
              <w:spacing w:after="0"/>
              <w:rPr>
                <w:sz w:val="20"/>
                <w:szCs w:val="20"/>
                <w:color w:val="auto"/>
              </w:rPr>
            </w:pPr>
          </w:p>
        </w:tc>
        <w:tc>
          <w:tcPr>
            <w:tcW w:w="6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(0.4 )</w:t>
            </w:r>
          </w:p>
        </w:tc>
        <w:tc>
          <w:tcPr>
            <w:tcW w:w="300" w:type="dxa"/>
            <w:vAlign w:val="bottom"/>
          </w:tcPr>
          <w:p>
            <w:pPr>
              <w:spacing w:after="0"/>
              <w:rPr>
                <w:sz w:val="20"/>
                <w:szCs w:val="20"/>
                <w:color w:val="auto"/>
              </w:rPr>
            </w:pPr>
          </w:p>
        </w:tc>
        <w:tc>
          <w:tcPr>
            <w:tcW w:w="9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57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gain</w:t>
            </w:r>
          </w:p>
        </w:tc>
        <w:tc>
          <w:tcPr>
            <w:tcW w:w="820" w:type="dxa"/>
            <w:vAlign w:val="bottom"/>
            <w:shd w:val="clear" w:color="auto" w:fill="CFF0FC"/>
          </w:tcPr>
          <w:p>
            <w:pPr>
              <w:spacing w:after="0"/>
              <w:rPr>
                <w:sz w:val="21"/>
                <w:szCs w:val="21"/>
                <w:color w:val="auto"/>
              </w:rPr>
            </w:pPr>
          </w:p>
        </w:tc>
        <w:tc>
          <w:tcPr>
            <w:tcW w:w="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FF0FC"/>
          </w:tcPr>
          <w:p>
            <w:pPr>
              <w:spacing w:after="0"/>
              <w:rPr>
                <w:sz w:val="21"/>
                <w:szCs w:val="21"/>
                <w:color w:val="auto"/>
              </w:rPr>
            </w:pPr>
          </w:p>
        </w:tc>
        <w:tc>
          <w:tcPr>
            <w:tcW w:w="800" w:type="dxa"/>
            <w:vAlign w:val="bottom"/>
            <w:shd w:val="clear" w:color="auto" w:fill="CFF0FC"/>
          </w:tcPr>
          <w:p>
            <w:pPr>
              <w:spacing w:after="0"/>
              <w:rPr>
                <w:sz w:val="21"/>
                <w:szCs w:val="21"/>
                <w:color w:val="auto"/>
              </w:rPr>
            </w:pPr>
          </w:p>
        </w:tc>
        <w:tc>
          <w:tcPr>
            <w:tcW w:w="6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(0.2 )</w:t>
            </w:r>
          </w:p>
        </w:tc>
        <w:tc>
          <w:tcPr>
            <w:tcW w:w="240" w:type="dxa"/>
            <w:vAlign w:val="bottom"/>
            <w:shd w:val="clear" w:color="auto" w:fill="CFF0FC"/>
          </w:tcPr>
          <w:p>
            <w:pPr>
              <w:spacing w:after="0"/>
              <w:rPr>
                <w:sz w:val="21"/>
                <w:szCs w:val="21"/>
                <w:color w:val="auto"/>
              </w:rPr>
            </w:pPr>
          </w:p>
        </w:tc>
        <w:tc>
          <w:tcPr>
            <w:tcW w:w="114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FF0FC"/>
          </w:tcPr>
          <w:p>
            <w:pPr>
              <w:spacing w:after="0"/>
              <w:rPr>
                <w:sz w:val="21"/>
                <w:szCs w:val="21"/>
                <w:color w:val="auto"/>
              </w:rPr>
            </w:pPr>
          </w:p>
        </w:tc>
        <w:tc>
          <w:tcPr>
            <w:tcW w:w="9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(0.4 )</w:t>
            </w:r>
          </w:p>
        </w:tc>
      </w:tr>
      <w:tr>
        <w:trPr>
          <w:trHeight w:val="20"/>
        </w:trPr>
        <w:tc>
          <w:tcPr>
            <w:tcW w:w="5780" w:type="dxa"/>
            <w:vAlign w:val="bottom"/>
            <w:shd w:val="clear" w:color="auto" w:fill="CFF0FC"/>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36"/>
        </w:trPr>
        <w:tc>
          <w:tcPr>
            <w:tcW w:w="57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Total benefit credit</w:t>
            </w:r>
          </w:p>
        </w:tc>
        <w:tc>
          <w:tcPr>
            <w:tcW w:w="820" w:type="dxa"/>
            <w:vAlign w:val="bottom"/>
          </w:tcPr>
          <w:p>
            <w:pPr>
              <w:jc w:val="right"/>
              <w:ind w:right="630"/>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(0.1 )</w:t>
            </w:r>
          </w:p>
        </w:tc>
        <w:tc>
          <w:tcPr>
            <w:tcW w:w="800" w:type="dxa"/>
            <w:vAlign w:val="bottom"/>
          </w:tcPr>
          <w:p>
            <w:pPr>
              <w:jc w:val="right"/>
              <w:ind w:right="610"/>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(0.2 )</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(0.1 )</w:t>
            </w:r>
          </w:p>
        </w:tc>
      </w:tr>
      <w:tr>
        <w:trPr>
          <w:trHeight w:val="20"/>
        </w:trPr>
        <w:tc>
          <w:tcPr>
            <w:tcW w:w="578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4411345</wp:posOffset>
            </wp:positionH>
            <wp:positionV relativeFrom="paragraph">
              <wp:posOffset>-1628140</wp:posOffset>
            </wp:positionV>
            <wp:extent cx="77470" cy="889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4411345</wp:posOffset>
            </wp:positionH>
            <wp:positionV relativeFrom="paragraph">
              <wp:posOffset>-1610995</wp:posOffset>
            </wp:positionV>
            <wp:extent cx="77470" cy="825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-1628140</wp:posOffset>
            </wp:positionV>
            <wp:extent cx="68580" cy="889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-1610995</wp:posOffset>
            </wp:positionV>
            <wp:extent cx="68580" cy="825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6194425</wp:posOffset>
            </wp:positionH>
            <wp:positionV relativeFrom="paragraph">
              <wp:posOffset>-1628140</wp:posOffset>
            </wp:positionV>
            <wp:extent cx="68580" cy="889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6194425</wp:posOffset>
            </wp:positionH>
            <wp:positionV relativeFrom="paragraph">
              <wp:posOffset>-1610995</wp:posOffset>
            </wp:positionV>
            <wp:extent cx="68580" cy="825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-1628140</wp:posOffset>
            </wp:positionV>
            <wp:extent cx="68580" cy="889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-1610995</wp:posOffset>
            </wp:positionV>
            <wp:extent cx="68580" cy="825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4411345</wp:posOffset>
            </wp:positionH>
            <wp:positionV relativeFrom="paragraph">
              <wp:posOffset>-187960</wp:posOffset>
            </wp:positionV>
            <wp:extent cx="77470" cy="825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-187960</wp:posOffset>
            </wp:positionV>
            <wp:extent cx="68580" cy="825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6194425</wp:posOffset>
            </wp:positionH>
            <wp:positionV relativeFrom="paragraph">
              <wp:posOffset>-187960</wp:posOffset>
            </wp:positionV>
            <wp:extent cx="68580" cy="825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-187960</wp:posOffset>
            </wp:positionV>
            <wp:extent cx="68580" cy="825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8"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During the three and six months ended June 30, 2024, contributions made to our pension plans were $4.3 and $9.5, respectively, and contributions made to our retiree health care plan were $0.2 and $0.5, respectively. During 2024, we expect to make total contributions of approximately $19.0 to our pension plans and to fund our retiree health care payments as incurred.</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14" w:name="page15"/>
    <w:bookmarkEnd w:id="14"/>
    <w:tbl>
      <w:tblPr>
        <w:tblLayout w:type="fixed"/>
        <w:tblInd w:w="0" w:type="dxa"/>
        <w:tblCellMar>
          <w:top w:w="0" w:type="dxa"/>
          <w:left w:w="0" w:type="dxa"/>
          <w:bottom w:w="0" w:type="dxa"/>
          <w:right w:w="0" w:type="dxa"/>
        </w:tblCellMar>
      </w:tblPr>
      <w:tr>
        <w:trPr>
          <w:trHeight w:val="207"/>
        </w:trPr>
        <w:tc>
          <w:tcPr>
            <w:tcW w:w="820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(11) Shareholders’ Equity</w:t>
            </w:r>
          </w:p>
        </w:tc>
        <w:tc>
          <w:tcPr>
            <w:tcW w:w="2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1640" w:type="dxa"/>
            <w:vAlign w:val="bottom"/>
            <w:shd w:val="clear" w:color="auto" w:fill="000000"/>
          </w:tcPr>
          <w:p>
            <w:pPr>
              <w:spacing w:after="0" w:line="20" w:lineRule="exact"/>
              <w:rPr>
                <w:sz w:val="1"/>
                <w:szCs w:val="1"/>
                <w:color w:val="auto"/>
              </w:rPr>
            </w:pPr>
          </w:p>
        </w:tc>
        <w:tc>
          <w:tcPr>
            <w:tcW w:w="6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82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The components of accumulated other comprehensive loss, net of tax, were as follows:</w:t>
            </w:r>
          </w:p>
        </w:tc>
        <w:tc>
          <w:tcPr>
            <w:tcW w:w="220" w:type="dxa"/>
            <w:vAlign w:val="bottom"/>
          </w:tcPr>
          <w:p>
            <w:pPr>
              <w:spacing w:after="0"/>
              <w:rPr>
                <w:sz w:val="24"/>
                <w:szCs w:val="24"/>
                <w:color w:val="auto"/>
              </w:rPr>
            </w:pPr>
          </w:p>
        </w:tc>
        <w:tc>
          <w:tcPr>
            <w:tcW w:w="1340" w:type="dxa"/>
            <w:vAlign w:val="bottom"/>
            <w:gridSpan w:val="2"/>
            <w:vMerge w:val="restart"/>
          </w:tcPr>
          <w:p>
            <w:pPr>
              <w:jc w:val="right"/>
              <w:ind w:right="580"/>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140" w:type="dxa"/>
            <w:vAlign w:val="bottom"/>
          </w:tcPr>
          <w:p>
            <w:pPr>
              <w:spacing w:after="0"/>
              <w:rPr>
                <w:sz w:val="24"/>
                <w:szCs w:val="24"/>
                <w:color w:val="auto"/>
              </w:rPr>
            </w:pPr>
          </w:p>
        </w:tc>
        <w:tc>
          <w:tcPr>
            <w:tcW w:w="1340" w:type="dxa"/>
            <w:vAlign w:val="bottom"/>
            <w:gridSpan w:val="2"/>
            <w:vMerge w:val="restart"/>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0" w:type="dxa"/>
            <w:vAlign w:val="bottom"/>
          </w:tcPr>
          <w:p>
            <w:pPr>
              <w:spacing w:after="0"/>
              <w:rPr>
                <w:sz w:val="1"/>
                <w:szCs w:val="1"/>
                <w:color w:val="auto"/>
              </w:rPr>
            </w:pPr>
          </w:p>
        </w:tc>
      </w:tr>
      <w:tr>
        <w:trPr>
          <w:trHeight w:val="230"/>
        </w:trPr>
        <w:tc>
          <w:tcPr>
            <w:tcW w:w="34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6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gridSpan w:val="2"/>
            <w:vMerge w:val="continue"/>
          </w:tcPr>
          <w:p>
            <w:pPr>
              <w:spacing w:after="0"/>
              <w:rPr>
                <w:sz w:val="19"/>
                <w:szCs w:val="19"/>
                <w:color w:val="auto"/>
              </w:rPr>
            </w:pPr>
          </w:p>
        </w:tc>
        <w:tc>
          <w:tcPr>
            <w:tcW w:w="140" w:type="dxa"/>
            <w:vAlign w:val="bottom"/>
          </w:tcPr>
          <w:p>
            <w:pPr>
              <w:spacing w:after="0"/>
              <w:rPr>
                <w:sz w:val="19"/>
                <w:szCs w:val="19"/>
                <w:color w:val="auto"/>
              </w:rPr>
            </w:pPr>
          </w:p>
        </w:tc>
        <w:tc>
          <w:tcPr>
            <w:tcW w:w="134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50"/>
        </w:trPr>
        <w:tc>
          <w:tcPr>
            <w:tcW w:w="340" w:type="dxa"/>
            <w:vAlign w:val="bottom"/>
          </w:tcPr>
          <w:p>
            <w:pPr>
              <w:spacing w:after="0"/>
              <w:rPr>
                <w:sz w:val="21"/>
                <w:szCs w:val="21"/>
                <w:color w:val="auto"/>
              </w:rPr>
            </w:pPr>
          </w:p>
        </w:tc>
        <w:tc>
          <w:tcPr>
            <w:tcW w:w="1640" w:type="dxa"/>
            <w:vAlign w:val="bottom"/>
          </w:tcPr>
          <w:p>
            <w:pPr>
              <w:spacing w:after="0"/>
              <w:rPr>
                <w:sz w:val="21"/>
                <w:szCs w:val="21"/>
                <w:color w:val="auto"/>
              </w:rPr>
            </w:pPr>
          </w:p>
        </w:tc>
        <w:tc>
          <w:tcPr>
            <w:tcW w:w="622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4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200" w:type="dxa"/>
            <w:vAlign w:val="bottom"/>
            <w:gridSpan w:val="3"/>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Foreign currency translation</w:t>
            </w:r>
          </w:p>
        </w:tc>
        <w:tc>
          <w:tcPr>
            <w:tcW w:w="2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(339.7 )</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(261.2 )</w:t>
            </w:r>
          </w:p>
        </w:tc>
        <w:tc>
          <w:tcPr>
            <w:tcW w:w="0" w:type="dxa"/>
            <w:vAlign w:val="bottom"/>
          </w:tcPr>
          <w:p>
            <w:pPr>
              <w:spacing w:after="0"/>
              <w:rPr>
                <w:sz w:val="1"/>
                <w:szCs w:val="1"/>
                <w:color w:val="auto"/>
              </w:rPr>
            </w:pPr>
          </w:p>
        </w:tc>
      </w:tr>
      <w:tr>
        <w:trPr>
          <w:trHeight w:val="239"/>
        </w:trPr>
        <w:tc>
          <w:tcPr>
            <w:tcW w:w="820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Translation loss on long-term intercompany loans, net of income taxes of $19.1 on both dates</w:t>
            </w:r>
          </w:p>
        </w:tc>
        <w:tc>
          <w:tcPr>
            <w:tcW w:w="220" w:type="dxa"/>
            <w:vAlign w:val="bottom"/>
          </w:tcPr>
          <w:p>
            <w:pPr>
              <w:spacing w:after="0"/>
              <w:rPr>
                <w:sz w:val="20"/>
                <w:szCs w:val="20"/>
                <w:color w:val="auto"/>
              </w:rPr>
            </w:pPr>
          </w:p>
        </w:tc>
        <w:tc>
          <w:tcPr>
            <w:tcW w:w="13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(133.5 )</w:t>
            </w:r>
          </w:p>
        </w:tc>
        <w:tc>
          <w:tcPr>
            <w:tcW w:w="140" w:type="dxa"/>
            <w:vAlign w:val="bottom"/>
          </w:tcPr>
          <w:p>
            <w:pPr>
              <w:spacing w:after="0"/>
              <w:rPr>
                <w:sz w:val="20"/>
                <w:szCs w:val="20"/>
                <w:color w:val="auto"/>
              </w:rPr>
            </w:pPr>
          </w:p>
        </w:tc>
        <w:tc>
          <w:tcPr>
            <w:tcW w:w="13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(133.6 )</w:t>
            </w:r>
          </w:p>
        </w:tc>
        <w:tc>
          <w:tcPr>
            <w:tcW w:w="0" w:type="dxa"/>
            <w:vAlign w:val="bottom"/>
          </w:tcPr>
          <w:p>
            <w:pPr>
              <w:spacing w:after="0"/>
              <w:rPr>
                <w:sz w:val="1"/>
                <w:szCs w:val="1"/>
                <w:color w:val="auto"/>
              </w:rPr>
            </w:pPr>
          </w:p>
        </w:tc>
      </w:tr>
      <w:tr>
        <w:trPr>
          <w:trHeight w:val="247"/>
        </w:trPr>
        <w:tc>
          <w:tcPr>
            <w:tcW w:w="8200" w:type="dxa"/>
            <w:vAlign w:val="bottom"/>
            <w:gridSpan w:val="3"/>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Gain (loss) on derivative instruments, net of income tax benefit of $(9.7) and $(22.7), respectively</w:t>
            </w:r>
          </w:p>
        </w:tc>
        <w:tc>
          <w:tcPr>
            <w:tcW w:w="220" w:type="dxa"/>
            <w:vAlign w:val="bottom"/>
            <w:shd w:val="clear" w:color="auto" w:fill="CFF0FC"/>
          </w:tcPr>
          <w:p>
            <w:pPr>
              <w:spacing w:after="0"/>
              <w:rPr>
                <w:sz w:val="21"/>
                <w:szCs w:val="21"/>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7.7</w:t>
            </w:r>
          </w:p>
        </w:tc>
        <w:tc>
          <w:tcPr>
            <w:tcW w:w="24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3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(37.6 )</w:t>
            </w:r>
          </w:p>
        </w:tc>
        <w:tc>
          <w:tcPr>
            <w:tcW w:w="0" w:type="dxa"/>
            <w:vAlign w:val="bottom"/>
          </w:tcPr>
          <w:p>
            <w:pPr>
              <w:spacing w:after="0"/>
              <w:rPr>
                <w:sz w:val="1"/>
                <w:szCs w:val="1"/>
                <w:color w:val="auto"/>
              </w:rPr>
            </w:pPr>
          </w:p>
        </w:tc>
      </w:tr>
      <w:tr>
        <w:trPr>
          <w:trHeight w:val="239"/>
        </w:trPr>
        <w:tc>
          <w:tcPr>
            <w:tcW w:w="820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Gain on interest rate swap, net of income taxes of $0.3 on both dates</w:t>
            </w:r>
          </w:p>
        </w:tc>
        <w:tc>
          <w:tcPr>
            <w:tcW w:w="22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0.9</w:t>
            </w: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8200" w:type="dxa"/>
            <w:vAlign w:val="bottom"/>
            <w:gridSpan w:val="3"/>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Defined benefit pension plans, net of income tax benefit of $(22.6) and $(23.0), respectively</w:t>
            </w:r>
          </w:p>
        </w:tc>
        <w:tc>
          <w:tcPr>
            <w:tcW w:w="220" w:type="dxa"/>
            <w:vAlign w:val="bottom"/>
            <w:shd w:val="clear" w:color="auto" w:fill="CFF0FC"/>
          </w:tcPr>
          <w:p>
            <w:pPr>
              <w:spacing w:after="0"/>
              <w:rPr>
                <w:sz w:val="21"/>
                <w:szCs w:val="21"/>
                <w:color w:val="auto"/>
              </w:rPr>
            </w:pPr>
          </w:p>
        </w:tc>
        <w:tc>
          <w:tcPr>
            <w:tcW w:w="13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(36.8 )</w:t>
            </w:r>
          </w:p>
        </w:tc>
        <w:tc>
          <w:tcPr>
            <w:tcW w:w="140" w:type="dxa"/>
            <w:vAlign w:val="bottom"/>
            <w:shd w:val="clear" w:color="auto" w:fill="CFF0FC"/>
          </w:tcPr>
          <w:p>
            <w:pPr>
              <w:spacing w:after="0"/>
              <w:rPr>
                <w:sz w:val="21"/>
                <w:szCs w:val="21"/>
                <w:color w:val="auto"/>
              </w:rPr>
            </w:pPr>
          </w:p>
        </w:tc>
        <w:tc>
          <w:tcPr>
            <w:tcW w:w="13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(36.0 )</w:t>
            </w:r>
          </w:p>
        </w:tc>
        <w:tc>
          <w:tcPr>
            <w:tcW w:w="0" w:type="dxa"/>
            <w:vAlign w:val="bottom"/>
          </w:tcPr>
          <w:p>
            <w:pPr>
              <w:spacing w:after="0"/>
              <w:rPr>
                <w:sz w:val="1"/>
                <w:szCs w:val="1"/>
                <w:color w:val="auto"/>
              </w:rPr>
            </w:pPr>
          </w:p>
        </w:tc>
      </w:tr>
      <w:tr>
        <w:trPr>
          <w:trHeight w:val="239"/>
        </w:trPr>
        <w:tc>
          <w:tcPr>
            <w:tcW w:w="820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Retiree health care plan, net of income taxes of $1.9 and $2.0, respectively</w:t>
            </w:r>
          </w:p>
        </w:tc>
        <w:tc>
          <w:tcPr>
            <w:tcW w:w="22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24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7"/>
        </w:trPr>
        <w:tc>
          <w:tcPr>
            <w:tcW w:w="8200" w:type="dxa"/>
            <w:vAlign w:val="bottom"/>
            <w:gridSpan w:val="3"/>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2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(500.4 )</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(466.0 )</w:t>
            </w:r>
          </w:p>
        </w:tc>
        <w:tc>
          <w:tcPr>
            <w:tcW w:w="0" w:type="dxa"/>
            <w:vAlign w:val="bottom"/>
          </w:tcPr>
          <w:p>
            <w:pPr>
              <w:spacing w:after="0"/>
              <w:rPr>
                <w:sz w:val="1"/>
                <w:szCs w:val="1"/>
                <w:color w:val="auto"/>
              </w:rPr>
            </w:pPr>
          </w:p>
        </w:tc>
      </w:tr>
      <w:tr>
        <w:trPr>
          <w:trHeight w:val="20"/>
        </w:trPr>
        <w:tc>
          <w:tcPr>
            <w:tcW w:w="340" w:type="dxa"/>
            <w:vAlign w:val="bottom"/>
            <w:tcBorders>
              <w:top w:val="single" w:sz="8" w:color="CFF0FC"/>
            </w:tcBorders>
            <w:shd w:val="clear" w:color="auto" w:fill="CFF0FC"/>
          </w:tcPr>
          <w:p>
            <w:pPr>
              <w:spacing w:after="0" w:line="20" w:lineRule="exact"/>
              <w:rPr>
                <w:sz w:val="1"/>
                <w:szCs w:val="1"/>
                <w:color w:val="auto"/>
              </w:rPr>
            </w:pPr>
          </w:p>
        </w:tc>
        <w:tc>
          <w:tcPr>
            <w:tcW w:w="1640" w:type="dxa"/>
            <w:vAlign w:val="bottom"/>
            <w:tcBorders>
              <w:top w:val="single" w:sz="8" w:color="CFF0FC"/>
            </w:tcBorders>
            <w:shd w:val="clear" w:color="auto" w:fill="CFF0FC"/>
          </w:tcPr>
          <w:p>
            <w:pPr>
              <w:spacing w:after="0" w:line="20" w:lineRule="exact"/>
              <w:rPr>
                <w:sz w:val="1"/>
                <w:szCs w:val="1"/>
                <w:color w:val="auto"/>
              </w:rPr>
            </w:pPr>
          </w:p>
        </w:tc>
        <w:tc>
          <w:tcPr>
            <w:tcW w:w="622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110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2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6040120</wp:posOffset>
            </wp:positionH>
            <wp:positionV relativeFrom="paragraph">
              <wp:posOffset>-24765</wp:posOffset>
            </wp:positionV>
            <wp:extent cx="68580" cy="825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6040120</wp:posOffset>
            </wp:positionH>
            <wp:positionV relativeFrom="paragraph">
              <wp:posOffset>-7620</wp:posOffset>
            </wp:positionV>
            <wp:extent cx="68580" cy="825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8" w:lineRule="exact"/>
        <w:rPr>
          <w:sz w:val="20"/>
          <w:szCs w:val="20"/>
          <w:color w:val="auto"/>
        </w:rPr>
      </w:pPr>
    </w:p>
    <w:p>
      <w:pPr>
        <w:ind w:right="200"/>
        <w:spacing w:after="0" w:line="261" w:lineRule="auto"/>
        <w:rPr>
          <w:sz w:val="20"/>
          <w:szCs w:val="20"/>
          <w:color w:val="auto"/>
        </w:rPr>
      </w:pPr>
      <w:r>
        <w:rPr>
          <w:rFonts w:ascii="Times New Roman" w:cs="Times New Roman" w:eastAsia="Times New Roman" w:hAnsi="Times New Roman"/>
          <w:sz w:val="18"/>
          <w:szCs w:val="18"/>
          <w:color w:val="auto"/>
        </w:rPr>
        <w:t>Noncontrolling interests, reported in total shareholders' equity in our Consolidated Balance Sheets, represent amounts related to majority-owned subsidiaries in which we have a controlling financial interest. Net earnings attributable to these noncontrolling interests are recorded in interest and other expenses, net in our Consolidated Statements of Operations. During the three and six months ended June 30, 2024, we recorded income of $0.1 and $0.0, respectively. During both the three and six months ended June 30, 2023 we recorded expenses of $0.1.</w:t>
      </w:r>
    </w:p>
    <w:p>
      <w:pPr>
        <w:spacing w:after="0" w:line="180"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The Board of Directors declared a semi-annual dividend of $1.54 and $1.47 per share on May 3, 2024 and May 5, 2023, respectively. The 2024 dividends were paid on June 14, 2024 to shareholders of record as of June 3, 2024. The 2023 dividends were paid on June 15, 2023 to shareholders of record as of June 1, 2023.</w:t>
      </w:r>
    </w:p>
    <w:p>
      <w:pPr>
        <w:spacing w:after="0" w:line="176" w:lineRule="exact"/>
        <w:rPr>
          <w:sz w:val="20"/>
          <w:szCs w:val="20"/>
          <w:color w:val="auto"/>
        </w:rPr>
      </w:pPr>
    </w:p>
    <w:p>
      <w:pPr>
        <w:ind w:right="100"/>
        <w:spacing w:after="0" w:line="274" w:lineRule="auto"/>
        <w:rPr>
          <w:sz w:val="20"/>
          <w:szCs w:val="20"/>
          <w:color w:val="auto"/>
        </w:rPr>
      </w:pPr>
      <w:r>
        <w:rPr>
          <w:rFonts w:ascii="Times New Roman" w:cs="Times New Roman" w:eastAsia="Times New Roman" w:hAnsi="Times New Roman"/>
          <w:sz w:val="17"/>
          <w:szCs w:val="17"/>
          <w:color w:val="auto"/>
        </w:rPr>
        <w:t>In August 2023 and August 2021, the Board of Directors authorized the repurchase of 5.0 million shares and 4.0 million shares of our common stock, respectively. We conduct share repurchases from time to time through a variety of methods, including open market purchases, block transactions, privately negotiated transactions or similar facilities. During the six months ended June 30, 2024, we repurchased a total of 1.0 million shares under the 2023 authorization at a cost of $77.0. During the six months ended June 30, 2023, we repurchased a total of 1.1 million shares under the 2021 authorization at a cost of $81.9, including 25,000 shares at a cost of $2.0 that were repurchased but not yet settled. As of June 30, 2024, there were 3.6 million shares remaining authorized for repurchase under the 2023 authorization and no shares remaining authorized for repurchase under the 2021 authorization.</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88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(12) Interest and Other Expenses, Net</w:t>
            </w:r>
          </w:p>
        </w:tc>
        <w:tc>
          <w:tcPr>
            <w:tcW w:w="1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60" w:type="dxa"/>
            <w:vAlign w:val="bottom"/>
          </w:tcPr>
          <w:p>
            <w:pPr>
              <w:spacing w:after="0" w:line="20" w:lineRule="exact"/>
              <w:rPr>
                <w:sz w:val="1"/>
                <w:szCs w:val="1"/>
                <w:color w:val="auto"/>
              </w:rPr>
            </w:pPr>
          </w:p>
        </w:tc>
        <w:tc>
          <w:tcPr>
            <w:tcW w:w="2540" w:type="dxa"/>
            <w:vAlign w:val="bottom"/>
            <w:shd w:val="clear" w:color="auto" w:fill="000000"/>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3"/>
        </w:trPr>
        <w:tc>
          <w:tcPr>
            <w:tcW w:w="48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Interest and other expenses, net consisted of the following:</w:t>
            </w:r>
          </w:p>
        </w:tc>
        <w:tc>
          <w:tcPr>
            <w:tcW w:w="1160" w:type="dxa"/>
            <w:vAlign w:val="bottom"/>
          </w:tcPr>
          <w:p>
            <w:pPr>
              <w:spacing w:after="0"/>
              <w:rPr>
                <w:sz w:val="24"/>
                <w:szCs w:val="24"/>
                <w:color w:val="auto"/>
              </w:rPr>
            </w:pPr>
          </w:p>
        </w:tc>
        <w:tc>
          <w:tcPr>
            <w:tcW w:w="2100" w:type="dxa"/>
            <w:vAlign w:val="bottom"/>
            <w:gridSpan w:val="4"/>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300" w:type="dxa"/>
            <w:vAlign w:val="bottom"/>
            <w:gridSpan w:val="4"/>
            <w:vMerge w:val="restart"/>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Six Months Ended</w:t>
            </w:r>
          </w:p>
        </w:tc>
        <w:tc>
          <w:tcPr>
            <w:tcW w:w="0" w:type="dxa"/>
            <w:vAlign w:val="bottom"/>
          </w:tcPr>
          <w:p>
            <w:pPr>
              <w:spacing w:after="0"/>
              <w:rPr>
                <w:sz w:val="1"/>
                <w:szCs w:val="1"/>
                <w:color w:val="auto"/>
              </w:rPr>
            </w:pPr>
          </w:p>
        </w:tc>
      </w:tr>
      <w:tr>
        <w:trPr>
          <w:trHeight w:val="230"/>
        </w:trPr>
        <w:tc>
          <w:tcPr>
            <w:tcW w:w="360" w:type="dxa"/>
            <w:vAlign w:val="bottom"/>
          </w:tcPr>
          <w:p>
            <w:pPr>
              <w:spacing w:after="0"/>
              <w:rPr>
                <w:sz w:val="19"/>
                <w:szCs w:val="19"/>
                <w:color w:val="auto"/>
              </w:rPr>
            </w:pPr>
          </w:p>
        </w:tc>
        <w:tc>
          <w:tcPr>
            <w:tcW w:w="2540" w:type="dxa"/>
            <w:vAlign w:val="bottom"/>
          </w:tcPr>
          <w:p>
            <w:pPr>
              <w:spacing w:after="0"/>
              <w:rPr>
                <w:sz w:val="19"/>
                <w:szCs w:val="19"/>
                <w:color w:val="auto"/>
              </w:rPr>
            </w:pPr>
          </w:p>
        </w:tc>
        <w:tc>
          <w:tcPr>
            <w:tcW w:w="19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100" w:type="dxa"/>
            <w:vAlign w:val="bottom"/>
            <w:gridSpan w:val="4"/>
            <w:vMerge w:val="continue"/>
          </w:tcPr>
          <w:p>
            <w:pPr>
              <w:spacing w:after="0"/>
              <w:rPr>
                <w:sz w:val="19"/>
                <w:szCs w:val="19"/>
                <w:color w:val="auto"/>
              </w:rPr>
            </w:pP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300" w:type="dxa"/>
            <w:vAlign w:val="bottom"/>
            <w:gridSpan w:val="4"/>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50"/>
        </w:trPr>
        <w:tc>
          <w:tcPr>
            <w:tcW w:w="360" w:type="dxa"/>
            <w:vAlign w:val="bottom"/>
          </w:tcPr>
          <w:p>
            <w:pPr>
              <w:spacing w:after="0"/>
              <w:rPr>
                <w:sz w:val="21"/>
                <w:szCs w:val="21"/>
                <w:color w:val="auto"/>
              </w:rPr>
            </w:pPr>
          </w:p>
        </w:tc>
        <w:tc>
          <w:tcPr>
            <w:tcW w:w="2540" w:type="dxa"/>
            <w:vAlign w:val="bottom"/>
          </w:tcPr>
          <w:p>
            <w:pPr>
              <w:spacing w:after="0"/>
              <w:rPr>
                <w:sz w:val="21"/>
                <w:szCs w:val="21"/>
                <w:color w:val="auto"/>
              </w:rPr>
            </w:pPr>
          </w:p>
        </w:tc>
        <w:tc>
          <w:tcPr>
            <w:tcW w:w="198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760" w:type="dxa"/>
            <w:vAlign w:val="bottom"/>
            <w:tcBorders>
              <w:bottom w:val="single" w:sz="8" w:color="auto"/>
            </w:tcBorders>
          </w:tcPr>
          <w:p>
            <w:pPr>
              <w:spacing w:after="0"/>
              <w:rPr>
                <w:sz w:val="21"/>
                <w:szCs w:val="21"/>
                <w:color w:val="auto"/>
              </w:rPr>
            </w:pPr>
          </w:p>
        </w:tc>
        <w:tc>
          <w:tcPr>
            <w:tcW w:w="1340" w:type="dxa"/>
            <w:vAlign w:val="bottom"/>
            <w:tcBorders>
              <w:bottom w:val="single" w:sz="8" w:color="auto"/>
            </w:tcBorders>
            <w:gridSpan w:val="3"/>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46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380" w:type="dxa"/>
            <w:vAlign w:val="bottom"/>
            <w:tcBorders>
              <w:bottom w:val="single" w:sz="8" w:color="auto"/>
            </w:tcBorders>
            <w:gridSpan w:val="3"/>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92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41"/>
        </w:trPr>
        <w:tc>
          <w:tcPr>
            <w:tcW w:w="360" w:type="dxa"/>
            <w:vAlign w:val="bottom"/>
          </w:tcPr>
          <w:p>
            <w:pPr>
              <w:spacing w:after="0"/>
              <w:rPr>
                <w:sz w:val="20"/>
                <w:szCs w:val="20"/>
                <w:color w:val="auto"/>
              </w:rPr>
            </w:pPr>
          </w:p>
        </w:tc>
        <w:tc>
          <w:tcPr>
            <w:tcW w:w="2540" w:type="dxa"/>
            <w:vAlign w:val="bottom"/>
          </w:tcPr>
          <w:p>
            <w:pPr>
              <w:spacing w:after="0"/>
              <w:rPr>
                <w:sz w:val="20"/>
                <w:szCs w:val="20"/>
                <w:color w:val="auto"/>
              </w:rPr>
            </w:pPr>
          </w:p>
        </w:tc>
        <w:tc>
          <w:tcPr>
            <w:tcW w:w="198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48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2023</w:t>
            </w:r>
          </w:p>
        </w:tc>
        <w:tc>
          <w:tcPr>
            <w:tcW w:w="4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2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0" w:type="dxa"/>
            <w:vAlign w:val="bottom"/>
          </w:tcPr>
          <w:p>
            <w:pPr>
              <w:spacing w:after="0"/>
              <w:rPr>
                <w:sz w:val="1"/>
                <w:szCs w:val="1"/>
                <w:color w:val="auto"/>
              </w:rPr>
            </w:pPr>
          </w:p>
        </w:tc>
      </w:tr>
      <w:tr>
        <w:trPr>
          <w:trHeight w:val="239"/>
        </w:trPr>
        <w:tc>
          <w:tcPr>
            <w:tcW w:w="4880" w:type="dxa"/>
            <w:vAlign w:val="bottom"/>
            <w:gridSpan w:val="3"/>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1920" w:type="dxa"/>
            <w:vAlign w:val="bottom"/>
            <w:gridSpan w:val="2"/>
            <w:shd w:val="clear" w:color="auto" w:fill="CFF0FC"/>
          </w:tcPr>
          <w:p>
            <w:pPr>
              <w:jc w:val="right"/>
              <w:ind w:right="57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22.0</w:t>
            </w:r>
          </w:p>
        </w:tc>
        <w:tc>
          <w:tcPr>
            <w:tcW w:w="860" w:type="dxa"/>
            <w:vAlign w:val="bottom"/>
            <w:gridSpan w:val="2"/>
            <w:shd w:val="clear" w:color="auto" w:fill="CFF0FC"/>
          </w:tcPr>
          <w:p>
            <w:pPr>
              <w:jc w:val="right"/>
              <w:ind w:right="55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20.0</w:t>
            </w:r>
          </w:p>
        </w:tc>
        <w:tc>
          <w:tcPr>
            <w:tcW w:w="3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42.4</w:t>
            </w:r>
          </w:p>
        </w:tc>
        <w:tc>
          <w:tcPr>
            <w:tcW w:w="42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38.7</w:t>
            </w:r>
          </w:p>
        </w:tc>
        <w:tc>
          <w:tcPr>
            <w:tcW w:w="0" w:type="dxa"/>
            <w:vAlign w:val="bottom"/>
          </w:tcPr>
          <w:p>
            <w:pPr>
              <w:spacing w:after="0"/>
              <w:rPr>
                <w:sz w:val="1"/>
                <w:szCs w:val="1"/>
                <w:color w:val="auto"/>
              </w:rPr>
            </w:pPr>
          </w:p>
        </w:tc>
      </w:tr>
      <w:tr>
        <w:trPr>
          <w:trHeight w:val="239"/>
        </w:trPr>
        <w:tc>
          <w:tcPr>
            <w:tcW w:w="488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Interest income</w:t>
            </w:r>
          </w:p>
        </w:tc>
        <w:tc>
          <w:tcPr>
            <w:tcW w:w="11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(8.6 )</w:t>
            </w:r>
          </w:p>
        </w:tc>
        <w:tc>
          <w:tcPr>
            <w:tcW w:w="1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(8.4 )</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(16.7 )</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(16.5 )</w:t>
            </w:r>
          </w:p>
        </w:tc>
        <w:tc>
          <w:tcPr>
            <w:tcW w:w="0" w:type="dxa"/>
            <w:vAlign w:val="bottom"/>
          </w:tcPr>
          <w:p>
            <w:pPr>
              <w:spacing w:after="0"/>
              <w:rPr>
                <w:sz w:val="1"/>
                <w:szCs w:val="1"/>
                <w:color w:val="auto"/>
              </w:rPr>
            </w:pPr>
          </w:p>
        </w:tc>
      </w:tr>
      <w:tr>
        <w:trPr>
          <w:trHeight w:val="247"/>
        </w:trPr>
        <w:tc>
          <w:tcPr>
            <w:tcW w:w="4880" w:type="dxa"/>
            <w:vAlign w:val="bottom"/>
            <w:gridSpan w:val="3"/>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Foreign exchange loss</w:t>
            </w:r>
          </w:p>
        </w:tc>
        <w:tc>
          <w:tcPr>
            <w:tcW w:w="1160" w:type="dxa"/>
            <w:vAlign w:val="bottom"/>
            <w:shd w:val="clear" w:color="auto" w:fill="CFF0FC"/>
          </w:tcPr>
          <w:p>
            <w:pPr>
              <w:spacing w:after="0"/>
              <w:rPr>
                <w:sz w:val="21"/>
                <w:szCs w:val="21"/>
                <w:color w:val="auto"/>
              </w:rPr>
            </w:pPr>
          </w:p>
        </w:tc>
        <w:tc>
          <w:tcPr>
            <w:tcW w:w="760" w:type="dxa"/>
            <w:vAlign w:val="bottom"/>
            <w:shd w:val="clear" w:color="auto" w:fill="CFF0FC"/>
          </w:tcPr>
          <w:p>
            <w:pPr>
              <w:spacing w:after="0"/>
              <w:rPr>
                <w:sz w:val="21"/>
                <w:szCs w:val="21"/>
                <w:color w:val="auto"/>
              </w:rPr>
            </w:pPr>
          </w:p>
        </w:tc>
        <w:tc>
          <w:tcPr>
            <w:tcW w:w="48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1.8</w:t>
            </w:r>
          </w:p>
        </w:tc>
        <w:tc>
          <w:tcPr>
            <w:tcW w:w="120" w:type="dxa"/>
            <w:vAlign w:val="bottom"/>
            <w:shd w:val="clear" w:color="auto" w:fill="CFF0FC"/>
          </w:tcPr>
          <w:p>
            <w:pPr>
              <w:spacing w:after="0"/>
              <w:rPr>
                <w:sz w:val="21"/>
                <w:szCs w:val="21"/>
                <w:color w:val="auto"/>
              </w:rPr>
            </w:pPr>
          </w:p>
        </w:tc>
        <w:tc>
          <w:tcPr>
            <w:tcW w:w="740" w:type="dxa"/>
            <w:vAlign w:val="bottom"/>
            <w:shd w:val="clear" w:color="auto" w:fill="CFF0FC"/>
          </w:tcPr>
          <w:p>
            <w:pPr>
              <w:spacing w:after="0"/>
              <w:rPr>
                <w:sz w:val="21"/>
                <w:szCs w:val="21"/>
                <w:color w:val="auto"/>
              </w:rPr>
            </w:pPr>
          </w:p>
        </w:tc>
        <w:tc>
          <w:tcPr>
            <w:tcW w:w="46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5.1</w:t>
            </w:r>
          </w:p>
        </w:tc>
        <w:tc>
          <w:tcPr>
            <w:tcW w:w="10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96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4.2</w:t>
            </w:r>
          </w:p>
        </w:tc>
        <w:tc>
          <w:tcPr>
            <w:tcW w:w="12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9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8.2</w:t>
            </w:r>
          </w:p>
        </w:tc>
        <w:tc>
          <w:tcPr>
            <w:tcW w:w="0" w:type="dxa"/>
            <w:vAlign w:val="bottom"/>
          </w:tcPr>
          <w:p>
            <w:pPr>
              <w:spacing w:after="0"/>
              <w:rPr>
                <w:sz w:val="1"/>
                <w:szCs w:val="1"/>
                <w:color w:val="auto"/>
              </w:rPr>
            </w:pPr>
          </w:p>
        </w:tc>
      </w:tr>
      <w:tr>
        <w:trPr>
          <w:trHeight w:val="239"/>
        </w:trPr>
        <w:tc>
          <w:tcPr>
            <w:tcW w:w="488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Miscellaneous income, net</w:t>
            </w:r>
          </w:p>
        </w:tc>
        <w:tc>
          <w:tcPr>
            <w:tcW w:w="1160" w:type="dxa"/>
            <w:vAlign w:val="bottom"/>
          </w:tcPr>
          <w:p>
            <w:pPr>
              <w:spacing w:after="0"/>
              <w:rPr>
                <w:sz w:val="20"/>
                <w:szCs w:val="20"/>
                <w:color w:val="auto"/>
              </w:rPr>
            </w:pPr>
          </w:p>
        </w:tc>
        <w:tc>
          <w:tcPr>
            <w:tcW w:w="760" w:type="dxa"/>
            <w:vAlign w:val="bottom"/>
            <w:tcBorders>
              <w:bottom w:val="single" w:sz="8" w:color="auto"/>
            </w:tcBorders>
          </w:tcPr>
          <w:p>
            <w:pPr>
              <w:spacing w:after="0"/>
              <w:rPr>
                <w:sz w:val="20"/>
                <w:szCs w:val="20"/>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(6.5 )</w:t>
            </w:r>
          </w:p>
        </w:tc>
        <w:tc>
          <w:tcPr>
            <w:tcW w:w="120" w:type="dxa"/>
            <w:vAlign w:val="bottom"/>
          </w:tcPr>
          <w:p>
            <w:pPr>
              <w:spacing w:after="0"/>
              <w:rPr>
                <w:sz w:val="20"/>
                <w:szCs w:val="20"/>
                <w:color w:val="auto"/>
              </w:rPr>
            </w:pPr>
          </w:p>
        </w:tc>
        <w:tc>
          <w:tcPr>
            <w:tcW w:w="740" w:type="dxa"/>
            <w:vAlign w:val="bottom"/>
            <w:tcBorders>
              <w:bottom w:val="single" w:sz="8" w:color="auto"/>
            </w:tcBorders>
          </w:tcPr>
          <w:p>
            <w:pPr>
              <w:spacing w:after="0"/>
              <w:rPr>
                <w:sz w:val="20"/>
                <w:szCs w:val="20"/>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(4.9 )</w:t>
            </w:r>
          </w:p>
        </w:tc>
        <w:tc>
          <w:tcPr>
            <w:tcW w:w="1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(12.8 )</w:t>
            </w:r>
          </w:p>
        </w:tc>
        <w:tc>
          <w:tcPr>
            <w:tcW w:w="12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(11.1 )</w:t>
            </w:r>
          </w:p>
        </w:tc>
        <w:tc>
          <w:tcPr>
            <w:tcW w:w="0" w:type="dxa"/>
            <w:vAlign w:val="bottom"/>
          </w:tcPr>
          <w:p>
            <w:pPr>
              <w:spacing w:after="0"/>
              <w:rPr>
                <w:sz w:val="1"/>
                <w:szCs w:val="1"/>
                <w:color w:val="auto"/>
              </w:rPr>
            </w:pPr>
          </w:p>
        </w:tc>
      </w:tr>
      <w:tr>
        <w:trPr>
          <w:trHeight w:val="277"/>
        </w:trPr>
        <w:tc>
          <w:tcPr>
            <w:tcW w:w="4880" w:type="dxa"/>
            <w:vAlign w:val="bottom"/>
            <w:gridSpan w:val="3"/>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Interest and other expenses, net</w:t>
            </w:r>
          </w:p>
        </w:tc>
        <w:tc>
          <w:tcPr>
            <w:tcW w:w="1920" w:type="dxa"/>
            <w:vAlign w:val="bottom"/>
            <w:gridSpan w:val="2"/>
            <w:shd w:val="clear" w:color="auto" w:fill="CFF0FC"/>
          </w:tcPr>
          <w:p>
            <w:pPr>
              <w:jc w:val="right"/>
              <w:ind w:right="57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8.7</w:t>
            </w:r>
          </w:p>
        </w:tc>
        <w:tc>
          <w:tcPr>
            <w:tcW w:w="860" w:type="dxa"/>
            <w:vAlign w:val="bottom"/>
            <w:gridSpan w:val="2"/>
            <w:shd w:val="clear" w:color="auto" w:fill="CFF0FC"/>
          </w:tcPr>
          <w:p>
            <w:pPr>
              <w:jc w:val="right"/>
              <w:ind w:right="55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11.8</w:t>
            </w:r>
          </w:p>
        </w:tc>
        <w:tc>
          <w:tcPr>
            <w:tcW w:w="3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17.1</w:t>
            </w:r>
          </w:p>
        </w:tc>
        <w:tc>
          <w:tcPr>
            <w:tcW w:w="42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19.3</w:t>
            </w:r>
          </w:p>
        </w:tc>
        <w:tc>
          <w:tcPr>
            <w:tcW w:w="0" w:type="dxa"/>
            <w:vAlign w:val="bottom"/>
          </w:tcPr>
          <w:p>
            <w:pPr>
              <w:spacing w:after="0"/>
              <w:rPr>
                <w:sz w:val="1"/>
                <w:szCs w:val="1"/>
                <w:color w:val="auto"/>
              </w:rPr>
            </w:pPr>
          </w:p>
        </w:tc>
      </w:tr>
      <w:tr>
        <w:trPr>
          <w:trHeight w:val="849"/>
        </w:trPr>
        <w:tc>
          <w:tcPr>
            <w:tcW w:w="360" w:type="dxa"/>
            <w:vAlign w:val="bottom"/>
            <w:tcBorders>
              <w:top w:val="single" w:sz="8" w:color="CFF0FC"/>
            </w:tcBorders>
          </w:tcPr>
          <w:p>
            <w:pPr>
              <w:spacing w:after="0"/>
              <w:rPr>
                <w:sz w:val="24"/>
                <w:szCs w:val="24"/>
                <w:color w:val="auto"/>
              </w:rPr>
            </w:pPr>
          </w:p>
        </w:tc>
        <w:tc>
          <w:tcPr>
            <w:tcW w:w="2540" w:type="dxa"/>
            <w:vAlign w:val="bottom"/>
            <w:tcBorders>
              <w:top w:val="single" w:sz="8" w:color="CFF0FC"/>
            </w:tcBorders>
          </w:tcPr>
          <w:p>
            <w:pPr>
              <w:spacing w:after="0"/>
              <w:rPr>
                <w:sz w:val="24"/>
                <w:szCs w:val="24"/>
                <w:color w:val="auto"/>
              </w:rPr>
            </w:pPr>
          </w:p>
        </w:tc>
        <w:tc>
          <w:tcPr>
            <w:tcW w:w="1980" w:type="dxa"/>
            <w:vAlign w:val="bottom"/>
            <w:tcBorders>
              <w:top w:val="single" w:sz="8" w:color="CFF0FC"/>
            </w:tcBorders>
          </w:tcPr>
          <w:p>
            <w:pPr>
              <w:spacing w:after="0"/>
              <w:rPr>
                <w:sz w:val="24"/>
                <w:szCs w:val="24"/>
                <w:color w:val="auto"/>
              </w:rPr>
            </w:pPr>
          </w:p>
        </w:tc>
        <w:tc>
          <w:tcPr>
            <w:tcW w:w="1160" w:type="dxa"/>
            <w:vAlign w:val="bottom"/>
            <w:tcBorders>
              <w:top w:val="single" w:sz="8" w:color="CFF0FC"/>
            </w:tcBorders>
          </w:tcPr>
          <w:p>
            <w:pPr>
              <w:jc w:val="right"/>
              <w:ind w:right="230"/>
              <w:spacing w:after="0"/>
              <w:rPr>
                <w:sz w:val="20"/>
                <w:szCs w:val="20"/>
                <w:color w:val="auto"/>
              </w:rPr>
            </w:pPr>
            <w:r>
              <w:rPr>
                <w:rFonts w:ascii="Times New Roman" w:cs="Times New Roman" w:eastAsia="Times New Roman" w:hAnsi="Times New Roman"/>
                <w:sz w:val="18"/>
                <w:szCs w:val="18"/>
                <w:color w:val="auto"/>
              </w:rPr>
              <w:t>15</w:t>
            </w:r>
          </w:p>
        </w:tc>
        <w:tc>
          <w:tcPr>
            <w:tcW w:w="760" w:type="dxa"/>
            <w:vAlign w:val="bottom"/>
            <w:tcBorders>
              <w:top w:val="single" w:sz="8" w:color="auto"/>
            </w:tcBorders>
          </w:tcPr>
          <w:p>
            <w:pPr>
              <w:spacing w:after="0"/>
              <w:rPr>
                <w:sz w:val="24"/>
                <w:szCs w:val="24"/>
                <w:color w:val="auto"/>
              </w:rPr>
            </w:pPr>
          </w:p>
        </w:tc>
        <w:tc>
          <w:tcPr>
            <w:tcW w:w="480" w:type="dxa"/>
            <w:vAlign w:val="bottom"/>
            <w:tcBorders>
              <w:top w:val="single" w:sz="8" w:color="auto"/>
            </w:tcBorders>
          </w:tcPr>
          <w:p>
            <w:pPr>
              <w:spacing w:after="0"/>
              <w:rPr>
                <w:sz w:val="24"/>
                <w:szCs w:val="24"/>
                <w:color w:val="auto"/>
              </w:rPr>
            </w:pPr>
          </w:p>
        </w:tc>
        <w:tc>
          <w:tcPr>
            <w:tcW w:w="120" w:type="dxa"/>
            <w:vAlign w:val="bottom"/>
            <w:tcBorders>
              <w:top w:val="single" w:sz="8" w:color="CFF0FC"/>
            </w:tcBorders>
          </w:tcPr>
          <w:p>
            <w:pPr>
              <w:spacing w:after="0"/>
              <w:rPr>
                <w:sz w:val="24"/>
                <w:szCs w:val="24"/>
                <w:color w:val="auto"/>
              </w:rPr>
            </w:pPr>
          </w:p>
        </w:tc>
        <w:tc>
          <w:tcPr>
            <w:tcW w:w="740" w:type="dxa"/>
            <w:vAlign w:val="bottom"/>
            <w:tcBorders>
              <w:top w:val="single" w:sz="8" w:color="auto"/>
            </w:tcBorders>
          </w:tcPr>
          <w:p>
            <w:pPr>
              <w:spacing w:after="0"/>
              <w:rPr>
                <w:sz w:val="24"/>
                <w:szCs w:val="24"/>
                <w:color w:val="auto"/>
              </w:rPr>
            </w:pPr>
          </w:p>
        </w:tc>
        <w:tc>
          <w:tcPr>
            <w:tcW w:w="460" w:type="dxa"/>
            <w:vAlign w:val="bottom"/>
            <w:tcBorders>
              <w:top w:val="single" w:sz="8" w:color="auto"/>
            </w:tcBorders>
          </w:tcPr>
          <w:p>
            <w:pPr>
              <w:spacing w:after="0"/>
              <w:rPr>
                <w:sz w:val="24"/>
                <w:szCs w:val="24"/>
                <w:color w:val="auto"/>
              </w:rPr>
            </w:pPr>
          </w:p>
        </w:tc>
        <w:tc>
          <w:tcPr>
            <w:tcW w:w="100" w:type="dxa"/>
            <w:vAlign w:val="bottom"/>
            <w:tcBorders>
              <w:top w:val="single" w:sz="8" w:color="CFF0FC"/>
            </w:tcBorders>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960" w:type="dxa"/>
            <w:vAlign w:val="bottom"/>
            <w:tcBorders>
              <w:top w:val="single" w:sz="8" w:color="auto"/>
            </w:tcBorders>
          </w:tcPr>
          <w:p>
            <w:pPr>
              <w:spacing w:after="0"/>
              <w:rPr>
                <w:sz w:val="24"/>
                <w:szCs w:val="24"/>
                <w:color w:val="auto"/>
              </w:rPr>
            </w:pPr>
          </w:p>
        </w:tc>
        <w:tc>
          <w:tcPr>
            <w:tcW w:w="120" w:type="dxa"/>
            <w:vAlign w:val="bottom"/>
            <w:tcBorders>
              <w:top w:val="single" w:sz="8" w:color="CFF0FC"/>
            </w:tcBorders>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92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360" w:type="dxa"/>
            <w:vAlign w:val="bottom"/>
            <w:tcBorders>
              <w:bottom w:val="single" w:sz="8" w:color="9A9A9A"/>
            </w:tcBorders>
          </w:tcPr>
          <w:p>
            <w:pPr>
              <w:spacing w:after="0"/>
              <w:rPr>
                <w:sz w:val="24"/>
                <w:szCs w:val="24"/>
                <w:color w:val="auto"/>
              </w:rPr>
            </w:pPr>
          </w:p>
        </w:tc>
        <w:tc>
          <w:tcPr>
            <w:tcW w:w="2540" w:type="dxa"/>
            <w:vAlign w:val="bottom"/>
            <w:tcBorders>
              <w:bottom w:val="single" w:sz="8" w:color="9A9A9A"/>
            </w:tcBorders>
          </w:tcPr>
          <w:p>
            <w:pPr>
              <w:spacing w:after="0"/>
              <w:rPr>
                <w:sz w:val="24"/>
                <w:szCs w:val="24"/>
                <w:color w:val="auto"/>
              </w:rPr>
            </w:pPr>
          </w:p>
        </w:tc>
        <w:tc>
          <w:tcPr>
            <w:tcW w:w="1980" w:type="dxa"/>
            <w:vAlign w:val="bottom"/>
            <w:tcBorders>
              <w:bottom w:val="single" w:sz="8" w:color="9A9A9A"/>
            </w:tcBorders>
          </w:tcPr>
          <w:p>
            <w:pPr>
              <w:spacing w:after="0"/>
              <w:rPr>
                <w:sz w:val="24"/>
                <w:szCs w:val="24"/>
                <w:color w:val="auto"/>
              </w:rPr>
            </w:pPr>
          </w:p>
        </w:tc>
        <w:tc>
          <w:tcPr>
            <w:tcW w:w="1160" w:type="dxa"/>
            <w:vAlign w:val="bottom"/>
            <w:tcBorders>
              <w:bottom w:val="single" w:sz="8" w:color="9A9A9A"/>
            </w:tcBorders>
          </w:tcPr>
          <w:p>
            <w:pPr>
              <w:spacing w:after="0"/>
              <w:rPr>
                <w:sz w:val="24"/>
                <w:szCs w:val="24"/>
                <w:color w:val="auto"/>
              </w:rPr>
            </w:pPr>
          </w:p>
        </w:tc>
        <w:tc>
          <w:tcPr>
            <w:tcW w:w="760" w:type="dxa"/>
            <w:vAlign w:val="bottom"/>
            <w:tcBorders>
              <w:bottom w:val="single" w:sz="8" w:color="9A9A9A"/>
            </w:tcBorders>
          </w:tcPr>
          <w:p>
            <w:pPr>
              <w:spacing w:after="0"/>
              <w:rPr>
                <w:sz w:val="24"/>
                <w:szCs w:val="24"/>
                <w:color w:val="auto"/>
              </w:rPr>
            </w:pPr>
          </w:p>
        </w:tc>
        <w:tc>
          <w:tcPr>
            <w:tcW w:w="48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740" w:type="dxa"/>
            <w:vAlign w:val="bottom"/>
            <w:tcBorders>
              <w:bottom w:val="single" w:sz="8" w:color="9A9A9A"/>
            </w:tcBorders>
          </w:tcPr>
          <w:p>
            <w:pPr>
              <w:spacing w:after="0"/>
              <w:rPr>
                <w:sz w:val="24"/>
                <w:szCs w:val="24"/>
                <w:color w:val="auto"/>
              </w:rPr>
            </w:pPr>
          </w:p>
        </w:tc>
        <w:tc>
          <w:tcPr>
            <w:tcW w:w="4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96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9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4625340</wp:posOffset>
            </wp:positionH>
            <wp:positionV relativeFrom="paragraph">
              <wp:posOffset>-1070610</wp:posOffset>
            </wp:positionV>
            <wp:extent cx="68580" cy="825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4625340</wp:posOffset>
            </wp:positionH>
            <wp:positionV relativeFrom="paragraph">
              <wp:posOffset>-1053465</wp:posOffset>
            </wp:positionV>
            <wp:extent cx="68580" cy="825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5457190</wp:posOffset>
            </wp:positionH>
            <wp:positionV relativeFrom="paragraph">
              <wp:posOffset>-1070610</wp:posOffset>
            </wp:positionV>
            <wp:extent cx="68580" cy="825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5457190</wp:posOffset>
            </wp:positionH>
            <wp:positionV relativeFrom="paragraph">
              <wp:posOffset>-1053465</wp:posOffset>
            </wp:positionV>
            <wp:extent cx="68580" cy="825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6288405</wp:posOffset>
            </wp:positionH>
            <wp:positionV relativeFrom="paragraph">
              <wp:posOffset>-1070610</wp:posOffset>
            </wp:positionV>
            <wp:extent cx="68580" cy="825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6288405</wp:posOffset>
            </wp:positionH>
            <wp:positionV relativeFrom="paragraph">
              <wp:posOffset>-1053465</wp:posOffset>
            </wp:positionV>
            <wp:extent cx="68580" cy="825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48" w:right="339" w:bottom="1440" w:gutter="0" w:footer="0" w:header="0"/>
        </w:sectPr>
      </w:pPr>
    </w:p>
    <w:bookmarkStart w:id="15" w:name="page16"/>
    <w:bookmarkEnd w:id="15"/>
    <w:p>
      <w:pPr>
        <w:ind w:left="360" w:hanging="352"/>
        <w:spacing w:after="0"/>
        <w:tabs>
          <w:tab w:leader="none" w:pos="360" w:val="left"/>
        </w:tabs>
        <w:numPr>
          <w:ilvl w:val="0"/>
          <w:numId w:val="2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Derivative Financial Instruments and Fair Value Measurements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Derivative Financial Instruments</w:t>
      </w:r>
    </w:p>
    <w:p>
      <w:pPr>
        <w:spacing w:after="0" w:line="227" w:lineRule="exact"/>
        <w:rPr>
          <w:sz w:val="20"/>
          <w:szCs w:val="20"/>
          <w:color w:val="auto"/>
        </w:rPr>
      </w:pPr>
    </w:p>
    <w:p>
      <w:pPr>
        <w:ind w:right="440"/>
        <w:spacing w:after="0" w:line="258" w:lineRule="auto"/>
        <w:rPr>
          <w:sz w:val="20"/>
          <w:szCs w:val="20"/>
          <w:color w:val="auto"/>
        </w:rPr>
      </w:pPr>
      <w:r>
        <w:rPr>
          <w:rFonts w:ascii="Times New Roman" w:cs="Times New Roman" w:eastAsia="Times New Roman" w:hAnsi="Times New Roman"/>
          <w:sz w:val="18"/>
          <w:szCs w:val="18"/>
          <w:color w:val="auto"/>
        </w:rPr>
        <w:t>We are exposed to various market risks relating to our ongoing business operations. The primary market risks, which are managed using derivative instruments, are foreign currency exchange rate risk and interest rate risk. In certain circumstances, we enter into foreign currency forward exchange contracts and cross-currency swaps to reduce the effects of fluctuating foreign currency exchange rates on our cash flows denominated in foreign currencies. Our exposure to market risk for changes in interest rates relates primarily to our long-term debt obligations. We have historically managed interest rate risk through the use of a combination of fixed and variable rate borrowings.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Net Investment Hedges</w:t>
      </w:r>
    </w:p>
    <w:p>
      <w:pPr>
        <w:spacing w:after="0" w:line="227"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We use cross currency swaps, forward contracts and a portion of our foreign currency denominated debt, a non-derivative financial instrument, to protect the value of our net investments in certain of our foreign subsidiaries. For derivative instruments that are designated and qualify as hedges of our net investments in foreign operations, the changes in fair values of the derivative instruments are recognized in foreign currency translation, a component of accumulated other comprehensive income (“AOCI”), to offset the changes in the values of the net investments being hedged. For non-derivative financial instruments that are designated and qualify as hedges of net investments in foreign operations, the change in the carrying value of the designated portion of the non-derivative financial instrument due to changes in foreign currency exchange rates is also recorded in foreign currency translation.</w:t>
      </w:r>
    </w:p>
    <w:p>
      <w:pPr>
        <w:spacing w:after="0" w:line="187" w:lineRule="exact"/>
        <w:rPr>
          <w:sz w:val="20"/>
          <w:szCs w:val="20"/>
          <w:color w:val="auto"/>
        </w:rPr>
      </w:pPr>
    </w:p>
    <w:p>
      <w:pPr>
        <w:ind w:right="340"/>
        <w:spacing w:after="0" w:line="282" w:lineRule="auto"/>
        <w:rPr>
          <w:sz w:val="20"/>
          <w:szCs w:val="20"/>
          <w:color w:val="auto"/>
        </w:rPr>
      </w:pPr>
      <w:r>
        <w:rPr>
          <w:rFonts w:ascii="Times New Roman" w:cs="Times New Roman" w:eastAsia="Times New Roman" w:hAnsi="Times New Roman"/>
          <w:sz w:val="18"/>
          <w:szCs w:val="18"/>
          <w:color w:val="auto"/>
        </w:rPr>
        <w:t>The €400.0 ($425.8) notes due June 2027 and the €500.0 ($534.3) notes due June 2026 were designated as a hedge of our net investment in our foreign subsidiaries with a Euro-functional currency as of June 30, 2024.</w:t>
      </w:r>
    </w:p>
    <w:p>
      <w:pPr>
        <w:spacing w:after="0" w:line="162"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In September 2022, we entered into a cross currency swap agreement that net converts fixed-rate Swiss franc (“CHF”) payments to fixed-rate United States dollar payments. This swap was designated as a net investment hedge of our foreign subsidiary with CHF functional currency.</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effect of our net investment hedges on AOCI for the three and six months ended June 30, 2024 and 2023 was as follows:</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40" w:type="dxa"/>
            <w:vAlign w:val="bottom"/>
            <w:tcBorders>
              <w:bottom w:val="single" w:sz="8" w:color="auto"/>
            </w:tcBorders>
          </w:tcPr>
          <w:p>
            <w:pPr>
              <w:spacing w:after="0"/>
              <w:rPr>
                <w:sz w:val="20"/>
                <w:szCs w:val="20"/>
                <w:color w:val="auto"/>
              </w:rPr>
            </w:pPr>
          </w:p>
        </w:tc>
        <w:tc>
          <w:tcPr>
            <w:tcW w:w="4880" w:type="dxa"/>
            <w:vAlign w:val="bottom"/>
            <w:tcBorders>
              <w:bottom w:val="single" w:sz="8" w:color="auto"/>
            </w:tcBorders>
            <w:gridSpan w:val="8"/>
          </w:tcPr>
          <w:p>
            <w:pPr>
              <w:ind w:left="500"/>
              <w:spacing w:after="0"/>
              <w:rPr>
                <w:sz w:val="20"/>
                <w:szCs w:val="20"/>
                <w:color w:val="auto"/>
              </w:rPr>
            </w:pPr>
            <w:r>
              <w:rPr>
                <w:rFonts w:ascii="Times New Roman" w:cs="Times New Roman" w:eastAsia="Times New Roman" w:hAnsi="Times New Roman"/>
                <w:sz w:val="18"/>
                <w:szCs w:val="18"/>
                <w:b w:val="1"/>
                <w:bCs w:val="1"/>
                <w:color w:val="auto"/>
                <w:w w:val="99"/>
              </w:rPr>
              <w:t>Gain (Loss) Recognized in Other Comprehensive Income</w:t>
            </w:r>
          </w:p>
        </w:tc>
        <w:tc>
          <w:tcPr>
            <w:tcW w:w="42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tcPr>
          <w:p>
            <w:pPr>
              <w:spacing w:after="0"/>
              <w:rPr>
                <w:sz w:val="20"/>
                <w:szCs w:val="20"/>
                <w:color w:val="auto"/>
              </w:rPr>
            </w:pPr>
          </w:p>
        </w:tc>
      </w:tr>
      <w:tr>
        <w:trPr>
          <w:trHeight w:val="234"/>
        </w:trPr>
        <w:tc>
          <w:tcPr>
            <w:tcW w:w="2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380" w:type="dxa"/>
            <w:vAlign w:val="bottom"/>
            <w:tcBorders>
              <w:bottom w:val="single" w:sz="8" w:color="auto"/>
            </w:tcBorders>
            <w:gridSpan w:val="4"/>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Three Months Ended June 30,</w:t>
            </w:r>
          </w:p>
        </w:tc>
        <w:tc>
          <w:tcPr>
            <w:tcW w:w="6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3580" w:type="dxa"/>
            <w:vAlign w:val="bottom"/>
            <w:tcBorders>
              <w:bottom w:val="single" w:sz="8" w:color="auto"/>
            </w:tcBorders>
            <w:gridSpan w:val="4"/>
          </w:tcPr>
          <w:p>
            <w:pPr>
              <w:jc w:val="right"/>
              <w:ind w:right="910"/>
              <w:spacing w:after="0"/>
              <w:rPr>
                <w:sz w:val="20"/>
                <w:szCs w:val="20"/>
                <w:color w:val="auto"/>
              </w:rPr>
            </w:pPr>
            <w:r>
              <w:rPr>
                <w:rFonts w:ascii="Times New Roman" w:cs="Times New Roman" w:eastAsia="Times New Roman" w:hAnsi="Times New Roman"/>
                <w:sz w:val="18"/>
                <w:szCs w:val="18"/>
                <w:b w:val="1"/>
                <w:bCs w:val="1"/>
                <w:color w:val="auto"/>
              </w:rPr>
              <w:t>Six Months Ended June 30,</w:t>
            </w:r>
          </w:p>
        </w:tc>
      </w:tr>
      <w:tr>
        <w:trPr>
          <w:trHeight w:val="239"/>
        </w:trPr>
        <w:tc>
          <w:tcPr>
            <w:tcW w:w="2960" w:type="dxa"/>
            <w:vAlign w:val="bottom"/>
            <w:tcBorders>
              <w:bottom w:val="single" w:sz="8" w:color="auto"/>
            </w:tcBorders>
          </w:tcPr>
          <w:p>
            <w:pPr>
              <w:ind w:left="1040"/>
              <w:spacing w:after="0"/>
              <w:rPr>
                <w:sz w:val="20"/>
                <w:szCs w:val="20"/>
                <w:color w:val="auto"/>
              </w:rPr>
            </w:pPr>
            <w:r>
              <w:rPr>
                <w:rFonts w:ascii="Times New Roman" w:cs="Times New Roman" w:eastAsia="Times New Roman" w:hAnsi="Times New Roman"/>
                <w:sz w:val="18"/>
                <w:szCs w:val="18"/>
                <w:b w:val="1"/>
                <w:bCs w:val="1"/>
                <w:color w:val="auto"/>
              </w:rPr>
              <w:t>Instrument</w:t>
            </w:r>
          </w:p>
        </w:tc>
        <w:tc>
          <w:tcPr>
            <w:tcW w:w="120" w:type="dxa"/>
            <w:vAlign w:val="bottom"/>
          </w:tcPr>
          <w:p>
            <w:pPr>
              <w:spacing w:after="0"/>
              <w:rPr>
                <w:sz w:val="20"/>
                <w:szCs w:val="20"/>
                <w:color w:val="auto"/>
              </w:rPr>
            </w:pPr>
          </w:p>
        </w:tc>
        <w:tc>
          <w:tcPr>
            <w:tcW w:w="1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64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6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tcPr>
          <w:p>
            <w:pPr>
              <w:jc w:val="right"/>
              <w:ind w:right="7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20" w:type="dxa"/>
            <w:vAlign w:val="bottom"/>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tcPr>
          <w:p>
            <w:pPr>
              <w:jc w:val="right"/>
              <w:ind w:right="75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39"/>
        </w:trPr>
        <w:tc>
          <w:tcPr>
            <w:tcW w:w="308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Euro Notes</w:t>
            </w:r>
          </w:p>
        </w:tc>
        <w:tc>
          <w:tcPr>
            <w:tcW w:w="1340" w:type="dxa"/>
            <w:vAlign w:val="bottom"/>
            <w:shd w:val="clear" w:color="auto" w:fill="CFF0FC"/>
          </w:tcPr>
          <w:p>
            <w:pPr>
              <w:jc w:val="right"/>
              <w:ind w:right="1150"/>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7.2</w:t>
            </w:r>
          </w:p>
        </w:tc>
        <w:tc>
          <w:tcPr>
            <w:tcW w:w="1400" w:type="dxa"/>
            <w:vAlign w:val="bottom"/>
            <w:gridSpan w:val="2"/>
            <w:shd w:val="clear" w:color="auto" w:fill="CFF0FC"/>
          </w:tcPr>
          <w:p>
            <w:pPr>
              <w:jc w:val="right"/>
              <w:ind w:right="109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(6.4 )</w:t>
            </w:r>
          </w:p>
        </w:tc>
        <w:tc>
          <w:tcPr>
            <w:tcW w:w="520" w:type="dxa"/>
            <w:vAlign w:val="bottom"/>
            <w:gridSpan w:val="2"/>
            <w:shd w:val="clear" w:color="auto" w:fill="CFF0FC"/>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29.0</w:t>
            </w:r>
          </w:p>
        </w:tc>
        <w:tc>
          <w:tcPr>
            <w:tcW w:w="120" w:type="dxa"/>
            <w:vAlign w:val="bottom"/>
            <w:shd w:val="clear" w:color="auto" w:fill="CFF0FC"/>
          </w:tcPr>
          <w:p>
            <w:pPr>
              <w:spacing w:after="0"/>
              <w:rPr>
                <w:sz w:val="20"/>
                <w:szCs w:val="20"/>
                <w:color w:val="auto"/>
              </w:rPr>
            </w:pPr>
          </w:p>
        </w:tc>
        <w:tc>
          <w:tcPr>
            <w:tcW w:w="420" w:type="dxa"/>
            <w:vAlign w:val="bottom"/>
            <w:shd w:val="clear" w:color="auto" w:fill="CFF0FC"/>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(18.7 )</w:t>
            </w:r>
          </w:p>
        </w:tc>
      </w:tr>
      <w:tr>
        <w:trPr>
          <w:trHeight w:val="234"/>
        </w:trPr>
        <w:tc>
          <w:tcPr>
            <w:tcW w:w="30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Cross-currency swaps</w:t>
            </w:r>
          </w:p>
        </w:tc>
        <w:tc>
          <w:tcPr>
            <w:tcW w:w="134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(2.6 )</w:t>
            </w:r>
          </w:p>
        </w:tc>
        <w:tc>
          <w:tcPr>
            <w:tcW w:w="12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(16.7 )</w:t>
            </w: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5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28.7</w:t>
            </w: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(17.1 )</w:t>
            </w:r>
          </w:p>
        </w:tc>
      </w:tr>
    </w:tbl>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Cash Flow Hedges</w:t>
      </w:r>
    </w:p>
    <w:p>
      <w:pPr>
        <w:spacing w:after="0" w:line="227" w:lineRule="exact"/>
        <w:rPr>
          <w:sz w:val="20"/>
          <w:szCs w:val="20"/>
          <w:color w:val="auto"/>
        </w:rPr>
      </w:pPr>
    </w:p>
    <w:p>
      <w:pPr>
        <w:jc w:val="both"/>
        <w:ind w:right="300"/>
        <w:spacing w:after="0" w:line="266" w:lineRule="auto"/>
        <w:rPr>
          <w:sz w:val="20"/>
          <w:szCs w:val="20"/>
          <w:color w:val="auto"/>
        </w:rPr>
      </w:pPr>
      <w:r>
        <w:rPr>
          <w:rFonts w:ascii="Times New Roman" w:cs="Times New Roman" w:eastAsia="Times New Roman" w:hAnsi="Times New Roman"/>
          <w:sz w:val="18"/>
          <w:szCs w:val="18"/>
          <w:color w:val="auto"/>
        </w:rPr>
        <w:t>We use forward currency exchange contracts to hedge the changes in cash flows of certain operational expenses denominated in foreign currency due to changes in foreign currency exchange rates. The changes in fair value of the forward currency exchange contracts derivatives are recorded in AOCI and reclassified into earnings when the underlying operating expense is recognized in earnings.</w:t>
      </w:r>
    </w:p>
    <w:p>
      <w:pPr>
        <w:spacing w:after="0" w:line="176"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On June 9, 2022, we entered into a forward starting interest rate swap agreement with a notional amount of €300.0 and a fixed rate of 1.936%, which was accounted for as a cash flow hedge, to hedge the interest rate exposure related to our anticipated issuance of €400.0 notes to repay our existing €400.0 notes maturing in September 2022. Upon the issuance of the notes on June 30, 2022, we settled this forward starting interest rate swap, resulting in a gain of $2.0, which was recorded in AOCI and is being amortized over the term of the notes as an offset to interest expense.</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16" w:name="page17"/>
    <w:bookmarkEnd w:id="16"/>
    <w:p>
      <w:pPr>
        <w:ind w:right="220"/>
        <w:spacing w:after="0" w:line="282" w:lineRule="auto"/>
        <w:rPr>
          <w:sz w:val="20"/>
          <w:szCs w:val="20"/>
          <w:color w:val="auto"/>
        </w:rPr>
      </w:pPr>
      <w:r>
        <w:rPr>
          <w:rFonts w:ascii="Times New Roman" w:cs="Times New Roman" w:eastAsia="Times New Roman" w:hAnsi="Times New Roman"/>
          <w:sz w:val="18"/>
          <w:szCs w:val="18"/>
          <w:color w:val="auto"/>
        </w:rPr>
        <w:t>The following tables present the impact that changes in the fair values of derivatives designated as cash flow hedges had on other comprehensive income (“OCI”), AOCI and earnings for the three and six months ended June 30, 2024 and 2023:</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540" w:type="dxa"/>
            <w:vAlign w:val="bottom"/>
            <w:gridSpan w:val="4"/>
          </w:tcPr>
          <w:p>
            <w:pPr>
              <w:jc w:val="center"/>
              <w:ind w:right="170"/>
              <w:spacing w:after="0"/>
              <w:rPr>
                <w:sz w:val="20"/>
                <w:szCs w:val="20"/>
                <w:color w:val="auto"/>
              </w:rPr>
            </w:pPr>
            <w:r>
              <w:rPr>
                <w:rFonts w:ascii="Times New Roman" w:cs="Times New Roman" w:eastAsia="Times New Roman" w:hAnsi="Times New Roman"/>
                <w:sz w:val="18"/>
                <w:szCs w:val="18"/>
                <w:b w:val="1"/>
                <w:bCs w:val="1"/>
                <w:color w:val="auto"/>
              </w:rPr>
              <w:t>Gain (Loss) Reclassified from</w:t>
            </w:r>
          </w:p>
        </w:tc>
      </w:tr>
      <w:tr>
        <w:trPr>
          <w:trHeight w:val="245"/>
        </w:trPr>
        <w:tc>
          <w:tcPr>
            <w:tcW w:w="26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2700" w:type="dxa"/>
            <w:vAlign w:val="bottom"/>
            <w:tcBorders>
              <w:bottom w:val="single" w:sz="8" w:color="auto"/>
            </w:tcBorders>
            <w:gridSpan w:val="4"/>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w w:val="99"/>
              </w:rPr>
              <w:t>Gain (Loss) Recognized in OCI</w:t>
            </w:r>
          </w:p>
        </w:tc>
        <w:tc>
          <w:tcPr>
            <w:tcW w:w="120" w:type="dxa"/>
            <w:vAlign w:val="bottom"/>
          </w:tcPr>
          <w:p>
            <w:pPr>
              <w:spacing w:after="0"/>
              <w:rPr>
                <w:sz w:val="21"/>
                <w:szCs w:val="21"/>
                <w:color w:val="auto"/>
              </w:rPr>
            </w:pPr>
          </w:p>
        </w:tc>
        <w:tc>
          <w:tcPr>
            <w:tcW w:w="28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2540" w:type="dxa"/>
            <w:vAlign w:val="bottom"/>
            <w:tcBorders>
              <w:bottom w:val="single" w:sz="8" w:color="auto"/>
            </w:tcBorders>
            <w:gridSpan w:val="4"/>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rPr>
              <w:t>AOCI into Income</w:t>
            </w:r>
          </w:p>
        </w:tc>
      </w:tr>
      <w:tr>
        <w:trPr>
          <w:trHeight w:val="243"/>
        </w:trPr>
        <w:tc>
          <w:tcPr>
            <w:tcW w:w="26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2700" w:type="dxa"/>
            <w:vAlign w:val="bottom"/>
            <w:tcBorders>
              <w:bottom w:val="single" w:sz="8" w:color="auto"/>
            </w:tcBorders>
            <w:gridSpan w:val="4"/>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w w:val="99"/>
              </w:rPr>
              <w:t>Three Months Ended June 30,</w:t>
            </w:r>
          </w:p>
        </w:tc>
        <w:tc>
          <w:tcPr>
            <w:tcW w:w="120" w:type="dxa"/>
            <w:vAlign w:val="bottom"/>
          </w:tcPr>
          <w:p>
            <w:pPr>
              <w:spacing w:after="0"/>
              <w:rPr>
                <w:sz w:val="21"/>
                <w:szCs w:val="21"/>
                <w:color w:val="auto"/>
              </w:rPr>
            </w:pPr>
          </w:p>
        </w:tc>
        <w:tc>
          <w:tcPr>
            <w:tcW w:w="292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Location of Gain (Loss) Reclassified</w:t>
            </w:r>
          </w:p>
        </w:tc>
        <w:tc>
          <w:tcPr>
            <w:tcW w:w="100" w:type="dxa"/>
            <w:vAlign w:val="bottom"/>
            <w:tcBorders>
              <w:bottom w:val="single" w:sz="8" w:color="auto"/>
            </w:tcBorders>
          </w:tcPr>
          <w:p>
            <w:pPr>
              <w:spacing w:after="0"/>
              <w:rPr>
                <w:sz w:val="21"/>
                <w:szCs w:val="21"/>
                <w:color w:val="auto"/>
              </w:rPr>
            </w:pPr>
          </w:p>
        </w:tc>
        <w:tc>
          <w:tcPr>
            <w:tcW w:w="2540" w:type="dxa"/>
            <w:vAlign w:val="bottom"/>
            <w:tcBorders>
              <w:bottom w:val="single" w:sz="8" w:color="auto"/>
            </w:tcBorders>
            <w:gridSpan w:val="4"/>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w w:val="99"/>
              </w:rPr>
              <w:t>Three Months Ended June 30,</w:t>
            </w:r>
          </w:p>
        </w:tc>
      </w:tr>
      <w:tr>
        <w:trPr>
          <w:trHeight w:val="234"/>
        </w:trPr>
        <w:tc>
          <w:tcPr>
            <w:tcW w:w="2600" w:type="dxa"/>
            <w:vAlign w:val="bottom"/>
            <w:tcBorders>
              <w:bottom w:val="single" w:sz="8" w:color="auto"/>
            </w:tcBorders>
          </w:tcPr>
          <w:p>
            <w:pPr>
              <w:ind w:left="860"/>
              <w:spacing w:after="0"/>
              <w:rPr>
                <w:sz w:val="20"/>
                <w:szCs w:val="20"/>
                <w:color w:val="auto"/>
              </w:rPr>
            </w:pPr>
            <w:r>
              <w:rPr>
                <w:rFonts w:ascii="Times New Roman" w:cs="Times New Roman" w:eastAsia="Times New Roman" w:hAnsi="Times New Roman"/>
                <w:sz w:val="18"/>
                <w:szCs w:val="18"/>
                <w:b w:val="1"/>
                <w:bCs w:val="1"/>
                <w:color w:val="auto"/>
              </w:rPr>
              <w:t>Instrument</w:t>
            </w:r>
          </w:p>
        </w:tc>
        <w:tc>
          <w:tcPr>
            <w:tcW w:w="14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580" w:type="dxa"/>
            <w:vAlign w:val="bottom"/>
            <w:tcBorders>
              <w:bottom w:val="single" w:sz="8" w:color="auto"/>
            </w:tcBorders>
          </w:tcPr>
          <w:p>
            <w:pPr>
              <w:jc w:val="right"/>
              <w:ind w:right="6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20" w:type="dxa"/>
            <w:vAlign w:val="bottom"/>
          </w:tcPr>
          <w:p>
            <w:pPr>
              <w:spacing w:after="0"/>
              <w:rPr>
                <w:sz w:val="20"/>
                <w:szCs w:val="20"/>
                <w:color w:val="auto"/>
              </w:rPr>
            </w:pPr>
          </w:p>
        </w:tc>
        <w:tc>
          <w:tcPr>
            <w:tcW w:w="2800" w:type="dxa"/>
            <w:vAlign w:val="bottom"/>
            <w:tcBorders>
              <w:bottom w:val="single" w:sz="8" w:color="auto"/>
            </w:tcBorders>
          </w:tcPr>
          <w:p>
            <w:pPr>
              <w:ind w:left="480"/>
              <w:spacing w:after="0"/>
              <w:rPr>
                <w:sz w:val="20"/>
                <w:szCs w:val="20"/>
                <w:color w:val="auto"/>
              </w:rPr>
            </w:pPr>
            <w:r>
              <w:rPr>
                <w:rFonts w:ascii="Times New Roman" w:cs="Times New Roman" w:eastAsia="Times New Roman" w:hAnsi="Times New Roman"/>
                <w:sz w:val="18"/>
                <w:szCs w:val="18"/>
                <w:b w:val="1"/>
                <w:bCs w:val="1"/>
                <w:color w:val="auto"/>
              </w:rPr>
              <w:t>from AOCI into Income</w:t>
            </w:r>
          </w:p>
        </w:tc>
        <w:tc>
          <w:tcPr>
            <w:tcW w:w="1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39"/>
        </w:trPr>
        <w:tc>
          <w:tcPr>
            <w:tcW w:w="274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Forward starting interest swap</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880" w:type="dxa"/>
            <w:vAlign w:val="bottom"/>
            <w:gridSpan w:val="3"/>
            <w:shd w:val="clear" w:color="auto" w:fill="CFF0FC"/>
          </w:tcPr>
          <w:p>
            <w:pPr>
              <w:ind w:left="1260"/>
              <w:spacing w:after="0"/>
              <w:rPr>
                <w:sz w:val="20"/>
                <w:szCs w:val="20"/>
                <w:color w:val="auto"/>
              </w:rPr>
            </w:pPr>
            <w:r>
              <w:rPr>
                <w:rFonts w:ascii="Times New Roman" w:cs="Times New Roman" w:eastAsia="Times New Roman" w:hAnsi="Times New Roman"/>
                <w:sz w:val="18"/>
                <w:szCs w:val="18"/>
                <w:color w:val="auto"/>
              </w:rPr>
              <w:t>—   $</w:t>
            </w:r>
          </w:p>
        </w:tc>
        <w:tc>
          <w:tcPr>
            <w:tcW w:w="8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20"/>
                <w:szCs w:val="20"/>
                <w:color w:val="auto"/>
              </w:rPr>
            </w:pPr>
          </w:p>
        </w:tc>
        <w:tc>
          <w:tcPr>
            <w:tcW w:w="292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Interest and other expenses, net</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0.1</w:t>
            </w:r>
          </w:p>
        </w:tc>
        <w:tc>
          <w:tcPr>
            <w:tcW w:w="3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0.1</w:t>
            </w:r>
          </w:p>
        </w:tc>
      </w:tr>
      <w:tr>
        <w:trPr>
          <w:trHeight w:val="450"/>
        </w:trPr>
        <w:tc>
          <w:tcPr>
            <w:tcW w:w="26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540" w:type="dxa"/>
            <w:vAlign w:val="bottom"/>
            <w:gridSpan w:val="4"/>
          </w:tcPr>
          <w:p>
            <w:pPr>
              <w:jc w:val="center"/>
              <w:ind w:right="170"/>
              <w:spacing w:after="0"/>
              <w:rPr>
                <w:sz w:val="20"/>
                <w:szCs w:val="20"/>
                <w:color w:val="auto"/>
              </w:rPr>
            </w:pPr>
            <w:r>
              <w:rPr>
                <w:rFonts w:ascii="Times New Roman" w:cs="Times New Roman" w:eastAsia="Times New Roman" w:hAnsi="Times New Roman"/>
                <w:sz w:val="18"/>
                <w:szCs w:val="18"/>
                <w:b w:val="1"/>
                <w:bCs w:val="1"/>
                <w:color w:val="auto"/>
              </w:rPr>
              <w:t>Gain (Loss) Reclassified from</w:t>
            </w:r>
          </w:p>
        </w:tc>
      </w:tr>
      <w:tr>
        <w:trPr>
          <w:trHeight w:val="245"/>
        </w:trPr>
        <w:tc>
          <w:tcPr>
            <w:tcW w:w="26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2700" w:type="dxa"/>
            <w:vAlign w:val="bottom"/>
            <w:tcBorders>
              <w:bottom w:val="single" w:sz="8" w:color="auto"/>
            </w:tcBorders>
            <w:gridSpan w:val="4"/>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w w:val="99"/>
              </w:rPr>
              <w:t>Gain (Loss) Recognized in OCI</w:t>
            </w:r>
          </w:p>
        </w:tc>
        <w:tc>
          <w:tcPr>
            <w:tcW w:w="120" w:type="dxa"/>
            <w:vAlign w:val="bottom"/>
          </w:tcPr>
          <w:p>
            <w:pPr>
              <w:spacing w:after="0"/>
              <w:rPr>
                <w:sz w:val="21"/>
                <w:szCs w:val="21"/>
                <w:color w:val="auto"/>
              </w:rPr>
            </w:pPr>
          </w:p>
        </w:tc>
        <w:tc>
          <w:tcPr>
            <w:tcW w:w="28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2540" w:type="dxa"/>
            <w:vAlign w:val="bottom"/>
            <w:tcBorders>
              <w:bottom w:val="single" w:sz="8" w:color="auto"/>
            </w:tcBorders>
            <w:gridSpan w:val="4"/>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rPr>
              <w:t>AOCI into Income</w:t>
            </w:r>
          </w:p>
        </w:tc>
      </w:tr>
      <w:tr>
        <w:trPr>
          <w:trHeight w:val="243"/>
        </w:trPr>
        <w:tc>
          <w:tcPr>
            <w:tcW w:w="26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2700" w:type="dxa"/>
            <w:vAlign w:val="bottom"/>
            <w:tcBorders>
              <w:bottom w:val="single" w:sz="8" w:color="auto"/>
            </w:tcBorders>
            <w:gridSpan w:val="4"/>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rPr>
              <w:t>Six Months Ended June 30,</w:t>
            </w:r>
          </w:p>
        </w:tc>
        <w:tc>
          <w:tcPr>
            <w:tcW w:w="120" w:type="dxa"/>
            <w:vAlign w:val="bottom"/>
          </w:tcPr>
          <w:p>
            <w:pPr>
              <w:spacing w:after="0"/>
              <w:rPr>
                <w:sz w:val="21"/>
                <w:szCs w:val="21"/>
                <w:color w:val="auto"/>
              </w:rPr>
            </w:pPr>
          </w:p>
        </w:tc>
        <w:tc>
          <w:tcPr>
            <w:tcW w:w="292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Location of Gain (Loss) Reclassified</w:t>
            </w:r>
          </w:p>
        </w:tc>
        <w:tc>
          <w:tcPr>
            <w:tcW w:w="100" w:type="dxa"/>
            <w:vAlign w:val="bottom"/>
            <w:tcBorders>
              <w:bottom w:val="single" w:sz="8" w:color="auto"/>
            </w:tcBorders>
          </w:tcPr>
          <w:p>
            <w:pPr>
              <w:spacing w:after="0"/>
              <w:rPr>
                <w:sz w:val="21"/>
                <w:szCs w:val="21"/>
                <w:color w:val="auto"/>
              </w:rPr>
            </w:pPr>
          </w:p>
        </w:tc>
        <w:tc>
          <w:tcPr>
            <w:tcW w:w="2540" w:type="dxa"/>
            <w:vAlign w:val="bottom"/>
            <w:tcBorders>
              <w:bottom w:val="single" w:sz="8" w:color="auto"/>
            </w:tcBorders>
            <w:gridSpan w:val="4"/>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w w:val="99"/>
              </w:rPr>
              <w:t>Six Months Ended June 30,</w:t>
            </w:r>
          </w:p>
        </w:tc>
      </w:tr>
      <w:tr>
        <w:trPr>
          <w:trHeight w:val="234"/>
        </w:trPr>
        <w:tc>
          <w:tcPr>
            <w:tcW w:w="2600" w:type="dxa"/>
            <w:vAlign w:val="bottom"/>
            <w:tcBorders>
              <w:bottom w:val="single" w:sz="8" w:color="auto"/>
            </w:tcBorders>
          </w:tcPr>
          <w:p>
            <w:pPr>
              <w:ind w:left="860"/>
              <w:spacing w:after="0"/>
              <w:rPr>
                <w:sz w:val="20"/>
                <w:szCs w:val="20"/>
                <w:color w:val="auto"/>
              </w:rPr>
            </w:pPr>
            <w:r>
              <w:rPr>
                <w:rFonts w:ascii="Times New Roman" w:cs="Times New Roman" w:eastAsia="Times New Roman" w:hAnsi="Times New Roman"/>
                <w:sz w:val="18"/>
                <w:szCs w:val="18"/>
                <w:b w:val="1"/>
                <w:bCs w:val="1"/>
                <w:color w:val="auto"/>
              </w:rPr>
              <w:t>Instrument</w:t>
            </w:r>
          </w:p>
        </w:tc>
        <w:tc>
          <w:tcPr>
            <w:tcW w:w="14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580" w:type="dxa"/>
            <w:vAlign w:val="bottom"/>
            <w:tcBorders>
              <w:bottom w:val="single" w:sz="8" w:color="auto"/>
            </w:tcBorders>
          </w:tcPr>
          <w:p>
            <w:pPr>
              <w:jc w:val="right"/>
              <w:ind w:right="6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20" w:type="dxa"/>
            <w:vAlign w:val="bottom"/>
          </w:tcPr>
          <w:p>
            <w:pPr>
              <w:spacing w:after="0"/>
              <w:rPr>
                <w:sz w:val="20"/>
                <w:szCs w:val="20"/>
                <w:color w:val="auto"/>
              </w:rPr>
            </w:pPr>
          </w:p>
        </w:tc>
        <w:tc>
          <w:tcPr>
            <w:tcW w:w="2800" w:type="dxa"/>
            <w:vAlign w:val="bottom"/>
            <w:tcBorders>
              <w:bottom w:val="single" w:sz="8" w:color="auto"/>
            </w:tcBorders>
          </w:tcPr>
          <w:p>
            <w:pPr>
              <w:ind w:left="480"/>
              <w:spacing w:after="0"/>
              <w:rPr>
                <w:sz w:val="20"/>
                <w:szCs w:val="20"/>
                <w:color w:val="auto"/>
              </w:rPr>
            </w:pPr>
            <w:r>
              <w:rPr>
                <w:rFonts w:ascii="Times New Roman" w:cs="Times New Roman" w:eastAsia="Times New Roman" w:hAnsi="Times New Roman"/>
                <w:sz w:val="18"/>
                <w:szCs w:val="18"/>
                <w:b w:val="1"/>
                <w:bCs w:val="1"/>
                <w:color w:val="auto"/>
              </w:rPr>
              <w:t>from AOCI into Income</w:t>
            </w:r>
          </w:p>
        </w:tc>
        <w:tc>
          <w:tcPr>
            <w:tcW w:w="1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39"/>
        </w:trPr>
        <w:tc>
          <w:tcPr>
            <w:tcW w:w="274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Forward starting interest swap</w:t>
            </w:r>
          </w:p>
        </w:tc>
        <w:tc>
          <w:tcPr>
            <w:tcW w:w="120" w:type="dxa"/>
            <w:vAlign w:val="bottom"/>
            <w:shd w:val="clear" w:color="auto" w:fill="CFF0FC"/>
          </w:tcPr>
          <w:p>
            <w:pPr>
              <w:spacing w:after="0"/>
              <w:rPr>
                <w:sz w:val="20"/>
                <w:szCs w:val="20"/>
                <w:color w:val="auto"/>
              </w:rPr>
            </w:pPr>
          </w:p>
        </w:tc>
        <w:tc>
          <w:tcPr>
            <w:tcW w:w="1880" w:type="dxa"/>
            <w:vAlign w:val="bottom"/>
            <w:gridSpan w:val="3"/>
            <w:shd w:val="clear" w:color="auto" w:fill="CFF0FC"/>
          </w:tcPr>
          <w:p>
            <w:pPr>
              <w:ind w:left="126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20"/>
                <w:szCs w:val="20"/>
                <w:color w:val="auto"/>
              </w:rPr>
            </w:pPr>
          </w:p>
        </w:tc>
        <w:tc>
          <w:tcPr>
            <w:tcW w:w="292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Interest and other expenses, net</w:t>
            </w:r>
          </w:p>
        </w:tc>
        <w:tc>
          <w:tcPr>
            <w:tcW w:w="100" w:type="dxa"/>
            <w:vAlign w:val="bottom"/>
            <w:shd w:val="clear" w:color="auto" w:fill="CFF0FC"/>
          </w:tcPr>
          <w:p>
            <w:pPr>
              <w:spacing w:after="0"/>
              <w:rPr>
                <w:sz w:val="20"/>
                <w:szCs w:val="20"/>
                <w:color w:val="auto"/>
              </w:rPr>
            </w:pPr>
          </w:p>
        </w:tc>
        <w:tc>
          <w:tcPr>
            <w:tcW w:w="1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0.2</w:t>
            </w:r>
          </w:p>
        </w:tc>
        <w:tc>
          <w:tcPr>
            <w:tcW w:w="10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96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0.2</w:t>
            </w:r>
          </w:p>
        </w:tc>
      </w:tr>
    </w:tbl>
    <w:p>
      <w:pPr>
        <w:spacing w:after="0" w:line="198" w:lineRule="exact"/>
        <w:rPr>
          <w:sz w:val="20"/>
          <w:szCs w:val="20"/>
          <w:color w:val="auto"/>
        </w:rPr>
      </w:pPr>
    </w:p>
    <w:p>
      <w:pPr>
        <w:jc w:val="both"/>
        <w:ind w:right="100"/>
        <w:spacing w:after="0" w:line="282" w:lineRule="auto"/>
        <w:rPr>
          <w:sz w:val="20"/>
          <w:szCs w:val="20"/>
          <w:color w:val="auto"/>
        </w:rPr>
      </w:pPr>
      <w:r>
        <w:rPr>
          <w:rFonts w:ascii="Times New Roman" w:cs="Times New Roman" w:eastAsia="Times New Roman" w:hAnsi="Times New Roman"/>
          <w:sz w:val="18"/>
          <w:szCs w:val="18"/>
          <w:color w:val="auto"/>
        </w:rPr>
        <w:t>We expect the net amount of pre-tax derivative gains included in AOCI at June 30, 2024 to be reclassified into earnings within the next 12 months will not be significant. The actual amount that will be reclassified to earnings over the next 12 months will vary due to future currency exchange rates.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Fair Value Hedges</w:t>
      </w:r>
    </w:p>
    <w:p>
      <w:pPr>
        <w:spacing w:after="0" w:line="227" w:lineRule="exact"/>
        <w:rPr>
          <w:sz w:val="20"/>
          <w:szCs w:val="20"/>
          <w:color w:val="auto"/>
        </w:rPr>
      </w:pPr>
    </w:p>
    <w:p>
      <w:pPr>
        <w:jc w:val="both"/>
        <w:ind w:right="60"/>
        <w:spacing w:after="0" w:line="258" w:lineRule="auto"/>
        <w:rPr>
          <w:sz w:val="20"/>
          <w:szCs w:val="20"/>
          <w:color w:val="auto"/>
        </w:rPr>
      </w:pPr>
      <w:r>
        <w:rPr>
          <w:rFonts w:ascii="Times New Roman" w:cs="Times New Roman" w:eastAsia="Times New Roman" w:hAnsi="Times New Roman"/>
          <w:sz w:val="18"/>
          <w:szCs w:val="18"/>
          <w:color w:val="auto"/>
        </w:rPr>
        <w:t>We account for derivatives as fair value hedges when the hedged item is a recognized asset, liability, or firm commitment. We use cross currency swaps to hedge the changes in cash flows of certain of our foreign currency denominated intercompany notes due to changes in foreign currency exchange rates. We record the change in carrying value of the foreign currency denominated notes due to changes in exchange rates into earnings each period. The changes in fair value of the cross-currency swap derivatives are recorded in other comprehensive income (“OCI”) with an immediate reclassification into earnings for the change in fair value attributable to fluctuations in foreign currency exchange rates.</w:t>
      </w:r>
    </w:p>
    <w:p>
      <w:pPr>
        <w:spacing w:after="0" w:line="183"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In March 2022, we entered into a cross currency swap agreement to hedge our intercompany fixed-rate CHF denominated note. On April 18, 2024, we settled the swaps at maturity for a net cash inflow of $14.9 and entered into a new cross currency swap with a maturity date of April 2027. The cross currency swaps convert our intercompany fixed-rate CHF denominated note, including the annual interest payment and the payment of remaining principal at maturity, to a fixed-rate Euro denominated note. The economic effect of the swaps is to eliminate the uncertainty of cash flows in CHF associated with the note by fixing the principal at €236.9 with a fixed annual interest rate of 3.45%.</w:t>
      </w:r>
    </w:p>
    <w:p>
      <w:pPr>
        <w:spacing w:after="0" w:line="183" w:lineRule="exact"/>
        <w:rPr>
          <w:sz w:val="20"/>
          <w:szCs w:val="20"/>
          <w:color w:val="auto"/>
        </w:rPr>
      </w:pPr>
    </w:p>
    <w:p>
      <w:pPr>
        <w:ind w:right="240"/>
        <w:spacing w:after="0" w:line="261" w:lineRule="auto"/>
        <w:rPr>
          <w:sz w:val="20"/>
          <w:szCs w:val="20"/>
          <w:color w:val="auto"/>
        </w:rPr>
      </w:pPr>
      <w:r>
        <w:rPr>
          <w:rFonts w:ascii="Times New Roman" w:cs="Times New Roman" w:eastAsia="Times New Roman" w:hAnsi="Times New Roman"/>
          <w:sz w:val="18"/>
          <w:szCs w:val="18"/>
          <w:color w:val="auto"/>
        </w:rPr>
        <w:t>In September 2022, we entered into a cross currency swap agreement to hedge an intercompany fixed-rate CHF denominated note, including the annual interest payment and the payment of remaining principal at maturity, to a fixed-rate Euro denominated note. The economic effect of the swaps is to eliminate the uncertainty of cash flows in CHF associated with the note by fixing the principal at €55.4 with a fixed annual interest rate of 1.7975%. The cross-currency swap matures in September 2024, which aligns with the term of the intercompany note.</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color w:val="auto"/>
        </w:rPr>
        <w:t>The following tables present the impact that the fair value hedges had on OCI and earnings for the three and six months ended June 30, 2024 and 2023:</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560" w:type="dxa"/>
            <w:vAlign w:val="bottom"/>
            <w:gridSpan w:val="6"/>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rPr>
              <w:t>Gain (Loss) Recognized in</w:t>
            </w:r>
          </w:p>
        </w:tc>
      </w:tr>
      <w:tr>
        <w:trPr>
          <w:trHeight w:val="245"/>
        </w:trPr>
        <w:tc>
          <w:tcPr>
            <w:tcW w:w="27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2620" w:type="dxa"/>
            <w:vAlign w:val="bottom"/>
            <w:tcBorders>
              <w:bottom w:val="single" w:sz="8" w:color="auto"/>
            </w:tcBorders>
            <w:gridSpan w:val="6"/>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Gain (Loss) Recognized in OCI</w:t>
            </w:r>
          </w:p>
        </w:tc>
        <w:tc>
          <w:tcPr>
            <w:tcW w:w="100" w:type="dxa"/>
            <w:vAlign w:val="bottom"/>
          </w:tcPr>
          <w:p>
            <w:pPr>
              <w:spacing w:after="0"/>
              <w:rPr>
                <w:sz w:val="21"/>
                <w:szCs w:val="21"/>
                <w:color w:val="auto"/>
              </w:rPr>
            </w:pPr>
          </w:p>
        </w:tc>
        <w:tc>
          <w:tcPr>
            <w:tcW w:w="27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560" w:type="dxa"/>
            <w:vAlign w:val="bottom"/>
            <w:tcBorders>
              <w:bottom w:val="single" w:sz="8" w:color="auto"/>
            </w:tcBorders>
            <w:gridSpan w:val="4"/>
          </w:tcPr>
          <w:p>
            <w:pPr>
              <w:jc w:val="center"/>
              <w:ind w:left="690"/>
              <w:spacing w:after="0"/>
              <w:rPr>
                <w:sz w:val="20"/>
                <w:szCs w:val="20"/>
                <w:color w:val="auto"/>
              </w:rPr>
            </w:pPr>
            <w:r>
              <w:rPr>
                <w:rFonts w:ascii="Times New Roman" w:cs="Times New Roman" w:eastAsia="Times New Roman" w:hAnsi="Times New Roman"/>
                <w:sz w:val="18"/>
                <w:szCs w:val="18"/>
                <w:b w:val="1"/>
                <w:bCs w:val="1"/>
                <w:color w:val="auto"/>
              </w:rPr>
              <w:t>Income</w:t>
            </w:r>
          </w:p>
        </w:tc>
        <w:tc>
          <w:tcPr>
            <w:tcW w:w="90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r>
      <w:tr>
        <w:trPr>
          <w:trHeight w:val="243"/>
        </w:trPr>
        <w:tc>
          <w:tcPr>
            <w:tcW w:w="27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2620" w:type="dxa"/>
            <w:vAlign w:val="bottom"/>
            <w:tcBorders>
              <w:bottom w:val="single" w:sz="8" w:color="auto"/>
            </w:tcBorders>
            <w:gridSpan w:val="6"/>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Three Months Ended June 30,</w:t>
            </w:r>
          </w:p>
        </w:tc>
        <w:tc>
          <w:tcPr>
            <w:tcW w:w="100" w:type="dxa"/>
            <w:vAlign w:val="bottom"/>
          </w:tcPr>
          <w:p>
            <w:pPr>
              <w:spacing w:after="0"/>
              <w:rPr>
                <w:sz w:val="21"/>
                <w:szCs w:val="21"/>
                <w:color w:val="auto"/>
              </w:rPr>
            </w:pPr>
          </w:p>
        </w:tc>
        <w:tc>
          <w:tcPr>
            <w:tcW w:w="28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Location of Gain (Loss)</w:t>
            </w:r>
          </w:p>
        </w:tc>
        <w:tc>
          <w:tcPr>
            <w:tcW w:w="120" w:type="dxa"/>
            <w:vAlign w:val="bottom"/>
            <w:tcBorders>
              <w:bottom w:val="single" w:sz="8" w:color="auto"/>
            </w:tcBorders>
          </w:tcPr>
          <w:p>
            <w:pPr>
              <w:spacing w:after="0"/>
              <w:rPr>
                <w:sz w:val="21"/>
                <w:szCs w:val="21"/>
                <w:color w:val="auto"/>
              </w:rPr>
            </w:pPr>
          </w:p>
        </w:tc>
        <w:tc>
          <w:tcPr>
            <w:tcW w:w="2560" w:type="dxa"/>
            <w:vAlign w:val="bottom"/>
            <w:tcBorders>
              <w:bottom w:val="single" w:sz="8" w:color="auto"/>
            </w:tcBorders>
            <w:gridSpan w:val="6"/>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Three Months Ended June 30,</w:t>
            </w:r>
          </w:p>
        </w:tc>
      </w:tr>
      <w:tr>
        <w:trPr>
          <w:trHeight w:val="234"/>
        </w:trPr>
        <w:tc>
          <w:tcPr>
            <w:tcW w:w="2760" w:type="dxa"/>
            <w:vAlign w:val="bottom"/>
            <w:tcBorders>
              <w:bottom w:val="single" w:sz="8" w:color="auto"/>
            </w:tcBorders>
          </w:tcPr>
          <w:p>
            <w:pPr>
              <w:ind w:left="960"/>
              <w:spacing w:after="0"/>
              <w:rPr>
                <w:sz w:val="20"/>
                <w:szCs w:val="20"/>
                <w:color w:val="auto"/>
              </w:rPr>
            </w:pPr>
            <w:r>
              <w:rPr>
                <w:rFonts w:ascii="Times New Roman" w:cs="Times New Roman" w:eastAsia="Times New Roman" w:hAnsi="Times New Roman"/>
                <w:sz w:val="18"/>
                <w:szCs w:val="18"/>
                <w:b w:val="1"/>
                <w:bCs w:val="1"/>
                <w:color w:val="auto"/>
              </w:rPr>
              <w:t>Instrument</w:t>
            </w:r>
          </w:p>
        </w:tc>
        <w:tc>
          <w:tcPr>
            <w:tcW w:w="1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2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7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Recognized in Income</w:t>
            </w:r>
          </w:p>
        </w:tc>
        <w:tc>
          <w:tcPr>
            <w:tcW w:w="1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Borders>
              <w:bottom w:val="single" w:sz="8" w:color="auto"/>
            </w:tcBorders>
          </w:tcPr>
          <w:p>
            <w:pPr>
              <w:spacing w:after="0"/>
              <w:rPr>
                <w:sz w:val="20"/>
                <w:szCs w:val="20"/>
                <w:color w:val="auto"/>
              </w:rPr>
            </w:pPr>
          </w:p>
        </w:tc>
      </w:tr>
      <w:tr>
        <w:trPr>
          <w:trHeight w:val="239"/>
        </w:trPr>
        <w:tc>
          <w:tcPr>
            <w:tcW w:w="288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Intercompany CHF notes</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20"/>
                <w:szCs w:val="20"/>
                <w:color w:val="auto"/>
              </w:rPr>
            </w:pPr>
          </w:p>
        </w:tc>
        <w:tc>
          <w:tcPr>
            <w:tcW w:w="2840" w:type="dxa"/>
            <w:vAlign w:val="bottom"/>
            <w:gridSpan w:val="2"/>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Interest and other expenses, net</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(3.5 )</w:t>
            </w:r>
          </w:p>
        </w:tc>
        <w:tc>
          <w:tcPr>
            <w:tcW w:w="40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(4.8 )</w:t>
            </w:r>
          </w:p>
        </w:tc>
      </w:tr>
      <w:tr>
        <w:trPr>
          <w:trHeight w:val="234"/>
        </w:trPr>
        <w:tc>
          <w:tcPr>
            <w:tcW w:w="28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Cross-currency swaps</w:t>
            </w:r>
          </w:p>
        </w:tc>
        <w:tc>
          <w:tcPr>
            <w:tcW w:w="12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284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Interest and other expenses, net</w:t>
            </w:r>
          </w:p>
        </w:tc>
        <w:tc>
          <w:tcPr>
            <w:tcW w:w="1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100" w:type="dxa"/>
            <w:vAlign w:val="bottom"/>
          </w:tcPr>
          <w:p>
            <w:pPr>
              <w:spacing w:after="0"/>
              <w:rPr>
                <w:sz w:val="20"/>
                <w:szCs w:val="20"/>
                <w:color w:val="auto"/>
              </w:rPr>
            </w:pPr>
          </w:p>
        </w:tc>
      </w:tr>
      <w:tr>
        <w:trPr>
          <w:trHeight w:val="432"/>
        </w:trPr>
        <w:tc>
          <w:tcPr>
            <w:tcW w:w="2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560" w:type="dxa"/>
            <w:vAlign w:val="bottom"/>
            <w:gridSpan w:val="6"/>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rPr>
              <w:t>Gain (Loss) Recognized in</w:t>
            </w:r>
          </w:p>
        </w:tc>
      </w:tr>
      <w:tr>
        <w:trPr>
          <w:trHeight w:val="245"/>
        </w:trPr>
        <w:tc>
          <w:tcPr>
            <w:tcW w:w="27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20" w:type="dxa"/>
            <w:vAlign w:val="bottom"/>
            <w:gridSpan w:val="6"/>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Gain (Loss) Recognized in OCI</w:t>
            </w:r>
          </w:p>
        </w:tc>
        <w:tc>
          <w:tcPr>
            <w:tcW w:w="100" w:type="dxa"/>
            <w:vAlign w:val="bottom"/>
          </w:tcPr>
          <w:p>
            <w:pPr>
              <w:spacing w:after="0"/>
              <w:rPr>
                <w:sz w:val="21"/>
                <w:szCs w:val="21"/>
                <w:color w:val="auto"/>
              </w:rPr>
            </w:pPr>
          </w:p>
        </w:tc>
        <w:tc>
          <w:tcPr>
            <w:tcW w:w="27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560" w:type="dxa"/>
            <w:vAlign w:val="bottom"/>
            <w:gridSpan w:val="4"/>
          </w:tcPr>
          <w:p>
            <w:pPr>
              <w:jc w:val="center"/>
              <w:ind w:left="690"/>
              <w:spacing w:after="0"/>
              <w:rPr>
                <w:sz w:val="20"/>
                <w:szCs w:val="20"/>
                <w:color w:val="auto"/>
              </w:rPr>
            </w:pPr>
            <w:r>
              <w:rPr>
                <w:rFonts w:ascii="Times New Roman" w:cs="Times New Roman" w:eastAsia="Times New Roman" w:hAnsi="Times New Roman"/>
                <w:sz w:val="18"/>
                <w:szCs w:val="18"/>
                <w:b w:val="1"/>
                <w:bCs w:val="1"/>
                <w:color w:val="auto"/>
              </w:rPr>
              <w:t>Income</w:t>
            </w: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43"/>
        </w:trPr>
        <w:tc>
          <w:tcPr>
            <w:tcW w:w="27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Borders>
              <w:top w:val="single" w:sz="8" w:color="auto"/>
              <w:bottom w:val="single" w:sz="8" w:color="auto"/>
            </w:tcBorders>
          </w:tcPr>
          <w:p>
            <w:pPr>
              <w:spacing w:after="0"/>
              <w:rPr>
                <w:sz w:val="21"/>
                <w:szCs w:val="21"/>
                <w:color w:val="auto"/>
              </w:rPr>
            </w:pPr>
          </w:p>
        </w:tc>
        <w:tc>
          <w:tcPr>
            <w:tcW w:w="2500" w:type="dxa"/>
            <w:vAlign w:val="bottom"/>
            <w:tcBorders>
              <w:top w:val="single" w:sz="8" w:color="auto"/>
              <w:bottom w:val="single" w:sz="8" w:color="auto"/>
            </w:tcBorders>
            <w:gridSpan w:val="5"/>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9"/>
              </w:rPr>
              <w:t>Six Months Ended June 30,</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Location of Gain (Loss)</w:t>
            </w:r>
          </w:p>
        </w:tc>
        <w:tc>
          <w:tcPr>
            <w:tcW w:w="120" w:type="dxa"/>
            <w:vAlign w:val="bottom"/>
            <w:tcBorders>
              <w:top w:val="single" w:sz="8" w:color="auto"/>
              <w:bottom w:val="single" w:sz="8" w:color="auto"/>
            </w:tcBorders>
          </w:tcPr>
          <w:p>
            <w:pPr>
              <w:spacing w:after="0"/>
              <w:rPr>
                <w:sz w:val="21"/>
                <w:szCs w:val="21"/>
                <w:color w:val="auto"/>
              </w:rPr>
            </w:pPr>
          </w:p>
        </w:tc>
        <w:tc>
          <w:tcPr>
            <w:tcW w:w="2460" w:type="dxa"/>
            <w:vAlign w:val="bottom"/>
            <w:tcBorders>
              <w:top w:val="single" w:sz="8" w:color="auto"/>
              <w:bottom w:val="single" w:sz="8" w:color="auto"/>
            </w:tcBorders>
            <w:gridSpan w:val="5"/>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9"/>
              </w:rPr>
              <w:t>Six Months Ended June 30,</w:t>
            </w:r>
          </w:p>
        </w:tc>
        <w:tc>
          <w:tcPr>
            <w:tcW w:w="100" w:type="dxa"/>
            <w:vAlign w:val="bottom"/>
          </w:tcPr>
          <w:p>
            <w:pPr>
              <w:spacing w:after="0"/>
              <w:rPr>
                <w:sz w:val="21"/>
                <w:szCs w:val="21"/>
                <w:color w:val="auto"/>
              </w:rPr>
            </w:pPr>
          </w:p>
        </w:tc>
      </w:tr>
      <w:tr>
        <w:trPr>
          <w:trHeight w:val="234"/>
        </w:trPr>
        <w:tc>
          <w:tcPr>
            <w:tcW w:w="2760" w:type="dxa"/>
            <w:vAlign w:val="bottom"/>
            <w:tcBorders>
              <w:bottom w:val="single" w:sz="8" w:color="auto"/>
            </w:tcBorders>
          </w:tcPr>
          <w:p>
            <w:pPr>
              <w:ind w:left="960"/>
              <w:spacing w:after="0"/>
              <w:rPr>
                <w:sz w:val="20"/>
                <w:szCs w:val="20"/>
                <w:color w:val="auto"/>
              </w:rPr>
            </w:pPr>
            <w:r>
              <w:rPr>
                <w:rFonts w:ascii="Times New Roman" w:cs="Times New Roman" w:eastAsia="Times New Roman" w:hAnsi="Times New Roman"/>
                <w:sz w:val="18"/>
                <w:szCs w:val="18"/>
                <w:b w:val="1"/>
                <w:bCs w:val="1"/>
                <w:color w:val="auto"/>
              </w:rPr>
              <w:t>Instrument</w:t>
            </w:r>
          </w:p>
        </w:tc>
        <w:tc>
          <w:tcPr>
            <w:tcW w:w="1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7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Recognized in Income</w:t>
            </w:r>
          </w:p>
        </w:tc>
        <w:tc>
          <w:tcPr>
            <w:tcW w:w="1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20"/>
                <w:szCs w:val="20"/>
                <w:color w:val="auto"/>
              </w:rPr>
            </w:pPr>
          </w:p>
        </w:tc>
      </w:tr>
      <w:tr>
        <w:trPr>
          <w:trHeight w:val="239"/>
        </w:trPr>
        <w:tc>
          <w:tcPr>
            <w:tcW w:w="288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Intercompany CHF notes</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20"/>
                <w:szCs w:val="20"/>
                <w:color w:val="auto"/>
              </w:rPr>
            </w:pPr>
          </w:p>
        </w:tc>
        <w:tc>
          <w:tcPr>
            <w:tcW w:w="2840" w:type="dxa"/>
            <w:vAlign w:val="bottom"/>
            <w:gridSpan w:val="2"/>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Interest and other expenses, net</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11.9</w:t>
            </w:r>
          </w:p>
        </w:tc>
        <w:tc>
          <w:tcPr>
            <w:tcW w:w="120" w:type="dxa"/>
            <w:vAlign w:val="bottom"/>
            <w:shd w:val="clear" w:color="auto" w:fill="CFF0FC"/>
          </w:tcPr>
          <w:p>
            <w:pPr>
              <w:spacing w:after="0"/>
              <w:rPr>
                <w:sz w:val="20"/>
                <w:szCs w:val="20"/>
                <w:color w:val="auto"/>
              </w:rPr>
            </w:pPr>
          </w:p>
        </w:tc>
        <w:tc>
          <w:tcPr>
            <w:tcW w:w="40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(4.1 )</w:t>
            </w:r>
          </w:p>
        </w:tc>
      </w:tr>
      <w:tr>
        <w:trPr>
          <w:trHeight w:val="234"/>
        </w:trPr>
        <w:tc>
          <w:tcPr>
            <w:tcW w:w="28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Cross-currency swaps</w:t>
            </w:r>
          </w:p>
        </w:tc>
        <w:tc>
          <w:tcPr>
            <w:tcW w:w="12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(1.7 )</w:t>
            </w:r>
          </w:p>
        </w:tc>
        <w:tc>
          <w:tcPr>
            <w:tcW w:w="100" w:type="dxa"/>
            <w:vAlign w:val="bottom"/>
          </w:tcPr>
          <w:p>
            <w:pPr>
              <w:spacing w:after="0"/>
              <w:rPr>
                <w:sz w:val="20"/>
                <w:szCs w:val="20"/>
                <w:color w:val="auto"/>
              </w:rPr>
            </w:pPr>
          </w:p>
        </w:tc>
        <w:tc>
          <w:tcPr>
            <w:tcW w:w="284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Interest and other expenses, net</w:t>
            </w:r>
          </w:p>
        </w:tc>
        <w:tc>
          <w:tcPr>
            <w:tcW w:w="120" w:type="dxa"/>
            <w:vAlign w:val="bottom"/>
          </w:tcPr>
          <w:p>
            <w:pPr>
              <w:spacing w:after="0"/>
              <w:rPr>
                <w:sz w:val="20"/>
                <w:szCs w:val="20"/>
                <w:color w:val="auto"/>
              </w:rPr>
            </w:pPr>
          </w:p>
        </w:tc>
        <w:tc>
          <w:tcPr>
            <w:tcW w:w="11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(11.9 )</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100" w:type="dxa"/>
            <w:vAlign w:val="bottom"/>
          </w:tcPr>
          <w:p>
            <w:pPr>
              <w:spacing w:after="0"/>
              <w:rPr>
                <w:sz w:val="20"/>
                <w:szCs w:val="20"/>
                <w:color w:val="auto"/>
              </w:rPr>
            </w:pPr>
          </w:p>
        </w:tc>
      </w:tr>
    </w:tbl>
    <w:p>
      <w:pPr>
        <w:spacing w:after="0" w:line="206"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We assessed the hedging relationship at the inception of the hedges in order to determine whether the derivatives that are used in the transaction are highly effective in offsetting the cash flows of the hedged item, and will continue to assess the relationship on an ongoing basis. We use the hypothetical derivative method in conjunction with regression analysis using a third-party valuation to measure effectiveness of our cross-currency swap agreements and our forward currency exchange contracts.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Non-designated instruments</w:t>
      </w:r>
    </w:p>
    <w:p>
      <w:pPr>
        <w:spacing w:after="0" w:line="227"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We also use certain derivatives, which are not designated as hedging instruments, as economic hedges of foreign currency and interest rate exposure. For our forward contracts that are not designated as hedges, any gain or loss resulting from the change in fair value is recognized in current period earnings. These gains or losses are offset by the exposure related to receivables and payables with our foreign subsidiaries and to interest due on our Euro-denominated notes, which is paid annually in June and September. The effect of our forward contracts that are not designated as hedging instruments on the consolidated statements of operations for the three and six months ended June 30, 2024 and 2023 was as follows:</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28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5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spacing w:after="0"/>
              <w:rPr>
                <w:sz w:val="21"/>
                <w:szCs w:val="21"/>
                <w:color w:val="auto"/>
              </w:rPr>
            </w:pPr>
          </w:p>
        </w:tc>
        <w:tc>
          <w:tcPr>
            <w:tcW w:w="3240" w:type="dxa"/>
            <w:vAlign w:val="bottom"/>
            <w:tcBorders>
              <w:bottom w:val="single" w:sz="8" w:color="auto"/>
            </w:tcBorders>
            <w:gridSpan w:val="8"/>
          </w:tcPr>
          <w:p>
            <w:pPr>
              <w:jc w:val="right"/>
              <w:ind w:right="500"/>
              <w:spacing w:after="0"/>
              <w:rPr>
                <w:sz w:val="20"/>
                <w:szCs w:val="20"/>
                <w:color w:val="auto"/>
              </w:rPr>
            </w:pPr>
            <w:r>
              <w:rPr>
                <w:rFonts w:ascii="Times New Roman" w:cs="Times New Roman" w:eastAsia="Times New Roman" w:hAnsi="Times New Roman"/>
                <w:sz w:val="18"/>
                <w:szCs w:val="18"/>
                <w:b w:val="1"/>
                <w:bCs w:val="1"/>
                <w:color w:val="auto"/>
              </w:rPr>
              <w:t>Gain (Loss) Recognized in Income</w:t>
            </w:r>
          </w:p>
        </w:tc>
        <w:tc>
          <w:tcPr>
            <w:tcW w:w="1060" w:type="dxa"/>
            <w:vAlign w:val="bottom"/>
            <w:tcBorders>
              <w:bottom w:val="single" w:sz="8" w:color="auto"/>
            </w:tcBorders>
          </w:tcPr>
          <w:p>
            <w:pPr>
              <w:spacing w:after="0"/>
              <w:rPr>
                <w:sz w:val="21"/>
                <w:szCs w:val="21"/>
                <w:color w:val="auto"/>
              </w:rPr>
            </w:pPr>
          </w:p>
        </w:tc>
      </w:tr>
      <w:tr>
        <w:trPr>
          <w:trHeight w:val="243"/>
        </w:trPr>
        <w:tc>
          <w:tcPr>
            <w:tcW w:w="28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64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rPr>
              <w:t>Location of Gain (Loss)</w:t>
            </w:r>
          </w:p>
        </w:tc>
        <w:tc>
          <w:tcPr>
            <w:tcW w:w="140" w:type="dxa"/>
            <w:vAlign w:val="bottom"/>
            <w:tcBorders>
              <w:bottom w:val="single" w:sz="8" w:color="auto"/>
            </w:tcBorders>
          </w:tcPr>
          <w:p>
            <w:pPr>
              <w:spacing w:after="0"/>
              <w:rPr>
                <w:sz w:val="21"/>
                <w:szCs w:val="21"/>
                <w:color w:val="auto"/>
              </w:rPr>
            </w:pPr>
          </w:p>
        </w:tc>
        <w:tc>
          <w:tcPr>
            <w:tcW w:w="2640" w:type="dxa"/>
            <w:vAlign w:val="bottom"/>
            <w:tcBorders>
              <w:bottom w:val="single" w:sz="8" w:color="auto"/>
            </w:tcBorders>
            <w:gridSpan w:val="4"/>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Three Months Ended June 30,</w:t>
            </w:r>
          </w:p>
        </w:tc>
        <w:tc>
          <w:tcPr>
            <w:tcW w:w="10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2560" w:type="dxa"/>
            <w:vAlign w:val="bottom"/>
            <w:tcBorders>
              <w:bottom w:val="single" w:sz="8" w:color="auto"/>
            </w:tcBorders>
            <w:gridSpan w:val="4"/>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Six Months Ended June 30,</w:t>
            </w:r>
          </w:p>
        </w:tc>
      </w:tr>
      <w:tr>
        <w:trPr>
          <w:trHeight w:val="234"/>
        </w:trPr>
        <w:tc>
          <w:tcPr>
            <w:tcW w:w="2820" w:type="dxa"/>
            <w:vAlign w:val="bottom"/>
            <w:tcBorders>
              <w:bottom w:val="single" w:sz="8" w:color="auto"/>
            </w:tcBorders>
          </w:tcPr>
          <w:p>
            <w:pPr>
              <w:ind w:left="980"/>
              <w:spacing w:after="0"/>
              <w:rPr>
                <w:sz w:val="20"/>
                <w:szCs w:val="20"/>
                <w:color w:val="auto"/>
              </w:rPr>
            </w:pPr>
            <w:r>
              <w:rPr>
                <w:rFonts w:ascii="Times New Roman" w:cs="Times New Roman" w:eastAsia="Times New Roman" w:hAnsi="Times New Roman"/>
                <w:sz w:val="18"/>
                <w:szCs w:val="18"/>
                <w:b w:val="1"/>
                <w:bCs w:val="1"/>
                <w:color w:val="auto"/>
              </w:rPr>
              <w:t>Instrument</w:t>
            </w:r>
          </w:p>
        </w:tc>
        <w:tc>
          <w:tcPr>
            <w:tcW w:w="140" w:type="dxa"/>
            <w:vAlign w:val="bottom"/>
          </w:tcPr>
          <w:p>
            <w:pPr>
              <w:spacing w:after="0"/>
              <w:rPr>
                <w:sz w:val="20"/>
                <w:szCs w:val="20"/>
                <w:color w:val="auto"/>
              </w:rPr>
            </w:pPr>
          </w:p>
        </w:tc>
        <w:tc>
          <w:tcPr>
            <w:tcW w:w="25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Recognized in Income</w:t>
            </w:r>
          </w:p>
        </w:tc>
        <w:tc>
          <w:tcPr>
            <w:tcW w:w="1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2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39"/>
        </w:trPr>
        <w:tc>
          <w:tcPr>
            <w:tcW w:w="28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Foreign currency forward contracts</w:t>
            </w:r>
          </w:p>
        </w:tc>
        <w:tc>
          <w:tcPr>
            <w:tcW w:w="140" w:type="dxa"/>
            <w:vAlign w:val="bottom"/>
            <w:shd w:val="clear" w:color="auto" w:fill="CFF0FC"/>
          </w:tcPr>
          <w:p>
            <w:pPr>
              <w:spacing w:after="0"/>
              <w:rPr>
                <w:sz w:val="20"/>
                <w:szCs w:val="20"/>
                <w:color w:val="auto"/>
              </w:rPr>
            </w:pPr>
          </w:p>
        </w:tc>
        <w:tc>
          <w:tcPr>
            <w:tcW w:w="2640" w:type="dxa"/>
            <w:vAlign w:val="bottom"/>
            <w:gridSpan w:val="2"/>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Interest and other expenses, net</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(2.5 )</w:t>
            </w:r>
          </w:p>
        </w:tc>
        <w:tc>
          <w:tcPr>
            <w:tcW w:w="4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3.6</w:t>
            </w:r>
          </w:p>
        </w:tc>
        <w:tc>
          <w:tcPr>
            <w:tcW w:w="3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gridSpan w:val="3"/>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(9.8 )  $</w:t>
            </w:r>
          </w:p>
        </w:tc>
        <w:tc>
          <w:tcPr>
            <w:tcW w:w="106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3.0</w:t>
            </w:r>
          </w:p>
        </w:tc>
      </w:tr>
    </w:tbl>
    <w:p>
      <w:pPr>
        <w:spacing w:after="0" w:line="198" w:lineRule="exact"/>
        <w:rPr>
          <w:sz w:val="20"/>
          <w:szCs w:val="20"/>
          <w:color w:val="auto"/>
        </w:rPr>
      </w:pPr>
    </w:p>
    <w:p>
      <w:pPr>
        <w:ind w:right="280"/>
        <w:spacing w:after="0" w:line="282" w:lineRule="auto"/>
        <w:rPr>
          <w:sz w:val="20"/>
          <w:szCs w:val="20"/>
          <w:color w:val="auto"/>
        </w:rPr>
      </w:pPr>
      <w:r>
        <w:rPr>
          <w:rFonts w:ascii="Times New Roman" w:cs="Times New Roman" w:eastAsia="Times New Roman" w:hAnsi="Times New Roman"/>
          <w:sz w:val="18"/>
          <w:szCs w:val="18"/>
          <w:color w:val="auto"/>
        </w:rPr>
        <w:t>The following tables present the fair value of derivative and non-derivative assets and liabilities on the Consolidated Balance Sheets as of June 30, 2024 and December 31, 2023:</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4980" w:type="dxa"/>
            <w:vAlign w:val="bottom"/>
          </w:tcPr>
          <w:p>
            <w:pPr>
              <w:spacing w:after="0"/>
              <w:rPr>
                <w:sz w:val="21"/>
                <w:szCs w:val="21"/>
                <w:color w:val="auto"/>
              </w:rPr>
            </w:pPr>
          </w:p>
        </w:tc>
        <w:tc>
          <w:tcPr>
            <w:tcW w:w="2640" w:type="dxa"/>
            <w:vAlign w:val="bottom"/>
            <w:tcBorders>
              <w:bottom w:val="single" w:sz="8" w:color="auto"/>
            </w:tcBorders>
          </w:tcPr>
          <w:p>
            <w:pPr>
              <w:spacing w:after="0"/>
              <w:rPr>
                <w:sz w:val="21"/>
                <w:szCs w:val="21"/>
                <w:color w:val="auto"/>
              </w:rPr>
            </w:pPr>
          </w:p>
        </w:tc>
        <w:tc>
          <w:tcPr>
            <w:tcW w:w="1600" w:type="dxa"/>
            <w:vAlign w:val="bottom"/>
            <w:tcBorders>
              <w:bottom w:val="single" w:sz="8" w:color="auto"/>
            </w:tcBorders>
            <w:gridSpan w:val="3"/>
          </w:tcPr>
          <w:p>
            <w:pPr>
              <w:jc w:val="right"/>
              <w:ind w:right="83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42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360" w:type="dxa"/>
            <w:vAlign w:val="bottom"/>
            <w:tcBorders>
              <w:bottom w:val="single" w:sz="8" w:color="auto"/>
            </w:tcBorders>
          </w:tcPr>
          <w:p>
            <w:pPr>
              <w:spacing w:after="0"/>
              <w:rPr>
                <w:sz w:val="21"/>
                <w:szCs w:val="21"/>
                <w:color w:val="auto"/>
              </w:rPr>
            </w:pPr>
          </w:p>
        </w:tc>
      </w:tr>
      <w:tr>
        <w:trPr>
          <w:trHeight w:val="234"/>
        </w:trPr>
        <w:tc>
          <w:tcPr>
            <w:tcW w:w="4980" w:type="dxa"/>
            <w:vAlign w:val="bottom"/>
          </w:tcPr>
          <w:p>
            <w:pPr>
              <w:spacing w:after="0"/>
              <w:rPr>
                <w:sz w:val="20"/>
                <w:szCs w:val="20"/>
                <w:color w:val="auto"/>
              </w:rPr>
            </w:pPr>
          </w:p>
        </w:tc>
        <w:tc>
          <w:tcPr>
            <w:tcW w:w="26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80" w:type="dxa"/>
            <w:vAlign w:val="bottom"/>
          </w:tcPr>
          <w:p>
            <w:pPr>
              <w:jc w:val="center"/>
              <w:ind w:left="230"/>
              <w:spacing w:after="0"/>
              <w:rPr>
                <w:sz w:val="20"/>
                <w:szCs w:val="20"/>
                <w:color w:val="auto"/>
              </w:rPr>
            </w:pPr>
            <w:r>
              <w:rPr>
                <w:rFonts w:ascii="Times New Roman" w:cs="Times New Roman" w:eastAsia="Times New Roman" w:hAnsi="Times New Roman"/>
                <w:sz w:val="18"/>
                <w:szCs w:val="18"/>
                <w:b w:val="1"/>
                <w:bCs w:val="1"/>
                <w:color w:val="auto"/>
                <w:w w:val="99"/>
              </w:rPr>
              <w:t>June 30,</w:t>
            </w:r>
          </w:p>
        </w:tc>
        <w:tc>
          <w:tcPr>
            <w:tcW w:w="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60" w:type="dxa"/>
            <w:vAlign w:val="bottom"/>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45"/>
        </w:trPr>
        <w:tc>
          <w:tcPr>
            <w:tcW w:w="4980" w:type="dxa"/>
            <w:vAlign w:val="bottom"/>
          </w:tcPr>
          <w:p>
            <w:pPr>
              <w:spacing w:after="0"/>
              <w:rPr>
                <w:sz w:val="21"/>
                <w:szCs w:val="21"/>
                <w:color w:val="auto"/>
              </w:rPr>
            </w:pPr>
          </w:p>
        </w:tc>
        <w:tc>
          <w:tcPr>
            <w:tcW w:w="2640" w:type="dxa"/>
            <w:vAlign w:val="bottom"/>
          </w:tcPr>
          <w:p>
            <w:pPr>
              <w:ind w:left="620"/>
              <w:spacing w:after="0"/>
              <w:rPr>
                <w:sz w:val="20"/>
                <w:szCs w:val="20"/>
                <w:color w:val="auto"/>
              </w:rPr>
            </w:pPr>
            <w:r>
              <w:rPr>
                <w:rFonts w:ascii="Times New Roman" w:cs="Times New Roman" w:eastAsia="Times New Roman" w:hAnsi="Times New Roman"/>
                <w:sz w:val="18"/>
                <w:szCs w:val="18"/>
                <w:b w:val="1"/>
                <w:bCs w:val="1"/>
                <w:color w:val="auto"/>
              </w:rPr>
              <w:t>Balance Sheet Location</w:t>
            </w:r>
          </w:p>
        </w:tc>
        <w:tc>
          <w:tcPr>
            <w:tcW w:w="1600" w:type="dxa"/>
            <w:vAlign w:val="bottom"/>
            <w:gridSpan w:val="3"/>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4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60" w:type="dxa"/>
            <w:vAlign w:val="bottom"/>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43"/>
        </w:trPr>
        <w:tc>
          <w:tcPr>
            <w:tcW w:w="4980" w:type="dxa"/>
            <w:vAlign w:val="bottom"/>
            <w:shd w:val="clear" w:color="auto" w:fill="CFF0FC"/>
          </w:tcPr>
          <w:p>
            <w:pPr>
              <w:jc w:val="right"/>
              <w:ind w:right="1690"/>
              <w:spacing w:after="0"/>
              <w:rPr>
                <w:sz w:val="20"/>
                <w:szCs w:val="20"/>
                <w:color w:val="auto"/>
              </w:rPr>
            </w:pPr>
            <w:r>
              <w:rPr>
                <w:rFonts w:ascii="Times New Roman" w:cs="Times New Roman" w:eastAsia="Times New Roman" w:hAnsi="Times New Roman"/>
                <w:sz w:val="18"/>
                <w:szCs w:val="18"/>
                <w:color w:val="auto"/>
                <w:w w:val="99"/>
              </w:rPr>
              <w:t>Instruments designated as fair value hedges:</w:t>
            </w:r>
          </w:p>
        </w:tc>
        <w:tc>
          <w:tcPr>
            <w:tcW w:w="2640" w:type="dxa"/>
            <w:vAlign w:val="bottom"/>
            <w:tcBorders>
              <w:top w:val="single" w:sz="8" w:color="auto"/>
            </w:tcBorders>
            <w:shd w:val="clear" w:color="auto" w:fill="CFF0FC"/>
          </w:tcPr>
          <w:p>
            <w:pPr>
              <w:spacing w:after="0"/>
              <w:rPr>
                <w:sz w:val="21"/>
                <w:szCs w:val="21"/>
                <w:color w:val="auto"/>
              </w:rPr>
            </w:pPr>
          </w:p>
        </w:tc>
        <w:tc>
          <w:tcPr>
            <w:tcW w:w="400" w:type="dxa"/>
            <w:vAlign w:val="bottom"/>
            <w:tcBorders>
              <w:top w:val="single" w:sz="8" w:color="auto"/>
            </w:tcBorders>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080" w:type="dxa"/>
            <w:vAlign w:val="bottom"/>
            <w:tcBorders>
              <w:top w:val="single" w:sz="8" w:color="auto"/>
            </w:tcBorders>
            <w:shd w:val="clear" w:color="auto" w:fill="CFF0FC"/>
          </w:tcPr>
          <w:p>
            <w:pPr>
              <w:spacing w:after="0"/>
              <w:rPr>
                <w:sz w:val="21"/>
                <w:szCs w:val="21"/>
                <w:color w:val="auto"/>
              </w:rPr>
            </w:pPr>
          </w:p>
        </w:tc>
        <w:tc>
          <w:tcPr>
            <w:tcW w:w="420" w:type="dxa"/>
            <w:vAlign w:val="bottom"/>
            <w:tcBorders>
              <w:top w:val="single" w:sz="8" w:color="auto"/>
            </w:tcBorders>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40" w:type="dxa"/>
            <w:vAlign w:val="bottom"/>
            <w:tcBorders>
              <w:top w:val="single" w:sz="8" w:color="auto"/>
            </w:tcBorders>
            <w:shd w:val="clear" w:color="auto" w:fill="CFF0FC"/>
          </w:tcPr>
          <w:p>
            <w:pPr>
              <w:spacing w:after="0"/>
              <w:rPr>
                <w:sz w:val="21"/>
                <w:szCs w:val="21"/>
                <w:color w:val="auto"/>
              </w:rPr>
            </w:pPr>
          </w:p>
        </w:tc>
        <w:tc>
          <w:tcPr>
            <w:tcW w:w="1360" w:type="dxa"/>
            <w:vAlign w:val="bottom"/>
            <w:tcBorders>
              <w:top w:val="single" w:sz="8" w:color="auto"/>
            </w:tcBorders>
            <w:shd w:val="clear" w:color="auto" w:fill="CFF0FC"/>
          </w:tcPr>
          <w:p>
            <w:pPr>
              <w:spacing w:after="0"/>
              <w:rPr>
                <w:sz w:val="21"/>
                <w:szCs w:val="21"/>
                <w:color w:val="auto"/>
              </w:rPr>
            </w:pPr>
          </w:p>
        </w:tc>
      </w:tr>
      <w:tr>
        <w:trPr>
          <w:trHeight w:val="239"/>
        </w:trPr>
        <w:tc>
          <w:tcPr>
            <w:tcW w:w="4980" w:type="dxa"/>
            <w:vAlign w:val="bottom"/>
          </w:tcPr>
          <w:p>
            <w:pPr>
              <w:jc w:val="right"/>
              <w:ind w:right="3110"/>
              <w:spacing w:after="0"/>
              <w:rPr>
                <w:sz w:val="20"/>
                <w:szCs w:val="20"/>
                <w:color w:val="auto"/>
              </w:rPr>
            </w:pPr>
            <w:r>
              <w:rPr>
                <w:rFonts w:ascii="Times New Roman" w:cs="Times New Roman" w:eastAsia="Times New Roman" w:hAnsi="Times New Roman"/>
                <w:sz w:val="18"/>
                <w:szCs w:val="18"/>
                <w:color w:val="auto"/>
              </w:rPr>
              <w:t>Cross-currency swaps</w:t>
            </w:r>
          </w:p>
        </w:tc>
        <w:tc>
          <w:tcPr>
            <w:tcW w:w="2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Accounts Receivable, net</w:t>
            </w:r>
          </w:p>
        </w:tc>
        <w:tc>
          <w:tcPr>
            <w:tcW w:w="4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4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3.9</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31.7</w:t>
            </w:r>
          </w:p>
        </w:tc>
      </w:tr>
      <w:tr>
        <w:trPr>
          <w:trHeight w:val="247"/>
        </w:trPr>
        <w:tc>
          <w:tcPr>
            <w:tcW w:w="4980" w:type="dxa"/>
            <w:vAlign w:val="bottom"/>
            <w:shd w:val="clear" w:color="auto" w:fill="CFF0FC"/>
          </w:tcPr>
          <w:p>
            <w:pPr>
              <w:jc w:val="right"/>
              <w:ind w:right="2130"/>
              <w:spacing w:after="0"/>
              <w:rPr>
                <w:sz w:val="20"/>
                <w:szCs w:val="20"/>
                <w:color w:val="auto"/>
              </w:rPr>
            </w:pPr>
            <w:r>
              <w:rPr>
                <w:rFonts w:ascii="Times New Roman" w:cs="Times New Roman" w:eastAsia="Times New Roman" w:hAnsi="Times New Roman"/>
                <w:sz w:val="18"/>
                <w:szCs w:val="18"/>
                <w:color w:val="auto"/>
              </w:rPr>
              <w:t>Instruments not designated as hedges:</w:t>
            </w:r>
          </w:p>
        </w:tc>
        <w:tc>
          <w:tcPr>
            <w:tcW w:w="2640" w:type="dxa"/>
            <w:vAlign w:val="bottom"/>
            <w:shd w:val="clear" w:color="auto" w:fill="CFF0FC"/>
          </w:tcPr>
          <w:p>
            <w:pPr>
              <w:spacing w:after="0"/>
              <w:rPr>
                <w:sz w:val="21"/>
                <w:szCs w:val="21"/>
                <w:color w:val="auto"/>
              </w:rPr>
            </w:pPr>
          </w:p>
        </w:tc>
        <w:tc>
          <w:tcPr>
            <w:tcW w:w="40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080" w:type="dxa"/>
            <w:vAlign w:val="bottom"/>
            <w:shd w:val="clear" w:color="auto" w:fill="CFF0FC"/>
          </w:tcPr>
          <w:p>
            <w:pPr>
              <w:spacing w:after="0"/>
              <w:rPr>
                <w:sz w:val="21"/>
                <w:szCs w:val="21"/>
                <w:color w:val="auto"/>
              </w:rPr>
            </w:pPr>
          </w:p>
        </w:tc>
        <w:tc>
          <w:tcPr>
            <w:tcW w:w="4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360" w:type="dxa"/>
            <w:vAlign w:val="bottom"/>
            <w:shd w:val="clear" w:color="auto" w:fill="CFF0FC"/>
          </w:tcPr>
          <w:p>
            <w:pPr>
              <w:spacing w:after="0"/>
              <w:rPr>
                <w:sz w:val="21"/>
                <w:szCs w:val="21"/>
                <w:color w:val="auto"/>
              </w:rPr>
            </w:pPr>
          </w:p>
        </w:tc>
      </w:tr>
      <w:tr>
        <w:trPr>
          <w:trHeight w:val="243"/>
        </w:trPr>
        <w:tc>
          <w:tcPr>
            <w:tcW w:w="4980" w:type="dxa"/>
            <w:vAlign w:val="bottom"/>
          </w:tcPr>
          <w:p>
            <w:pPr>
              <w:jc w:val="right"/>
              <w:ind w:right="2150"/>
              <w:spacing w:after="0"/>
              <w:rPr>
                <w:sz w:val="20"/>
                <w:szCs w:val="20"/>
                <w:color w:val="auto"/>
              </w:rPr>
            </w:pPr>
            <w:r>
              <w:rPr>
                <w:rFonts w:ascii="Times New Roman" w:cs="Times New Roman" w:eastAsia="Times New Roman" w:hAnsi="Times New Roman"/>
                <w:sz w:val="18"/>
                <w:szCs w:val="18"/>
                <w:color w:val="auto"/>
              </w:rPr>
              <w:t>Foreign currency forward contracts</w:t>
            </w:r>
          </w:p>
        </w:tc>
        <w:tc>
          <w:tcPr>
            <w:tcW w:w="2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Accounts Receivable, net</w:t>
            </w:r>
          </w:p>
        </w:tc>
        <w:tc>
          <w:tcPr>
            <w:tcW w:w="4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80" w:type="dxa"/>
            <w:vAlign w:val="bottom"/>
            <w:tcBorders>
              <w:bottom w:val="single" w:sz="8" w:color="auto"/>
            </w:tcBorders>
          </w:tcPr>
          <w:p>
            <w:pPr>
              <w:spacing w:after="0"/>
              <w:rPr>
                <w:sz w:val="21"/>
                <w:szCs w:val="21"/>
                <w:color w:val="auto"/>
              </w:rPr>
            </w:pPr>
          </w:p>
        </w:tc>
        <w:tc>
          <w:tcPr>
            <w:tcW w:w="4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3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6.7</w:t>
            </w:r>
          </w:p>
        </w:tc>
      </w:tr>
      <w:tr>
        <w:trPr>
          <w:trHeight w:val="272"/>
        </w:trPr>
        <w:tc>
          <w:tcPr>
            <w:tcW w:w="4980" w:type="dxa"/>
            <w:vAlign w:val="bottom"/>
            <w:shd w:val="clear" w:color="auto" w:fill="CFF0FC"/>
          </w:tcPr>
          <w:p>
            <w:pPr>
              <w:jc w:val="right"/>
              <w:ind w:right="3250"/>
              <w:spacing w:after="0"/>
              <w:rPr>
                <w:sz w:val="20"/>
                <w:szCs w:val="20"/>
                <w:color w:val="auto"/>
              </w:rPr>
            </w:pPr>
            <w:r>
              <w:rPr>
                <w:rFonts w:ascii="Times New Roman" w:cs="Times New Roman" w:eastAsia="Times New Roman" w:hAnsi="Times New Roman"/>
                <w:sz w:val="18"/>
                <w:szCs w:val="18"/>
                <w:color w:val="auto"/>
              </w:rPr>
              <w:t>Total instruments</w:t>
            </w:r>
          </w:p>
        </w:tc>
        <w:tc>
          <w:tcPr>
            <w:tcW w:w="2640" w:type="dxa"/>
            <w:vAlign w:val="bottom"/>
            <w:shd w:val="clear" w:color="auto" w:fill="CFF0FC"/>
          </w:tcPr>
          <w:p>
            <w:pPr>
              <w:spacing w:after="0"/>
              <w:rPr>
                <w:sz w:val="23"/>
                <w:szCs w:val="23"/>
                <w:color w:val="auto"/>
              </w:rPr>
            </w:pPr>
          </w:p>
        </w:tc>
        <w:tc>
          <w:tcPr>
            <w:tcW w:w="1600" w:type="dxa"/>
            <w:vAlign w:val="bottom"/>
            <w:gridSpan w:val="3"/>
            <w:shd w:val="clear" w:color="auto" w:fill="CFF0FC"/>
          </w:tcPr>
          <w:p>
            <w:pPr>
              <w:jc w:val="right"/>
              <w:ind w:right="87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3.9</w:t>
            </w:r>
          </w:p>
        </w:tc>
        <w:tc>
          <w:tcPr>
            <w:tcW w:w="2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38.4</w:t>
            </w:r>
          </w:p>
        </w:tc>
      </w:tr>
      <w:tr>
        <w:trPr>
          <w:trHeight w:val="633"/>
        </w:trPr>
        <w:tc>
          <w:tcPr>
            <w:tcW w:w="4980" w:type="dxa"/>
            <w:vAlign w:val="bottom"/>
            <w:tcBorders>
              <w:top w:val="single" w:sz="8" w:color="CFF0FC"/>
            </w:tcBorders>
          </w:tcPr>
          <w:p>
            <w:pPr>
              <w:spacing w:after="0"/>
              <w:rPr>
                <w:sz w:val="24"/>
                <w:szCs w:val="24"/>
                <w:color w:val="auto"/>
              </w:rPr>
            </w:pPr>
          </w:p>
        </w:tc>
        <w:tc>
          <w:tcPr>
            <w:tcW w:w="2640" w:type="dxa"/>
            <w:vAlign w:val="bottom"/>
            <w:tcBorders>
              <w:top w:val="single" w:sz="8" w:color="CFF0FC"/>
            </w:tcBorders>
          </w:tcPr>
          <w:p>
            <w:pPr>
              <w:jc w:val="right"/>
              <w:ind w:right="1810"/>
              <w:spacing w:after="0"/>
              <w:rPr>
                <w:sz w:val="20"/>
                <w:szCs w:val="20"/>
                <w:color w:val="auto"/>
              </w:rPr>
            </w:pPr>
            <w:r>
              <w:rPr>
                <w:rFonts w:ascii="Times New Roman" w:cs="Times New Roman" w:eastAsia="Times New Roman" w:hAnsi="Times New Roman"/>
                <w:sz w:val="18"/>
                <w:szCs w:val="18"/>
                <w:color w:val="auto"/>
              </w:rPr>
              <w:t>18</w:t>
            </w:r>
          </w:p>
        </w:tc>
        <w:tc>
          <w:tcPr>
            <w:tcW w:w="400" w:type="dxa"/>
            <w:vAlign w:val="bottom"/>
            <w:tcBorders>
              <w:top w:val="single" w:sz="8" w:color="CFF0FC"/>
            </w:tcBorders>
          </w:tcPr>
          <w:p>
            <w:pPr>
              <w:spacing w:after="0"/>
              <w:rPr>
                <w:sz w:val="24"/>
                <w:szCs w:val="24"/>
                <w:color w:val="auto"/>
              </w:rPr>
            </w:pPr>
          </w:p>
        </w:tc>
        <w:tc>
          <w:tcPr>
            <w:tcW w:w="120" w:type="dxa"/>
            <w:vAlign w:val="bottom"/>
            <w:tcBorders>
              <w:top w:val="single" w:sz="8" w:color="CFF0FC"/>
            </w:tcBorders>
          </w:tcPr>
          <w:p>
            <w:pPr>
              <w:spacing w:after="0"/>
              <w:rPr>
                <w:sz w:val="24"/>
                <w:szCs w:val="24"/>
                <w:color w:val="auto"/>
              </w:rPr>
            </w:pPr>
          </w:p>
        </w:tc>
        <w:tc>
          <w:tcPr>
            <w:tcW w:w="1080" w:type="dxa"/>
            <w:vAlign w:val="bottom"/>
            <w:tcBorders>
              <w:top w:val="single" w:sz="8" w:color="auto"/>
            </w:tcBorders>
          </w:tcPr>
          <w:p>
            <w:pPr>
              <w:spacing w:after="0"/>
              <w:rPr>
                <w:sz w:val="24"/>
                <w:szCs w:val="24"/>
                <w:color w:val="auto"/>
              </w:rPr>
            </w:pPr>
          </w:p>
        </w:tc>
        <w:tc>
          <w:tcPr>
            <w:tcW w:w="420" w:type="dxa"/>
            <w:vAlign w:val="bottom"/>
            <w:tcBorders>
              <w:top w:val="single" w:sz="8" w:color="auto"/>
            </w:tcBorders>
          </w:tcPr>
          <w:p>
            <w:pPr>
              <w:spacing w:after="0"/>
              <w:rPr>
                <w:sz w:val="24"/>
                <w:szCs w:val="24"/>
                <w:color w:val="auto"/>
              </w:rPr>
            </w:pPr>
          </w:p>
        </w:tc>
        <w:tc>
          <w:tcPr>
            <w:tcW w:w="100" w:type="dxa"/>
            <w:vAlign w:val="bottom"/>
            <w:tcBorders>
              <w:top w:val="single" w:sz="8" w:color="CFF0FC"/>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1360" w:type="dxa"/>
            <w:vAlign w:val="bottom"/>
            <w:tcBorders>
              <w:top w:val="single" w:sz="8" w:color="auto"/>
            </w:tcBorders>
          </w:tcPr>
          <w:p>
            <w:pPr>
              <w:spacing w:after="0"/>
              <w:rPr>
                <w:sz w:val="24"/>
                <w:szCs w:val="24"/>
                <w:color w:val="auto"/>
              </w:rPr>
            </w:pPr>
          </w:p>
        </w:tc>
      </w:tr>
      <w:tr>
        <w:trPr>
          <w:trHeight w:val="749"/>
        </w:trPr>
        <w:tc>
          <w:tcPr>
            <w:tcW w:w="4980" w:type="dxa"/>
            <w:vAlign w:val="bottom"/>
            <w:tcBorders>
              <w:bottom w:val="single" w:sz="8" w:color="9A9A9A"/>
            </w:tcBorders>
          </w:tcPr>
          <w:p>
            <w:pPr>
              <w:spacing w:after="0"/>
              <w:rPr>
                <w:sz w:val="24"/>
                <w:szCs w:val="24"/>
                <w:color w:val="auto"/>
              </w:rPr>
            </w:pPr>
          </w:p>
        </w:tc>
        <w:tc>
          <w:tcPr>
            <w:tcW w:w="264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08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3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6116955</wp:posOffset>
            </wp:positionH>
            <wp:positionV relativeFrom="paragraph">
              <wp:posOffset>-925195</wp:posOffset>
            </wp:positionV>
            <wp:extent cx="68580" cy="825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6116955</wp:posOffset>
            </wp:positionH>
            <wp:positionV relativeFrom="paragraph">
              <wp:posOffset>-908050</wp:posOffset>
            </wp:positionV>
            <wp:extent cx="68580" cy="825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18" w:name="page19"/>
    <w:bookmarkEnd w:id="18"/>
    <w:tbl>
      <w:tblPr>
        <w:tblLayout w:type="fixed"/>
        <w:tblInd w:w="0" w:type="dxa"/>
        <w:tblCellMar>
          <w:top w:w="0" w:type="dxa"/>
          <w:left w:w="0" w:type="dxa"/>
          <w:bottom w:w="0" w:type="dxa"/>
          <w:right w:w="0" w:type="dxa"/>
        </w:tblCellMar>
      </w:tblPr>
      <w:tr>
        <w:trPr>
          <w:trHeight w:val="245"/>
        </w:trPr>
        <w:tc>
          <w:tcPr>
            <w:tcW w:w="4980" w:type="dxa"/>
            <w:vAlign w:val="bottom"/>
          </w:tcPr>
          <w:p>
            <w:pPr>
              <w:spacing w:after="0"/>
              <w:rPr>
                <w:sz w:val="21"/>
                <w:szCs w:val="21"/>
                <w:color w:val="auto"/>
              </w:rPr>
            </w:pPr>
          </w:p>
        </w:tc>
        <w:tc>
          <w:tcPr>
            <w:tcW w:w="256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116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360" w:type="dxa"/>
            <w:vAlign w:val="bottom"/>
            <w:tcBorders>
              <w:bottom w:val="single" w:sz="8" w:color="auto"/>
            </w:tcBorders>
          </w:tcPr>
          <w:p>
            <w:pPr>
              <w:spacing w:after="0"/>
              <w:rPr>
                <w:sz w:val="21"/>
                <w:szCs w:val="21"/>
                <w:color w:val="auto"/>
              </w:rPr>
            </w:pPr>
          </w:p>
        </w:tc>
      </w:tr>
      <w:tr>
        <w:trPr>
          <w:trHeight w:val="234"/>
        </w:trPr>
        <w:tc>
          <w:tcPr>
            <w:tcW w:w="4980" w:type="dxa"/>
            <w:vAlign w:val="bottom"/>
          </w:tcPr>
          <w:p>
            <w:pPr>
              <w:spacing w:after="0"/>
              <w:rPr>
                <w:sz w:val="20"/>
                <w:szCs w:val="20"/>
                <w:color w:val="auto"/>
              </w:rPr>
            </w:pPr>
          </w:p>
        </w:tc>
        <w:tc>
          <w:tcPr>
            <w:tcW w:w="25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60" w:type="dxa"/>
            <w:vAlign w:val="bottom"/>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60" w:type="dxa"/>
            <w:vAlign w:val="bottom"/>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45"/>
        </w:trPr>
        <w:tc>
          <w:tcPr>
            <w:tcW w:w="4980" w:type="dxa"/>
            <w:vAlign w:val="bottom"/>
          </w:tcPr>
          <w:p>
            <w:pPr>
              <w:spacing w:after="0"/>
              <w:rPr>
                <w:sz w:val="21"/>
                <w:szCs w:val="21"/>
                <w:color w:val="auto"/>
              </w:rPr>
            </w:pPr>
          </w:p>
        </w:tc>
        <w:tc>
          <w:tcPr>
            <w:tcW w:w="2560" w:type="dxa"/>
            <w:vAlign w:val="bottom"/>
            <w:tcBorders>
              <w:bottom w:val="single" w:sz="8" w:color="auto"/>
            </w:tcBorders>
          </w:tcPr>
          <w:p>
            <w:pPr>
              <w:ind w:left="620"/>
              <w:spacing w:after="0"/>
              <w:rPr>
                <w:sz w:val="20"/>
                <w:szCs w:val="20"/>
                <w:color w:val="auto"/>
              </w:rPr>
            </w:pPr>
            <w:r>
              <w:rPr>
                <w:rFonts w:ascii="Times New Roman" w:cs="Times New Roman" w:eastAsia="Times New Roman" w:hAnsi="Times New Roman"/>
                <w:sz w:val="18"/>
                <w:szCs w:val="18"/>
                <w:b w:val="1"/>
                <w:bCs w:val="1"/>
                <w:color w:val="auto"/>
              </w:rPr>
              <w:t>Balance Sheet Location</w:t>
            </w:r>
          </w:p>
        </w:tc>
        <w:tc>
          <w:tcPr>
            <w:tcW w:w="480" w:type="dxa"/>
            <w:vAlign w:val="bottom"/>
            <w:tcBorders>
              <w:bottom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360" w:type="dxa"/>
            <w:vAlign w:val="bottom"/>
            <w:tcBorders>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43"/>
        </w:trPr>
        <w:tc>
          <w:tcPr>
            <w:tcW w:w="49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Instruments designated as net investment hedges:</w:t>
            </w:r>
          </w:p>
        </w:tc>
        <w:tc>
          <w:tcPr>
            <w:tcW w:w="2560" w:type="dxa"/>
            <w:vAlign w:val="bottom"/>
            <w:shd w:val="clear" w:color="auto" w:fill="CFF0FC"/>
          </w:tcPr>
          <w:p>
            <w:pPr>
              <w:spacing w:after="0"/>
              <w:rPr>
                <w:sz w:val="21"/>
                <w:szCs w:val="21"/>
                <w:color w:val="auto"/>
              </w:rPr>
            </w:pPr>
          </w:p>
        </w:tc>
        <w:tc>
          <w:tcPr>
            <w:tcW w:w="48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116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360" w:type="dxa"/>
            <w:vAlign w:val="bottom"/>
            <w:shd w:val="clear" w:color="auto" w:fill="CFF0FC"/>
          </w:tcPr>
          <w:p>
            <w:pPr>
              <w:spacing w:after="0"/>
              <w:rPr>
                <w:sz w:val="21"/>
                <w:szCs w:val="21"/>
                <w:color w:val="auto"/>
              </w:rPr>
            </w:pPr>
          </w:p>
        </w:tc>
      </w:tr>
      <w:tr>
        <w:trPr>
          <w:trHeight w:val="239"/>
        </w:trPr>
        <w:tc>
          <w:tcPr>
            <w:tcW w:w="49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Euro Notes due in 2026</w:t>
            </w:r>
          </w:p>
        </w:tc>
        <w:tc>
          <w:tcPr>
            <w:tcW w:w="2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Long-term debt</w:t>
            </w:r>
          </w:p>
        </w:tc>
        <w:tc>
          <w:tcPr>
            <w:tcW w:w="4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534.3</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550.0</w:t>
            </w:r>
          </w:p>
        </w:tc>
      </w:tr>
      <w:tr>
        <w:trPr>
          <w:trHeight w:val="247"/>
        </w:trPr>
        <w:tc>
          <w:tcPr>
            <w:tcW w:w="49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Euro Notes due in 2027</w:t>
            </w:r>
          </w:p>
        </w:tc>
        <w:tc>
          <w:tcPr>
            <w:tcW w:w="25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Long-term debt</w:t>
            </w:r>
          </w:p>
        </w:tc>
        <w:tc>
          <w:tcPr>
            <w:tcW w:w="48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116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425.8</w:t>
            </w:r>
          </w:p>
        </w:tc>
        <w:tc>
          <w:tcPr>
            <w:tcW w:w="10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36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438.2</w:t>
            </w:r>
          </w:p>
        </w:tc>
      </w:tr>
      <w:tr>
        <w:trPr>
          <w:trHeight w:val="239"/>
        </w:trPr>
        <w:tc>
          <w:tcPr>
            <w:tcW w:w="49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Cross-currency swaps</w:t>
            </w:r>
          </w:p>
        </w:tc>
        <w:tc>
          <w:tcPr>
            <w:tcW w:w="2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Accrued liabilities</w:t>
            </w:r>
          </w:p>
        </w:tc>
        <w:tc>
          <w:tcPr>
            <w:tcW w:w="4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44.5</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73.3</w:t>
            </w:r>
          </w:p>
        </w:tc>
      </w:tr>
      <w:tr>
        <w:trPr>
          <w:trHeight w:val="247"/>
        </w:trPr>
        <w:tc>
          <w:tcPr>
            <w:tcW w:w="49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Instruments not designated as hedges:</w:t>
            </w:r>
          </w:p>
        </w:tc>
        <w:tc>
          <w:tcPr>
            <w:tcW w:w="2560" w:type="dxa"/>
            <w:vAlign w:val="bottom"/>
            <w:shd w:val="clear" w:color="auto" w:fill="CFF0FC"/>
          </w:tcPr>
          <w:p>
            <w:pPr>
              <w:spacing w:after="0"/>
              <w:rPr>
                <w:sz w:val="21"/>
                <w:szCs w:val="21"/>
                <w:color w:val="auto"/>
              </w:rPr>
            </w:pPr>
          </w:p>
        </w:tc>
        <w:tc>
          <w:tcPr>
            <w:tcW w:w="48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116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360" w:type="dxa"/>
            <w:vAlign w:val="bottom"/>
            <w:shd w:val="clear" w:color="auto" w:fill="CFF0FC"/>
          </w:tcPr>
          <w:p>
            <w:pPr>
              <w:spacing w:after="0"/>
              <w:rPr>
                <w:sz w:val="21"/>
                <w:szCs w:val="21"/>
                <w:color w:val="auto"/>
              </w:rPr>
            </w:pPr>
          </w:p>
        </w:tc>
      </w:tr>
      <w:tr>
        <w:trPr>
          <w:trHeight w:val="243"/>
        </w:trPr>
        <w:tc>
          <w:tcPr>
            <w:tcW w:w="49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Foreign currency forward contracts</w:t>
            </w:r>
          </w:p>
        </w:tc>
        <w:tc>
          <w:tcPr>
            <w:tcW w:w="2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Accrued liabilities</w:t>
            </w:r>
          </w:p>
        </w:tc>
        <w:tc>
          <w:tcPr>
            <w:tcW w:w="4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3.2</w:t>
            </w:r>
          </w:p>
        </w:tc>
        <w:tc>
          <w:tcPr>
            <w:tcW w:w="10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3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2.3</w:t>
            </w:r>
          </w:p>
        </w:tc>
      </w:tr>
      <w:tr>
        <w:trPr>
          <w:trHeight w:val="272"/>
        </w:trPr>
        <w:tc>
          <w:tcPr>
            <w:tcW w:w="4980" w:type="dxa"/>
            <w:vAlign w:val="bottom"/>
            <w:tcBorders>
              <w:bottom w:val="single" w:sz="8" w:color="CFF0FC"/>
            </w:tcBorders>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Total instruments</w:t>
            </w:r>
          </w:p>
        </w:tc>
        <w:tc>
          <w:tcPr>
            <w:tcW w:w="2560" w:type="dxa"/>
            <w:vAlign w:val="bottom"/>
            <w:tcBorders>
              <w:bottom w:val="single" w:sz="8" w:color="CFF0FC"/>
            </w:tcBorders>
            <w:shd w:val="clear" w:color="auto" w:fill="CFF0FC"/>
          </w:tcPr>
          <w:p>
            <w:pPr>
              <w:spacing w:after="0"/>
              <w:rPr>
                <w:sz w:val="23"/>
                <w:szCs w:val="23"/>
                <w:color w:val="auto"/>
              </w:rPr>
            </w:pPr>
          </w:p>
        </w:tc>
        <w:tc>
          <w:tcPr>
            <w:tcW w:w="600" w:type="dxa"/>
            <w:vAlign w:val="bottom"/>
            <w:tcBorders>
              <w:bottom w:val="single" w:sz="8" w:color="CFF0FC"/>
            </w:tcBorders>
            <w:gridSpan w:val="2"/>
            <w:shd w:val="clear" w:color="auto" w:fill="CFF0FC"/>
          </w:tcPr>
          <w:p>
            <w:pPr>
              <w:spacing w:after="0"/>
              <w:rPr>
                <w:sz w:val="23"/>
                <w:szCs w:val="23"/>
                <w:color w:val="auto"/>
              </w:rPr>
            </w:pPr>
          </w:p>
        </w:tc>
        <w:tc>
          <w:tcPr>
            <w:tcW w:w="340" w:type="dxa"/>
            <w:vAlign w:val="bottom"/>
            <w:tcBorders>
              <w:bottom w:val="single" w:sz="8" w:color="auto"/>
            </w:tcBorders>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1,007.8</w:t>
            </w:r>
          </w:p>
        </w:tc>
        <w:tc>
          <w:tcPr>
            <w:tcW w:w="100" w:type="dxa"/>
            <w:vAlign w:val="bottom"/>
            <w:tcBorders>
              <w:bottom w:val="single" w:sz="8" w:color="CFF0FC"/>
            </w:tcBorders>
            <w:shd w:val="clear" w:color="auto" w:fill="CFF0FC"/>
          </w:tcPr>
          <w:p>
            <w:pPr>
              <w:spacing w:after="0"/>
              <w:rPr>
                <w:sz w:val="23"/>
                <w:szCs w:val="23"/>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1,063.8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6116955</wp:posOffset>
            </wp:positionH>
            <wp:positionV relativeFrom="paragraph">
              <wp:posOffset>-24765</wp:posOffset>
            </wp:positionV>
            <wp:extent cx="68580" cy="825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6116955</wp:posOffset>
            </wp:positionH>
            <wp:positionV relativeFrom="paragraph">
              <wp:posOffset>-7620</wp:posOffset>
            </wp:positionV>
            <wp:extent cx="68580" cy="825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Fair Value Measurements</w:t>
      </w:r>
    </w:p>
    <w:p>
      <w:pPr>
        <w:spacing w:after="0" w:line="227" w:lineRule="exact"/>
        <w:rPr>
          <w:sz w:val="20"/>
          <w:szCs w:val="20"/>
          <w:color w:val="auto"/>
        </w:rPr>
      </w:pPr>
    </w:p>
    <w:p>
      <w:pPr>
        <w:jc w:val="both"/>
        <w:ind w:right="40"/>
        <w:spacing w:after="0" w:line="266" w:lineRule="auto"/>
        <w:rPr>
          <w:sz w:val="20"/>
          <w:szCs w:val="20"/>
          <w:color w:val="auto"/>
        </w:rPr>
      </w:pPr>
      <w:r>
        <w:rPr>
          <w:rFonts w:ascii="Times New Roman" w:cs="Times New Roman" w:eastAsia="Times New Roman" w:hAnsi="Times New Roman"/>
          <w:sz w:val="18"/>
          <w:szCs w:val="18"/>
          <w:color w:val="auto"/>
        </w:rPr>
        <w:t>The carrying value of the long-term debt approximates fair value, except for the Euro-denominated notes, because the interest rates are variable and reflect current market rates. The fair value of the Euro-denominated notes, as observable at commonly quoted intervals (Level 2 inputs), was $947.1 and $977.6 as of June 30, 2024 and December 31, 2023, respectively, compared to a carrying value of $960.1 and $988.2, respectively.</w:t>
      </w:r>
    </w:p>
    <w:p>
      <w:pPr>
        <w:spacing w:after="0" w:line="176"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Our deferred compensation plan assets were $160.1 and $144.2 as of June 30, 2024 and December 31, 2023, respectively. We determine the fair value of these assets, comprised of publicly traded securities, by using market quotes as of the last day of the period (Level 1 inputs).</w:t>
      </w:r>
    </w:p>
    <w:p>
      <w:pPr>
        <w:spacing w:after="0" w:line="162"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We measure the fair value of the foreign currency forward contracts and cross-currency swaps at the value based on either directly or indirectly observable inputs from third parties (Level 2 inputs).</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18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(14) Leases</w:t>
            </w:r>
          </w:p>
        </w:tc>
        <w:tc>
          <w:tcPr>
            <w:tcW w:w="9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6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43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3"/>
        </w:trPr>
        <w:tc>
          <w:tcPr>
            <w:tcW w:w="51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The components of lease expense were as follows:</w:t>
            </w:r>
          </w:p>
        </w:tc>
        <w:tc>
          <w:tcPr>
            <w:tcW w:w="3000" w:type="dxa"/>
            <w:vAlign w:val="bottom"/>
            <w:gridSpan w:val="5"/>
            <w:vMerge w:val="restart"/>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Three Months Ended June 30,</w:t>
            </w: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80" w:type="dxa"/>
            <w:vAlign w:val="bottom"/>
            <w:gridSpan w:val="4"/>
            <w:vMerge w:val="restart"/>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Six Months Ended June 30,</w:t>
            </w:r>
          </w:p>
        </w:tc>
        <w:tc>
          <w:tcPr>
            <w:tcW w:w="0" w:type="dxa"/>
            <w:vAlign w:val="bottom"/>
          </w:tcPr>
          <w:p>
            <w:pPr>
              <w:spacing w:after="0"/>
              <w:rPr>
                <w:sz w:val="1"/>
                <w:szCs w:val="1"/>
                <w:color w:val="auto"/>
              </w:rPr>
            </w:pPr>
          </w:p>
        </w:tc>
      </w:tr>
      <w:tr>
        <w:trPr>
          <w:trHeight w:val="236"/>
        </w:trPr>
        <w:tc>
          <w:tcPr>
            <w:tcW w:w="3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4320" w:type="dxa"/>
            <w:vAlign w:val="bottom"/>
          </w:tcPr>
          <w:p>
            <w:pPr>
              <w:spacing w:after="0"/>
              <w:rPr>
                <w:sz w:val="20"/>
                <w:szCs w:val="20"/>
                <w:color w:val="auto"/>
              </w:rPr>
            </w:pPr>
          </w:p>
        </w:tc>
        <w:tc>
          <w:tcPr>
            <w:tcW w:w="3000" w:type="dxa"/>
            <w:vAlign w:val="bottom"/>
            <w:tcBorders>
              <w:bottom w:val="single" w:sz="8" w:color="auto"/>
            </w:tcBorders>
            <w:gridSpan w:val="5"/>
            <w:vMerge w:val="continue"/>
          </w:tcPr>
          <w:p>
            <w:pPr>
              <w:spacing w:after="0"/>
              <w:rPr>
                <w:sz w:val="20"/>
                <w:szCs w:val="20"/>
                <w:color w:val="auto"/>
              </w:rPr>
            </w:pPr>
          </w:p>
        </w:tc>
        <w:tc>
          <w:tcPr>
            <w:tcW w:w="14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2680" w:type="dxa"/>
            <w:vAlign w:val="bottom"/>
            <w:tcBorders>
              <w:bottom w:val="single" w:sz="8" w:color="auto"/>
            </w:tcBorders>
            <w:gridSpan w:val="4"/>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41"/>
        </w:trPr>
        <w:tc>
          <w:tcPr>
            <w:tcW w:w="3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4320" w:type="dxa"/>
            <w:vAlign w:val="bottom"/>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52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4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2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0" w:type="dxa"/>
            <w:vAlign w:val="bottom"/>
          </w:tcPr>
          <w:p>
            <w:pPr>
              <w:spacing w:after="0"/>
              <w:rPr>
                <w:sz w:val="1"/>
                <w:szCs w:val="1"/>
                <w:color w:val="auto"/>
              </w:rPr>
            </w:pPr>
          </w:p>
        </w:tc>
      </w:tr>
      <w:tr>
        <w:trPr>
          <w:trHeight w:val="239"/>
        </w:trPr>
        <w:tc>
          <w:tcPr>
            <w:tcW w:w="5180" w:type="dxa"/>
            <w:vAlign w:val="bottom"/>
            <w:gridSpan w:val="3"/>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Operating lease expense</w:t>
            </w:r>
          </w:p>
        </w:tc>
        <w:tc>
          <w:tcPr>
            <w:tcW w:w="900" w:type="dxa"/>
            <w:vAlign w:val="bottom"/>
            <w:shd w:val="clear" w:color="auto" w:fill="CFF0FC"/>
          </w:tcPr>
          <w:p>
            <w:pPr>
              <w:jc w:val="right"/>
              <w:ind w:right="710"/>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32.2</w:t>
            </w:r>
          </w:p>
        </w:tc>
        <w:tc>
          <w:tcPr>
            <w:tcW w:w="4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36.6</w:t>
            </w:r>
          </w:p>
        </w:tc>
        <w:tc>
          <w:tcPr>
            <w:tcW w:w="3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65.3</w:t>
            </w:r>
          </w:p>
        </w:tc>
        <w:tc>
          <w:tcPr>
            <w:tcW w:w="4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71.3</w:t>
            </w:r>
          </w:p>
        </w:tc>
        <w:tc>
          <w:tcPr>
            <w:tcW w:w="0" w:type="dxa"/>
            <w:vAlign w:val="bottom"/>
          </w:tcPr>
          <w:p>
            <w:pPr>
              <w:spacing w:after="0"/>
              <w:rPr>
                <w:sz w:val="1"/>
                <w:szCs w:val="1"/>
                <w:color w:val="auto"/>
              </w:rPr>
            </w:pPr>
          </w:p>
        </w:tc>
      </w:tr>
      <w:tr>
        <w:trPr>
          <w:trHeight w:val="239"/>
        </w:trPr>
        <w:tc>
          <w:tcPr>
            <w:tcW w:w="518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Short-term lease expense</w:t>
            </w:r>
          </w:p>
        </w:tc>
        <w:tc>
          <w:tcPr>
            <w:tcW w:w="900" w:type="dxa"/>
            <w:vAlign w:val="bottom"/>
          </w:tcPr>
          <w:p>
            <w:pPr>
              <w:spacing w:after="0"/>
              <w:rPr>
                <w:sz w:val="20"/>
                <w:szCs w:val="20"/>
                <w:color w:val="auto"/>
              </w:rPr>
            </w:pPr>
          </w:p>
        </w:tc>
        <w:tc>
          <w:tcPr>
            <w:tcW w:w="5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2.1</w:t>
            </w:r>
          </w:p>
        </w:tc>
        <w:tc>
          <w:tcPr>
            <w:tcW w:w="1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1.5</w:t>
            </w:r>
          </w:p>
        </w:tc>
        <w:tc>
          <w:tcPr>
            <w:tcW w:w="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2.5</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2.6</w:t>
            </w:r>
          </w:p>
        </w:tc>
        <w:tc>
          <w:tcPr>
            <w:tcW w:w="0" w:type="dxa"/>
            <w:vAlign w:val="bottom"/>
          </w:tcPr>
          <w:p>
            <w:pPr>
              <w:spacing w:after="0"/>
              <w:rPr>
                <w:sz w:val="1"/>
                <w:szCs w:val="1"/>
                <w:color w:val="auto"/>
              </w:rPr>
            </w:pPr>
          </w:p>
        </w:tc>
      </w:tr>
      <w:tr>
        <w:trPr>
          <w:trHeight w:val="247"/>
        </w:trPr>
        <w:tc>
          <w:tcPr>
            <w:tcW w:w="5180" w:type="dxa"/>
            <w:vAlign w:val="bottom"/>
            <w:tcBorders>
              <w:bottom w:val="single" w:sz="8" w:color="CFF0FC"/>
            </w:tcBorders>
            <w:gridSpan w:val="3"/>
            <w:shd w:val="clear" w:color="auto" w:fill="CFF0FC"/>
          </w:tcPr>
          <w:p>
            <w:pPr>
              <w:ind w:left="20"/>
              <w:spacing w:after="0" w:line="248" w:lineRule="exact"/>
              <w:rPr>
                <w:sz w:val="20"/>
                <w:szCs w:val="20"/>
                <w:color w:val="auto"/>
              </w:rPr>
            </w:pPr>
            <w:r>
              <w:rPr>
                <w:rFonts w:ascii="Times New Roman" w:cs="Times New Roman" w:eastAsia="Times New Roman" w:hAnsi="Times New Roman"/>
                <w:sz w:val="18"/>
                <w:szCs w:val="18"/>
                <w:color w:val="auto"/>
              </w:rPr>
              <w:t>Other lease expense</w:t>
            </w:r>
            <w:r>
              <w:rPr>
                <w:rFonts w:ascii="Times New Roman" w:cs="Times New Roman" w:eastAsia="Times New Roman" w:hAnsi="Times New Roman"/>
                <w:sz w:val="24"/>
                <w:szCs w:val="24"/>
                <w:color w:val="auto"/>
                <w:vertAlign w:val="superscript"/>
              </w:rPr>
              <w:t>(a)</w:t>
            </w:r>
          </w:p>
        </w:tc>
        <w:tc>
          <w:tcPr>
            <w:tcW w:w="900" w:type="dxa"/>
            <w:vAlign w:val="bottom"/>
            <w:tcBorders>
              <w:bottom w:val="single" w:sz="8" w:color="auto"/>
            </w:tcBorders>
            <w:shd w:val="clear" w:color="auto" w:fill="CFF0FC"/>
          </w:tcPr>
          <w:p>
            <w:pPr>
              <w:spacing w:after="0"/>
              <w:rPr>
                <w:sz w:val="21"/>
                <w:szCs w:val="21"/>
                <w:color w:val="auto"/>
              </w:rPr>
            </w:pPr>
          </w:p>
        </w:tc>
        <w:tc>
          <w:tcPr>
            <w:tcW w:w="52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1.2</w:t>
            </w:r>
          </w:p>
        </w:tc>
        <w:tc>
          <w:tcPr>
            <w:tcW w:w="160" w:type="dxa"/>
            <w:vAlign w:val="bottom"/>
            <w:tcBorders>
              <w:bottom w:val="single" w:sz="8" w:color="CFF0FC"/>
            </w:tcBorders>
            <w:shd w:val="clear" w:color="auto" w:fill="CFF0FC"/>
          </w:tcPr>
          <w:p>
            <w:pPr>
              <w:spacing w:after="0"/>
              <w:rPr>
                <w:sz w:val="21"/>
                <w:szCs w:val="21"/>
                <w:color w:val="auto"/>
              </w:rPr>
            </w:pPr>
          </w:p>
        </w:tc>
        <w:tc>
          <w:tcPr>
            <w:tcW w:w="280" w:type="dxa"/>
            <w:vAlign w:val="bottom"/>
            <w:tcBorders>
              <w:bottom w:val="single" w:sz="8" w:color="auto"/>
            </w:tcBorders>
            <w:shd w:val="clear" w:color="auto" w:fill="CFF0FC"/>
          </w:tcPr>
          <w:p>
            <w:pPr>
              <w:spacing w:after="0"/>
              <w:rPr>
                <w:sz w:val="21"/>
                <w:szCs w:val="21"/>
                <w:color w:val="auto"/>
              </w:rPr>
            </w:pPr>
          </w:p>
        </w:tc>
        <w:tc>
          <w:tcPr>
            <w:tcW w:w="114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3.7</w:t>
            </w:r>
          </w:p>
        </w:tc>
        <w:tc>
          <w:tcPr>
            <w:tcW w:w="14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auto"/>
            </w:tcBorders>
            <w:shd w:val="clear" w:color="auto" w:fill="CFF0FC"/>
          </w:tcPr>
          <w:p>
            <w:pPr>
              <w:spacing w:after="0"/>
              <w:rPr>
                <w:sz w:val="21"/>
                <w:szCs w:val="21"/>
                <w:color w:val="auto"/>
              </w:rPr>
            </w:pPr>
          </w:p>
        </w:tc>
        <w:tc>
          <w:tcPr>
            <w:tcW w:w="116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3.3</w:t>
            </w:r>
          </w:p>
        </w:tc>
        <w:tc>
          <w:tcPr>
            <w:tcW w:w="120" w:type="dxa"/>
            <w:vAlign w:val="bottom"/>
            <w:tcBorders>
              <w:bottom w:val="single" w:sz="8" w:color="CFF0FC"/>
            </w:tcBorders>
            <w:shd w:val="clear" w:color="auto" w:fill="CFF0FC"/>
          </w:tcPr>
          <w:p>
            <w:pPr>
              <w:spacing w:after="0"/>
              <w:rPr>
                <w:sz w:val="21"/>
                <w:szCs w:val="21"/>
                <w:color w:val="auto"/>
              </w:rPr>
            </w:pPr>
          </w:p>
        </w:tc>
        <w:tc>
          <w:tcPr>
            <w:tcW w:w="300" w:type="dxa"/>
            <w:vAlign w:val="bottom"/>
            <w:tcBorders>
              <w:bottom w:val="single" w:sz="8" w:color="auto"/>
            </w:tcBorders>
            <w:shd w:val="clear" w:color="auto" w:fill="CFF0FC"/>
          </w:tcPr>
          <w:p>
            <w:pPr>
              <w:spacing w:after="0"/>
              <w:rPr>
                <w:sz w:val="21"/>
                <w:szCs w:val="21"/>
                <w:color w:val="auto"/>
              </w:rPr>
            </w:pPr>
          </w:p>
        </w:tc>
        <w:tc>
          <w:tcPr>
            <w:tcW w:w="110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7.8</w:t>
            </w:r>
          </w:p>
        </w:tc>
        <w:tc>
          <w:tcPr>
            <w:tcW w:w="0" w:type="dxa"/>
            <w:vAlign w:val="bottom"/>
          </w:tcPr>
          <w:p>
            <w:pPr>
              <w:spacing w:after="0"/>
              <w:rPr>
                <w:sz w:val="1"/>
                <w:szCs w:val="1"/>
                <w:color w:val="auto"/>
              </w:rPr>
            </w:pPr>
          </w:p>
        </w:tc>
      </w:tr>
      <w:tr>
        <w:trPr>
          <w:trHeight w:val="228"/>
        </w:trPr>
        <w:tc>
          <w:tcPr>
            <w:tcW w:w="5180" w:type="dxa"/>
            <w:vAlign w:val="bottom"/>
            <w:gridSpan w:val="3"/>
          </w:tcPr>
          <w:p>
            <w:pPr>
              <w:ind w:left="200"/>
              <w:spacing w:after="0"/>
              <w:rPr>
                <w:sz w:val="20"/>
                <w:szCs w:val="20"/>
                <w:color w:val="auto"/>
              </w:rPr>
            </w:pPr>
            <w:r>
              <w:rPr>
                <w:rFonts w:ascii="Times New Roman" w:cs="Times New Roman" w:eastAsia="Times New Roman" w:hAnsi="Times New Roman"/>
                <w:sz w:val="18"/>
                <w:szCs w:val="18"/>
                <w:color w:val="auto"/>
              </w:rPr>
              <w:t>Total lease expense</w:t>
            </w:r>
          </w:p>
        </w:tc>
        <w:tc>
          <w:tcPr>
            <w:tcW w:w="900" w:type="dxa"/>
            <w:vAlign w:val="bottom"/>
          </w:tcPr>
          <w:p>
            <w:pPr>
              <w:jc w:val="right"/>
              <w:ind w:right="710"/>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35.5</w:t>
            </w:r>
          </w:p>
        </w:tc>
        <w:tc>
          <w:tcPr>
            <w:tcW w:w="4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41.8</w:t>
            </w:r>
          </w:p>
        </w:tc>
        <w:tc>
          <w:tcPr>
            <w:tcW w:w="3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71.1</w:t>
            </w:r>
          </w:p>
        </w:tc>
        <w:tc>
          <w:tcPr>
            <w:tcW w:w="4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81.7</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4196715</wp:posOffset>
            </wp:positionH>
            <wp:positionV relativeFrom="paragraph">
              <wp:posOffset>-156845</wp:posOffset>
            </wp:positionV>
            <wp:extent cx="93980" cy="825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5200015</wp:posOffset>
            </wp:positionH>
            <wp:positionV relativeFrom="paragraph">
              <wp:posOffset>-156845</wp:posOffset>
            </wp:positionV>
            <wp:extent cx="85725" cy="825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6168390</wp:posOffset>
            </wp:positionH>
            <wp:positionV relativeFrom="paragraph">
              <wp:posOffset>-156845</wp:posOffset>
            </wp:positionV>
            <wp:extent cx="85725" cy="825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3288030</wp:posOffset>
            </wp:positionH>
            <wp:positionV relativeFrom="paragraph">
              <wp:posOffset>5715</wp:posOffset>
            </wp:positionV>
            <wp:extent cx="3848735" cy="825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3848735" cy="8255"/>
                    </a:xfrm>
                    <a:prstGeom prst="rect">
                      <a:avLst/>
                    </a:prstGeom>
                    <a:noFill/>
                  </pic:spPr>
                </pic:pic>
              </a:graphicData>
            </a:graphic>
          </wp:anchor>
        </w:drawing>
      </w:r>
    </w:p>
    <w:p>
      <w:pPr>
        <w:spacing w:after="0" w:line="15" w:lineRule="exact"/>
        <w:rPr>
          <w:sz w:val="20"/>
          <w:szCs w:val="20"/>
          <w:color w:val="auto"/>
        </w:rPr>
      </w:pPr>
    </w:p>
    <w:p>
      <w:pPr>
        <w:ind w:left="480" w:hanging="472"/>
        <w:spacing w:after="0"/>
        <w:tabs>
          <w:tab w:leader="none" w:pos="480" w:val="left"/>
        </w:tabs>
        <w:numPr>
          <w:ilvl w:val="0"/>
          <w:numId w:val="2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Other lease expense includes variable lease expense and sublease income.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3288030</wp:posOffset>
            </wp:positionH>
            <wp:positionV relativeFrom="paragraph">
              <wp:posOffset>-116205</wp:posOffset>
            </wp:positionV>
            <wp:extent cx="3848735" cy="889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3848735" cy="8890"/>
                    </a:xfrm>
                    <a:prstGeom prst="rect">
                      <a:avLst/>
                    </a:prstGeom>
                    <a:noFill/>
                  </pic:spPr>
                </pic:pic>
              </a:graphicData>
            </a:graphic>
          </wp:anchor>
        </w:drawing>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140" w:type="dxa"/>
            <w:vAlign w:val="bottom"/>
          </w:tcPr>
          <w:p>
            <w:pPr>
              <w:spacing w:after="0"/>
              <w:rPr>
                <w:sz w:val="20"/>
                <w:szCs w:val="20"/>
                <w:color w:val="auto"/>
              </w:rPr>
            </w:pPr>
            <w:r>
              <w:rPr>
                <w:rFonts w:ascii="Times New Roman" w:cs="Times New Roman" w:eastAsia="Times New Roman" w:hAnsi="Times New Roman"/>
                <w:sz w:val="18"/>
                <w:szCs w:val="18"/>
                <w:color w:val="auto"/>
              </w:rPr>
              <w:t>Other information related to leases was as follows:</w:t>
            </w:r>
          </w:p>
        </w:tc>
        <w:tc>
          <w:tcPr>
            <w:tcW w:w="80" w:type="dxa"/>
            <w:vAlign w:val="bottom"/>
          </w:tcPr>
          <w:p>
            <w:pPr>
              <w:spacing w:after="0"/>
              <w:rPr>
                <w:sz w:val="20"/>
                <w:szCs w:val="20"/>
                <w:color w:val="auto"/>
              </w:rPr>
            </w:pPr>
          </w:p>
        </w:tc>
        <w:tc>
          <w:tcPr>
            <w:tcW w:w="4020" w:type="dxa"/>
            <w:vAlign w:val="bottom"/>
            <w:gridSpan w:val="6"/>
            <w:vMerge w:val="restart"/>
          </w:tcPr>
          <w:p>
            <w:pPr>
              <w:jc w:val="right"/>
              <w:ind w:right="930"/>
              <w:spacing w:after="0"/>
              <w:rPr>
                <w:sz w:val="20"/>
                <w:szCs w:val="20"/>
                <w:color w:val="auto"/>
              </w:rPr>
            </w:pPr>
            <w:r>
              <w:rPr>
                <w:rFonts w:ascii="Times New Roman" w:cs="Times New Roman" w:eastAsia="Times New Roman" w:hAnsi="Times New Roman"/>
                <w:sz w:val="18"/>
                <w:szCs w:val="18"/>
                <w:b w:val="1"/>
                <w:bCs w:val="1"/>
                <w:color w:val="auto"/>
              </w:rPr>
              <w:t>Six Months Ended June 30,</w:t>
            </w:r>
          </w:p>
        </w:tc>
        <w:tc>
          <w:tcPr>
            <w:tcW w:w="0" w:type="dxa"/>
            <w:vAlign w:val="bottom"/>
          </w:tcPr>
          <w:p>
            <w:pPr>
              <w:spacing w:after="0"/>
              <w:rPr>
                <w:sz w:val="1"/>
                <w:szCs w:val="1"/>
                <w:color w:val="auto"/>
              </w:rPr>
            </w:pPr>
          </w:p>
        </w:tc>
      </w:tr>
      <w:tr>
        <w:trPr>
          <w:trHeight w:val="241"/>
        </w:trPr>
        <w:tc>
          <w:tcPr>
            <w:tcW w:w="7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20" w:type="dxa"/>
            <w:vAlign w:val="bottom"/>
            <w:tcBorders>
              <w:bottom w:val="single" w:sz="8" w:color="auto"/>
            </w:tcBorders>
            <w:gridSpan w:val="6"/>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71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Supplemental Cash Flow Information</w:t>
            </w:r>
          </w:p>
        </w:tc>
        <w:tc>
          <w:tcPr>
            <w:tcW w:w="80" w:type="dxa"/>
            <w:vAlign w:val="bottom"/>
          </w:tcPr>
          <w:p>
            <w:pPr>
              <w:spacing w:after="0"/>
              <w:rPr>
                <w:sz w:val="21"/>
                <w:szCs w:val="21"/>
                <w:color w:val="auto"/>
              </w:rPr>
            </w:pPr>
          </w:p>
        </w:tc>
        <w:tc>
          <w:tcPr>
            <w:tcW w:w="1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620" w:type="dxa"/>
            <w:vAlign w:val="bottom"/>
            <w:tcBorders>
              <w:bottom w:val="single" w:sz="8" w:color="auto"/>
            </w:tcBorders>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680" w:type="dxa"/>
            <w:vAlign w:val="bottom"/>
            <w:tcBorders>
              <w:bottom w:val="single" w:sz="8" w:color="auto"/>
            </w:tcBorders>
          </w:tcPr>
          <w:p>
            <w:pPr>
              <w:jc w:val="right"/>
              <w:ind w:right="750"/>
              <w:spacing w:after="0"/>
              <w:rPr>
                <w:sz w:val="20"/>
                <w:szCs w:val="20"/>
                <w:color w:val="auto"/>
              </w:rPr>
            </w:pPr>
            <w:r>
              <w:rPr>
                <w:rFonts w:ascii="Times New Roman" w:cs="Times New Roman" w:eastAsia="Times New Roman" w:hAnsi="Times New Roman"/>
                <w:sz w:val="18"/>
                <w:szCs w:val="18"/>
                <w:b w:val="1"/>
                <w:bCs w:val="1"/>
                <w:color w:val="auto"/>
              </w:rPr>
              <w:t>2023</w:t>
            </w:r>
          </w:p>
        </w:tc>
        <w:tc>
          <w:tcPr>
            <w:tcW w:w="0" w:type="dxa"/>
            <w:vAlign w:val="bottom"/>
          </w:tcPr>
          <w:p>
            <w:pPr>
              <w:spacing w:after="0"/>
              <w:rPr>
                <w:sz w:val="1"/>
                <w:szCs w:val="1"/>
                <w:color w:val="auto"/>
              </w:rPr>
            </w:pPr>
          </w:p>
        </w:tc>
      </w:tr>
      <w:tr>
        <w:trPr>
          <w:trHeight w:val="237"/>
        </w:trPr>
        <w:tc>
          <w:tcPr>
            <w:tcW w:w="71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Cash paid for amounts included in the measurement of operating lease liabilities</w:t>
            </w:r>
          </w:p>
        </w:tc>
        <w:tc>
          <w:tcPr>
            <w:tcW w:w="1340" w:type="dxa"/>
            <w:vAlign w:val="bottom"/>
            <w:gridSpan w:val="2"/>
            <w:shd w:val="clear" w:color="auto" w:fill="CFF0FC"/>
          </w:tcPr>
          <w:p>
            <w:pPr>
              <w:jc w:val="right"/>
              <w:ind w:right="107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60.1</w:t>
            </w:r>
          </w:p>
        </w:tc>
        <w:tc>
          <w:tcPr>
            <w:tcW w:w="80" w:type="dxa"/>
            <w:vAlign w:val="bottom"/>
            <w:shd w:val="clear" w:color="auto" w:fill="CFF0FC"/>
          </w:tcPr>
          <w:p>
            <w:pPr>
              <w:spacing w:after="0"/>
              <w:rPr>
                <w:sz w:val="20"/>
                <w:szCs w:val="20"/>
                <w:color w:val="auto"/>
              </w:rPr>
            </w:pPr>
          </w:p>
        </w:tc>
        <w:tc>
          <w:tcPr>
            <w:tcW w:w="380" w:type="dxa"/>
            <w:vAlign w:val="bottom"/>
            <w:gridSpan w:val="2"/>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67.9</w:t>
            </w:r>
          </w:p>
        </w:tc>
        <w:tc>
          <w:tcPr>
            <w:tcW w:w="0" w:type="dxa"/>
            <w:vAlign w:val="bottom"/>
          </w:tcPr>
          <w:p>
            <w:pPr>
              <w:spacing w:after="0"/>
              <w:rPr>
                <w:sz w:val="1"/>
                <w:szCs w:val="1"/>
                <w:color w:val="auto"/>
              </w:rPr>
            </w:pPr>
          </w:p>
        </w:tc>
      </w:tr>
      <w:tr>
        <w:trPr>
          <w:trHeight w:val="234"/>
        </w:trPr>
        <w:tc>
          <w:tcPr>
            <w:tcW w:w="7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Right-of-use assets obtained in exchange for new operating lease liabilities</w:t>
            </w:r>
          </w:p>
        </w:tc>
        <w:tc>
          <w:tcPr>
            <w:tcW w:w="8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27.8</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6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73.1</w:t>
            </w:r>
          </w:p>
        </w:tc>
        <w:tc>
          <w:tcPr>
            <w:tcW w:w="0" w:type="dxa"/>
            <w:vAlign w:val="bottom"/>
          </w:tcPr>
          <w:p>
            <w:pPr>
              <w:spacing w:after="0"/>
              <w:rPr>
                <w:sz w:val="1"/>
                <w:szCs w:val="1"/>
                <w:color w:val="auto"/>
              </w:rPr>
            </w:pPr>
          </w:p>
        </w:tc>
      </w:tr>
      <w:tr>
        <w:trPr>
          <w:trHeight w:val="454"/>
        </w:trPr>
        <w:tc>
          <w:tcPr>
            <w:tcW w:w="7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80" w:type="dxa"/>
            <w:vAlign w:val="bottom"/>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0" w:type="dxa"/>
            <w:vAlign w:val="bottom"/>
          </w:tcPr>
          <w:p>
            <w:pPr>
              <w:spacing w:after="0"/>
              <w:rPr>
                <w:sz w:val="1"/>
                <w:szCs w:val="1"/>
                <w:color w:val="auto"/>
              </w:rPr>
            </w:pPr>
          </w:p>
        </w:tc>
      </w:tr>
      <w:tr>
        <w:trPr>
          <w:trHeight w:val="256"/>
        </w:trPr>
        <w:tc>
          <w:tcPr>
            <w:tcW w:w="71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Supplemental Balance Sheet Information</w:t>
            </w:r>
          </w:p>
        </w:tc>
        <w:tc>
          <w:tcPr>
            <w:tcW w:w="1340" w:type="dxa"/>
            <w:vAlign w:val="bottom"/>
            <w:tcBorders>
              <w:bottom w:val="single" w:sz="8" w:color="auto"/>
            </w:tcBorders>
            <w:gridSpan w:val="2"/>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620" w:type="dxa"/>
            <w:vAlign w:val="bottom"/>
            <w:tcBorders>
              <w:bottom w:val="single" w:sz="8" w:color="auto"/>
            </w:tcBorders>
          </w:tcPr>
          <w:p>
            <w:pPr>
              <w:spacing w:after="0"/>
              <w:rPr>
                <w:sz w:val="22"/>
                <w:szCs w:val="22"/>
                <w:color w:val="auto"/>
              </w:rPr>
            </w:pP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680" w:type="dxa"/>
            <w:vAlign w:val="bottom"/>
            <w:tcBorders>
              <w:bottom w:val="single" w:sz="8" w:color="auto"/>
            </w:tcBorders>
          </w:tcPr>
          <w:p>
            <w:pPr>
              <w:jc w:val="right"/>
              <w:ind w:right="750"/>
              <w:spacing w:after="0"/>
              <w:rPr>
                <w:sz w:val="20"/>
                <w:szCs w:val="20"/>
                <w:color w:val="auto"/>
              </w:rPr>
            </w:pPr>
            <w:r>
              <w:rPr>
                <w:rFonts w:ascii="Times New Roman" w:cs="Times New Roman" w:eastAsia="Times New Roman" w:hAnsi="Times New Roman"/>
                <w:sz w:val="18"/>
                <w:szCs w:val="18"/>
                <w:b w:val="1"/>
                <w:bCs w:val="1"/>
                <w:color w:val="auto"/>
              </w:rPr>
              <w:t>2023</w:t>
            </w:r>
          </w:p>
        </w:tc>
        <w:tc>
          <w:tcPr>
            <w:tcW w:w="0" w:type="dxa"/>
            <w:vAlign w:val="bottom"/>
          </w:tcPr>
          <w:p>
            <w:pPr>
              <w:spacing w:after="0"/>
              <w:rPr>
                <w:sz w:val="1"/>
                <w:szCs w:val="1"/>
                <w:color w:val="auto"/>
              </w:rPr>
            </w:pPr>
          </w:p>
        </w:tc>
      </w:tr>
      <w:tr>
        <w:trPr>
          <w:trHeight w:val="237"/>
        </w:trPr>
        <w:tc>
          <w:tcPr>
            <w:tcW w:w="71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Operating lease ROU assets</w:t>
            </w:r>
          </w:p>
        </w:tc>
        <w:tc>
          <w:tcPr>
            <w:tcW w:w="1340" w:type="dxa"/>
            <w:vAlign w:val="bottom"/>
            <w:gridSpan w:val="2"/>
            <w:shd w:val="clear" w:color="auto" w:fill="CFF0FC"/>
          </w:tcPr>
          <w:p>
            <w:pPr>
              <w:jc w:val="right"/>
              <w:ind w:right="113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381.5</w:t>
            </w:r>
          </w:p>
        </w:tc>
        <w:tc>
          <w:tcPr>
            <w:tcW w:w="80" w:type="dxa"/>
            <w:vAlign w:val="bottom"/>
            <w:shd w:val="clear" w:color="auto" w:fill="CFF0FC"/>
          </w:tcPr>
          <w:p>
            <w:pPr>
              <w:spacing w:after="0"/>
              <w:rPr>
                <w:sz w:val="20"/>
                <w:szCs w:val="20"/>
                <w:color w:val="auto"/>
              </w:rPr>
            </w:pPr>
          </w:p>
        </w:tc>
        <w:tc>
          <w:tcPr>
            <w:tcW w:w="380" w:type="dxa"/>
            <w:vAlign w:val="bottom"/>
            <w:gridSpan w:val="2"/>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414.0</w:t>
            </w:r>
          </w:p>
        </w:tc>
        <w:tc>
          <w:tcPr>
            <w:tcW w:w="0" w:type="dxa"/>
            <w:vAlign w:val="bottom"/>
          </w:tcPr>
          <w:p>
            <w:pPr>
              <w:spacing w:after="0"/>
              <w:rPr>
                <w:sz w:val="1"/>
                <w:szCs w:val="1"/>
                <w:color w:val="auto"/>
              </w:rPr>
            </w:pPr>
          </w:p>
        </w:tc>
      </w:tr>
      <w:tr>
        <w:trPr>
          <w:trHeight w:val="243"/>
        </w:trPr>
        <w:tc>
          <w:tcPr>
            <w:tcW w:w="7140" w:type="dxa"/>
            <w:vAlign w:val="bottom"/>
          </w:tcPr>
          <w:p>
            <w:pPr>
              <w:spacing w:after="0"/>
              <w:rPr>
                <w:sz w:val="21"/>
                <w:szCs w:val="21"/>
                <w:color w:val="auto"/>
              </w:rPr>
            </w:pPr>
          </w:p>
        </w:tc>
        <w:tc>
          <w:tcPr>
            <w:tcW w:w="1340" w:type="dxa"/>
            <w:vAlign w:val="bottom"/>
            <w:gridSpan w:val="2"/>
          </w:tcPr>
          <w:p>
            <w:pPr>
              <w:spacing w:after="0"/>
              <w:rPr>
                <w:sz w:val="21"/>
                <w:szCs w:val="21"/>
                <w:color w:val="auto"/>
              </w:rPr>
            </w:pPr>
          </w:p>
        </w:tc>
        <w:tc>
          <w:tcPr>
            <w:tcW w:w="6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6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140" w:type="dxa"/>
            <w:vAlign w:val="bottom"/>
            <w:shd w:val="clear" w:color="auto" w:fill="CFF0FC"/>
          </w:tcPr>
          <w:p>
            <w:pPr>
              <w:ind w:left="20"/>
              <w:spacing w:after="0" w:line="243" w:lineRule="exact"/>
              <w:rPr>
                <w:sz w:val="20"/>
                <w:szCs w:val="20"/>
                <w:color w:val="auto"/>
              </w:rPr>
            </w:pPr>
            <w:r>
              <w:rPr>
                <w:rFonts w:ascii="Times New Roman" w:cs="Times New Roman" w:eastAsia="Times New Roman" w:hAnsi="Times New Roman"/>
                <w:sz w:val="18"/>
                <w:szCs w:val="18"/>
                <w:color w:val="auto"/>
              </w:rPr>
              <w:t xml:space="preserve">Short-term operating lease liability </w:t>
            </w:r>
            <w:r>
              <w:rPr>
                <w:rFonts w:ascii="Times New Roman" w:cs="Times New Roman" w:eastAsia="Times New Roman" w:hAnsi="Times New Roman"/>
                <w:sz w:val="24"/>
                <w:szCs w:val="24"/>
                <w:color w:val="auto"/>
                <w:vertAlign w:val="superscript"/>
              </w:rPr>
              <w:t>(a)</w:t>
            </w:r>
          </w:p>
        </w:tc>
        <w:tc>
          <w:tcPr>
            <w:tcW w:w="1340" w:type="dxa"/>
            <w:vAlign w:val="bottom"/>
            <w:gridSpan w:val="2"/>
            <w:shd w:val="clear" w:color="auto" w:fill="CFF0FC"/>
          </w:tcPr>
          <w:p>
            <w:pPr>
              <w:jc w:val="right"/>
              <w:ind w:right="113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98.0</w:t>
            </w:r>
          </w:p>
        </w:tc>
        <w:tc>
          <w:tcPr>
            <w:tcW w:w="80" w:type="dxa"/>
            <w:vAlign w:val="bottom"/>
            <w:shd w:val="clear" w:color="auto" w:fill="CFF0FC"/>
          </w:tcPr>
          <w:p>
            <w:pPr>
              <w:spacing w:after="0"/>
              <w:rPr>
                <w:sz w:val="21"/>
                <w:szCs w:val="21"/>
                <w:color w:val="auto"/>
              </w:rPr>
            </w:pPr>
          </w:p>
        </w:tc>
        <w:tc>
          <w:tcPr>
            <w:tcW w:w="380" w:type="dxa"/>
            <w:vAlign w:val="bottom"/>
            <w:gridSpan w:val="2"/>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100.2</w:t>
            </w:r>
          </w:p>
        </w:tc>
        <w:tc>
          <w:tcPr>
            <w:tcW w:w="0" w:type="dxa"/>
            <w:vAlign w:val="bottom"/>
          </w:tcPr>
          <w:p>
            <w:pPr>
              <w:spacing w:after="0"/>
              <w:rPr>
                <w:sz w:val="1"/>
                <w:szCs w:val="1"/>
                <w:color w:val="auto"/>
              </w:rPr>
            </w:pPr>
          </w:p>
        </w:tc>
      </w:tr>
      <w:tr>
        <w:trPr>
          <w:trHeight w:val="239"/>
        </w:trPr>
        <w:tc>
          <w:tcPr>
            <w:tcW w:w="7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Long-term operating lease liability</w:t>
            </w:r>
          </w:p>
        </w:tc>
        <w:tc>
          <w:tcPr>
            <w:tcW w:w="8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294.8</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6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323.2</w:t>
            </w:r>
          </w:p>
        </w:tc>
        <w:tc>
          <w:tcPr>
            <w:tcW w:w="0" w:type="dxa"/>
            <w:vAlign w:val="bottom"/>
          </w:tcPr>
          <w:p>
            <w:pPr>
              <w:spacing w:after="0"/>
              <w:rPr>
                <w:sz w:val="1"/>
                <w:szCs w:val="1"/>
                <w:color w:val="auto"/>
              </w:rPr>
            </w:pPr>
          </w:p>
        </w:tc>
      </w:tr>
      <w:tr>
        <w:trPr>
          <w:trHeight w:val="237"/>
        </w:trPr>
        <w:tc>
          <w:tcPr>
            <w:tcW w:w="714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Total operating lease liabilities</w:t>
            </w:r>
          </w:p>
        </w:tc>
        <w:tc>
          <w:tcPr>
            <w:tcW w:w="1340" w:type="dxa"/>
            <w:vAlign w:val="bottom"/>
            <w:tcBorders>
              <w:bottom w:val="single" w:sz="8" w:color="auto"/>
            </w:tcBorders>
            <w:gridSpan w:val="2"/>
            <w:shd w:val="clear" w:color="auto" w:fill="CFF0FC"/>
          </w:tcPr>
          <w:p>
            <w:pPr>
              <w:jc w:val="right"/>
              <w:ind w:right="113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392.8</w:t>
            </w:r>
          </w:p>
        </w:tc>
        <w:tc>
          <w:tcPr>
            <w:tcW w:w="80" w:type="dxa"/>
            <w:vAlign w:val="bottom"/>
            <w:tcBorders>
              <w:bottom w:val="single" w:sz="8" w:color="CFF0FC"/>
            </w:tcBorders>
            <w:shd w:val="clear" w:color="auto" w:fill="CFF0FC"/>
          </w:tcPr>
          <w:p>
            <w:pPr>
              <w:spacing w:after="0"/>
              <w:rPr>
                <w:sz w:val="20"/>
                <w:szCs w:val="20"/>
                <w:color w:val="auto"/>
              </w:rPr>
            </w:pPr>
          </w:p>
        </w:tc>
        <w:tc>
          <w:tcPr>
            <w:tcW w:w="120" w:type="dxa"/>
            <w:vAlign w:val="bottom"/>
            <w:tcBorders>
              <w:bottom w:val="single" w:sz="8" w:color="CFF0FC"/>
            </w:tcBorders>
            <w:shd w:val="clear" w:color="auto" w:fill="CFF0FC"/>
          </w:tcPr>
          <w:p>
            <w:pPr>
              <w:spacing w:after="0"/>
              <w:rPr>
                <w:sz w:val="20"/>
                <w:szCs w:val="20"/>
                <w:color w:val="auto"/>
              </w:rPr>
            </w:pPr>
          </w:p>
        </w:tc>
        <w:tc>
          <w:tcPr>
            <w:tcW w:w="26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423.4</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5782945</wp:posOffset>
            </wp:positionH>
            <wp:positionV relativeFrom="paragraph">
              <wp:posOffset>-8255</wp:posOffset>
            </wp:positionV>
            <wp:extent cx="128905" cy="889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128905" cy="8890"/>
                    </a:xfrm>
                    <a:prstGeom prst="rect">
                      <a:avLst/>
                    </a:prstGeom>
                    <a:noFill/>
                  </pic:spPr>
                </pic:pic>
              </a:graphicData>
            </a:graphic>
          </wp:anchor>
        </w:drawing>
      </w:r>
    </w:p>
    <w:p>
      <w:pPr>
        <w:ind w:left="520" w:hanging="512"/>
        <w:spacing w:after="0"/>
        <w:tabs>
          <w:tab w:leader="none" w:pos="520" w:val="left"/>
        </w:tabs>
        <w:numPr>
          <w:ilvl w:val="0"/>
          <w:numId w:val="2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Short-term operating lease liability is included in accrued liabilities on our Consolidated Balance Sheets.</w:t>
      </w:r>
    </w:p>
    <w:p>
      <w:pPr>
        <w:spacing w:after="0" w:line="200" w:lineRule="exact"/>
        <w:rPr>
          <w:rFonts w:ascii="Times New Roman" w:cs="Times New Roman" w:eastAsia="Times New Roman" w:hAnsi="Times New Roman"/>
          <w:sz w:val="16"/>
          <w:szCs w:val="16"/>
          <w:color w:val="auto"/>
        </w:rPr>
      </w:pPr>
    </w:p>
    <w:p>
      <w:pPr>
        <w:spacing w:after="0" w:line="232" w:lineRule="exact"/>
        <w:rPr>
          <w:rFonts w:ascii="Times New Roman" w:cs="Times New Roman" w:eastAsia="Times New Roman" w:hAnsi="Times New Roman"/>
          <w:sz w:val="16"/>
          <w:szCs w:val="16"/>
          <w:color w:val="auto"/>
        </w:rPr>
      </w:pPr>
    </w:p>
    <w:p>
      <w:pPr>
        <w:ind w:left="5540"/>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95" w:right="339" w:bottom="1440" w:gutter="0" w:footer="0" w:header="0"/>
        </w:sectPr>
      </w:pPr>
    </w:p>
    <w:bookmarkStart w:id="19" w:name="page20"/>
    <w:bookmarkEnd w:id="19"/>
    <w:p>
      <w:pPr>
        <w:ind w:left="8820"/>
        <w:spacing w:after="0"/>
        <w:rPr>
          <w:sz w:val="20"/>
          <w:szCs w:val="20"/>
          <w:color w:val="auto"/>
        </w:rPr>
      </w:pPr>
      <w:r>
        <w:rPr>
          <w:rFonts w:ascii="Times New Roman" w:cs="Times New Roman" w:eastAsia="Times New Roman" w:hAnsi="Times New Roman"/>
          <w:sz w:val="18"/>
          <w:szCs w:val="18"/>
          <w:b w:val="1"/>
          <w:bCs w:val="1"/>
          <w:color w:val="auto"/>
        </w:rPr>
        <w:t>June 30,</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248"/>
        </w:trPr>
        <w:tc>
          <w:tcPr>
            <w:tcW w:w="7140" w:type="dxa"/>
            <w:vAlign w:val="bottom"/>
          </w:tcPr>
          <w:p>
            <w:pPr>
              <w:spacing w:after="0"/>
              <w:rPr>
                <w:sz w:val="21"/>
                <w:szCs w:val="21"/>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540" w:type="dxa"/>
            <w:vAlign w:val="bottom"/>
            <w:tcBorders>
              <w:top w:val="single" w:sz="8" w:color="auto"/>
              <w:bottom w:val="single" w:sz="8" w:color="auto"/>
            </w:tcBorders>
          </w:tcPr>
          <w:p>
            <w:pPr>
              <w:spacing w:after="0"/>
              <w:rPr>
                <w:sz w:val="21"/>
                <w:szCs w:val="21"/>
                <w:color w:val="auto"/>
              </w:rPr>
            </w:pPr>
          </w:p>
        </w:tc>
        <w:tc>
          <w:tcPr>
            <w:tcW w:w="280" w:type="dxa"/>
            <w:vAlign w:val="bottom"/>
            <w:tcBorders>
              <w:top w:val="single" w:sz="8" w:color="auto"/>
              <w:bottom w:val="single" w:sz="8" w:color="auto"/>
            </w:tcBorders>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2020" w:type="dxa"/>
            <w:vAlign w:val="bottom"/>
            <w:tcBorders>
              <w:top w:val="single" w:sz="8" w:color="auto"/>
              <w:bottom w:val="single" w:sz="8" w:color="auto"/>
            </w:tcBorders>
          </w:tcPr>
          <w:p>
            <w:pPr>
              <w:jc w:val="right"/>
              <w:ind w:right="7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60" w:type="dxa"/>
            <w:vAlign w:val="bottom"/>
          </w:tcPr>
          <w:p>
            <w:pPr>
              <w:spacing w:after="0"/>
              <w:rPr>
                <w:sz w:val="21"/>
                <w:szCs w:val="21"/>
                <w:color w:val="auto"/>
              </w:rPr>
            </w:pPr>
          </w:p>
        </w:tc>
      </w:tr>
      <w:tr>
        <w:trPr>
          <w:trHeight w:val="239"/>
        </w:trPr>
        <w:tc>
          <w:tcPr>
            <w:tcW w:w="830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Weighted Average Remaining Lease Term</w:t>
            </w:r>
          </w:p>
        </w:tc>
        <w:tc>
          <w:tcPr>
            <w:tcW w:w="54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2020" w:type="dxa"/>
            <w:vAlign w:val="bottom"/>
            <w:shd w:val="clear" w:color="auto" w:fill="CFF0FC"/>
          </w:tcPr>
          <w:p>
            <w:pPr>
              <w:spacing w:after="0"/>
              <w:rPr>
                <w:sz w:val="20"/>
                <w:szCs w:val="20"/>
                <w:color w:val="auto"/>
              </w:rPr>
            </w:pPr>
          </w:p>
        </w:tc>
        <w:tc>
          <w:tcPr>
            <w:tcW w:w="60" w:type="dxa"/>
            <w:vAlign w:val="bottom"/>
          </w:tcPr>
          <w:p>
            <w:pPr>
              <w:spacing w:after="0"/>
              <w:rPr>
                <w:sz w:val="20"/>
                <w:szCs w:val="20"/>
                <w:color w:val="auto"/>
              </w:rPr>
            </w:pPr>
          </w:p>
        </w:tc>
      </w:tr>
      <w:tr>
        <w:trPr>
          <w:trHeight w:val="239"/>
        </w:trPr>
        <w:tc>
          <w:tcPr>
            <w:tcW w:w="83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Operating leases</w:t>
            </w:r>
          </w:p>
        </w:tc>
        <w:tc>
          <w:tcPr>
            <w:tcW w:w="92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5.4 years</w:t>
            </w:r>
          </w:p>
        </w:tc>
        <w:tc>
          <w:tcPr>
            <w:tcW w:w="20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5.6 years</w:t>
            </w:r>
          </w:p>
        </w:tc>
        <w:tc>
          <w:tcPr>
            <w:tcW w:w="60" w:type="dxa"/>
            <w:vAlign w:val="bottom"/>
          </w:tcPr>
          <w:p>
            <w:pPr>
              <w:spacing w:after="0"/>
              <w:rPr>
                <w:sz w:val="20"/>
                <w:szCs w:val="20"/>
                <w:color w:val="auto"/>
              </w:rPr>
            </w:pPr>
          </w:p>
        </w:tc>
      </w:tr>
      <w:tr>
        <w:trPr>
          <w:trHeight w:val="247"/>
        </w:trPr>
        <w:tc>
          <w:tcPr>
            <w:tcW w:w="830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Weighted Average Discount Rate</w:t>
            </w:r>
          </w:p>
        </w:tc>
        <w:tc>
          <w:tcPr>
            <w:tcW w:w="54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2020" w:type="dxa"/>
            <w:vAlign w:val="bottom"/>
            <w:shd w:val="clear" w:color="auto" w:fill="CFF0FC"/>
          </w:tcPr>
          <w:p>
            <w:pPr>
              <w:spacing w:after="0"/>
              <w:rPr>
                <w:sz w:val="21"/>
                <w:szCs w:val="21"/>
                <w:color w:val="auto"/>
              </w:rPr>
            </w:pPr>
          </w:p>
        </w:tc>
        <w:tc>
          <w:tcPr>
            <w:tcW w:w="60" w:type="dxa"/>
            <w:vAlign w:val="bottom"/>
          </w:tcPr>
          <w:p>
            <w:pPr>
              <w:spacing w:after="0"/>
              <w:rPr>
                <w:sz w:val="21"/>
                <w:szCs w:val="21"/>
                <w:color w:val="auto"/>
              </w:rPr>
            </w:pPr>
          </w:p>
        </w:tc>
      </w:tr>
      <w:tr>
        <w:trPr>
          <w:trHeight w:val="234"/>
        </w:trPr>
        <w:tc>
          <w:tcPr>
            <w:tcW w:w="83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Operating leases</w:t>
            </w:r>
          </w:p>
        </w:tc>
        <w:tc>
          <w:tcPr>
            <w:tcW w:w="92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3.9 %</w:t>
            </w:r>
          </w:p>
        </w:tc>
        <w:tc>
          <w:tcPr>
            <w:tcW w:w="2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3.4 %</w:t>
            </w:r>
          </w:p>
        </w:tc>
      </w:tr>
      <w:tr>
        <w:trPr>
          <w:trHeight w:val="441"/>
        </w:trPr>
        <w:tc>
          <w:tcPr>
            <w:tcW w:w="83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Maturities of operating lease liabilities as of June 30, 2024 were as follows:</w:t>
            </w:r>
          </w:p>
        </w:tc>
        <w:tc>
          <w:tcPr>
            <w:tcW w:w="5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453"/>
        </w:trPr>
        <w:tc>
          <w:tcPr>
            <w:tcW w:w="830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Period Ending June 30, 2024</w:t>
            </w:r>
          </w:p>
        </w:tc>
        <w:tc>
          <w:tcPr>
            <w:tcW w:w="5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80" w:type="dxa"/>
            <w:vAlign w:val="bottom"/>
            <w:gridSpan w:val="2"/>
          </w:tcPr>
          <w:p>
            <w:pPr>
              <w:jc w:val="right"/>
              <w:ind w:right="640"/>
              <w:spacing w:after="0"/>
              <w:rPr>
                <w:sz w:val="20"/>
                <w:szCs w:val="20"/>
                <w:color w:val="auto"/>
              </w:rPr>
            </w:pPr>
            <w:r>
              <w:rPr>
                <w:rFonts w:ascii="Times New Roman" w:cs="Times New Roman" w:eastAsia="Times New Roman" w:hAnsi="Times New Roman"/>
                <w:sz w:val="18"/>
                <w:szCs w:val="18"/>
                <w:b w:val="1"/>
                <w:bCs w:val="1"/>
                <w:color w:val="auto"/>
              </w:rPr>
              <w:t>Operating Leases</w:t>
            </w:r>
          </w:p>
        </w:tc>
      </w:tr>
      <w:tr>
        <w:trPr>
          <w:trHeight w:val="243"/>
        </w:trPr>
        <w:tc>
          <w:tcPr>
            <w:tcW w:w="7140" w:type="dxa"/>
            <w:vAlign w:val="bottom"/>
            <w:tcBorders>
              <w:top w:val="single" w:sz="8" w:color="auto"/>
            </w:tcBorders>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2024</w:t>
            </w:r>
          </w:p>
        </w:tc>
        <w:tc>
          <w:tcPr>
            <w:tcW w:w="1160" w:type="dxa"/>
            <w:vAlign w:val="bottom"/>
            <w:tcBorders>
              <w:top w:val="single" w:sz="8" w:color="auto"/>
            </w:tcBorders>
            <w:shd w:val="clear" w:color="auto" w:fill="CFF0FC"/>
          </w:tcPr>
          <w:p>
            <w:pPr>
              <w:spacing w:after="0"/>
              <w:rPr>
                <w:sz w:val="21"/>
                <w:szCs w:val="21"/>
                <w:color w:val="auto"/>
              </w:rPr>
            </w:pPr>
          </w:p>
        </w:tc>
        <w:tc>
          <w:tcPr>
            <w:tcW w:w="820" w:type="dxa"/>
            <w:vAlign w:val="bottom"/>
            <w:tcBorders>
              <w:top w:val="single" w:sz="8" w:color="auto"/>
            </w:tcBorders>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auto"/>
            </w:tcBorders>
            <w:shd w:val="clear" w:color="auto" w:fill="CFF0FC"/>
          </w:tcPr>
          <w:p>
            <w:pPr>
              <w:spacing w:after="0"/>
              <w:rPr>
                <w:sz w:val="21"/>
                <w:szCs w:val="21"/>
                <w:color w:val="auto"/>
              </w:rPr>
            </w:pPr>
          </w:p>
        </w:tc>
        <w:tc>
          <w:tcPr>
            <w:tcW w:w="2020" w:type="dxa"/>
            <w:vAlign w:val="bottom"/>
            <w:tcBorders>
              <w:top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57.6</w:t>
            </w:r>
          </w:p>
        </w:tc>
        <w:tc>
          <w:tcPr>
            <w:tcW w:w="60" w:type="dxa"/>
            <w:vAlign w:val="bottom"/>
          </w:tcPr>
          <w:p>
            <w:pPr>
              <w:spacing w:after="0"/>
              <w:rPr>
                <w:sz w:val="21"/>
                <w:szCs w:val="21"/>
                <w:color w:val="auto"/>
              </w:rPr>
            </w:pPr>
          </w:p>
        </w:tc>
      </w:tr>
      <w:tr>
        <w:trPr>
          <w:trHeight w:val="239"/>
        </w:trPr>
        <w:tc>
          <w:tcPr>
            <w:tcW w:w="71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2025</w:t>
            </w:r>
          </w:p>
        </w:tc>
        <w:tc>
          <w:tcPr>
            <w:tcW w:w="11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101.9</w:t>
            </w:r>
          </w:p>
        </w:tc>
        <w:tc>
          <w:tcPr>
            <w:tcW w:w="60" w:type="dxa"/>
            <w:vAlign w:val="bottom"/>
          </w:tcPr>
          <w:p>
            <w:pPr>
              <w:spacing w:after="0"/>
              <w:rPr>
                <w:sz w:val="20"/>
                <w:szCs w:val="20"/>
                <w:color w:val="auto"/>
              </w:rPr>
            </w:pPr>
          </w:p>
        </w:tc>
      </w:tr>
      <w:tr>
        <w:trPr>
          <w:trHeight w:val="247"/>
        </w:trPr>
        <w:tc>
          <w:tcPr>
            <w:tcW w:w="714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2026</w:t>
            </w:r>
          </w:p>
        </w:tc>
        <w:tc>
          <w:tcPr>
            <w:tcW w:w="1160" w:type="dxa"/>
            <w:vAlign w:val="bottom"/>
            <w:shd w:val="clear" w:color="auto" w:fill="CFF0FC"/>
          </w:tcPr>
          <w:p>
            <w:pPr>
              <w:spacing w:after="0"/>
              <w:rPr>
                <w:sz w:val="21"/>
                <w:szCs w:val="21"/>
                <w:color w:val="auto"/>
              </w:rPr>
            </w:pPr>
          </w:p>
        </w:tc>
        <w:tc>
          <w:tcPr>
            <w:tcW w:w="54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20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79.7</w:t>
            </w:r>
          </w:p>
        </w:tc>
        <w:tc>
          <w:tcPr>
            <w:tcW w:w="60" w:type="dxa"/>
            <w:vAlign w:val="bottom"/>
          </w:tcPr>
          <w:p>
            <w:pPr>
              <w:spacing w:after="0"/>
              <w:rPr>
                <w:sz w:val="21"/>
                <w:szCs w:val="21"/>
                <w:color w:val="auto"/>
              </w:rPr>
            </w:pPr>
          </w:p>
        </w:tc>
      </w:tr>
      <w:tr>
        <w:trPr>
          <w:trHeight w:val="239"/>
        </w:trPr>
        <w:tc>
          <w:tcPr>
            <w:tcW w:w="71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2027</w:t>
            </w:r>
          </w:p>
        </w:tc>
        <w:tc>
          <w:tcPr>
            <w:tcW w:w="11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59.2</w:t>
            </w:r>
          </w:p>
        </w:tc>
        <w:tc>
          <w:tcPr>
            <w:tcW w:w="60" w:type="dxa"/>
            <w:vAlign w:val="bottom"/>
          </w:tcPr>
          <w:p>
            <w:pPr>
              <w:spacing w:after="0"/>
              <w:rPr>
                <w:sz w:val="20"/>
                <w:szCs w:val="20"/>
                <w:color w:val="auto"/>
              </w:rPr>
            </w:pPr>
          </w:p>
        </w:tc>
      </w:tr>
      <w:tr>
        <w:trPr>
          <w:trHeight w:val="247"/>
        </w:trPr>
        <w:tc>
          <w:tcPr>
            <w:tcW w:w="714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2028</w:t>
            </w:r>
          </w:p>
        </w:tc>
        <w:tc>
          <w:tcPr>
            <w:tcW w:w="1160" w:type="dxa"/>
            <w:vAlign w:val="bottom"/>
            <w:shd w:val="clear" w:color="auto" w:fill="CFF0FC"/>
          </w:tcPr>
          <w:p>
            <w:pPr>
              <w:spacing w:after="0"/>
              <w:rPr>
                <w:sz w:val="21"/>
                <w:szCs w:val="21"/>
                <w:color w:val="auto"/>
              </w:rPr>
            </w:pPr>
          </w:p>
        </w:tc>
        <w:tc>
          <w:tcPr>
            <w:tcW w:w="54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20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46.2</w:t>
            </w:r>
          </w:p>
        </w:tc>
        <w:tc>
          <w:tcPr>
            <w:tcW w:w="60" w:type="dxa"/>
            <w:vAlign w:val="bottom"/>
          </w:tcPr>
          <w:p>
            <w:pPr>
              <w:spacing w:after="0"/>
              <w:rPr>
                <w:sz w:val="21"/>
                <w:szCs w:val="21"/>
                <w:color w:val="auto"/>
              </w:rPr>
            </w:pPr>
          </w:p>
        </w:tc>
      </w:tr>
      <w:tr>
        <w:trPr>
          <w:trHeight w:val="239"/>
        </w:trPr>
        <w:tc>
          <w:tcPr>
            <w:tcW w:w="71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2029</w:t>
            </w:r>
          </w:p>
        </w:tc>
        <w:tc>
          <w:tcPr>
            <w:tcW w:w="11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33.9</w:t>
            </w:r>
          </w:p>
        </w:tc>
        <w:tc>
          <w:tcPr>
            <w:tcW w:w="60" w:type="dxa"/>
            <w:vAlign w:val="bottom"/>
          </w:tcPr>
          <w:p>
            <w:pPr>
              <w:spacing w:after="0"/>
              <w:rPr>
                <w:sz w:val="20"/>
                <w:szCs w:val="20"/>
                <w:color w:val="auto"/>
              </w:rPr>
            </w:pPr>
          </w:p>
        </w:tc>
      </w:tr>
      <w:tr>
        <w:trPr>
          <w:trHeight w:val="243"/>
        </w:trPr>
        <w:tc>
          <w:tcPr>
            <w:tcW w:w="8300" w:type="dxa"/>
            <w:vAlign w:val="bottom"/>
            <w:tcBorders>
              <w:bottom w:val="single" w:sz="8" w:color="auto"/>
            </w:tcBorders>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540" w:type="dxa"/>
            <w:vAlign w:val="bottom"/>
            <w:tcBorders>
              <w:bottom w:val="single" w:sz="8" w:color="auto"/>
            </w:tcBorders>
            <w:shd w:val="clear" w:color="auto" w:fill="CFF0FC"/>
          </w:tcPr>
          <w:p>
            <w:pPr>
              <w:spacing w:after="0"/>
              <w:rPr>
                <w:sz w:val="21"/>
                <w:szCs w:val="21"/>
                <w:color w:val="auto"/>
              </w:rPr>
            </w:pPr>
          </w:p>
        </w:tc>
        <w:tc>
          <w:tcPr>
            <w:tcW w:w="280" w:type="dxa"/>
            <w:vAlign w:val="bottom"/>
            <w:tcBorders>
              <w:bottom w:val="single" w:sz="8" w:color="auto"/>
            </w:tcBorders>
            <w:shd w:val="clear" w:color="auto" w:fill="CFF0FC"/>
          </w:tcPr>
          <w:p>
            <w:pPr>
              <w:spacing w:after="0"/>
              <w:rPr>
                <w:sz w:val="21"/>
                <w:szCs w:val="21"/>
                <w:color w:val="auto"/>
              </w:rPr>
            </w:pPr>
          </w:p>
        </w:tc>
        <w:tc>
          <w:tcPr>
            <w:tcW w:w="100" w:type="dxa"/>
            <w:vAlign w:val="bottom"/>
            <w:tcBorders>
              <w:bottom w:val="single" w:sz="8" w:color="auto"/>
            </w:tcBorders>
            <w:shd w:val="clear" w:color="auto" w:fill="CFF0FC"/>
          </w:tcPr>
          <w:p>
            <w:pPr>
              <w:spacing w:after="0"/>
              <w:rPr>
                <w:sz w:val="21"/>
                <w:szCs w:val="21"/>
                <w:color w:val="auto"/>
              </w:rPr>
            </w:pPr>
          </w:p>
        </w:tc>
        <w:tc>
          <w:tcPr>
            <w:tcW w:w="202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60.0</w:t>
            </w:r>
          </w:p>
        </w:tc>
        <w:tc>
          <w:tcPr>
            <w:tcW w:w="60" w:type="dxa"/>
            <w:vAlign w:val="bottom"/>
          </w:tcPr>
          <w:p>
            <w:pPr>
              <w:spacing w:after="0"/>
              <w:rPr>
                <w:sz w:val="21"/>
                <w:szCs w:val="21"/>
                <w:color w:val="auto"/>
              </w:rPr>
            </w:pPr>
          </w:p>
        </w:tc>
      </w:tr>
      <w:tr>
        <w:trPr>
          <w:trHeight w:val="236"/>
        </w:trPr>
        <w:tc>
          <w:tcPr>
            <w:tcW w:w="83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Total future undiscounted lease payments</w:t>
            </w:r>
          </w:p>
        </w:tc>
        <w:tc>
          <w:tcPr>
            <w:tcW w:w="5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438.5</w:t>
            </w:r>
          </w:p>
        </w:tc>
        <w:tc>
          <w:tcPr>
            <w:tcW w:w="60" w:type="dxa"/>
            <w:vAlign w:val="bottom"/>
          </w:tcPr>
          <w:p>
            <w:pPr>
              <w:spacing w:after="0"/>
              <w:rPr>
                <w:sz w:val="20"/>
                <w:szCs w:val="20"/>
                <w:color w:val="auto"/>
              </w:rPr>
            </w:pPr>
          </w:p>
        </w:tc>
      </w:tr>
      <w:tr>
        <w:trPr>
          <w:trHeight w:val="243"/>
        </w:trPr>
        <w:tc>
          <w:tcPr>
            <w:tcW w:w="8300" w:type="dxa"/>
            <w:vAlign w:val="bottom"/>
            <w:tcBorders>
              <w:bottom w:val="single" w:sz="8" w:color="auto"/>
            </w:tcBorders>
            <w:gridSpan w:val="2"/>
            <w:shd w:val="clear" w:color="auto" w:fill="CFF0FC"/>
          </w:tcPr>
          <w:p>
            <w:pPr>
              <w:ind w:left="340"/>
              <w:spacing w:after="0"/>
              <w:rPr>
                <w:sz w:val="20"/>
                <w:szCs w:val="20"/>
                <w:color w:val="auto"/>
              </w:rPr>
            </w:pPr>
            <w:r>
              <w:rPr>
                <w:rFonts w:ascii="Times New Roman" w:cs="Times New Roman" w:eastAsia="Times New Roman" w:hAnsi="Times New Roman"/>
                <w:sz w:val="18"/>
                <w:szCs w:val="18"/>
                <w:color w:val="auto"/>
              </w:rPr>
              <w:t>Less imputed interest</w:t>
            </w:r>
          </w:p>
        </w:tc>
        <w:tc>
          <w:tcPr>
            <w:tcW w:w="540" w:type="dxa"/>
            <w:vAlign w:val="bottom"/>
            <w:tcBorders>
              <w:bottom w:val="single" w:sz="8" w:color="auto"/>
            </w:tcBorders>
            <w:shd w:val="clear" w:color="auto" w:fill="CFF0FC"/>
          </w:tcPr>
          <w:p>
            <w:pPr>
              <w:spacing w:after="0"/>
              <w:rPr>
                <w:sz w:val="21"/>
                <w:szCs w:val="21"/>
                <w:color w:val="auto"/>
              </w:rPr>
            </w:pPr>
          </w:p>
        </w:tc>
        <w:tc>
          <w:tcPr>
            <w:tcW w:w="280" w:type="dxa"/>
            <w:vAlign w:val="bottom"/>
            <w:tcBorders>
              <w:bottom w:val="single" w:sz="8" w:color="auto"/>
            </w:tcBorders>
            <w:shd w:val="clear" w:color="auto" w:fill="CFF0FC"/>
          </w:tcPr>
          <w:p>
            <w:pPr>
              <w:spacing w:after="0"/>
              <w:rPr>
                <w:sz w:val="21"/>
                <w:szCs w:val="21"/>
                <w:color w:val="auto"/>
              </w:rPr>
            </w:pPr>
          </w:p>
        </w:tc>
        <w:tc>
          <w:tcPr>
            <w:tcW w:w="100" w:type="dxa"/>
            <w:vAlign w:val="bottom"/>
            <w:tcBorders>
              <w:bottom w:val="single" w:sz="8" w:color="auto"/>
            </w:tcBorders>
            <w:shd w:val="clear" w:color="auto" w:fill="CFF0FC"/>
          </w:tcPr>
          <w:p>
            <w:pPr>
              <w:spacing w:after="0"/>
              <w:rPr>
                <w:sz w:val="21"/>
                <w:szCs w:val="21"/>
                <w:color w:val="auto"/>
              </w:rPr>
            </w:pPr>
          </w:p>
        </w:tc>
        <w:tc>
          <w:tcPr>
            <w:tcW w:w="2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(45.7 )</w:t>
            </w:r>
          </w:p>
        </w:tc>
        <w:tc>
          <w:tcPr>
            <w:tcW w:w="60" w:type="dxa"/>
            <w:vAlign w:val="bottom"/>
          </w:tcPr>
          <w:p>
            <w:pPr>
              <w:spacing w:after="0"/>
              <w:rPr>
                <w:sz w:val="21"/>
                <w:szCs w:val="21"/>
                <w:color w:val="auto"/>
              </w:rPr>
            </w:pPr>
          </w:p>
        </w:tc>
      </w:tr>
      <w:tr>
        <w:trPr>
          <w:trHeight w:val="237"/>
        </w:trPr>
        <w:tc>
          <w:tcPr>
            <w:tcW w:w="83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Total operating lease liabilities</w:t>
            </w:r>
          </w:p>
        </w:tc>
        <w:tc>
          <w:tcPr>
            <w:tcW w:w="8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20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392.8</w:t>
            </w:r>
          </w:p>
        </w:tc>
        <w:tc>
          <w:tcPr>
            <w:tcW w:w="60" w:type="dxa"/>
            <w:vAlign w:val="bottom"/>
          </w:tcPr>
          <w:p>
            <w:pPr>
              <w:spacing w:after="0"/>
              <w:rPr>
                <w:sz w:val="20"/>
                <w:szCs w:val="20"/>
                <w:color w:val="auto"/>
              </w:rPr>
            </w:pPr>
          </w:p>
        </w:tc>
      </w:tr>
      <w:tr>
        <w:trPr>
          <w:trHeight w:val="20"/>
        </w:trPr>
        <w:tc>
          <w:tcPr>
            <w:tcW w:w="71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0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(15) </w:t>
      </w:r>
      <w:r>
        <w:rPr>
          <w:rFonts w:ascii="Times New Roman" w:cs="Times New Roman" w:eastAsia="Times New Roman" w:hAnsi="Times New Roman"/>
          <w:sz w:val="18"/>
          <w:szCs w:val="18"/>
          <w:b w:val="1"/>
          <w:bCs w:val="1"/>
          <w:u w:val="single" w:color="auto"/>
          <w:color w:val="auto"/>
        </w:rPr>
        <w:t>Segment Data</w:t>
      </w:r>
    </w:p>
    <w:p>
      <w:pPr>
        <w:spacing w:after="0" w:line="229"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Effective January 1, 2024, our segment reporting was realigned to include our Puerto Rico business within Other Americas. Accordingly, United States is now adjusted to exclude Puerto Rico. All previously reported results have been restated to conform to the current year presentation.</w:t>
      </w:r>
    </w:p>
    <w:p>
      <w:pPr>
        <w:spacing w:after="0" w:line="162" w:lineRule="exact"/>
        <w:rPr>
          <w:sz w:val="20"/>
          <w:szCs w:val="20"/>
          <w:color w:val="auto"/>
        </w:rPr>
      </w:pPr>
    </w:p>
    <w:p>
      <w:pPr>
        <w:ind w:right="200"/>
        <w:spacing w:after="0" w:line="277" w:lineRule="auto"/>
        <w:rPr>
          <w:sz w:val="20"/>
          <w:szCs w:val="20"/>
          <w:color w:val="auto"/>
        </w:rPr>
      </w:pPr>
      <w:r>
        <w:rPr>
          <w:rFonts w:ascii="Times New Roman" w:cs="Times New Roman" w:eastAsia="Times New Roman" w:hAnsi="Times New Roman"/>
          <w:sz w:val="17"/>
          <w:szCs w:val="17"/>
          <w:color w:val="auto"/>
        </w:rPr>
        <w:t>We are organized and managed primarily on a geographic basis. Each country and business unit generally has its own distinct operations and management team, providing services under our global brands, and maintains its own financial reports. We have an executive sponsor for each global brand who is responsible for ensuring the integrity and consistency of delivery across the company. Each operation reports directly or indirectly through a regional manager, to a member of executive management. Given this reporting structure, we operate using the following reporting segments: Americas, which includes United States and Other Americas; Southern Europe, which includes France, Italy and Other Southern Europe; Northern Europe; and APME.</w:t>
      </w:r>
    </w:p>
    <w:p>
      <w:pPr>
        <w:spacing w:after="0" w:line="168"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The segments derive a significant majority of their revenues from our staffing and interim services. The remaining revenues within these segments are derived from our outcome-based solutions and consulting services, permanent recruitment services, and other services. Segment revenues represent sales to external clients. We provide services to a wide variety of clients, none of which individually comprise a significant portion of revenues for us as a whole. Due to the nature of our business, we generally do not have export sales.</w:t>
      </w:r>
    </w:p>
    <w:p>
      <w:pPr>
        <w:spacing w:after="0" w:line="180"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00"/>
          </w:cols>
          <w:pgMar w:left="320" w:top="995" w:right="279" w:bottom="1440" w:gutter="0" w:footer="0" w:header="0"/>
        </w:sectPr>
      </w:pPr>
    </w:p>
    <w:bookmarkStart w:id="20" w:name="page21"/>
    <w:bookmarkEnd w:id="20"/>
    <w:tbl>
      <w:tblPr>
        <w:tblLayout w:type="fixed"/>
        <w:tblInd w:w="0" w:type="dxa"/>
        <w:tblCellMar>
          <w:top w:w="0" w:type="dxa"/>
          <w:left w:w="0" w:type="dxa"/>
          <w:bottom w:w="0" w:type="dxa"/>
          <w:right w:w="0" w:type="dxa"/>
        </w:tblCellMar>
      </w:tblPr>
      <w:tr>
        <w:trPr>
          <w:trHeight w:val="245"/>
        </w:trPr>
        <w:tc>
          <w:tcPr>
            <w:tcW w:w="502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2860" w:type="dxa"/>
            <w:vAlign w:val="bottom"/>
            <w:tcBorders>
              <w:bottom w:val="single" w:sz="8" w:color="auto"/>
            </w:tcBorders>
            <w:gridSpan w:val="4"/>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Three Months Ended June 30,</w:t>
            </w:r>
          </w:p>
        </w:tc>
        <w:tc>
          <w:tcPr>
            <w:tcW w:w="10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2780" w:type="dxa"/>
            <w:vAlign w:val="bottom"/>
            <w:tcBorders>
              <w:bottom w:val="single" w:sz="8" w:color="auto"/>
            </w:tcBorders>
            <w:gridSpan w:val="4"/>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Six Months Ended June 30,</w:t>
            </w:r>
          </w:p>
        </w:tc>
      </w:tr>
      <w:tr>
        <w:trPr>
          <w:trHeight w:val="241"/>
        </w:trPr>
        <w:tc>
          <w:tcPr>
            <w:tcW w:w="50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2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39"/>
        </w:trPr>
        <w:tc>
          <w:tcPr>
            <w:tcW w:w="50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Revenues from services:</w:t>
            </w:r>
          </w:p>
        </w:tc>
        <w:tc>
          <w:tcPr>
            <w:tcW w:w="220" w:type="dxa"/>
            <w:vAlign w:val="bottom"/>
            <w:shd w:val="clear" w:color="auto" w:fill="CFF0FC"/>
          </w:tcPr>
          <w:p>
            <w:pPr>
              <w:spacing w:after="0"/>
              <w:rPr>
                <w:sz w:val="20"/>
                <w:szCs w:val="20"/>
                <w:color w:val="auto"/>
              </w:rPr>
            </w:pPr>
          </w:p>
        </w:tc>
        <w:tc>
          <w:tcPr>
            <w:tcW w:w="128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116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120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1160" w:type="dxa"/>
            <w:vAlign w:val="bottom"/>
            <w:shd w:val="clear" w:color="auto" w:fill="CFF0FC"/>
          </w:tcPr>
          <w:p>
            <w:pPr>
              <w:spacing w:after="0"/>
              <w:rPr>
                <w:sz w:val="20"/>
                <w:szCs w:val="20"/>
                <w:color w:val="auto"/>
              </w:rPr>
            </w:pPr>
          </w:p>
        </w:tc>
      </w:tr>
      <w:tr>
        <w:trPr>
          <w:trHeight w:val="239"/>
        </w:trPr>
        <w:tc>
          <w:tcPr>
            <w:tcW w:w="50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Americas:</w:t>
            </w:r>
          </w:p>
        </w:tc>
        <w:tc>
          <w:tcPr>
            <w:tcW w:w="22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60" w:type="dxa"/>
            <w:vAlign w:val="bottom"/>
          </w:tcPr>
          <w:p>
            <w:pPr>
              <w:spacing w:after="0"/>
              <w:rPr>
                <w:sz w:val="20"/>
                <w:szCs w:val="20"/>
                <w:color w:val="auto"/>
              </w:rPr>
            </w:pPr>
          </w:p>
        </w:tc>
      </w:tr>
      <w:tr>
        <w:trPr>
          <w:trHeight w:val="247"/>
        </w:trPr>
        <w:tc>
          <w:tcPr>
            <w:tcW w:w="5020" w:type="dxa"/>
            <w:vAlign w:val="bottom"/>
            <w:shd w:val="clear" w:color="auto" w:fill="CFF0FC"/>
          </w:tcPr>
          <w:p>
            <w:pPr>
              <w:ind w:left="380"/>
              <w:spacing w:after="0" w:line="248" w:lineRule="exact"/>
              <w:rPr>
                <w:sz w:val="20"/>
                <w:szCs w:val="20"/>
                <w:color w:val="auto"/>
              </w:rPr>
            </w:pPr>
            <w:r>
              <w:rPr>
                <w:rFonts w:ascii="Times New Roman" w:cs="Times New Roman" w:eastAsia="Times New Roman" w:hAnsi="Times New Roman"/>
                <w:sz w:val="18"/>
                <w:szCs w:val="18"/>
                <w:color w:val="auto"/>
              </w:rPr>
              <w:t xml:space="preserve">United States </w:t>
            </w:r>
            <w:r>
              <w:rPr>
                <w:rFonts w:ascii="Times New Roman" w:cs="Times New Roman" w:eastAsia="Times New Roman" w:hAnsi="Times New Roman"/>
                <w:sz w:val="24"/>
                <w:szCs w:val="24"/>
                <w:color w:val="auto"/>
                <w:vertAlign w:val="superscript"/>
              </w:rPr>
              <w:t>(a)</w:t>
            </w:r>
          </w:p>
        </w:tc>
        <w:tc>
          <w:tcPr>
            <w:tcW w:w="2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697.0</w:t>
            </w:r>
          </w:p>
        </w:tc>
        <w:tc>
          <w:tcPr>
            <w:tcW w:w="42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709.1</w:t>
            </w:r>
          </w:p>
        </w:tc>
        <w:tc>
          <w:tcPr>
            <w:tcW w:w="3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1,377.4</w:t>
            </w:r>
          </w:p>
        </w:tc>
        <w:tc>
          <w:tcPr>
            <w:tcW w:w="42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1,450.7</w:t>
            </w:r>
          </w:p>
        </w:tc>
      </w:tr>
      <w:tr>
        <w:trPr>
          <w:trHeight w:val="239"/>
        </w:trPr>
        <w:tc>
          <w:tcPr>
            <w:tcW w:w="50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Other Americas</w:t>
            </w:r>
          </w:p>
        </w:tc>
        <w:tc>
          <w:tcPr>
            <w:tcW w:w="22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367.4</w:t>
            </w:r>
          </w:p>
        </w:tc>
        <w:tc>
          <w:tcPr>
            <w:tcW w:w="12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389.6</w:t>
            </w:r>
          </w:p>
        </w:tc>
        <w:tc>
          <w:tcPr>
            <w:tcW w:w="10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723.4</w:t>
            </w:r>
          </w:p>
        </w:tc>
        <w:tc>
          <w:tcPr>
            <w:tcW w:w="10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778.2</w:t>
            </w:r>
          </w:p>
        </w:tc>
      </w:tr>
      <w:tr>
        <w:trPr>
          <w:trHeight w:val="237"/>
        </w:trPr>
        <w:tc>
          <w:tcPr>
            <w:tcW w:w="5020" w:type="dxa"/>
            <w:vAlign w:val="bottom"/>
            <w:tcBorders>
              <w:bottom w:val="single" w:sz="8" w:color="CFF0FC"/>
            </w:tcBorders>
            <w:shd w:val="clear" w:color="auto" w:fill="CFF0FC"/>
          </w:tcPr>
          <w:p>
            <w:pPr>
              <w:spacing w:after="0"/>
              <w:rPr>
                <w:sz w:val="20"/>
                <w:szCs w:val="20"/>
                <w:color w:val="auto"/>
              </w:rPr>
            </w:pPr>
          </w:p>
        </w:tc>
        <w:tc>
          <w:tcPr>
            <w:tcW w:w="220" w:type="dxa"/>
            <w:vAlign w:val="bottom"/>
            <w:tcBorders>
              <w:bottom w:val="single" w:sz="8" w:color="auto"/>
            </w:tcBorders>
            <w:shd w:val="clear" w:color="auto" w:fill="CFF0FC"/>
          </w:tcPr>
          <w:p>
            <w:pPr>
              <w:spacing w:after="0"/>
              <w:rPr>
                <w:sz w:val="20"/>
                <w:szCs w:val="20"/>
                <w:color w:val="auto"/>
              </w:rPr>
            </w:pPr>
          </w:p>
        </w:tc>
        <w:tc>
          <w:tcPr>
            <w:tcW w:w="128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1,064.4</w:t>
            </w:r>
          </w:p>
        </w:tc>
        <w:tc>
          <w:tcPr>
            <w:tcW w:w="120" w:type="dxa"/>
            <w:vAlign w:val="bottom"/>
            <w:tcBorders>
              <w:bottom w:val="single" w:sz="8" w:color="CFF0FC"/>
            </w:tcBorders>
            <w:shd w:val="clear" w:color="auto" w:fill="CFF0FC"/>
          </w:tcPr>
          <w:p>
            <w:pPr>
              <w:spacing w:after="0"/>
              <w:rPr>
                <w:sz w:val="20"/>
                <w:szCs w:val="20"/>
                <w:color w:val="auto"/>
              </w:rPr>
            </w:pPr>
          </w:p>
        </w:tc>
        <w:tc>
          <w:tcPr>
            <w:tcW w:w="300" w:type="dxa"/>
            <w:vAlign w:val="bottom"/>
            <w:tcBorders>
              <w:bottom w:val="single" w:sz="8" w:color="auto"/>
            </w:tcBorders>
            <w:shd w:val="clear" w:color="auto" w:fill="CFF0FC"/>
          </w:tcPr>
          <w:p>
            <w:pPr>
              <w:spacing w:after="0"/>
              <w:rPr>
                <w:sz w:val="20"/>
                <w:szCs w:val="20"/>
                <w:color w:val="auto"/>
              </w:rPr>
            </w:pPr>
          </w:p>
        </w:tc>
        <w:tc>
          <w:tcPr>
            <w:tcW w:w="116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1,098.7</w:t>
            </w:r>
          </w:p>
        </w:tc>
        <w:tc>
          <w:tcPr>
            <w:tcW w:w="100" w:type="dxa"/>
            <w:vAlign w:val="bottom"/>
            <w:tcBorders>
              <w:bottom w:val="single" w:sz="8" w:color="CFF0FC"/>
            </w:tcBorders>
            <w:shd w:val="clear" w:color="auto" w:fill="CFF0FC"/>
          </w:tcPr>
          <w:p>
            <w:pPr>
              <w:spacing w:after="0"/>
              <w:rPr>
                <w:sz w:val="20"/>
                <w:szCs w:val="20"/>
                <w:color w:val="auto"/>
              </w:rPr>
            </w:pPr>
          </w:p>
        </w:tc>
        <w:tc>
          <w:tcPr>
            <w:tcW w:w="260" w:type="dxa"/>
            <w:vAlign w:val="bottom"/>
            <w:tcBorders>
              <w:bottom w:val="single" w:sz="8" w:color="auto"/>
            </w:tcBorders>
            <w:shd w:val="clear" w:color="auto" w:fill="CFF0FC"/>
          </w:tcPr>
          <w:p>
            <w:pPr>
              <w:spacing w:after="0"/>
              <w:rPr>
                <w:sz w:val="20"/>
                <w:szCs w:val="20"/>
                <w:color w:val="auto"/>
              </w:rPr>
            </w:pPr>
          </w:p>
        </w:tc>
        <w:tc>
          <w:tcPr>
            <w:tcW w:w="120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2,100.8</w:t>
            </w:r>
          </w:p>
        </w:tc>
        <w:tc>
          <w:tcPr>
            <w:tcW w:w="100" w:type="dxa"/>
            <w:vAlign w:val="bottom"/>
            <w:tcBorders>
              <w:bottom w:val="single" w:sz="8" w:color="CFF0FC"/>
            </w:tcBorders>
            <w:shd w:val="clear" w:color="auto" w:fill="CFF0FC"/>
          </w:tcPr>
          <w:p>
            <w:pPr>
              <w:spacing w:after="0"/>
              <w:rPr>
                <w:sz w:val="20"/>
                <w:szCs w:val="20"/>
                <w:color w:val="auto"/>
              </w:rPr>
            </w:pPr>
          </w:p>
        </w:tc>
        <w:tc>
          <w:tcPr>
            <w:tcW w:w="320" w:type="dxa"/>
            <w:vAlign w:val="bottom"/>
            <w:tcBorders>
              <w:bottom w:val="single" w:sz="8" w:color="auto"/>
            </w:tcBorders>
            <w:shd w:val="clear" w:color="auto" w:fill="CFF0FC"/>
          </w:tcPr>
          <w:p>
            <w:pPr>
              <w:spacing w:after="0"/>
              <w:rPr>
                <w:sz w:val="20"/>
                <w:szCs w:val="20"/>
                <w:color w:val="auto"/>
              </w:rPr>
            </w:pPr>
          </w:p>
        </w:tc>
        <w:tc>
          <w:tcPr>
            <w:tcW w:w="116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2,228.9</w:t>
            </w:r>
          </w:p>
        </w:tc>
      </w:tr>
      <w:tr>
        <w:trPr>
          <w:trHeight w:val="236"/>
        </w:trPr>
        <w:tc>
          <w:tcPr>
            <w:tcW w:w="50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Southern Europe:</w:t>
            </w:r>
          </w:p>
        </w:tc>
        <w:tc>
          <w:tcPr>
            <w:tcW w:w="22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60" w:type="dxa"/>
            <w:vAlign w:val="bottom"/>
          </w:tcPr>
          <w:p>
            <w:pPr>
              <w:spacing w:after="0"/>
              <w:rPr>
                <w:sz w:val="20"/>
                <w:szCs w:val="20"/>
                <w:color w:val="auto"/>
              </w:rPr>
            </w:pPr>
          </w:p>
        </w:tc>
      </w:tr>
      <w:tr>
        <w:trPr>
          <w:trHeight w:val="247"/>
        </w:trPr>
        <w:tc>
          <w:tcPr>
            <w:tcW w:w="502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France</w:t>
            </w:r>
          </w:p>
        </w:tc>
        <w:tc>
          <w:tcPr>
            <w:tcW w:w="220" w:type="dxa"/>
            <w:vAlign w:val="bottom"/>
            <w:shd w:val="clear" w:color="auto" w:fill="CFF0FC"/>
          </w:tcPr>
          <w:p>
            <w:pPr>
              <w:spacing w:after="0"/>
              <w:rPr>
                <w:sz w:val="21"/>
                <w:szCs w:val="21"/>
                <w:color w:val="auto"/>
              </w:rPr>
            </w:pPr>
          </w:p>
        </w:tc>
        <w:tc>
          <w:tcPr>
            <w:tcW w:w="128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1,184.9</w:t>
            </w:r>
          </w:p>
        </w:tc>
        <w:tc>
          <w:tcPr>
            <w:tcW w:w="12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16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1,278.2</w:t>
            </w:r>
          </w:p>
        </w:tc>
        <w:tc>
          <w:tcPr>
            <w:tcW w:w="10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20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2,304.2</w:t>
            </w:r>
          </w:p>
        </w:tc>
        <w:tc>
          <w:tcPr>
            <w:tcW w:w="10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16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2,447.5</w:t>
            </w:r>
          </w:p>
        </w:tc>
      </w:tr>
      <w:tr>
        <w:trPr>
          <w:trHeight w:val="239"/>
        </w:trPr>
        <w:tc>
          <w:tcPr>
            <w:tcW w:w="50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Italy</w:t>
            </w:r>
          </w:p>
        </w:tc>
        <w:tc>
          <w:tcPr>
            <w:tcW w:w="220" w:type="dxa"/>
            <w:vAlign w:val="bottom"/>
          </w:tcPr>
          <w:p>
            <w:pPr>
              <w:spacing w:after="0"/>
              <w:rPr>
                <w:sz w:val="20"/>
                <w:szCs w:val="20"/>
                <w:color w:val="auto"/>
              </w:rPr>
            </w:pPr>
          </w:p>
        </w:tc>
        <w:tc>
          <w:tcPr>
            <w:tcW w:w="12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434.9</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457.8</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839.2</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880.0</w:t>
            </w:r>
          </w:p>
        </w:tc>
      </w:tr>
      <w:tr>
        <w:trPr>
          <w:trHeight w:val="243"/>
        </w:trPr>
        <w:tc>
          <w:tcPr>
            <w:tcW w:w="5020" w:type="dxa"/>
            <w:vAlign w:val="bottom"/>
            <w:tcBorders>
              <w:bottom w:val="single" w:sz="8" w:color="CFF0FC"/>
            </w:tcBorders>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Other Southern Europe</w:t>
            </w:r>
          </w:p>
        </w:tc>
        <w:tc>
          <w:tcPr>
            <w:tcW w:w="220" w:type="dxa"/>
            <w:vAlign w:val="bottom"/>
            <w:tcBorders>
              <w:bottom w:val="single" w:sz="8" w:color="auto"/>
            </w:tcBorders>
            <w:shd w:val="clear" w:color="auto" w:fill="CFF0FC"/>
          </w:tcPr>
          <w:p>
            <w:pPr>
              <w:spacing w:after="0"/>
              <w:rPr>
                <w:sz w:val="21"/>
                <w:szCs w:val="21"/>
                <w:color w:val="auto"/>
              </w:rPr>
            </w:pPr>
          </w:p>
        </w:tc>
        <w:tc>
          <w:tcPr>
            <w:tcW w:w="128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478.2</w:t>
            </w:r>
          </w:p>
        </w:tc>
        <w:tc>
          <w:tcPr>
            <w:tcW w:w="120" w:type="dxa"/>
            <w:vAlign w:val="bottom"/>
            <w:tcBorders>
              <w:bottom w:val="single" w:sz="8" w:color="CFF0FC"/>
            </w:tcBorders>
            <w:shd w:val="clear" w:color="auto" w:fill="CFF0FC"/>
          </w:tcPr>
          <w:p>
            <w:pPr>
              <w:spacing w:after="0"/>
              <w:rPr>
                <w:sz w:val="21"/>
                <w:szCs w:val="21"/>
                <w:color w:val="auto"/>
              </w:rPr>
            </w:pPr>
          </w:p>
        </w:tc>
        <w:tc>
          <w:tcPr>
            <w:tcW w:w="300" w:type="dxa"/>
            <w:vAlign w:val="bottom"/>
            <w:tcBorders>
              <w:bottom w:val="single" w:sz="8" w:color="auto"/>
            </w:tcBorders>
            <w:shd w:val="clear" w:color="auto" w:fill="CFF0FC"/>
          </w:tcPr>
          <w:p>
            <w:pPr>
              <w:spacing w:after="0"/>
              <w:rPr>
                <w:sz w:val="21"/>
                <w:szCs w:val="21"/>
                <w:color w:val="auto"/>
              </w:rPr>
            </w:pPr>
          </w:p>
        </w:tc>
        <w:tc>
          <w:tcPr>
            <w:tcW w:w="116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490.9</w:t>
            </w:r>
          </w:p>
        </w:tc>
        <w:tc>
          <w:tcPr>
            <w:tcW w:w="100" w:type="dxa"/>
            <w:vAlign w:val="bottom"/>
            <w:tcBorders>
              <w:bottom w:val="single" w:sz="8" w:color="CFF0FC"/>
            </w:tcBorders>
            <w:shd w:val="clear" w:color="auto" w:fill="CFF0FC"/>
          </w:tcPr>
          <w:p>
            <w:pPr>
              <w:spacing w:after="0"/>
              <w:rPr>
                <w:sz w:val="21"/>
                <w:szCs w:val="21"/>
                <w:color w:val="auto"/>
              </w:rPr>
            </w:pPr>
          </w:p>
        </w:tc>
        <w:tc>
          <w:tcPr>
            <w:tcW w:w="260" w:type="dxa"/>
            <w:vAlign w:val="bottom"/>
            <w:tcBorders>
              <w:bottom w:val="single" w:sz="8" w:color="auto"/>
            </w:tcBorders>
            <w:shd w:val="clear" w:color="auto" w:fill="CFF0FC"/>
          </w:tcPr>
          <w:p>
            <w:pPr>
              <w:spacing w:after="0"/>
              <w:rPr>
                <w:sz w:val="21"/>
                <w:szCs w:val="21"/>
                <w:color w:val="auto"/>
              </w:rPr>
            </w:pPr>
          </w:p>
        </w:tc>
        <w:tc>
          <w:tcPr>
            <w:tcW w:w="120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935.9</w:t>
            </w:r>
          </w:p>
        </w:tc>
        <w:tc>
          <w:tcPr>
            <w:tcW w:w="100" w:type="dxa"/>
            <w:vAlign w:val="bottom"/>
            <w:tcBorders>
              <w:bottom w:val="single" w:sz="8" w:color="CFF0FC"/>
            </w:tcBorders>
            <w:shd w:val="clear" w:color="auto" w:fill="CFF0FC"/>
          </w:tcPr>
          <w:p>
            <w:pPr>
              <w:spacing w:after="0"/>
              <w:rPr>
                <w:sz w:val="21"/>
                <w:szCs w:val="21"/>
                <w:color w:val="auto"/>
              </w:rPr>
            </w:pPr>
          </w:p>
        </w:tc>
        <w:tc>
          <w:tcPr>
            <w:tcW w:w="320" w:type="dxa"/>
            <w:vAlign w:val="bottom"/>
            <w:tcBorders>
              <w:bottom w:val="single" w:sz="8" w:color="auto"/>
            </w:tcBorders>
            <w:shd w:val="clear" w:color="auto" w:fill="CFF0FC"/>
          </w:tcPr>
          <w:p>
            <w:pPr>
              <w:spacing w:after="0"/>
              <w:rPr>
                <w:sz w:val="21"/>
                <w:szCs w:val="21"/>
                <w:color w:val="auto"/>
              </w:rPr>
            </w:pPr>
          </w:p>
        </w:tc>
        <w:tc>
          <w:tcPr>
            <w:tcW w:w="116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967.3</w:t>
            </w:r>
          </w:p>
        </w:tc>
      </w:tr>
      <w:tr>
        <w:trPr>
          <w:trHeight w:val="237"/>
        </w:trPr>
        <w:tc>
          <w:tcPr>
            <w:tcW w:w="50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2,098.0</w:t>
            </w:r>
          </w:p>
        </w:tc>
        <w:tc>
          <w:tcPr>
            <w:tcW w:w="12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2,226.9</w:t>
            </w:r>
          </w:p>
        </w:tc>
        <w:tc>
          <w:tcPr>
            <w:tcW w:w="10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4,079.3</w:t>
            </w:r>
          </w:p>
        </w:tc>
        <w:tc>
          <w:tcPr>
            <w:tcW w:w="10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4,294.8</w:t>
            </w:r>
          </w:p>
        </w:tc>
      </w:tr>
      <w:tr>
        <w:trPr>
          <w:trHeight w:val="241"/>
        </w:trPr>
        <w:tc>
          <w:tcPr>
            <w:tcW w:w="502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28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116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120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1160" w:type="dxa"/>
            <w:vAlign w:val="bottom"/>
            <w:shd w:val="clear" w:color="auto" w:fill="CFF0FC"/>
          </w:tcPr>
          <w:p>
            <w:pPr>
              <w:spacing w:after="0"/>
              <w:rPr>
                <w:sz w:val="20"/>
                <w:szCs w:val="20"/>
                <w:color w:val="auto"/>
              </w:rPr>
            </w:pPr>
          </w:p>
        </w:tc>
      </w:tr>
      <w:tr>
        <w:trPr>
          <w:trHeight w:val="239"/>
        </w:trPr>
        <w:tc>
          <w:tcPr>
            <w:tcW w:w="50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Northern Europe</w:t>
            </w:r>
          </w:p>
        </w:tc>
        <w:tc>
          <w:tcPr>
            <w:tcW w:w="220" w:type="dxa"/>
            <w:vAlign w:val="bottom"/>
          </w:tcPr>
          <w:p>
            <w:pPr>
              <w:spacing w:after="0"/>
              <w:rPr>
                <w:sz w:val="20"/>
                <w:szCs w:val="20"/>
                <w:color w:val="auto"/>
              </w:rPr>
            </w:pPr>
          </w:p>
        </w:tc>
        <w:tc>
          <w:tcPr>
            <w:tcW w:w="12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837.3</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952.5</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1,707.6</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1,920.1</w:t>
            </w:r>
          </w:p>
        </w:tc>
      </w:tr>
      <w:tr>
        <w:trPr>
          <w:trHeight w:val="243"/>
        </w:trPr>
        <w:tc>
          <w:tcPr>
            <w:tcW w:w="502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APME</w:t>
            </w:r>
          </w:p>
        </w:tc>
        <w:tc>
          <w:tcPr>
            <w:tcW w:w="220" w:type="dxa"/>
            <w:vAlign w:val="bottom"/>
            <w:tcBorders>
              <w:bottom w:val="single" w:sz="8" w:color="auto"/>
            </w:tcBorders>
            <w:shd w:val="clear" w:color="auto" w:fill="CFF0FC"/>
          </w:tcPr>
          <w:p>
            <w:pPr>
              <w:spacing w:after="0"/>
              <w:rPr>
                <w:sz w:val="21"/>
                <w:szCs w:val="21"/>
                <w:color w:val="auto"/>
              </w:rPr>
            </w:pPr>
          </w:p>
        </w:tc>
        <w:tc>
          <w:tcPr>
            <w:tcW w:w="128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541.4</w:t>
            </w:r>
          </w:p>
        </w:tc>
        <w:tc>
          <w:tcPr>
            <w:tcW w:w="120" w:type="dxa"/>
            <w:vAlign w:val="bottom"/>
            <w:tcBorders>
              <w:bottom w:val="single" w:sz="8" w:color="CFF0FC"/>
            </w:tcBorders>
            <w:shd w:val="clear" w:color="auto" w:fill="CFF0FC"/>
          </w:tcPr>
          <w:p>
            <w:pPr>
              <w:spacing w:after="0"/>
              <w:rPr>
                <w:sz w:val="21"/>
                <w:szCs w:val="21"/>
                <w:color w:val="auto"/>
              </w:rPr>
            </w:pPr>
          </w:p>
        </w:tc>
        <w:tc>
          <w:tcPr>
            <w:tcW w:w="300" w:type="dxa"/>
            <w:vAlign w:val="bottom"/>
            <w:tcBorders>
              <w:bottom w:val="single" w:sz="8" w:color="auto"/>
            </w:tcBorders>
            <w:shd w:val="clear" w:color="auto" w:fill="CFF0FC"/>
          </w:tcPr>
          <w:p>
            <w:pPr>
              <w:spacing w:after="0"/>
              <w:rPr>
                <w:sz w:val="21"/>
                <w:szCs w:val="21"/>
                <w:color w:val="auto"/>
              </w:rPr>
            </w:pPr>
          </w:p>
        </w:tc>
        <w:tc>
          <w:tcPr>
            <w:tcW w:w="116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599.4</w:t>
            </w:r>
          </w:p>
        </w:tc>
        <w:tc>
          <w:tcPr>
            <w:tcW w:w="100" w:type="dxa"/>
            <w:vAlign w:val="bottom"/>
            <w:tcBorders>
              <w:bottom w:val="single" w:sz="8" w:color="CFF0FC"/>
            </w:tcBorders>
            <w:shd w:val="clear" w:color="auto" w:fill="CFF0FC"/>
          </w:tcPr>
          <w:p>
            <w:pPr>
              <w:spacing w:after="0"/>
              <w:rPr>
                <w:sz w:val="21"/>
                <w:szCs w:val="21"/>
                <w:color w:val="auto"/>
              </w:rPr>
            </w:pPr>
          </w:p>
        </w:tc>
        <w:tc>
          <w:tcPr>
            <w:tcW w:w="260" w:type="dxa"/>
            <w:vAlign w:val="bottom"/>
            <w:tcBorders>
              <w:bottom w:val="single" w:sz="8" w:color="auto"/>
            </w:tcBorders>
            <w:shd w:val="clear" w:color="auto" w:fill="CFF0FC"/>
          </w:tcPr>
          <w:p>
            <w:pPr>
              <w:spacing w:after="0"/>
              <w:rPr>
                <w:sz w:val="21"/>
                <w:szCs w:val="21"/>
                <w:color w:val="auto"/>
              </w:rPr>
            </w:pPr>
          </w:p>
        </w:tc>
        <w:tc>
          <w:tcPr>
            <w:tcW w:w="120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1,076.5</w:t>
            </w:r>
          </w:p>
        </w:tc>
        <w:tc>
          <w:tcPr>
            <w:tcW w:w="100" w:type="dxa"/>
            <w:vAlign w:val="bottom"/>
            <w:tcBorders>
              <w:bottom w:val="single" w:sz="8" w:color="CFF0FC"/>
            </w:tcBorders>
            <w:shd w:val="clear" w:color="auto" w:fill="CFF0FC"/>
          </w:tcPr>
          <w:p>
            <w:pPr>
              <w:spacing w:after="0"/>
              <w:rPr>
                <w:sz w:val="21"/>
                <w:szCs w:val="21"/>
                <w:color w:val="auto"/>
              </w:rPr>
            </w:pPr>
          </w:p>
        </w:tc>
        <w:tc>
          <w:tcPr>
            <w:tcW w:w="320" w:type="dxa"/>
            <w:vAlign w:val="bottom"/>
            <w:tcBorders>
              <w:bottom w:val="single" w:sz="8" w:color="auto"/>
            </w:tcBorders>
            <w:shd w:val="clear" w:color="auto" w:fill="CFF0FC"/>
          </w:tcPr>
          <w:p>
            <w:pPr>
              <w:spacing w:after="0"/>
              <w:rPr>
                <w:sz w:val="21"/>
                <w:szCs w:val="21"/>
                <w:color w:val="auto"/>
              </w:rPr>
            </w:pPr>
          </w:p>
        </w:tc>
        <w:tc>
          <w:tcPr>
            <w:tcW w:w="116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1,205.3</w:t>
            </w:r>
          </w:p>
        </w:tc>
      </w:tr>
      <w:tr>
        <w:trPr>
          <w:trHeight w:val="237"/>
        </w:trPr>
        <w:tc>
          <w:tcPr>
            <w:tcW w:w="50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4,541.1</w:t>
            </w:r>
          </w:p>
        </w:tc>
        <w:tc>
          <w:tcPr>
            <w:tcW w:w="12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4,877.5</w:t>
            </w:r>
          </w:p>
        </w:tc>
        <w:tc>
          <w:tcPr>
            <w:tcW w:w="10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8,964.2</w:t>
            </w:r>
          </w:p>
        </w:tc>
        <w:tc>
          <w:tcPr>
            <w:tcW w:w="10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9,649.1</w:t>
            </w:r>
          </w:p>
        </w:tc>
      </w:tr>
      <w:tr>
        <w:trPr>
          <w:trHeight w:val="237"/>
        </w:trPr>
        <w:tc>
          <w:tcPr>
            <w:tcW w:w="502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Intercompany Eliminations</w:t>
            </w:r>
          </w:p>
        </w:tc>
        <w:tc>
          <w:tcPr>
            <w:tcW w:w="220" w:type="dxa"/>
            <w:vAlign w:val="bottom"/>
            <w:tcBorders>
              <w:bottom w:val="single" w:sz="8" w:color="auto"/>
            </w:tcBorders>
            <w:shd w:val="clear" w:color="auto" w:fill="CFF0FC"/>
          </w:tcPr>
          <w:p>
            <w:pPr>
              <w:spacing w:after="0"/>
              <w:rPr>
                <w:sz w:val="20"/>
                <w:szCs w:val="20"/>
                <w:color w:val="auto"/>
              </w:rPr>
            </w:pPr>
          </w:p>
        </w:tc>
        <w:tc>
          <w:tcPr>
            <w:tcW w:w="12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(20.4 )</w:t>
            </w:r>
          </w:p>
        </w:tc>
        <w:tc>
          <w:tcPr>
            <w:tcW w:w="120" w:type="dxa"/>
            <w:vAlign w:val="bottom"/>
            <w:tcBorders>
              <w:bottom w:val="single" w:sz="8" w:color="CFF0FC"/>
            </w:tcBorders>
            <w:shd w:val="clear" w:color="auto" w:fill="CFF0FC"/>
          </w:tcPr>
          <w:p>
            <w:pPr>
              <w:spacing w:after="0"/>
              <w:rPr>
                <w:sz w:val="20"/>
                <w:szCs w:val="20"/>
                <w:color w:val="auto"/>
              </w:rPr>
            </w:pPr>
          </w:p>
        </w:tc>
        <w:tc>
          <w:tcPr>
            <w:tcW w:w="300" w:type="dxa"/>
            <w:vAlign w:val="bottom"/>
            <w:tcBorders>
              <w:bottom w:val="single" w:sz="8" w:color="auto"/>
            </w:tcBorders>
            <w:shd w:val="clear" w:color="auto" w:fill="CFF0FC"/>
          </w:tcPr>
          <w:p>
            <w:pPr>
              <w:spacing w:after="0"/>
              <w:rPr>
                <w:sz w:val="20"/>
                <w:szCs w:val="20"/>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(21.4 )</w:t>
            </w:r>
          </w:p>
        </w:tc>
        <w:tc>
          <w:tcPr>
            <w:tcW w:w="100" w:type="dxa"/>
            <w:vAlign w:val="bottom"/>
            <w:tcBorders>
              <w:bottom w:val="single" w:sz="8" w:color="CFF0FC"/>
            </w:tcBorders>
            <w:shd w:val="clear" w:color="auto" w:fill="CFF0FC"/>
          </w:tcPr>
          <w:p>
            <w:pPr>
              <w:spacing w:after="0"/>
              <w:rPr>
                <w:sz w:val="20"/>
                <w:szCs w:val="20"/>
                <w:color w:val="auto"/>
              </w:rPr>
            </w:pPr>
          </w:p>
        </w:tc>
        <w:tc>
          <w:tcPr>
            <w:tcW w:w="260" w:type="dxa"/>
            <w:vAlign w:val="bottom"/>
            <w:tcBorders>
              <w:bottom w:val="single" w:sz="8" w:color="auto"/>
            </w:tcBorders>
            <w:shd w:val="clear" w:color="auto" w:fill="CFF0FC"/>
          </w:tcPr>
          <w:p>
            <w:pPr>
              <w:spacing w:after="0"/>
              <w:rPr>
                <w:sz w:val="20"/>
                <w:szCs w:val="20"/>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(40.2 )</w:t>
            </w:r>
          </w:p>
        </w:tc>
        <w:tc>
          <w:tcPr>
            <w:tcW w:w="100" w:type="dxa"/>
            <w:vAlign w:val="bottom"/>
            <w:tcBorders>
              <w:bottom w:val="single" w:sz="8" w:color="CFF0FC"/>
            </w:tcBorders>
            <w:shd w:val="clear" w:color="auto" w:fill="CFF0FC"/>
          </w:tcPr>
          <w:p>
            <w:pPr>
              <w:spacing w:after="0"/>
              <w:rPr>
                <w:sz w:val="20"/>
                <w:szCs w:val="20"/>
                <w:color w:val="auto"/>
              </w:rPr>
            </w:pPr>
          </w:p>
        </w:tc>
        <w:tc>
          <w:tcPr>
            <w:tcW w:w="320" w:type="dxa"/>
            <w:vAlign w:val="bottom"/>
            <w:tcBorders>
              <w:bottom w:val="single" w:sz="8" w:color="auto"/>
            </w:tcBorders>
            <w:shd w:val="clear" w:color="auto" w:fill="CFF0FC"/>
          </w:tcPr>
          <w:p>
            <w:pPr>
              <w:spacing w:after="0"/>
              <w:rPr>
                <w:sz w:val="20"/>
                <w:szCs w:val="20"/>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(40.7 )</w:t>
            </w:r>
          </w:p>
        </w:tc>
      </w:tr>
      <w:tr>
        <w:trPr>
          <w:trHeight w:val="241"/>
        </w:trPr>
        <w:tc>
          <w:tcPr>
            <w:tcW w:w="5020" w:type="dxa"/>
            <w:vAlign w:val="bottom"/>
          </w:tcPr>
          <w:p>
            <w:pPr>
              <w:ind w:left="200"/>
              <w:spacing w:after="0" w:line="241" w:lineRule="exact"/>
              <w:rPr>
                <w:sz w:val="20"/>
                <w:szCs w:val="20"/>
                <w:color w:val="auto"/>
              </w:rPr>
            </w:pPr>
            <w:r>
              <w:rPr>
                <w:rFonts w:ascii="Times New Roman" w:cs="Times New Roman" w:eastAsia="Times New Roman" w:hAnsi="Times New Roman"/>
                <w:sz w:val="18"/>
                <w:szCs w:val="18"/>
                <w:color w:val="auto"/>
              </w:rPr>
              <w:t xml:space="preserve">Consolidated </w:t>
            </w:r>
            <w:r>
              <w:rPr>
                <w:rFonts w:ascii="Times New Roman" w:cs="Times New Roman" w:eastAsia="Times New Roman" w:hAnsi="Times New Roman"/>
                <w:sz w:val="24"/>
                <w:szCs w:val="24"/>
                <w:color w:val="auto"/>
                <w:vertAlign w:val="superscript"/>
              </w:rPr>
              <w:t>(b)</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4,520.7</w:t>
            </w:r>
          </w:p>
        </w:tc>
        <w:tc>
          <w:tcPr>
            <w:tcW w:w="4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4,856.1</w:t>
            </w:r>
          </w:p>
        </w:tc>
        <w:tc>
          <w:tcPr>
            <w:tcW w:w="3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8,924.0</w:t>
            </w:r>
          </w:p>
        </w:tc>
        <w:tc>
          <w:tcPr>
            <w:tcW w:w="4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9,608.4</w:t>
            </w:r>
          </w:p>
        </w:tc>
      </w:tr>
      <w:tr>
        <w:trPr>
          <w:trHeight w:val="20"/>
        </w:trPr>
        <w:tc>
          <w:tcPr>
            <w:tcW w:w="50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r>
      <w:tr>
        <w:trPr>
          <w:trHeight w:val="223"/>
        </w:trPr>
        <w:tc>
          <w:tcPr>
            <w:tcW w:w="50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2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160" w:type="dxa"/>
            <w:vAlign w:val="bottom"/>
            <w:shd w:val="clear" w:color="auto" w:fill="CFF0FC"/>
          </w:tcPr>
          <w:p>
            <w:pPr>
              <w:spacing w:after="0"/>
              <w:rPr>
                <w:sz w:val="19"/>
                <w:szCs w:val="19"/>
                <w:color w:val="auto"/>
              </w:rPr>
            </w:pPr>
          </w:p>
        </w:tc>
      </w:tr>
      <w:tr>
        <w:trPr>
          <w:trHeight w:val="243"/>
        </w:trPr>
        <w:tc>
          <w:tcPr>
            <w:tcW w:w="5020" w:type="dxa"/>
            <w:vAlign w:val="bottom"/>
          </w:tcPr>
          <w:p>
            <w:pPr>
              <w:ind w:left="20"/>
              <w:spacing w:after="0" w:line="243" w:lineRule="exact"/>
              <w:rPr>
                <w:sz w:val="20"/>
                <w:szCs w:val="20"/>
                <w:color w:val="auto"/>
              </w:rPr>
            </w:pPr>
            <w:r>
              <w:rPr>
                <w:rFonts w:ascii="Times New Roman" w:cs="Times New Roman" w:eastAsia="Times New Roman" w:hAnsi="Times New Roman"/>
                <w:sz w:val="18"/>
                <w:szCs w:val="18"/>
                <w:color w:val="auto"/>
              </w:rPr>
              <w:t xml:space="preserve">Operating unit profit: </w:t>
            </w:r>
            <w:r>
              <w:rPr>
                <w:rFonts w:ascii="Times New Roman" w:cs="Times New Roman" w:eastAsia="Times New Roman" w:hAnsi="Times New Roman"/>
                <w:sz w:val="24"/>
                <w:szCs w:val="24"/>
                <w:color w:val="auto"/>
                <w:vertAlign w:val="superscript"/>
              </w:rPr>
              <w:t>(c)</w:t>
            </w:r>
          </w:p>
        </w:tc>
        <w:tc>
          <w:tcPr>
            <w:tcW w:w="22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tcPr>
          <w:p>
            <w:pPr>
              <w:spacing w:after="0"/>
              <w:rPr>
                <w:sz w:val="21"/>
                <w:szCs w:val="21"/>
                <w:color w:val="auto"/>
              </w:rPr>
            </w:pPr>
          </w:p>
        </w:tc>
      </w:tr>
      <w:tr>
        <w:trPr>
          <w:trHeight w:val="243"/>
        </w:trPr>
        <w:tc>
          <w:tcPr>
            <w:tcW w:w="50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Americas:</w:t>
            </w:r>
          </w:p>
        </w:tc>
        <w:tc>
          <w:tcPr>
            <w:tcW w:w="220" w:type="dxa"/>
            <w:vAlign w:val="bottom"/>
            <w:shd w:val="clear" w:color="auto" w:fill="CFF0FC"/>
          </w:tcPr>
          <w:p>
            <w:pPr>
              <w:spacing w:after="0"/>
              <w:rPr>
                <w:sz w:val="21"/>
                <w:szCs w:val="21"/>
                <w:color w:val="auto"/>
              </w:rPr>
            </w:pPr>
          </w:p>
        </w:tc>
        <w:tc>
          <w:tcPr>
            <w:tcW w:w="128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16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20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160" w:type="dxa"/>
            <w:vAlign w:val="bottom"/>
            <w:shd w:val="clear" w:color="auto" w:fill="CFF0FC"/>
          </w:tcPr>
          <w:p>
            <w:pPr>
              <w:spacing w:after="0"/>
              <w:rPr>
                <w:sz w:val="21"/>
                <w:szCs w:val="21"/>
                <w:color w:val="auto"/>
              </w:rPr>
            </w:pPr>
          </w:p>
        </w:tc>
      </w:tr>
      <w:tr>
        <w:trPr>
          <w:trHeight w:val="239"/>
        </w:trPr>
        <w:tc>
          <w:tcPr>
            <w:tcW w:w="50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United States</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27.4</w:t>
            </w:r>
          </w:p>
        </w:tc>
        <w:tc>
          <w:tcPr>
            <w:tcW w:w="4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23.1</w:t>
            </w:r>
          </w:p>
        </w:tc>
        <w:tc>
          <w:tcPr>
            <w:tcW w:w="3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39.4</w:t>
            </w:r>
          </w:p>
        </w:tc>
        <w:tc>
          <w:tcPr>
            <w:tcW w:w="4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53.1</w:t>
            </w:r>
          </w:p>
        </w:tc>
      </w:tr>
      <w:tr>
        <w:trPr>
          <w:trHeight w:val="243"/>
        </w:trPr>
        <w:tc>
          <w:tcPr>
            <w:tcW w:w="5020" w:type="dxa"/>
            <w:vAlign w:val="bottom"/>
            <w:tcBorders>
              <w:bottom w:val="single" w:sz="8" w:color="CFF0FC"/>
            </w:tcBorders>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Other Americas</w:t>
            </w:r>
          </w:p>
        </w:tc>
        <w:tc>
          <w:tcPr>
            <w:tcW w:w="220" w:type="dxa"/>
            <w:vAlign w:val="bottom"/>
            <w:tcBorders>
              <w:bottom w:val="single" w:sz="8" w:color="auto"/>
            </w:tcBorders>
            <w:shd w:val="clear" w:color="auto" w:fill="CFF0FC"/>
          </w:tcPr>
          <w:p>
            <w:pPr>
              <w:spacing w:after="0"/>
              <w:rPr>
                <w:sz w:val="21"/>
                <w:szCs w:val="21"/>
                <w:color w:val="auto"/>
              </w:rPr>
            </w:pPr>
          </w:p>
        </w:tc>
        <w:tc>
          <w:tcPr>
            <w:tcW w:w="128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17.7</w:t>
            </w:r>
          </w:p>
        </w:tc>
        <w:tc>
          <w:tcPr>
            <w:tcW w:w="120" w:type="dxa"/>
            <w:vAlign w:val="bottom"/>
            <w:tcBorders>
              <w:bottom w:val="single" w:sz="8" w:color="CFF0FC"/>
            </w:tcBorders>
            <w:shd w:val="clear" w:color="auto" w:fill="CFF0FC"/>
          </w:tcPr>
          <w:p>
            <w:pPr>
              <w:spacing w:after="0"/>
              <w:rPr>
                <w:sz w:val="21"/>
                <w:szCs w:val="21"/>
                <w:color w:val="auto"/>
              </w:rPr>
            </w:pPr>
          </w:p>
        </w:tc>
        <w:tc>
          <w:tcPr>
            <w:tcW w:w="300" w:type="dxa"/>
            <w:vAlign w:val="bottom"/>
            <w:tcBorders>
              <w:bottom w:val="single" w:sz="8" w:color="auto"/>
            </w:tcBorders>
            <w:shd w:val="clear" w:color="auto" w:fill="CFF0FC"/>
          </w:tcPr>
          <w:p>
            <w:pPr>
              <w:spacing w:after="0"/>
              <w:rPr>
                <w:sz w:val="21"/>
                <w:szCs w:val="21"/>
                <w:color w:val="auto"/>
              </w:rPr>
            </w:pPr>
          </w:p>
        </w:tc>
        <w:tc>
          <w:tcPr>
            <w:tcW w:w="116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20.1</w:t>
            </w:r>
          </w:p>
        </w:tc>
        <w:tc>
          <w:tcPr>
            <w:tcW w:w="100" w:type="dxa"/>
            <w:vAlign w:val="bottom"/>
            <w:tcBorders>
              <w:bottom w:val="single" w:sz="8" w:color="CFF0FC"/>
            </w:tcBorders>
            <w:shd w:val="clear" w:color="auto" w:fill="CFF0FC"/>
          </w:tcPr>
          <w:p>
            <w:pPr>
              <w:spacing w:after="0"/>
              <w:rPr>
                <w:sz w:val="21"/>
                <w:szCs w:val="21"/>
                <w:color w:val="auto"/>
              </w:rPr>
            </w:pPr>
          </w:p>
        </w:tc>
        <w:tc>
          <w:tcPr>
            <w:tcW w:w="260" w:type="dxa"/>
            <w:vAlign w:val="bottom"/>
            <w:tcBorders>
              <w:bottom w:val="single" w:sz="8" w:color="auto"/>
            </w:tcBorders>
            <w:shd w:val="clear" w:color="auto" w:fill="CFF0FC"/>
          </w:tcPr>
          <w:p>
            <w:pPr>
              <w:spacing w:after="0"/>
              <w:rPr>
                <w:sz w:val="21"/>
                <w:szCs w:val="21"/>
                <w:color w:val="auto"/>
              </w:rPr>
            </w:pPr>
          </w:p>
        </w:tc>
        <w:tc>
          <w:tcPr>
            <w:tcW w:w="120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31.8</w:t>
            </w:r>
          </w:p>
        </w:tc>
        <w:tc>
          <w:tcPr>
            <w:tcW w:w="100" w:type="dxa"/>
            <w:vAlign w:val="bottom"/>
            <w:tcBorders>
              <w:bottom w:val="single" w:sz="8" w:color="CFF0FC"/>
            </w:tcBorders>
            <w:shd w:val="clear" w:color="auto" w:fill="CFF0FC"/>
          </w:tcPr>
          <w:p>
            <w:pPr>
              <w:spacing w:after="0"/>
              <w:rPr>
                <w:sz w:val="21"/>
                <w:szCs w:val="21"/>
                <w:color w:val="auto"/>
              </w:rPr>
            </w:pPr>
          </w:p>
        </w:tc>
        <w:tc>
          <w:tcPr>
            <w:tcW w:w="320" w:type="dxa"/>
            <w:vAlign w:val="bottom"/>
            <w:tcBorders>
              <w:bottom w:val="single" w:sz="8" w:color="auto"/>
            </w:tcBorders>
            <w:shd w:val="clear" w:color="auto" w:fill="CFF0FC"/>
          </w:tcPr>
          <w:p>
            <w:pPr>
              <w:spacing w:after="0"/>
              <w:rPr>
                <w:sz w:val="21"/>
                <w:szCs w:val="21"/>
                <w:color w:val="auto"/>
              </w:rPr>
            </w:pPr>
          </w:p>
        </w:tc>
        <w:tc>
          <w:tcPr>
            <w:tcW w:w="116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38.7</w:t>
            </w:r>
          </w:p>
        </w:tc>
      </w:tr>
      <w:tr>
        <w:trPr>
          <w:trHeight w:val="237"/>
        </w:trPr>
        <w:tc>
          <w:tcPr>
            <w:tcW w:w="50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45.1</w:t>
            </w:r>
          </w:p>
        </w:tc>
        <w:tc>
          <w:tcPr>
            <w:tcW w:w="12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43.2</w:t>
            </w:r>
          </w:p>
        </w:tc>
        <w:tc>
          <w:tcPr>
            <w:tcW w:w="10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71.2</w:t>
            </w:r>
          </w:p>
        </w:tc>
        <w:tc>
          <w:tcPr>
            <w:tcW w:w="10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91.8</w:t>
            </w:r>
          </w:p>
        </w:tc>
      </w:tr>
      <w:tr>
        <w:trPr>
          <w:trHeight w:val="241"/>
        </w:trPr>
        <w:tc>
          <w:tcPr>
            <w:tcW w:w="50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Southern Europe:</w:t>
            </w:r>
          </w:p>
        </w:tc>
        <w:tc>
          <w:tcPr>
            <w:tcW w:w="220" w:type="dxa"/>
            <w:vAlign w:val="bottom"/>
            <w:shd w:val="clear" w:color="auto" w:fill="CFF0FC"/>
          </w:tcPr>
          <w:p>
            <w:pPr>
              <w:spacing w:after="0"/>
              <w:rPr>
                <w:sz w:val="20"/>
                <w:szCs w:val="20"/>
                <w:color w:val="auto"/>
              </w:rPr>
            </w:pPr>
          </w:p>
        </w:tc>
        <w:tc>
          <w:tcPr>
            <w:tcW w:w="128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116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120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1160" w:type="dxa"/>
            <w:vAlign w:val="bottom"/>
            <w:shd w:val="clear" w:color="auto" w:fill="CFF0FC"/>
          </w:tcPr>
          <w:p>
            <w:pPr>
              <w:spacing w:after="0"/>
              <w:rPr>
                <w:sz w:val="20"/>
                <w:szCs w:val="20"/>
                <w:color w:val="auto"/>
              </w:rPr>
            </w:pPr>
          </w:p>
        </w:tc>
      </w:tr>
      <w:tr>
        <w:trPr>
          <w:trHeight w:val="239"/>
        </w:trPr>
        <w:tc>
          <w:tcPr>
            <w:tcW w:w="50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France</w:t>
            </w:r>
          </w:p>
        </w:tc>
        <w:tc>
          <w:tcPr>
            <w:tcW w:w="220" w:type="dxa"/>
            <w:vAlign w:val="bottom"/>
          </w:tcPr>
          <w:p>
            <w:pPr>
              <w:spacing w:after="0"/>
              <w:rPr>
                <w:sz w:val="20"/>
                <w:szCs w:val="20"/>
                <w:color w:val="auto"/>
              </w:rPr>
            </w:pPr>
          </w:p>
        </w:tc>
        <w:tc>
          <w:tcPr>
            <w:tcW w:w="12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40.3</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49.5</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73.4</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94.4</w:t>
            </w:r>
          </w:p>
        </w:tc>
      </w:tr>
      <w:tr>
        <w:trPr>
          <w:trHeight w:val="247"/>
        </w:trPr>
        <w:tc>
          <w:tcPr>
            <w:tcW w:w="502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Italy</w:t>
            </w:r>
          </w:p>
        </w:tc>
        <w:tc>
          <w:tcPr>
            <w:tcW w:w="220" w:type="dxa"/>
            <w:vAlign w:val="bottom"/>
            <w:shd w:val="clear" w:color="auto" w:fill="CFF0FC"/>
          </w:tcPr>
          <w:p>
            <w:pPr>
              <w:spacing w:after="0"/>
              <w:rPr>
                <w:sz w:val="21"/>
                <w:szCs w:val="21"/>
                <w:color w:val="auto"/>
              </w:rPr>
            </w:pPr>
          </w:p>
        </w:tc>
        <w:tc>
          <w:tcPr>
            <w:tcW w:w="128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34.0</w:t>
            </w:r>
          </w:p>
        </w:tc>
        <w:tc>
          <w:tcPr>
            <w:tcW w:w="12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16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36.3</w:t>
            </w:r>
          </w:p>
        </w:tc>
        <w:tc>
          <w:tcPr>
            <w:tcW w:w="10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20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61.4</w:t>
            </w:r>
          </w:p>
        </w:tc>
        <w:tc>
          <w:tcPr>
            <w:tcW w:w="10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16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67.0</w:t>
            </w:r>
          </w:p>
        </w:tc>
      </w:tr>
      <w:tr>
        <w:trPr>
          <w:trHeight w:val="239"/>
        </w:trPr>
        <w:tc>
          <w:tcPr>
            <w:tcW w:w="50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Other Southern Europe</w:t>
            </w:r>
          </w:p>
        </w:tc>
        <w:tc>
          <w:tcPr>
            <w:tcW w:w="22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8.9</w:t>
            </w:r>
          </w:p>
        </w:tc>
        <w:tc>
          <w:tcPr>
            <w:tcW w:w="12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6.8</w:t>
            </w:r>
          </w:p>
        </w:tc>
        <w:tc>
          <w:tcPr>
            <w:tcW w:w="10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18.3</w:t>
            </w:r>
          </w:p>
        </w:tc>
        <w:tc>
          <w:tcPr>
            <w:tcW w:w="10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21.1</w:t>
            </w:r>
          </w:p>
        </w:tc>
      </w:tr>
      <w:tr>
        <w:trPr>
          <w:trHeight w:val="237"/>
        </w:trPr>
        <w:tc>
          <w:tcPr>
            <w:tcW w:w="5020" w:type="dxa"/>
            <w:vAlign w:val="bottom"/>
            <w:tcBorders>
              <w:bottom w:val="single" w:sz="8" w:color="CFF0FC"/>
            </w:tcBorders>
            <w:shd w:val="clear" w:color="auto" w:fill="CFF0FC"/>
          </w:tcPr>
          <w:p>
            <w:pPr>
              <w:spacing w:after="0"/>
              <w:rPr>
                <w:sz w:val="20"/>
                <w:szCs w:val="20"/>
                <w:color w:val="auto"/>
              </w:rPr>
            </w:pPr>
          </w:p>
        </w:tc>
        <w:tc>
          <w:tcPr>
            <w:tcW w:w="220" w:type="dxa"/>
            <w:vAlign w:val="bottom"/>
            <w:tcBorders>
              <w:bottom w:val="single" w:sz="8" w:color="auto"/>
            </w:tcBorders>
            <w:shd w:val="clear" w:color="auto" w:fill="CFF0FC"/>
          </w:tcPr>
          <w:p>
            <w:pPr>
              <w:spacing w:after="0"/>
              <w:rPr>
                <w:sz w:val="20"/>
                <w:szCs w:val="20"/>
                <w:color w:val="auto"/>
              </w:rPr>
            </w:pPr>
          </w:p>
        </w:tc>
        <w:tc>
          <w:tcPr>
            <w:tcW w:w="128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83.2</w:t>
            </w:r>
          </w:p>
        </w:tc>
        <w:tc>
          <w:tcPr>
            <w:tcW w:w="120" w:type="dxa"/>
            <w:vAlign w:val="bottom"/>
            <w:tcBorders>
              <w:bottom w:val="single" w:sz="8" w:color="CFF0FC"/>
            </w:tcBorders>
            <w:shd w:val="clear" w:color="auto" w:fill="CFF0FC"/>
          </w:tcPr>
          <w:p>
            <w:pPr>
              <w:spacing w:after="0"/>
              <w:rPr>
                <w:sz w:val="20"/>
                <w:szCs w:val="20"/>
                <w:color w:val="auto"/>
              </w:rPr>
            </w:pPr>
          </w:p>
        </w:tc>
        <w:tc>
          <w:tcPr>
            <w:tcW w:w="300" w:type="dxa"/>
            <w:vAlign w:val="bottom"/>
            <w:tcBorders>
              <w:bottom w:val="single" w:sz="8" w:color="auto"/>
            </w:tcBorders>
            <w:shd w:val="clear" w:color="auto" w:fill="CFF0FC"/>
          </w:tcPr>
          <w:p>
            <w:pPr>
              <w:spacing w:after="0"/>
              <w:rPr>
                <w:sz w:val="20"/>
                <w:szCs w:val="20"/>
                <w:color w:val="auto"/>
              </w:rPr>
            </w:pPr>
          </w:p>
        </w:tc>
        <w:tc>
          <w:tcPr>
            <w:tcW w:w="116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92.6</w:t>
            </w:r>
          </w:p>
        </w:tc>
        <w:tc>
          <w:tcPr>
            <w:tcW w:w="100" w:type="dxa"/>
            <w:vAlign w:val="bottom"/>
            <w:tcBorders>
              <w:bottom w:val="single" w:sz="8" w:color="CFF0FC"/>
            </w:tcBorders>
            <w:shd w:val="clear" w:color="auto" w:fill="CFF0FC"/>
          </w:tcPr>
          <w:p>
            <w:pPr>
              <w:spacing w:after="0"/>
              <w:rPr>
                <w:sz w:val="20"/>
                <w:szCs w:val="20"/>
                <w:color w:val="auto"/>
              </w:rPr>
            </w:pPr>
          </w:p>
        </w:tc>
        <w:tc>
          <w:tcPr>
            <w:tcW w:w="260" w:type="dxa"/>
            <w:vAlign w:val="bottom"/>
            <w:tcBorders>
              <w:bottom w:val="single" w:sz="8" w:color="auto"/>
            </w:tcBorders>
            <w:shd w:val="clear" w:color="auto" w:fill="CFF0FC"/>
          </w:tcPr>
          <w:p>
            <w:pPr>
              <w:spacing w:after="0"/>
              <w:rPr>
                <w:sz w:val="20"/>
                <w:szCs w:val="20"/>
                <w:color w:val="auto"/>
              </w:rPr>
            </w:pPr>
          </w:p>
        </w:tc>
        <w:tc>
          <w:tcPr>
            <w:tcW w:w="120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153.1</w:t>
            </w:r>
          </w:p>
        </w:tc>
        <w:tc>
          <w:tcPr>
            <w:tcW w:w="100" w:type="dxa"/>
            <w:vAlign w:val="bottom"/>
            <w:tcBorders>
              <w:bottom w:val="single" w:sz="8" w:color="CFF0FC"/>
            </w:tcBorders>
            <w:shd w:val="clear" w:color="auto" w:fill="CFF0FC"/>
          </w:tcPr>
          <w:p>
            <w:pPr>
              <w:spacing w:after="0"/>
              <w:rPr>
                <w:sz w:val="20"/>
                <w:szCs w:val="20"/>
                <w:color w:val="auto"/>
              </w:rPr>
            </w:pPr>
          </w:p>
        </w:tc>
        <w:tc>
          <w:tcPr>
            <w:tcW w:w="320" w:type="dxa"/>
            <w:vAlign w:val="bottom"/>
            <w:tcBorders>
              <w:bottom w:val="single" w:sz="8" w:color="auto"/>
            </w:tcBorders>
            <w:shd w:val="clear" w:color="auto" w:fill="CFF0FC"/>
          </w:tcPr>
          <w:p>
            <w:pPr>
              <w:spacing w:after="0"/>
              <w:rPr>
                <w:sz w:val="20"/>
                <w:szCs w:val="20"/>
                <w:color w:val="auto"/>
              </w:rPr>
            </w:pPr>
          </w:p>
        </w:tc>
        <w:tc>
          <w:tcPr>
            <w:tcW w:w="116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182.5</w:t>
            </w:r>
          </w:p>
        </w:tc>
      </w:tr>
      <w:tr>
        <w:trPr>
          <w:trHeight w:val="241"/>
        </w:trPr>
        <w:tc>
          <w:tcPr>
            <w:tcW w:w="50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60" w:type="dxa"/>
            <w:vAlign w:val="bottom"/>
          </w:tcPr>
          <w:p>
            <w:pPr>
              <w:spacing w:after="0"/>
              <w:rPr>
                <w:sz w:val="20"/>
                <w:szCs w:val="20"/>
                <w:color w:val="auto"/>
              </w:rPr>
            </w:pPr>
          </w:p>
        </w:tc>
      </w:tr>
      <w:tr>
        <w:trPr>
          <w:trHeight w:val="243"/>
        </w:trPr>
        <w:tc>
          <w:tcPr>
            <w:tcW w:w="50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Northern Europe</w:t>
            </w:r>
          </w:p>
        </w:tc>
        <w:tc>
          <w:tcPr>
            <w:tcW w:w="220" w:type="dxa"/>
            <w:vAlign w:val="bottom"/>
            <w:shd w:val="clear" w:color="auto" w:fill="CFF0FC"/>
          </w:tcPr>
          <w:p>
            <w:pPr>
              <w:spacing w:after="0"/>
              <w:rPr>
                <w:sz w:val="21"/>
                <w:szCs w:val="21"/>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(2.4 )</w:t>
            </w:r>
          </w:p>
        </w:tc>
        <w:tc>
          <w:tcPr>
            <w:tcW w:w="12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(9.7 )</w:t>
            </w:r>
          </w:p>
        </w:tc>
        <w:tc>
          <w:tcPr>
            <w:tcW w:w="10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(2.4 )</w:t>
            </w:r>
          </w:p>
        </w:tc>
        <w:tc>
          <w:tcPr>
            <w:tcW w:w="10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(4.7 )</w:t>
            </w:r>
          </w:p>
        </w:tc>
      </w:tr>
      <w:tr>
        <w:trPr>
          <w:trHeight w:val="239"/>
        </w:trPr>
        <w:tc>
          <w:tcPr>
            <w:tcW w:w="50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APME</w:t>
            </w:r>
          </w:p>
        </w:tc>
        <w:tc>
          <w:tcPr>
            <w:tcW w:w="22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25.0</w:t>
            </w:r>
          </w:p>
        </w:tc>
        <w:tc>
          <w:tcPr>
            <w:tcW w:w="12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25.7</w:t>
            </w:r>
          </w:p>
        </w:tc>
        <w:tc>
          <w:tcPr>
            <w:tcW w:w="10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44.9</w:t>
            </w:r>
          </w:p>
        </w:tc>
        <w:tc>
          <w:tcPr>
            <w:tcW w:w="10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46.8</w:t>
            </w:r>
          </w:p>
        </w:tc>
      </w:tr>
      <w:tr>
        <w:trPr>
          <w:trHeight w:val="237"/>
        </w:trPr>
        <w:tc>
          <w:tcPr>
            <w:tcW w:w="5020" w:type="dxa"/>
            <w:vAlign w:val="bottom"/>
            <w:tcBorders>
              <w:bottom w:val="single" w:sz="8" w:color="CFF0FC"/>
            </w:tcBorders>
            <w:shd w:val="clear" w:color="auto" w:fill="CFF0FC"/>
          </w:tcPr>
          <w:p>
            <w:pPr>
              <w:spacing w:after="0"/>
              <w:rPr>
                <w:sz w:val="20"/>
                <w:szCs w:val="20"/>
                <w:color w:val="auto"/>
              </w:rPr>
            </w:pPr>
          </w:p>
        </w:tc>
        <w:tc>
          <w:tcPr>
            <w:tcW w:w="220" w:type="dxa"/>
            <w:vAlign w:val="bottom"/>
            <w:tcBorders>
              <w:bottom w:val="single" w:sz="8" w:color="auto"/>
            </w:tcBorders>
            <w:shd w:val="clear" w:color="auto" w:fill="CFF0FC"/>
          </w:tcPr>
          <w:p>
            <w:pPr>
              <w:spacing w:after="0"/>
              <w:rPr>
                <w:sz w:val="20"/>
                <w:szCs w:val="20"/>
                <w:color w:val="auto"/>
              </w:rPr>
            </w:pPr>
          </w:p>
        </w:tc>
        <w:tc>
          <w:tcPr>
            <w:tcW w:w="128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150.9</w:t>
            </w:r>
          </w:p>
        </w:tc>
        <w:tc>
          <w:tcPr>
            <w:tcW w:w="120" w:type="dxa"/>
            <w:vAlign w:val="bottom"/>
            <w:tcBorders>
              <w:bottom w:val="single" w:sz="8" w:color="CFF0FC"/>
            </w:tcBorders>
            <w:shd w:val="clear" w:color="auto" w:fill="CFF0FC"/>
          </w:tcPr>
          <w:p>
            <w:pPr>
              <w:spacing w:after="0"/>
              <w:rPr>
                <w:sz w:val="20"/>
                <w:szCs w:val="20"/>
                <w:color w:val="auto"/>
              </w:rPr>
            </w:pPr>
          </w:p>
        </w:tc>
        <w:tc>
          <w:tcPr>
            <w:tcW w:w="300" w:type="dxa"/>
            <w:vAlign w:val="bottom"/>
            <w:tcBorders>
              <w:bottom w:val="single" w:sz="8" w:color="auto"/>
            </w:tcBorders>
            <w:shd w:val="clear" w:color="auto" w:fill="CFF0FC"/>
          </w:tcPr>
          <w:p>
            <w:pPr>
              <w:spacing w:after="0"/>
              <w:rPr>
                <w:sz w:val="20"/>
                <w:szCs w:val="20"/>
                <w:color w:val="auto"/>
              </w:rPr>
            </w:pPr>
          </w:p>
        </w:tc>
        <w:tc>
          <w:tcPr>
            <w:tcW w:w="116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151.8</w:t>
            </w:r>
          </w:p>
        </w:tc>
        <w:tc>
          <w:tcPr>
            <w:tcW w:w="100" w:type="dxa"/>
            <w:vAlign w:val="bottom"/>
            <w:tcBorders>
              <w:bottom w:val="single" w:sz="8" w:color="CFF0FC"/>
            </w:tcBorders>
            <w:shd w:val="clear" w:color="auto" w:fill="CFF0FC"/>
          </w:tcPr>
          <w:p>
            <w:pPr>
              <w:spacing w:after="0"/>
              <w:rPr>
                <w:sz w:val="20"/>
                <w:szCs w:val="20"/>
                <w:color w:val="auto"/>
              </w:rPr>
            </w:pPr>
          </w:p>
        </w:tc>
        <w:tc>
          <w:tcPr>
            <w:tcW w:w="260" w:type="dxa"/>
            <w:vAlign w:val="bottom"/>
            <w:tcBorders>
              <w:bottom w:val="single" w:sz="8" w:color="auto"/>
            </w:tcBorders>
            <w:shd w:val="clear" w:color="auto" w:fill="CFF0FC"/>
          </w:tcPr>
          <w:p>
            <w:pPr>
              <w:spacing w:after="0"/>
              <w:rPr>
                <w:sz w:val="20"/>
                <w:szCs w:val="20"/>
                <w:color w:val="auto"/>
              </w:rPr>
            </w:pPr>
          </w:p>
        </w:tc>
        <w:tc>
          <w:tcPr>
            <w:tcW w:w="120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266.8</w:t>
            </w:r>
          </w:p>
        </w:tc>
        <w:tc>
          <w:tcPr>
            <w:tcW w:w="100" w:type="dxa"/>
            <w:vAlign w:val="bottom"/>
            <w:tcBorders>
              <w:bottom w:val="single" w:sz="8" w:color="CFF0FC"/>
            </w:tcBorders>
            <w:shd w:val="clear" w:color="auto" w:fill="CFF0FC"/>
          </w:tcPr>
          <w:p>
            <w:pPr>
              <w:spacing w:after="0"/>
              <w:rPr>
                <w:sz w:val="20"/>
                <w:szCs w:val="20"/>
                <w:color w:val="auto"/>
              </w:rPr>
            </w:pPr>
          </w:p>
        </w:tc>
        <w:tc>
          <w:tcPr>
            <w:tcW w:w="320" w:type="dxa"/>
            <w:vAlign w:val="bottom"/>
            <w:tcBorders>
              <w:bottom w:val="single" w:sz="8" w:color="auto"/>
            </w:tcBorders>
            <w:shd w:val="clear" w:color="auto" w:fill="CFF0FC"/>
          </w:tcPr>
          <w:p>
            <w:pPr>
              <w:spacing w:after="0"/>
              <w:rPr>
                <w:sz w:val="20"/>
                <w:szCs w:val="20"/>
                <w:color w:val="auto"/>
              </w:rPr>
            </w:pPr>
          </w:p>
        </w:tc>
        <w:tc>
          <w:tcPr>
            <w:tcW w:w="116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316.4</w:t>
            </w:r>
          </w:p>
        </w:tc>
      </w:tr>
      <w:tr>
        <w:trPr>
          <w:trHeight w:val="237"/>
        </w:trPr>
        <w:tc>
          <w:tcPr>
            <w:tcW w:w="5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Corporate expenses</w:t>
            </w:r>
          </w:p>
        </w:tc>
        <w:tc>
          <w:tcPr>
            <w:tcW w:w="22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(41.7 )</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(35.5 )</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(83.4 )</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(73.4 )</w:t>
            </w:r>
          </w:p>
        </w:tc>
      </w:tr>
      <w:tr>
        <w:trPr>
          <w:trHeight w:val="243"/>
        </w:trPr>
        <w:tc>
          <w:tcPr>
            <w:tcW w:w="50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Intangible asset amortization expense</w:t>
            </w:r>
          </w:p>
        </w:tc>
        <w:tc>
          <w:tcPr>
            <w:tcW w:w="220" w:type="dxa"/>
            <w:vAlign w:val="bottom"/>
            <w:tcBorders>
              <w:bottom w:val="single" w:sz="8" w:color="auto"/>
            </w:tcBorders>
            <w:shd w:val="clear" w:color="auto" w:fill="CFF0FC"/>
          </w:tcPr>
          <w:p>
            <w:pPr>
              <w:spacing w:after="0"/>
              <w:rPr>
                <w:sz w:val="21"/>
                <w:szCs w:val="21"/>
                <w:color w:val="auto"/>
              </w:rPr>
            </w:pPr>
          </w:p>
        </w:tc>
        <w:tc>
          <w:tcPr>
            <w:tcW w:w="12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(8.1 )</w:t>
            </w:r>
          </w:p>
        </w:tc>
        <w:tc>
          <w:tcPr>
            <w:tcW w:w="120" w:type="dxa"/>
            <w:vAlign w:val="bottom"/>
            <w:tcBorders>
              <w:bottom w:val="single" w:sz="8" w:color="CFF0FC"/>
            </w:tcBorders>
            <w:shd w:val="clear" w:color="auto" w:fill="CFF0FC"/>
          </w:tcPr>
          <w:p>
            <w:pPr>
              <w:spacing w:after="0"/>
              <w:rPr>
                <w:sz w:val="21"/>
                <w:szCs w:val="21"/>
                <w:color w:val="auto"/>
              </w:rPr>
            </w:pPr>
          </w:p>
        </w:tc>
        <w:tc>
          <w:tcPr>
            <w:tcW w:w="300" w:type="dxa"/>
            <w:vAlign w:val="bottom"/>
            <w:tcBorders>
              <w:bottom w:val="single" w:sz="8" w:color="auto"/>
            </w:tcBorders>
            <w:shd w:val="clear" w:color="auto" w:fill="CFF0FC"/>
          </w:tcPr>
          <w:p>
            <w:pPr>
              <w:spacing w:after="0"/>
              <w:rPr>
                <w:sz w:val="21"/>
                <w:szCs w:val="21"/>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(8.7 )</w:t>
            </w:r>
          </w:p>
        </w:tc>
        <w:tc>
          <w:tcPr>
            <w:tcW w:w="100" w:type="dxa"/>
            <w:vAlign w:val="bottom"/>
            <w:tcBorders>
              <w:bottom w:val="single" w:sz="8" w:color="CFF0FC"/>
            </w:tcBorders>
            <w:shd w:val="clear" w:color="auto" w:fill="CFF0FC"/>
          </w:tcPr>
          <w:p>
            <w:pPr>
              <w:spacing w:after="0"/>
              <w:rPr>
                <w:sz w:val="21"/>
                <w:szCs w:val="21"/>
                <w:color w:val="auto"/>
              </w:rPr>
            </w:pPr>
          </w:p>
        </w:tc>
        <w:tc>
          <w:tcPr>
            <w:tcW w:w="260" w:type="dxa"/>
            <w:vAlign w:val="bottom"/>
            <w:tcBorders>
              <w:bottom w:val="single" w:sz="8" w:color="auto"/>
            </w:tcBorders>
            <w:shd w:val="clear" w:color="auto" w:fill="CFF0FC"/>
          </w:tcPr>
          <w:p>
            <w:pPr>
              <w:spacing w:after="0"/>
              <w:rPr>
                <w:sz w:val="21"/>
                <w:szCs w:val="21"/>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(16.4 )</w:t>
            </w:r>
          </w:p>
        </w:tc>
        <w:tc>
          <w:tcPr>
            <w:tcW w:w="100" w:type="dxa"/>
            <w:vAlign w:val="bottom"/>
            <w:tcBorders>
              <w:bottom w:val="single" w:sz="8" w:color="CFF0FC"/>
            </w:tcBorders>
            <w:shd w:val="clear" w:color="auto" w:fill="CFF0FC"/>
          </w:tcPr>
          <w:p>
            <w:pPr>
              <w:spacing w:after="0"/>
              <w:rPr>
                <w:sz w:val="21"/>
                <w:szCs w:val="21"/>
                <w:color w:val="auto"/>
              </w:rPr>
            </w:pPr>
          </w:p>
        </w:tc>
        <w:tc>
          <w:tcPr>
            <w:tcW w:w="320" w:type="dxa"/>
            <w:vAlign w:val="bottom"/>
            <w:tcBorders>
              <w:bottom w:val="single" w:sz="8" w:color="auto"/>
            </w:tcBorders>
            <w:shd w:val="clear" w:color="auto" w:fill="CFF0FC"/>
          </w:tcPr>
          <w:p>
            <w:pPr>
              <w:spacing w:after="0"/>
              <w:rPr>
                <w:sz w:val="21"/>
                <w:szCs w:val="21"/>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(17.5 )</w:t>
            </w:r>
          </w:p>
        </w:tc>
      </w:tr>
      <w:tr>
        <w:trPr>
          <w:trHeight w:val="236"/>
        </w:trPr>
        <w:tc>
          <w:tcPr>
            <w:tcW w:w="502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Operating profit</w:t>
            </w:r>
          </w:p>
        </w:tc>
        <w:tc>
          <w:tcPr>
            <w:tcW w:w="220" w:type="dxa"/>
            <w:vAlign w:val="bottom"/>
          </w:tcPr>
          <w:p>
            <w:pPr>
              <w:spacing w:after="0"/>
              <w:rPr>
                <w:sz w:val="20"/>
                <w:szCs w:val="20"/>
                <w:color w:val="auto"/>
              </w:rPr>
            </w:pPr>
          </w:p>
        </w:tc>
        <w:tc>
          <w:tcPr>
            <w:tcW w:w="12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101.1</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107.6</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167.0</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225.5</w:t>
            </w:r>
          </w:p>
        </w:tc>
      </w:tr>
      <w:tr>
        <w:trPr>
          <w:trHeight w:val="243"/>
        </w:trPr>
        <w:tc>
          <w:tcPr>
            <w:tcW w:w="50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Interest and other expenses, net</w:t>
            </w:r>
          </w:p>
        </w:tc>
        <w:tc>
          <w:tcPr>
            <w:tcW w:w="220" w:type="dxa"/>
            <w:vAlign w:val="bottom"/>
            <w:tcBorders>
              <w:bottom w:val="single" w:sz="8" w:color="auto"/>
            </w:tcBorders>
            <w:shd w:val="clear" w:color="auto" w:fill="CFF0FC"/>
          </w:tcPr>
          <w:p>
            <w:pPr>
              <w:spacing w:after="0"/>
              <w:rPr>
                <w:sz w:val="21"/>
                <w:szCs w:val="21"/>
                <w:color w:val="auto"/>
              </w:rPr>
            </w:pPr>
          </w:p>
        </w:tc>
        <w:tc>
          <w:tcPr>
            <w:tcW w:w="12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(8.7 )</w:t>
            </w:r>
          </w:p>
        </w:tc>
        <w:tc>
          <w:tcPr>
            <w:tcW w:w="120" w:type="dxa"/>
            <w:vAlign w:val="bottom"/>
            <w:tcBorders>
              <w:bottom w:val="single" w:sz="8" w:color="CFF0FC"/>
            </w:tcBorders>
            <w:shd w:val="clear" w:color="auto" w:fill="CFF0FC"/>
          </w:tcPr>
          <w:p>
            <w:pPr>
              <w:spacing w:after="0"/>
              <w:rPr>
                <w:sz w:val="21"/>
                <w:szCs w:val="21"/>
                <w:color w:val="auto"/>
              </w:rPr>
            </w:pPr>
          </w:p>
        </w:tc>
        <w:tc>
          <w:tcPr>
            <w:tcW w:w="300" w:type="dxa"/>
            <w:vAlign w:val="bottom"/>
            <w:tcBorders>
              <w:bottom w:val="single" w:sz="8" w:color="auto"/>
            </w:tcBorders>
            <w:shd w:val="clear" w:color="auto" w:fill="CFF0FC"/>
          </w:tcPr>
          <w:p>
            <w:pPr>
              <w:spacing w:after="0"/>
              <w:rPr>
                <w:sz w:val="21"/>
                <w:szCs w:val="21"/>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(11.8 )</w:t>
            </w:r>
          </w:p>
        </w:tc>
        <w:tc>
          <w:tcPr>
            <w:tcW w:w="100" w:type="dxa"/>
            <w:vAlign w:val="bottom"/>
            <w:tcBorders>
              <w:bottom w:val="single" w:sz="8" w:color="CFF0FC"/>
            </w:tcBorders>
            <w:shd w:val="clear" w:color="auto" w:fill="CFF0FC"/>
          </w:tcPr>
          <w:p>
            <w:pPr>
              <w:spacing w:after="0"/>
              <w:rPr>
                <w:sz w:val="21"/>
                <w:szCs w:val="21"/>
                <w:color w:val="auto"/>
              </w:rPr>
            </w:pPr>
          </w:p>
        </w:tc>
        <w:tc>
          <w:tcPr>
            <w:tcW w:w="260" w:type="dxa"/>
            <w:vAlign w:val="bottom"/>
            <w:tcBorders>
              <w:bottom w:val="single" w:sz="8" w:color="auto"/>
            </w:tcBorders>
            <w:shd w:val="clear" w:color="auto" w:fill="CFF0FC"/>
          </w:tcPr>
          <w:p>
            <w:pPr>
              <w:spacing w:after="0"/>
              <w:rPr>
                <w:sz w:val="21"/>
                <w:szCs w:val="21"/>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(17.1 )</w:t>
            </w:r>
          </w:p>
        </w:tc>
        <w:tc>
          <w:tcPr>
            <w:tcW w:w="100" w:type="dxa"/>
            <w:vAlign w:val="bottom"/>
            <w:tcBorders>
              <w:bottom w:val="single" w:sz="8" w:color="CFF0FC"/>
            </w:tcBorders>
            <w:shd w:val="clear" w:color="auto" w:fill="CFF0FC"/>
          </w:tcPr>
          <w:p>
            <w:pPr>
              <w:spacing w:after="0"/>
              <w:rPr>
                <w:sz w:val="21"/>
                <w:szCs w:val="21"/>
                <w:color w:val="auto"/>
              </w:rPr>
            </w:pPr>
          </w:p>
        </w:tc>
        <w:tc>
          <w:tcPr>
            <w:tcW w:w="320" w:type="dxa"/>
            <w:vAlign w:val="bottom"/>
            <w:tcBorders>
              <w:bottom w:val="single" w:sz="8" w:color="auto"/>
            </w:tcBorders>
            <w:shd w:val="clear" w:color="auto" w:fill="CFF0FC"/>
          </w:tcPr>
          <w:p>
            <w:pPr>
              <w:spacing w:after="0"/>
              <w:rPr>
                <w:sz w:val="21"/>
                <w:szCs w:val="21"/>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(19.3 )</w:t>
            </w:r>
          </w:p>
        </w:tc>
      </w:tr>
      <w:tr>
        <w:trPr>
          <w:trHeight w:val="232"/>
        </w:trPr>
        <w:tc>
          <w:tcPr>
            <w:tcW w:w="502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Earnings before income taxes</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92.4</w:t>
            </w:r>
          </w:p>
        </w:tc>
        <w:tc>
          <w:tcPr>
            <w:tcW w:w="4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95.8</w:t>
            </w:r>
          </w:p>
        </w:tc>
        <w:tc>
          <w:tcPr>
            <w:tcW w:w="3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149.9</w:t>
            </w:r>
          </w:p>
        </w:tc>
        <w:tc>
          <w:tcPr>
            <w:tcW w:w="4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206.2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4137025</wp:posOffset>
            </wp:positionH>
            <wp:positionV relativeFrom="paragraph">
              <wp:posOffset>-4923155</wp:posOffset>
            </wp:positionV>
            <wp:extent cx="76835" cy="825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5139690</wp:posOffset>
            </wp:positionH>
            <wp:positionV relativeFrom="paragraph">
              <wp:posOffset>-4923155</wp:posOffset>
            </wp:positionV>
            <wp:extent cx="68580" cy="825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6134100</wp:posOffset>
            </wp:positionH>
            <wp:positionV relativeFrom="paragraph">
              <wp:posOffset>-4923155</wp:posOffset>
            </wp:positionV>
            <wp:extent cx="68580" cy="825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4137025</wp:posOffset>
            </wp:positionH>
            <wp:positionV relativeFrom="paragraph">
              <wp:posOffset>-4297045</wp:posOffset>
            </wp:positionV>
            <wp:extent cx="76835" cy="825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5139690</wp:posOffset>
            </wp:positionH>
            <wp:positionV relativeFrom="paragraph">
              <wp:posOffset>-4297045</wp:posOffset>
            </wp:positionV>
            <wp:extent cx="68580" cy="825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6134100</wp:posOffset>
            </wp:positionH>
            <wp:positionV relativeFrom="paragraph">
              <wp:posOffset>-4297045</wp:posOffset>
            </wp:positionV>
            <wp:extent cx="68580" cy="825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4137025</wp:posOffset>
            </wp:positionH>
            <wp:positionV relativeFrom="paragraph">
              <wp:posOffset>-3662680</wp:posOffset>
            </wp:positionV>
            <wp:extent cx="76835" cy="889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5139690</wp:posOffset>
            </wp:positionH>
            <wp:positionV relativeFrom="paragraph">
              <wp:posOffset>-3662680</wp:posOffset>
            </wp:positionV>
            <wp:extent cx="68580" cy="889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6134100</wp:posOffset>
            </wp:positionH>
            <wp:positionV relativeFrom="paragraph">
              <wp:posOffset>-3662680</wp:posOffset>
            </wp:positionV>
            <wp:extent cx="68580" cy="889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4137025</wp:posOffset>
            </wp:positionH>
            <wp:positionV relativeFrom="paragraph">
              <wp:posOffset>-3336925</wp:posOffset>
            </wp:positionV>
            <wp:extent cx="76835" cy="825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5139690</wp:posOffset>
            </wp:positionH>
            <wp:positionV relativeFrom="paragraph">
              <wp:posOffset>-3336925</wp:posOffset>
            </wp:positionV>
            <wp:extent cx="68580" cy="825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6134100</wp:posOffset>
            </wp:positionH>
            <wp:positionV relativeFrom="paragraph">
              <wp:posOffset>-3336925</wp:posOffset>
            </wp:positionV>
            <wp:extent cx="68580" cy="825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4137025</wp:posOffset>
            </wp:positionH>
            <wp:positionV relativeFrom="paragraph">
              <wp:posOffset>-2376805</wp:posOffset>
            </wp:positionV>
            <wp:extent cx="76835" cy="825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5139690</wp:posOffset>
            </wp:positionH>
            <wp:positionV relativeFrom="paragraph">
              <wp:posOffset>-2376805</wp:posOffset>
            </wp:positionV>
            <wp:extent cx="68580" cy="825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6134100</wp:posOffset>
            </wp:positionH>
            <wp:positionV relativeFrom="paragraph">
              <wp:posOffset>-2376805</wp:posOffset>
            </wp:positionV>
            <wp:extent cx="68580" cy="825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4137025</wp:posOffset>
            </wp:positionH>
            <wp:positionV relativeFrom="paragraph">
              <wp:posOffset>-1425575</wp:posOffset>
            </wp:positionV>
            <wp:extent cx="76835" cy="825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5139690</wp:posOffset>
            </wp:positionH>
            <wp:positionV relativeFrom="paragraph">
              <wp:posOffset>-1425575</wp:posOffset>
            </wp:positionV>
            <wp:extent cx="68580" cy="825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6134100</wp:posOffset>
            </wp:positionH>
            <wp:positionV relativeFrom="paragraph">
              <wp:posOffset>-1425575</wp:posOffset>
            </wp:positionV>
            <wp:extent cx="68580" cy="825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4137025</wp:posOffset>
            </wp:positionH>
            <wp:positionV relativeFrom="paragraph">
              <wp:posOffset>-791210</wp:posOffset>
            </wp:positionV>
            <wp:extent cx="76835" cy="825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5139690</wp:posOffset>
            </wp:positionH>
            <wp:positionV relativeFrom="paragraph">
              <wp:posOffset>-791210</wp:posOffset>
            </wp:positionV>
            <wp:extent cx="68580" cy="825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6134100</wp:posOffset>
            </wp:positionH>
            <wp:positionV relativeFrom="paragraph">
              <wp:posOffset>-791210</wp:posOffset>
            </wp:positionV>
            <wp:extent cx="68580" cy="825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4137025</wp:posOffset>
            </wp:positionH>
            <wp:positionV relativeFrom="paragraph">
              <wp:posOffset>-473710</wp:posOffset>
            </wp:positionV>
            <wp:extent cx="76835" cy="825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5139690</wp:posOffset>
            </wp:positionH>
            <wp:positionV relativeFrom="paragraph">
              <wp:posOffset>-473710</wp:posOffset>
            </wp:positionV>
            <wp:extent cx="68580" cy="825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6134100</wp:posOffset>
            </wp:positionH>
            <wp:positionV relativeFrom="paragraph">
              <wp:posOffset>-473710</wp:posOffset>
            </wp:positionV>
            <wp:extent cx="68580" cy="825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4137025</wp:posOffset>
            </wp:positionH>
            <wp:positionV relativeFrom="paragraph">
              <wp:posOffset>-156845</wp:posOffset>
            </wp:positionV>
            <wp:extent cx="76835" cy="889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5139690</wp:posOffset>
            </wp:positionH>
            <wp:positionV relativeFrom="paragraph">
              <wp:posOffset>-156845</wp:posOffset>
            </wp:positionV>
            <wp:extent cx="68580" cy="889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6134100</wp:posOffset>
            </wp:positionH>
            <wp:positionV relativeFrom="paragraph">
              <wp:posOffset>-156845</wp:posOffset>
            </wp:positionV>
            <wp:extent cx="68580" cy="889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3185160</wp:posOffset>
            </wp:positionH>
            <wp:positionV relativeFrom="paragraph">
              <wp:posOffset>5715</wp:posOffset>
            </wp:positionV>
            <wp:extent cx="3951605" cy="825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3951605" cy="8255"/>
                    </a:xfrm>
                    <a:prstGeom prst="rect">
                      <a:avLst/>
                    </a:prstGeom>
                    <a:noFill/>
                  </pic:spPr>
                </pic:pic>
              </a:graphicData>
            </a:graphic>
          </wp:anchor>
        </w:drawing>
      </w:r>
    </w:p>
    <w:p>
      <w:pPr>
        <w:spacing w:after="0" w:line="15" w:lineRule="exact"/>
        <w:rPr>
          <w:sz w:val="20"/>
          <w:szCs w:val="20"/>
          <w:color w:val="auto"/>
        </w:rPr>
      </w:pPr>
    </w:p>
    <w:p>
      <w:pPr>
        <w:ind w:left="520" w:right="100" w:hanging="512"/>
        <w:spacing w:after="0" w:line="266" w:lineRule="auto"/>
        <w:tabs>
          <w:tab w:leader="none" w:pos="520" w:val="left"/>
        </w:tabs>
        <w:numPr>
          <w:ilvl w:val="0"/>
          <w:numId w:val="2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 the United States, revenues from services included fees received from the related franchise offices of $3.2 and $2.6 for the three months ended June 30, 2024 and 2023, respectively, and $5.6 and $5.8 for the six months ended June 30, 2024 and 2023, respectively. These fees are primarily based on revenues generated by the franchise offices, which were $99.8 and $100.8 for the three months ended June 30, 2024 and 2023, respectively, and $187.2 and $200.1 for the six months ended June 30, 2024 and 2023, respectively.</w:t>
      </w:r>
    </w:p>
    <w:p>
      <w:pPr>
        <w:spacing w:after="0" w:line="2" w:lineRule="exact"/>
        <w:rPr>
          <w:rFonts w:ascii="Times New Roman" w:cs="Times New Roman" w:eastAsia="Times New Roman" w:hAnsi="Times New Roman"/>
          <w:sz w:val="16"/>
          <w:szCs w:val="16"/>
          <w:color w:val="auto"/>
        </w:rPr>
      </w:pPr>
    </w:p>
    <w:p>
      <w:pPr>
        <w:ind w:left="520" w:hanging="512"/>
        <w:spacing w:after="0" w:line="264" w:lineRule="auto"/>
        <w:tabs>
          <w:tab w:leader="none" w:pos="520" w:val="left"/>
        </w:tabs>
        <w:numPr>
          <w:ilvl w:val="0"/>
          <w:numId w:val="2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consolidated revenues from services include fees received from our franchise offices of $4.0 and $3.3 for the three months ended June 30, 2024 and 2023, respectively, and $7.3 and $7.2 for the six months ended June 30, 2024 and 2023, respectively. These fees are primarily based on revenues generated by the franchise offices, which were $287.7 and $250.6 for the three months ended June 30, 2024 and 2023, respectively, and $564.9 and $500.8 for the six months ended June 30, 2024 and 2023, respectively.</w:t>
      </w:r>
    </w:p>
    <w:p>
      <w:pPr>
        <w:ind w:left="520" w:right="560" w:hanging="512"/>
        <w:spacing w:after="0" w:line="276" w:lineRule="auto"/>
        <w:tabs>
          <w:tab w:leader="none" w:pos="520" w:val="left"/>
        </w:tabs>
        <w:numPr>
          <w:ilvl w:val="0"/>
          <w:numId w:val="2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We evaluate segment performance based on operating unit profit (“OUP”), which is equal to segment revenues less cost of services and branch and national headquarters operating costs. This profit measure does not include goodwill and intangible asset impairment charges or amortization of intangibles related to acquisitions, corporate expenses, interest and other expense amounts or income taxes.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3185160</wp:posOffset>
            </wp:positionH>
            <wp:positionV relativeFrom="paragraph">
              <wp:posOffset>-1435735</wp:posOffset>
            </wp:positionV>
            <wp:extent cx="3951605" cy="825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3951605" cy="8255"/>
                    </a:xfrm>
                    <a:prstGeom prst="rect">
                      <a:avLst/>
                    </a:prstGeom>
                    <a:noFill/>
                  </pic:spPr>
                </pic:pic>
              </a:graphicData>
            </a:graphic>
          </wp:anchor>
        </w:drawing>
      </w:r>
    </w:p>
    <w:p>
      <w:pPr>
        <w:spacing w:after="0" w:line="3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1"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b w:val="1"/>
          <w:bCs w:val="1"/>
          <w:color w:val="auto"/>
        </w:rPr>
        <w:t>Item 2 – Management’s Discussion and Analysis of Financial Condition and Results of Operations</w:t>
      </w:r>
    </w:p>
    <w:p>
      <w:pPr>
        <w:spacing w:after="0" w:line="189" w:lineRule="exact"/>
        <w:rPr>
          <w:sz w:val="20"/>
          <w:szCs w:val="20"/>
          <w:color w:val="auto"/>
        </w:rPr>
      </w:pPr>
    </w:p>
    <w:p>
      <w:pPr>
        <w:ind w:right="400"/>
        <w:spacing w:after="0" w:line="282" w:lineRule="auto"/>
        <w:rPr>
          <w:sz w:val="20"/>
          <w:szCs w:val="20"/>
          <w:color w:val="auto"/>
        </w:rPr>
      </w:pPr>
      <w:r>
        <w:rPr>
          <w:rFonts w:ascii="Times New Roman" w:cs="Times New Roman" w:eastAsia="Times New Roman" w:hAnsi="Times New Roman"/>
          <w:sz w:val="18"/>
          <w:szCs w:val="18"/>
          <w:color w:val="auto"/>
        </w:rPr>
        <w:t>See the financial measures section on page 34 for further information on the Non-GAAP financial measures of constant currency and organic constant currency.</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Forward-Looking Statements</w:t>
      </w:r>
    </w:p>
    <w:p>
      <w:pPr>
        <w:spacing w:after="0" w:line="185" w:lineRule="exact"/>
        <w:rPr>
          <w:sz w:val="20"/>
          <w:szCs w:val="20"/>
          <w:color w:val="auto"/>
        </w:rPr>
      </w:pPr>
    </w:p>
    <w:p>
      <w:pPr>
        <w:ind w:right="80"/>
        <w:spacing w:after="0" w:line="253" w:lineRule="auto"/>
        <w:rPr>
          <w:sz w:val="20"/>
          <w:szCs w:val="20"/>
          <w:color w:val="auto"/>
        </w:rPr>
      </w:pPr>
      <w:r>
        <w:rPr>
          <w:rFonts w:ascii="Times New Roman" w:cs="Times New Roman" w:eastAsia="Times New Roman" w:hAnsi="Times New Roman"/>
          <w:sz w:val="18"/>
          <w:szCs w:val="18"/>
          <w:color w:val="auto"/>
        </w:rPr>
        <w:t>This Quarterly Report on Form 10-Q contains forward-looking statements within the meaning of Section 27A of the Securities Act of 1933, as amended, and Section 21E of the Exchange Act of 1934, as amended, (each a "forward-looking statement"). Statements made in this quarterly report that are not statements of historical fact are forward-looking statements. In addition, from time to time, we and our representatives may make statements that are forward-looking. Forward-looking statements are based on management’s current assumptions and expectations and are subject to risks and uncertainties that are beyond our control and may cause actual results to differ materially from those contained in the forward-looking statements. Forward-looking statements can be identified by words such as “expect,” “anticipate,” “intend,” “plan,” “may,” “believe,” “seek,” “estimate,” and other similar expressions. Important factors that could cause our actual results to differ materially from those contained in the forward-looking statements include, among others, the risk factors discussed in Item 1A – Risk Factors in our annual report on Form 10-K for the year-ended December 31, 2023, which information is incorporated herein by reference. Such risks and uncertainties include, but are not limited to, volatile, negative or uncertain economic conditions, particularly in Europe, including inflation, geopolitical risk and uncertainty; changes in labor and tax legislation in places we do business; failure to implement strategic transformation initiatives and technology investments; and other factors that may be disclosed from time to time in our SEC filings or otherwise. We caution that any forward-looking statement reflects only our belief at the time the statement is made. We undertake no obligation to update any forward-looking statements to reflect subsequent events or circumstances.</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Business Overview</w:t>
      </w:r>
    </w:p>
    <w:p>
      <w:pPr>
        <w:spacing w:after="0" w:line="198"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Our business is cyclical in nature and is sensitive to macroeconomic conditions generally. Client demand for workforce solutions and services is dependent on the overall strength of the labor market and secular trends toward greater workforce flexibility within each of the segments where we operate. Improving economic growth typically results in increasing demand for labor, resulting in greater demand for our staffing services while demand for our outplacement services typically declines. During periods of decreased demand, as we experienced in the second quarter of 2024, our operating profit is generally impacted unfavorably as we experience a deleveraging of selling and administrative expenses, which may not decline at the same pace as revenues. By contrast, during periods of increased demand, we are generally able to improve our profitability and operating leverage as our cost base can support some increase in business without a similar increase in selling and administrative expenses.</w:t>
      </w:r>
    </w:p>
    <w:p>
      <w:pPr>
        <w:spacing w:after="0" w:line="148"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In the second quarter of 2024, we continued to observe decreased demand for staffing services and permanent recruitment services primarily due to increased economic uncertainty, and we expect this trend to continue. The economic uncertainty is particularly high in Europe and the United States, driven by elevated inflation and higher interest rates. As a result of these factors, we expect the business environment will continue to be challenging for us in future periods, especially in the United States and Europe, with many companies delaying hiring decisions or reducing their demand for contingent labor. The current economic uncertainty is exacerbated by increasing geopolitical tensions, which could further negatively impact our operations in future periods.</w:t>
      </w:r>
    </w:p>
    <w:p>
      <w:pPr>
        <w:spacing w:after="0" w:line="147" w:lineRule="exact"/>
        <w:rPr>
          <w:sz w:val="20"/>
          <w:szCs w:val="20"/>
          <w:color w:val="auto"/>
        </w:rPr>
      </w:pPr>
    </w:p>
    <w:p>
      <w:pPr>
        <w:ind w:right="140"/>
        <w:spacing w:after="0" w:line="255" w:lineRule="auto"/>
        <w:rPr>
          <w:sz w:val="20"/>
          <w:szCs w:val="20"/>
          <w:color w:val="auto"/>
        </w:rPr>
      </w:pPr>
      <w:r>
        <w:rPr>
          <w:rFonts w:ascii="Times New Roman" w:cs="Times New Roman" w:eastAsia="Times New Roman" w:hAnsi="Times New Roman"/>
          <w:sz w:val="18"/>
          <w:szCs w:val="18"/>
          <w:color w:val="auto"/>
        </w:rPr>
        <w:t>During the second quarter of 2024, the United States dollar was generally stable, on average, relative to the currencies in most of our markets, and overall had a slight unfavorable impact on our reported results. The changes in the foreign currency exchange rates had a -3.4% unfavorable impact on revenues from services and an approximately $0.05 per share unfavorable impact on net earnings per share – diluted in the quarter. Substantially all of our subsidiaries derive revenues from services and incur expenses within the same local currency and generally do not have cross-currency transactions, and therefore, changes in foreign currency exchange rates primarily impact reported earnings and not our actual cash flow unless earnings are repatriated. To understand the performance of our underlying business, we utilize constant currency or organic constant currency variances for our consolidated and segment results.</w:t>
      </w:r>
    </w:p>
    <w:p>
      <w:pPr>
        <w:spacing w:after="0" w:line="1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81" w:right="359" w:bottom="1440" w:gutter="0" w:footer="0" w:header="0"/>
        </w:sectPr>
      </w:pPr>
    </w:p>
    <w:bookmarkStart w:id="22" w:name="page23"/>
    <w:bookmarkEnd w:id="22"/>
    <w:p>
      <w:pPr>
        <w:spacing w:after="0" w:line="254" w:lineRule="auto"/>
        <w:rPr>
          <w:sz w:val="20"/>
          <w:szCs w:val="20"/>
          <w:color w:val="auto"/>
        </w:rPr>
      </w:pPr>
      <w:r>
        <w:rPr>
          <w:rFonts w:ascii="Times New Roman" w:cs="Times New Roman" w:eastAsia="Times New Roman" w:hAnsi="Times New Roman"/>
          <w:sz w:val="18"/>
          <w:szCs w:val="18"/>
          <w:color w:val="auto"/>
        </w:rPr>
        <w:t>During the second quarter of 2024 compared to the second quarter of 2023, we experienced a -3.1% revenue decrease in the Americas, primarily driven by the unfavorable impact of currency exchange rates and decreased demand for our permanent recruitment services, partially offset by increased demand for our Manpower staffing services. During the second quarter of 2024 compared to the second quarter of 2023, we experienced a -5.8% revenue decrease in Southern Europe, primarily due to decreased demand for our Manpower staffing services, the unfavorable impact of currency exchange rates and decreased demand for our permanent recruitment services. During the second quarter of 2024 compared to the second quarter of 2023, we experienced a -12.1% revenue decrease in Northern Europe, primarily due to a decreased demand for our Manpower and Experis staffing/interim services, decreased demand for our Experis Solutions services, and decreased demand for our permanent recruitment services. We experienced a -9.7% revenue decrease in APME in the second quarter of 2024 compared to the second quarter of 2023 primarily due to the unfavorable impact of currency exchange rates and decreased demand for our permanent recruitment services.</w:t>
      </w:r>
    </w:p>
    <w:p>
      <w:pPr>
        <w:spacing w:after="0" w:line="161" w:lineRule="exact"/>
        <w:rPr>
          <w:sz w:val="20"/>
          <w:szCs w:val="20"/>
          <w:color w:val="auto"/>
        </w:rPr>
      </w:pPr>
    </w:p>
    <w:p>
      <w:pPr>
        <w:ind w:right="200"/>
        <w:spacing w:after="0" w:line="256" w:lineRule="auto"/>
        <w:rPr>
          <w:sz w:val="20"/>
          <w:szCs w:val="20"/>
          <w:color w:val="auto"/>
        </w:rPr>
      </w:pPr>
      <w:r>
        <w:rPr>
          <w:rFonts w:ascii="Times New Roman" w:cs="Times New Roman" w:eastAsia="Times New Roman" w:hAnsi="Times New Roman"/>
          <w:sz w:val="18"/>
          <w:szCs w:val="18"/>
          <w:color w:val="auto"/>
        </w:rPr>
        <w:t>From a brand perspective, we experienced revenue decreases in Manpower, Experis and Talent Solutions in the second quarter of 2024 compared to the second quarter of 2023. In our Manpower brand, the revenue decrease was primarily due to decreased demand for staffing services and our permanent recruitment services. The revenue decrease in our Experis brand was primarily due to decreased demand for interim services, our Experis Solutions services and our permanent recruitment services. On an overall basis, the revenue decrease in our Talent Solutions brand, which includes RPO, MSP and our Right Management offerings, was primarily due to decreased demand for our RPO permanent recruitment offerings. This revenue decrease in Talent Solutions was partially offset by an increase in demand for our Right Management outplacement services and our MSP business.</w:t>
      </w:r>
    </w:p>
    <w:p>
      <w:pPr>
        <w:spacing w:after="0" w:line="147" w:lineRule="exact"/>
        <w:rPr>
          <w:sz w:val="20"/>
          <w:szCs w:val="20"/>
          <w:color w:val="auto"/>
        </w:rPr>
      </w:pPr>
    </w:p>
    <w:p>
      <w:pPr>
        <w:ind w:right="200"/>
        <w:spacing w:after="0" w:line="266" w:lineRule="auto"/>
        <w:rPr>
          <w:sz w:val="20"/>
          <w:szCs w:val="20"/>
          <w:color w:val="auto"/>
        </w:rPr>
      </w:pPr>
      <w:r>
        <w:rPr>
          <w:rFonts w:ascii="Times New Roman" w:cs="Times New Roman" w:eastAsia="Times New Roman" w:hAnsi="Times New Roman"/>
          <w:sz w:val="18"/>
          <w:szCs w:val="18"/>
          <w:color w:val="auto"/>
        </w:rPr>
        <w:t>In the second quarter of 2024, our gross profit margin decreased 40 basis points compared to the second quarter of 2023, primarily due to declines in our higher-margin permanent recruitment businesses, partially offset by growth in our higher-margin Talent Solutions outplacement business and our MSP businesses.</w:t>
      </w:r>
    </w:p>
    <w:p>
      <w:pPr>
        <w:spacing w:after="0" w:line="135" w:lineRule="exact"/>
        <w:rPr>
          <w:sz w:val="20"/>
          <w:szCs w:val="20"/>
          <w:color w:val="auto"/>
        </w:rPr>
      </w:pPr>
    </w:p>
    <w:p>
      <w:pPr>
        <w:jc w:val="both"/>
        <w:ind w:right="20"/>
        <w:spacing w:after="0" w:line="258" w:lineRule="auto"/>
        <w:rPr>
          <w:sz w:val="20"/>
          <w:szCs w:val="20"/>
          <w:color w:val="auto"/>
        </w:rPr>
      </w:pPr>
      <w:r>
        <w:rPr>
          <w:rFonts w:ascii="Times New Roman" w:cs="Times New Roman" w:eastAsia="Times New Roman" w:hAnsi="Times New Roman"/>
          <w:sz w:val="18"/>
          <w:szCs w:val="18"/>
          <w:color w:val="auto"/>
        </w:rPr>
        <w:t>Our operating profit decreased -6.1% in the second quarter of 2024 while our operating profit margin remained the same compared to the second quarter of 2023. Excluding the loss of $2.9 million in operating profit due to operational losses from our Proservia business in Germany in the second quarter of 2024 that we are exiting and restructuring costs of $14.5 million incurred in the second quarter of 2023, our operating profit decreased -14.8%. Operating profit margin decreased 20 basis points compared to the second quarter of 2023. The operating profit margin decreased primarily due to a decrease in gross profit margin, as noted above.</w:t>
      </w:r>
    </w:p>
    <w:p>
      <w:pPr>
        <w:spacing w:after="0" w:line="39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61" w:right="37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u w:val="single" w:color="auto"/>
          <w:color w:val="auto"/>
        </w:rPr>
        <w:t>Operating Results - Three Months Ended June 30, 2024 and 2023</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selected consolidated financial data for the three months ended June 30, 2024 as compared to 2023.</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48"/>
        </w:trPr>
        <w:tc>
          <w:tcPr>
            <w:tcW w:w="5800" w:type="dxa"/>
            <w:vAlign w:val="bottom"/>
            <w:tcBorders>
              <w:top w:val="single" w:sz="8" w:color="auto"/>
            </w:tcBorders>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240" w:type="dxa"/>
            <w:vAlign w:val="bottom"/>
            <w:tcBorders>
              <w:top w:val="single" w:sz="8" w:color="auto"/>
            </w:tcBorders>
          </w:tcPr>
          <w:p>
            <w:pPr>
              <w:spacing w:after="0"/>
              <w:rPr>
                <w:sz w:val="21"/>
                <w:szCs w:val="21"/>
                <w:color w:val="auto"/>
              </w:rPr>
            </w:pPr>
          </w:p>
        </w:tc>
        <w:tc>
          <w:tcPr>
            <w:tcW w:w="1020" w:type="dxa"/>
            <w:vAlign w:val="bottom"/>
            <w:tcBorders>
              <w:top w:val="single" w:sz="8" w:color="auto"/>
            </w:tcBorders>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220" w:type="dxa"/>
            <w:vAlign w:val="bottom"/>
            <w:tcBorders>
              <w:top w:val="single" w:sz="8" w:color="auto"/>
            </w:tcBorders>
          </w:tcPr>
          <w:p>
            <w:pPr>
              <w:spacing w:after="0"/>
              <w:rPr>
                <w:sz w:val="21"/>
                <w:szCs w:val="21"/>
                <w:color w:val="auto"/>
              </w:rPr>
            </w:pPr>
          </w:p>
        </w:tc>
        <w:tc>
          <w:tcPr>
            <w:tcW w:w="940" w:type="dxa"/>
            <w:vAlign w:val="bottom"/>
            <w:tcBorders>
              <w:top w:val="single" w:sz="8" w:color="auto"/>
            </w:tcBorders>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1220" w:type="dxa"/>
            <w:vAlign w:val="bottom"/>
            <w:tcBorders>
              <w:top w:val="single" w:sz="8" w:color="auto"/>
            </w:tcBorders>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1320" w:type="dxa"/>
            <w:vAlign w:val="bottom"/>
            <w:tcBorders>
              <w:top w:val="single" w:sz="8" w:color="auto"/>
            </w:tcBorders>
          </w:tcPr>
          <w:p>
            <w:pPr>
              <w:ind w:left="260"/>
              <w:spacing w:after="0"/>
              <w:rPr>
                <w:sz w:val="20"/>
                <w:szCs w:val="20"/>
                <w:color w:val="auto"/>
              </w:rPr>
            </w:pPr>
            <w:r>
              <w:rPr>
                <w:rFonts w:ascii="Times New Roman" w:cs="Times New Roman" w:eastAsia="Times New Roman" w:hAnsi="Times New Roman"/>
                <w:sz w:val="18"/>
                <w:szCs w:val="18"/>
                <w:b w:val="1"/>
                <w:bCs w:val="1"/>
                <w:color w:val="auto"/>
              </w:rPr>
              <w:t>Constant</w:t>
            </w:r>
          </w:p>
        </w:tc>
        <w:tc>
          <w:tcPr>
            <w:tcW w:w="100" w:type="dxa"/>
            <w:vAlign w:val="bottom"/>
          </w:tcPr>
          <w:p>
            <w:pPr>
              <w:spacing w:after="0"/>
              <w:rPr>
                <w:sz w:val="21"/>
                <w:szCs w:val="21"/>
                <w:color w:val="auto"/>
              </w:rPr>
            </w:pPr>
          </w:p>
        </w:tc>
      </w:tr>
      <w:tr>
        <w:trPr>
          <w:trHeight w:val="216"/>
        </w:trPr>
        <w:tc>
          <w:tcPr>
            <w:tcW w:w="5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20" w:type="dxa"/>
            <w:vAlign w:val="bottom"/>
            <w:gridSpan w:val="2"/>
          </w:tcPr>
          <w:p>
            <w:pPr>
              <w:ind w:left="240"/>
              <w:spacing w:after="0"/>
              <w:rPr>
                <w:sz w:val="20"/>
                <w:szCs w:val="20"/>
                <w:color w:val="auto"/>
              </w:rPr>
            </w:pPr>
            <w:r>
              <w:rPr>
                <w:rFonts w:ascii="Times New Roman" w:cs="Times New Roman" w:eastAsia="Times New Roman" w:hAnsi="Times New Roman"/>
                <w:sz w:val="18"/>
                <w:szCs w:val="18"/>
                <w:b w:val="1"/>
                <w:bCs w:val="1"/>
                <w:color w:val="auto"/>
              </w:rPr>
              <w:t>Currency</w:t>
            </w:r>
          </w:p>
        </w:tc>
      </w:tr>
      <w:tr>
        <w:trPr>
          <w:trHeight w:val="245"/>
        </w:trPr>
        <w:tc>
          <w:tcPr>
            <w:tcW w:w="58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(in millions, except per share data)</w:t>
            </w:r>
          </w:p>
        </w:tc>
        <w:tc>
          <w:tcPr>
            <w:tcW w:w="12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4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21"/>
                <w:szCs w:val="21"/>
                <w:color w:val="auto"/>
              </w:rPr>
            </w:pPr>
          </w:p>
        </w:tc>
        <w:tc>
          <w:tcPr>
            <w:tcW w:w="122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8"/>
                <w:szCs w:val="18"/>
                <w:b w:val="1"/>
                <w:bCs w:val="1"/>
                <w:color w:val="auto"/>
              </w:rPr>
              <w:t>Variance</w:t>
            </w:r>
          </w:p>
        </w:tc>
        <w:tc>
          <w:tcPr>
            <w:tcW w:w="120" w:type="dxa"/>
            <w:vAlign w:val="bottom"/>
          </w:tcPr>
          <w:p>
            <w:pPr>
              <w:spacing w:after="0"/>
              <w:rPr>
                <w:sz w:val="21"/>
                <w:szCs w:val="21"/>
                <w:color w:val="auto"/>
              </w:rPr>
            </w:pPr>
          </w:p>
        </w:tc>
        <w:tc>
          <w:tcPr>
            <w:tcW w:w="1320" w:type="dxa"/>
            <w:vAlign w:val="bottom"/>
            <w:tcBorders>
              <w:bottom w:val="single" w:sz="8" w:color="auto"/>
            </w:tcBorders>
          </w:tcPr>
          <w:p>
            <w:pPr>
              <w:ind w:left="260"/>
              <w:spacing w:after="0"/>
              <w:rPr>
                <w:sz w:val="20"/>
                <w:szCs w:val="20"/>
                <w:color w:val="auto"/>
              </w:rPr>
            </w:pPr>
            <w:r>
              <w:rPr>
                <w:rFonts w:ascii="Times New Roman" w:cs="Times New Roman" w:eastAsia="Times New Roman" w:hAnsi="Times New Roman"/>
                <w:sz w:val="18"/>
                <w:szCs w:val="18"/>
                <w:b w:val="1"/>
                <w:bCs w:val="1"/>
                <w:color w:val="auto"/>
              </w:rPr>
              <w:t>Variance</w:t>
            </w:r>
          </w:p>
        </w:tc>
        <w:tc>
          <w:tcPr>
            <w:tcW w:w="100" w:type="dxa"/>
            <w:vAlign w:val="bottom"/>
          </w:tcPr>
          <w:p>
            <w:pPr>
              <w:spacing w:after="0"/>
              <w:rPr>
                <w:sz w:val="21"/>
                <w:szCs w:val="21"/>
                <w:color w:val="auto"/>
              </w:rPr>
            </w:pPr>
          </w:p>
        </w:tc>
      </w:tr>
      <w:tr>
        <w:trPr>
          <w:trHeight w:val="234"/>
        </w:trPr>
        <w:tc>
          <w:tcPr>
            <w:tcW w:w="5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Revenues from services</w:t>
            </w:r>
          </w:p>
        </w:tc>
        <w:tc>
          <w:tcPr>
            <w:tcW w:w="36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4,520.7</w:t>
            </w:r>
          </w:p>
        </w:tc>
        <w:tc>
          <w:tcPr>
            <w:tcW w:w="140" w:type="dxa"/>
            <w:vAlign w:val="bottom"/>
          </w:tcPr>
          <w:p>
            <w:pPr>
              <w:spacing w:after="0"/>
              <w:rPr>
                <w:sz w:val="20"/>
                <w:szCs w:val="20"/>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4,856.1</w:t>
            </w:r>
          </w:p>
        </w:tc>
        <w:tc>
          <w:tcPr>
            <w:tcW w:w="100" w:type="dxa"/>
            <w:vAlign w:val="bottom"/>
          </w:tcPr>
          <w:p>
            <w:pPr>
              <w:spacing w:after="0"/>
              <w:rPr>
                <w:sz w:val="20"/>
                <w:szCs w:val="20"/>
                <w:color w:val="auto"/>
              </w:rPr>
            </w:pPr>
          </w:p>
        </w:tc>
        <w:tc>
          <w:tcPr>
            <w:tcW w:w="134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(6.9 )%</w:t>
            </w:r>
          </w:p>
        </w:tc>
        <w:tc>
          <w:tcPr>
            <w:tcW w:w="14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(3.5 )%</w:t>
            </w:r>
          </w:p>
        </w:tc>
      </w:tr>
      <w:tr>
        <w:trPr>
          <w:trHeight w:val="246"/>
        </w:trPr>
        <w:tc>
          <w:tcPr>
            <w:tcW w:w="5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Cost of services</w:t>
            </w:r>
          </w:p>
        </w:tc>
        <w:tc>
          <w:tcPr>
            <w:tcW w:w="12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3,734.8</w:t>
            </w:r>
          </w:p>
        </w:tc>
        <w:tc>
          <w:tcPr>
            <w:tcW w:w="14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3,993.8</w:t>
            </w:r>
          </w:p>
        </w:tc>
        <w:tc>
          <w:tcPr>
            <w:tcW w:w="100" w:type="dxa"/>
            <w:vAlign w:val="bottom"/>
          </w:tcPr>
          <w:p>
            <w:pPr>
              <w:spacing w:after="0"/>
              <w:rPr>
                <w:sz w:val="21"/>
                <w:szCs w:val="21"/>
                <w:color w:val="auto"/>
              </w:rPr>
            </w:pPr>
          </w:p>
        </w:tc>
        <w:tc>
          <w:tcPr>
            <w:tcW w:w="134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(6.5 )%</w:t>
            </w:r>
          </w:p>
        </w:tc>
        <w:tc>
          <w:tcPr>
            <w:tcW w:w="14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(3.0 )%</w:t>
            </w:r>
          </w:p>
        </w:tc>
      </w:tr>
      <w:tr>
        <w:trPr>
          <w:trHeight w:val="234"/>
        </w:trPr>
        <w:tc>
          <w:tcPr>
            <w:tcW w:w="58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Gross profit</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785.9</w:t>
            </w:r>
          </w:p>
        </w:tc>
        <w:tc>
          <w:tcPr>
            <w:tcW w:w="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862.3</w:t>
            </w:r>
          </w:p>
        </w:tc>
        <w:tc>
          <w:tcPr>
            <w:tcW w:w="100" w:type="dxa"/>
            <w:vAlign w:val="bottom"/>
          </w:tcPr>
          <w:p>
            <w:pPr>
              <w:spacing w:after="0"/>
              <w:rPr>
                <w:sz w:val="20"/>
                <w:szCs w:val="20"/>
                <w:color w:val="auto"/>
              </w:rPr>
            </w:pPr>
          </w:p>
        </w:tc>
        <w:tc>
          <w:tcPr>
            <w:tcW w:w="134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(8.9 )%</w:t>
            </w:r>
          </w:p>
        </w:tc>
        <w:tc>
          <w:tcPr>
            <w:tcW w:w="14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(5.7 )%</w:t>
            </w:r>
          </w:p>
        </w:tc>
      </w:tr>
      <w:tr>
        <w:trPr>
          <w:trHeight w:val="238"/>
        </w:trPr>
        <w:tc>
          <w:tcPr>
            <w:tcW w:w="5800" w:type="dxa"/>
            <w:vAlign w:val="bottom"/>
          </w:tcPr>
          <w:p>
            <w:pPr>
              <w:ind w:left="200"/>
              <w:spacing w:after="0"/>
              <w:rPr>
                <w:sz w:val="20"/>
                <w:szCs w:val="20"/>
                <w:color w:val="auto"/>
              </w:rPr>
            </w:pPr>
            <w:r>
              <w:rPr>
                <w:rFonts w:ascii="Times New Roman" w:cs="Times New Roman" w:eastAsia="Times New Roman" w:hAnsi="Times New Roman"/>
                <w:sz w:val="18"/>
                <w:szCs w:val="18"/>
                <w:i w:val="1"/>
                <w:iCs w:val="1"/>
                <w:color w:val="auto"/>
              </w:rPr>
              <w:t>Gross profit margin</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i w:val="1"/>
                <w:iCs w:val="1"/>
                <w:color w:val="auto"/>
              </w:rPr>
              <w:t>17.4 %</w:t>
            </w:r>
          </w:p>
        </w:tc>
        <w:tc>
          <w:tcPr>
            <w:tcW w:w="220" w:type="dxa"/>
            <w:vAlign w:val="bottom"/>
          </w:tcPr>
          <w:p>
            <w:pPr>
              <w:spacing w:after="0"/>
              <w:rPr>
                <w:sz w:val="20"/>
                <w:szCs w:val="20"/>
                <w:color w:val="auto"/>
              </w:rPr>
            </w:pPr>
          </w:p>
        </w:tc>
        <w:tc>
          <w:tcPr>
            <w:tcW w:w="10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i w:val="1"/>
                <w:iCs w:val="1"/>
                <w:color w:val="auto"/>
              </w:rPr>
              <w:t>17.8 %</w:t>
            </w:r>
          </w:p>
        </w:tc>
        <w:tc>
          <w:tcPr>
            <w:tcW w:w="1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50"/>
        </w:trPr>
        <w:tc>
          <w:tcPr>
            <w:tcW w:w="5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Selling and administrative expenses</w:t>
            </w:r>
          </w:p>
        </w:tc>
        <w:tc>
          <w:tcPr>
            <w:tcW w:w="12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684.8</w:t>
            </w:r>
          </w:p>
        </w:tc>
        <w:tc>
          <w:tcPr>
            <w:tcW w:w="14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754.7</w:t>
            </w:r>
          </w:p>
        </w:tc>
        <w:tc>
          <w:tcPr>
            <w:tcW w:w="100" w:type="dxa"/>
            <w:vAlign w:val="bottom"/>
          </w:tcPr>
          <w:p>
            <w:pPr>
              <w:spacing w:after="0"/>
              <w:rPr>
                <w:sz w:val="21"/>
                <w:szCs w:val="21"/>
                <w:color w:val="auto"/>
              </w:rPr>
            </w:pPr>
          </w:p>
        </w:tc>
        <w:tc>
          <w:tcPr>
            <w:tcW w:w="134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(9.3 )%</w:t>
            </w:r>
          </w:p>
        </w:tc>
        <w:tc>
          <w:tcPr>
            <w:tcW w:w="14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(6.5 )%</w:t>
            </w:r>
          </w:p>
        </w:tc>
      </w:tr>
      <w:tr>
        <w:trPr>
          <w:trHeight w:val="238"/>
        </w:trPr>
        <w:tc>
          <w:tcPr>
            <w:tcW w:w="58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Operating profit</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101.1</w:t>
            </w:r>
          </w:p>
        </w:tc>
        <w:tc>
          <w:tcPr>
            <w:tcW w:w="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107.6</w:t>
            </w:r>
          </w:p>
        </w:tc>
        <w:tc>
          <w:tcPr>
            <w:tcW w:w="100" w:type="dxa"/>
            <w:vAlign w:val="bottom"/>
          </w:tcPr>
          <w:p>
            <w:pPr>
              <w:spacing w:after="0"/>
              <w:rPr>
                <w:sz w:val="20"/>
                <w:szCs w:val="20"/>
                <w:color w:val="auto"/>
              </w:rPr>
            </w:pPr>
          </w:p>
        </w:tc>
        <w:tc>
          <w:tcPr>
            <w:tcW w:w="134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(6.1 )%</w:t>
            </w:r>
          </w:p>
        </w:tc>
        <w:tc>
          <w:tcPr>
            <w:tcW w:w="14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(0.1 )%</w:t>
            </w:r>
          </w:p>
        </w:tc>
      </w:tr>
      <w:tr>
        <w:trPr>
          <w:trHeight w:val="247"/>
        </w:trPr>
        <w:tc>
          <w:tcPr>
            <w:tcW w:w="58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i w:val="1"/>
                <w:iCs w:val="1"/>
                <w:color w:val="auto"/>
              </w:rPr>
              <w:t>Operating profit margin</w:t>
            </w:r>
          </w:p>
        </w:tc>
        <w:tc>
          <w:tcPr>
            <w:tcW w:w="12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16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i w:val="1"/>
                <w:iCs w:val="1"/>
                <w:color w:val="auto"/>
              </w:rPr>
              <w:t>2.2 %</w:t>
            </w:r>
          </w:p>
        </w:tc>
        <w:tc>
          <w:tcPr>
            <w:tcW w:w="220" w:type="dxa"/>
            <w:vAlign w:val="bottom"/>
            <w:shd w:val="clear" w:color="auto" w:fill="CFF0FC"/>
          </w:tcPr>
          <w:p>
            <w:pPr>
              <w:spacing w:after="0"/>
              <w:rPr>
                <w:sz w:val="21"/>
                <w:szCs w:val="21"/>
                <w:color w:val="auto"/>
              </w:rPr>
            </w:pPr>
          </w:p>
        </w:tc>
        <w:tc>
          <w:tcPr>
            <w:tcW w:w="10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i w:val="1"/>
                <w:iCs w:val="1"/>
                <w:color w:val="auto"/>
              </w:rPr>
              <w:t>2.2 %</w:t>
            </w:r>
          </w:p>
        </w:tc>
        <w:tc>
          <w:tcPr>
            <w:tcW w:w="12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320" w:type="dxa"/>
            <w:vAlign w:val="bottom"/>
            <w:shd w:val="clear" w:color="auto" w:fill="CFF0FC"/>
          </w:tcPr>
          <w:p>
            <w:pPr>
              <w:spacing w:after="0"/>
              <w:rPr>
                <w:sz w:val="21"/>
                <w:szCs w:val="21"/>
                <w:color w:val="auto"/>
              </w:rPr>
            </w:pPr>
          </w:p>
        </w:tc>
        <w:tc>
          <w:tcPr>
            <w:tcW w:w="100" w:type="dxa"/>
            <w:vAlign w:val="bottom"/>
          </w:tcPr>
          <w:p>
            <w:pPr>
              <w:spacing w:after="0"/>
              <w:rPr>
                <w:sz w:val="21"/>
                <w:szCs w:val="21"/>
                <w:color w:val="auto"/>
              </w:rPr>
            </w:pPr>
          </w:p>
        </w:tc>
      </w:tr>
      <w:tr>
        <w:trPr>
          <w:trHeight w:val="237"/>
        </w:trPr>
        <w:tc>
          <w:tcPr>
            <w:tcW w:w="5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and other expenses, net</w:t>
            </w:r>
          </w:p>
        </w:tc>
        <w:tc>
          <w:tcPr>
            <w:tcW w:w="1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8.7</w:t>
            </w:r>
          </w:p>
        </w:tc>
        <w:tc>
          <w:tcPr>
            <w:tcW w:w="14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11.8</w:t>
            </w:r>
          </w:p>
        </w:tc>
        <w:tc>
          <w:tcPr>
            <w:tcW w:w="100" w:type="dxa"/>
            <w:vAlign w:val="bottom"/>
          </w:tcPr>
          <w:p>
            <w:pPr>
              <w:spacing w:after="0"/>
              <w:rPr>
                <w:sz w:val="20"/>
                <w:szCs w:val="20"/>
                <w:color w:val="auto"/>
              </w:rPr>
            </w:pPr>
          </w:p>
        </w:tc>
        <w:tc>
          <w:tcPr>
            <w:tcW w:w="134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(26.3 )%</w:t>
            </w:r>
          </w:p>
        </w:tc>
        <w:tc>
          <w:tcPr>
            <w:tcW w:w="13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34"/>
        </w:trPr>
        <w:tc>
          <w:tcPr>
            <w:tcW w:w="58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Earnings before income taxes</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92.4</w:t>
            </w:r>
          </w:p>
        </w:tc>
        <w:tc>
          <w:tcPr>
            <w:tcW w:w="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95.8</w:t>
            </w:r>
          </w:p>
        </w:tc>
        <w:tc>
          <w:tcPr>
            <w:tcW w:w="100" w:type="dxa"/>
            <w:vAlign w:val="bottom"/>
          </w:tcPr>
          <w:p>
            <w:pPr>
              <w:spacing w:after="0"/>
              <w:rPr>
                <w:sz w:val="20"/>
                <w:szCs w:val="20"/>
                <w:color w:val="auto"/>
              </w:rPr>
            </w:pPr>
          </w:p>
        </w:tc>
        <w:tc>
          <w:tcPr>
            <w:tcW w:w="134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(3.6 )%</w:t>
            </w:r>
          </w:p>
        </w:tc>
        <w:tc>
          <w:tcPr>
            <w:tcW w:w="142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2.8 %</w:t>
            </w:r>
          </w:p>
        </w:tc>
      </w:tr>
      <w:tr>
        <w:trPr>
          <w:trHeight w:val="245"/>
        </w:trPr>
        <w:tc>
          <w:tcPr>
            <w:tcW w:w="5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32.3</w:t>
            </w:r>
          </w:p>
        </w:tc>
        <w:tc>
          <w:tcPr>
            <w:tcW w:w="1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30.6</w:t>
            </w:r>
          </w:p>
        </w:tc>
        <w:tc>
          <w:tcPr>
            <w:tcW w:w="100" w:type="dxa"/>
            <w:vAlign w:val="bottom"/>
          </w:tcPr>
          <w:p>
            <w:pPr>
              <w:spacing w:after="0"/>
              <w:rPr>
                <w:sz w:val="21"/>
                <w:szCs w:val="21"/>
                <w:color w:val="auto"/>
              </w:rPr>
            </w:pPr>
          </w:p>
        </w:tc>
        <w:tc>
          <w:tcPr>
            <w:tcW w:w="134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5.6 %</w:t>
            </w:r>
          </w:p>
        </w:tc>
        <w:tc>
          <w:tcPr>
            <w:tcW w:w="132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46"/>
        </w:trPr>
        <w:tc>
          <w:tcPr>
            <w:tcW w:w="58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i w:val="1"/>
                <w:iCs w:val="1"/>
                <w:color w:val="auto"/>
              </w:rPr>
              <w:t>Effective income tax rate</w:t>
            </w:r>
          </w:p>
        </w:tc>
        <w:tc>
          <w:tcPr>
            <w:tcW w:w="12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16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i w:val="1"/>
                <w:iCs w:val="1"/>
                <w:color w:val="auto"/>
              </w:rPr>
              <w:t>34.9 %</w:t>
            </w:r>
          </w:p>
        </w:tc>
        <w:tc>
          <w:tcPr>
            <w:tcW w:w="220" w:type="dxa"/>
            <w:vAlign w:val="bottom"/>
            <w:shd w:val="clear" w:color="auto" w:fill="CFF0FC"/>
          </w:tcPr>
          <w:p>
            <w:pPr>
              <w:spacing w:after="0"/>
              <w:rPr>
                <w:sz w:val="21"/>
                <w:szCs w:val="21"/>
                <w:color w:val="auto"/>
              </w:rPr>
            </w:pPr>
          </w:p>
        </w:tc>
        <w:tc>
          <w:tcPr>
            <w:tcW w:w="10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i w:val="1"/>
                <w:iCs w:val="1"/>
                <w:color w:val="auto"/>
              </w:rPr>
              <w:t>31.9 %</w:t>
            </w:r>
          </w:p>
        </w:tc>
        <w:tc>
          <w:tcPr>
            <w:tcW w:w="12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320" w:type="dxa"/>
            <w:vAlign w:val="bottom"/>
            <w:shd w:val="clear" w:color="auto" w:fill="CFF0FC"/>
          </w:tcPr>
          <w:p>
            <w:pPr>
              <w:spacing w:after="0"/>
              <w:rPr>
                <w:sz w:val="21"/>
                <w:szCs w:val="21"/>
                <w:color w:val="auto"/>
              </w:rPr>
            </w:pPr>
          </w:p>
        </w:tc>
        <w:tc>
          <w:tcPr>
            <w:tcW w:w="100" w:type="dxa"/>
            <w:vAlign w:val="bottom"/>
          </w:tcPr>
          <w:p>
            <w:pPr>
              <w:spacing w:after="0"/>
              <w:rPr>
                <w:sz w:val="21"/>
                <w:szCs w:val="21"/>
                <w:color w:val="auto"/>
              </w:rPr>
            </w:pPr>
          </w:p>
        </w:tc>
      </w:tr>
      <w:tr>
        <w:trPr>
          <w:trHeight w:val="20"/>
        </w:trPr>
        <w:tc>
          <w:tcPr>
            <w:tcW w:w="580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22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320" w:type="dxa"/>
            <w:vAlign w:val="bottom"/>
            <w:shd w:val="clear" w:color="auto" w:fill="CFF0FC"/>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40"/>
        </w:trPr>
        <w:tc>
          <w:tcPr>
            <w:tcW w:w="58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Net earnings</w:t>
            </w:r>
          </w:p>
        </w:tc>
        <w:tc>
          <w:tcPr>
            <w:tcW w:w="120" w:type="dxa"/>
            <w:vAlign w:val="bottom"/>
          </w:tcPr>
          <w:p>
            <w:pPr>
              <w:spacing w:after="0"/>
              <w:rPr>
                <w:sz w:val="20"/>
                <w:szCs w:val="20"/>
                <w:color w:val="auto"/>
              </w:rPr>
            </w:pP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60.1</w:t>
            </w:r>
          </w:p>
        </w:tc>
        <w:tc>
          <w:tcPr>
            <w:tcW w:w="140" w:type="dxa"/>
            <w:vAlign w:val="bottom"/>
          </w:tcPr>
          <w:p>
            <w:pPr>
              <w:spacing w:after="0"/>
              <w:rPr>
                <w:sz w:val="20"/>
                <w:szCs w:val="20"/>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65.2</w:t>
            </w:r>
          </w:p>
        </w:tc>
        <w:tc>
          <w:tcPr>
            <w:tcW w:w="100" w:type="dxa"/>
            <w:vAlign w:val="bottom"/>
          </w:tcPr>
          <w:p>
            <w:pPr>
              <w:spacing w:after="0"/>
              <w:rPr>
                <w:sz w:val="20"/>
                <w:szCs w:val="20"/>
                <w:color w:val="auto"/>
              </w:rPr>
            </w:pPr>
          </w:p>
        </w:tc>
        <w:tc>
          <w:tcPr>
            <w:tcW w:w="134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(7.8 )%</w:t>
            </w:r>
          </w:p>
        </w:tc>
        <w:tc>
          <w:tcPr>
            <w:tcW w:w="14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(1.8 )%</w:t>
            </w:r>
          </w:p>
        </w:tc>
      </w:tr>
      <w:tr>
        <w:trPr>
          <w:trHeight w:val="20"/>
        </w:trPr>
        <w:tc>
          <w:tcPr>
            <w:tcW w:w="5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3"/>
        </w:trPr>
        <w:tc>
          <w:tcPr>
            <w:tcW w:w="5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earnings per share – diluted</w:t>
            </w:r>
          </w:p>
        </w:tc>
        <w:tc>
          <w:tcPr>
            <w:tcW w:w="36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1.24</w:t>
            </w:r>
          </w:p>
        </w:tc>
        <w:tc>
          <w:tcPr>
            <w:tcW w:w="14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1.29</w:t>
            </w:r>
          </w:p>
        </w:tc>
        <w:tc>
          <w:tcPr>
            <w:tcW w:w="100" w:type="dxa"/>
            <w:vAlign w:val="bottom"/>
          </w:tcPr>
          <w:p>
            <w:pPr>
              <w:spacing w:after="0"/>
              <w:rPr>
                <w:sz w:val="19"/>
                <w:szCs w:val="19"/>
                <w:color w:val="auto"/>
              </w:rPr>
            </w:pPr>
          </w:p>
        </w:tc>
        <w:tc>
          <w:tcPr>
            <w:tcW w:w="134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(3.6 )%</w:t>
            </w:r>
          </w:p>
        </w:tc>
        <w:tc>
          <w:tcPr>
            <w:tcW w:w="142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2.8 %</w:t>
            </w:r>
          </w:p>
        </w:tc>
      </w:tr>
      <w:tr>
        <w:trPr>
          <w:trHeight w:val="20"/>
        </w:trPr>
        <w:tc>
          <w:tcPr>
            <w:tcW w:w="5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3"/>
        </w:trPr>
        <w:tc>
          <w:tcPr>
            <w:tcW w:w="5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Weighted average shares – diluted</w:t>
            </w:r>
          </w:p>
        </w:tc>
        <w:tc>
          <w:tcPr>
            <w:tcW w:w="1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48.4</w:t>
            </w:r>
          </w:p>
        </w:tc>
        <w:tc>
          <w:tcPr>
            <w:tcW w:w="14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50.7</w:t>
            </w:r>
          </w:p>
        </w:tc>
        <w:tc>
          <w:tcPr>
            <w:tcW w:w="100" w:type="dxa"/>
            <w:vAlign w:val="bottom"/>
          </w:tcPr>
          <w:p>
            <w:pPr>
              <w:spacing w:after="0"/>
              <w:rPr>
                <w:sz w:val="19"/>
                <w:szCs w:val="19"/>
                <w:color w:val="auto"/>
              </w:rPr>
            </w:pPr>
          </w:p>
        </w:tc>
        <w:tc>
          <w:tcPr>
            <w:tcW w:w="134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(4.4 )%</w:t>
            </w: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0"/>
        </w:trPr>
        <w:tc>
          <w:tcPr>
            <w:tcW w:w="5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-2271395</wp:posOffset>
            </wp:positionV>
            <wp:extent cx="7132320" cy="15430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-1953895</wp:posOffset>
            </wp:positionV>
            <wp:extent cx="7132320" cy="15430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-1010920</wp:posOffset>
            </wp:positionV>
            <wp:extent cx="7132320" cy="15430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-1645285</wp:posOffset>
            </wp:positionV>
            <wp:extent cx="7132320" cy="16256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132320" cy="162560"/>
                    </a:xfrm>
                    <a:prstGeom prst="rect">
                      <a:avLst/>
                    </a:prstGeom>
                    <a:noFill/>
                  </pic:spPr>
                </pic:pic>
              </a:graphicData>
            </a:graphic>
          </wp:anchor>
        </w:drawing>
        <w:drawing>
          <wp:anchor simplePos="0" relativeHeight="251657728" behindDoc="1" locked="0" layoutInCell="0" allowOverlap="1">
            <wp:simplePos x="0" y="0"/>
            <wp:positionH relativeFrom="column">
              <wp:posOffset>4565650</wp:posOffset>
            </wp:positionH>
            <wp:positionV relativeFrom="paragraph">
              <wp:posOffset>-548005</wp:posOffset>
            </wp:positionV>
            <wp:extent cx="76835" cy="825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5379720</wp:posOffset>
            </wp:positionH>
            <wp:positionV relativeFrom="paragraph">
              <wp:posOffset>-548005</wp:posOffset>
            </wp:positionV>
            <wp:extent cx="68580" cy="825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-359410</wp:posOffset>
            </wp:positionV>
            <wp:extent cx="7132320" cy="18034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132320" cy="180340"/>
                    </a:xfrm>
                    <a:prstGeom prst="rect">
                      <a:avLst/>
                    </a:prstGeom>
                    <a:noFill/>
                  </pic:spPr>
                </pic:pic>
              </a:graphicData>
            </a:graphic>
          </wp:anchor>
        </w:drawing>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year-over-year decrease in revenues from services of -6.9% (-3.5% in constant currency and -3.3% in organic constant currency) was attributed to:</w:t>
      </w:r>
    </w:p>
    <w:p>
      <w:pPr>
        <w:spacing w:after="0" w:line="185" w:lineRule="exact"/>
        <w:rPr>
          <w:sz w:val="20"/>
          <w:szCs w:val="20"/>
          <w:color w:val="auto"/>
        </w:rPr>
      </w:pPr>
    </w:p>
    <w:p>
      <w:pPr>
        <w:ind w:left="760" w:right="140" w:hanging="378"/>
        <w:spacing w:after="0" w:line="258" w:lineRule="auto"/>
        <w:tabs>
          <w:tab w:leader="none" w:pos="7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revenue decrease in the Americas of -3.1% (increase of 5.0% in constant currency) primarily driven by the $88.8 million unfavorable impact of currency exchange rates and a $3.6 million decrease in demand for our permanent recruitment services, partially offset by increased demand of $61.9 million for our Manpower staffing services. The United States, our largest market in the Americas, experienced a revenue decrease of -1.7% primarily driven by a $5.3 million decrease in demand for our permanent recruitment services and a $3.9 million decrease in demand for our Manpower and Experis staffing/interim services;</w:t>
      </w:r>
    </w:p>
    <w:p>
      <w:pPr>
        <w:spacing w:after="0" w:line="142" w:lineRule="exact"/>
        <w:rPr>
          <w:rFonts w:ascii="Times New Roman" w:cs="Times New Roman" w:eastAsia="Times New Roman" w:hAnsi="Times New Roman"/>
          <w:sz w:val="18"/>
          <w:szCs w:val="18"/>
          <w:color w:val="auto"/>
        </w:rPr>
      </w:pPr>
    </w:p>
    <w:p>
      <w:pPr>
        <w:ind w:left="760" w:right="240" w:hanging="378"/>
        <w:spacing w:after="0" w:line="254" w:lineRule="auto"/>
        <w:tabs>
          <w:tab w:leader="none" w:pos="7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revenue decrease in Southern Europe of -5.8% (decrease of -4.4% in constant currency) primarily driven by a $90.3 million decrease in demand for our Manpower staffing services, the $31.8 million unfavorable impact of currency exchange rates and a $6.8 million decrease in demand for our permanent recruitment services, partially offset by a $4.7 million increase in demand for our Talent Solutions outplacement services. France, the largest market in Southern Europe, experienced a revenue decrease of -7.3% (-6.2% in constant currency) primarily driven by an $80.5 million decrease in demand for our Manpower staffing services and the $13.9 million unfavorable impact of currency exchange rates, partially offset by a $4.6 million increase in demand for our Talent Solutions outplacement services. Italy, our second-largest market in Southern Europe, experienced a revenue decrease of -5.0% (-3.9% in constant currency) primarily driven by an $18.6 million decrease in our Manpower staffing services and the $4.9 million unfavorable impact of currency exchange rates, partially offset by a $3.0 million increase in demand for our Manpower solutions services;</w:t>
      </w:r>
    </w:p>
    <w:p>
      <w:pPr>
        <w:spacing w:after="0" w:line="161" w:lineRule="exact"/>
        <w:rPr>
          <w:rFonts w:ascii="Times New Roman" w:cs="Times New Roman" w:eastAsia="Times New Roman" w:hAnsi="Times New Roman"/>
          <w:sz w:val="18"/>
          <w:szCs w:val="18"/>
          <w:color w:val="auto"/>
        </w:rPr>
      </w:pPr>
    </w:p>
    <w:p>
      <w:pPr>
        <w:ind w:left="760" w:right="140" w:hanging="378"/>
        <w:spacing w:after="0" w:line="256" w:lineRule="auto"/>
        <w:tabs>
          <w:tab w:leader="none" w:pos="7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revenue decrease in Northern Europe of -12.1% (-12.0% in constant currency) primarily driven by a $92.5 million decrease in demand for our Manpower and Experis staffing/interim services, a $20.9 million decrease in demand for our Experis solutions services and a $7.8 million decrease in our permanent recruitment services. Within our Northern Europe segment, we experienced revenue decreases in the United Kingdom of $37.7 million, the Nordics of $42.6 million, Germany of $24.8 million, the Netherlands of $2.4 million and Belgium of $4.0 million, which represented revenue decreases of -11.5%, -20.2%, -17.6%, -2.5% and -4.9%, respectively (-12.2%, -19.4%, -16.6%, -1.3% and -3.8%, respectively, in constant currency); and</w:t>
      </w:r>
    </w:p>
    <w:p>
      <w:pPr>
        <w:spacing w:after="0" w:line="187"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40"/>
          </w:cols>
          <w:pgMar w:left="320" w:top="1161" w:right="239" w:bottom="1440" w:gutter="0" w:footer="0" w:header="0"/>
        </w:sectPr>
      </w:pPr>
    </w:p>
    <w:bookmarkStart w:id="24" w:name="page25"/>
    <w:bookmarkEnd w:id="24"/>
    <w:p>
      <w:pPr>
        <w:ind w:left="760" w:right="40" w:hanging="378"/>
        <w:spacing w:after="0" w:line="266" w:lineRule="auto"/>
        <w:tabs>
          <w:tab w:leader="none" w:pos="7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revenue decrease in APME of -9.7% (-2.0% in constant currency and 0.7% in organic constant currency) primarily driven by the $46.3 million unfavorable impact of currency exchange rates and a $20.4 million decrease in demand for our permanent recruitment services, partially offset by a $17.4 million increase in demand for our Manpower staffing services.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year-over-year 40 basis point decrease in gross profit margin was primarily attributed to:</w:t>
      </w:r>
    </w:p>
    <w:p>
      <w:pPr>
        <w:spacing w:after="0" w:line="198" w:lineRule="exact"/>
        <w:rPr>
          <w:sz w:val="20"/>
          <w:szCs w:val="20"/>
          <w:color w:val="auto"/>
        </w:rPr>
      </w:pPr>
    </w:p>
    <w:p>
      <w:pPr>
        <w:ind w:left="760" w:right="380" w:hanging="378"/>
        <w:spacing w:after="0" w:line="282" w:lineRule="auto"/>
        <w:tabs>
          <w:tab w:leader="none" w:pos="7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50 basis point unfavorable impact from decreases to permanent recruitment, including Talent Solutions RPO, as permanent hiring demand continued to soften and experienced reduced levels; and</w:t>
      </w:r>
    </w:p>
    <w:p>
      <w:pPr>
        <w:spacing w:after="0" w:line="121" w:lineRule="exact"/>
        <w:rPr>
          <w:rFonts w:ascii="Times New Roman" w:cs="Times New Roman" w:eastAsia="Times New Roman" w:hAnsi="Times New Roman"/>
          <w:sz w:val="18"/>
          <w:szCs w:val="18"/>
          <w:color w:val="auto"/>
        </w:rPr>
      </w:pPr>
    </w:p>
    <w:p>
      <w:pPr>
        <w:ind w:left="760" w:right="220" w:hanging="378"/>
        <w:spacing w:after="0" w:line="282" w:lineRule="auto"/>
        <w:tabs>
          <w:tab w:leader="none" w:pos="7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10 basis point unfavorable impact from the decrease in staffing/interim margins due to mix shifts and lower volumes while pricing remained stable; partially offset by</w:t>
      </w:r>
    </w:p>
    <w:p>
      <w:pPr>
        <w:spacing w:after="0" w:line="121"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10 basis point favorable impact from increased career transition activity in Right Management as outplacement activity increased; and</w:t>
      </w:r>
    </w:p>
    <w:p>
      <w:pPr>
        <w:spacing w:after="0" w:line="198"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10 basis point favorable impact due to the effects of currency exchange rates.</w:t>
      </w:r>
    </w:p>
    <w:p>
      <w:pPr>
        <w:spacing w:after="0" w:line="185" w:lineRule="exact"/>
        <w:rPr>
          <w:sz w:val="20"/>
          <w:szCs w:val="20"/>
          <w:color w:val="auto"/>
        </w:rPr>
      </w:pPr>
    </w:p>
    <w:p>
      <w:pPr>
        <w:ind w:right="600"/>
        <w:spacing w:after="0" w:line="282" w:lineRule="auto"/>
        <w:rPr>
          <w:sz w:val="20"/>
          <w:szCs w:val="20"/>
          <w:color w:val="auto"/>
        </w:rPr>
      </w:pPr>
      <w:r>
        <w:rPr>
          <w:rFonts w:ascii="Times New Roman" w:cs="Times New Roman" w:eastAsia="Times New Roman" w:hAnsi="Times New Roman"/>
          <w:sz w:val="18"/>
          <w:szCs w:val="18"/>
          <w:color w:val="auto"/>
        </w:rPr>
        <w:t>The -9.3% decrease in selling and administrative expenses in the second quarter of 2024 (-6.5% in constant currency and -6.4% in organic constant currency) was primarily attributed to:</w:t>
      </w:r>
    </w:p>
    <w:p>
      <w:pPr>
        <w:spacing w:after="0" w:line="121" w:lineRule="exact"/>
        <w:rPr>
          <w:sz w:val="20"/>
          <w:szCs w:val="20"/>
          <w:color w:val="auto"/>
        </w:rPr>
      </w:pPr>
    </w:p>
    <w:p>
      <w:pPr>
        <w:ind w:left="760" w:hanging="378"/>
        <w:spacing w:after="0" w:line="282" w:lineRule="auto"/>
        <w:tabs>
          <w:tab w:leader="none" w:pos="7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$22.4 million, or -7.2% decrease (-4.5% in constant currency) in personnel costs primarily due to a $14.2 million decrease in salary costs as we saw the effects of restructuring actions taken in 2023;</w:t>
      </w:r>
    </w:p>
    <w:p>
      <w:pPr>
        <w:spacing w:after="0" w:line="134"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$20.4 million, or -2.8% decrease due to the impact of changes in currency exchange rates;</w:t>
      </w:r>
    </w:p>
    <w:p>
      <w:pPr>
        <w:spacing w:after="0" w:line="184"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non-recurrence of restructuring costs in the second quarter of 2024 compared to $14.5 million incurred in the second quarter of 2023; and</w:t>
      </w:r>
    </w:p>
    <w:p>
      <w:pPr>
        <w:spacing w:after="0" w:line="184" w:lineRule="exact"/>
        <w:rPr>
          <w:rFonts w:ascii="Times New Roman" w:cs="Times New Roman" w:eastAsia="Times New Roman" w:hAnsi="Times New Roman"/>
          <w:sz w:val="18"/>
          <w:szCs w:val="18"/>
          <w:color w:val="auto"/>
        </w:rPr>
      </w:pPr>
    </w:p>
    <w:p>
      <w:pPr>
        <w:ind w:left="760" w:right="180" w:hanging="378"/>
        <w:spacing w:after="0" w:line="266" w:lineRule="auto"/>
        <w:tabs>
          <w:tab w:leader="none" w:pos="7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$13.3 million, or -8.7% decrease (-5.8% in constant currency) in non-personnel costs, primarily due to a $6.4 million decrease in office lease and other office costs, a $5.5 million decrease in consulting and outside services costs associated with our technology and back-office transformation initiatives and a $1.4 million decrease in advertising and promotional expenses.</w:t>
      </w:r>
    </w:p>
    <w:p>
      <w:pPr>
        <w:spacing w:after="0" w:line="149" w:lineRule="exact"/>
        <w:rPr>
          <w:sz w:val="20"/>
          <w:szCs w:val="20"/>
          <w:color w:val="auto"/>
        </w:rPr>
      </w:pPr>
    </w:p>
    <w:p>
      <w:pPr>
        <w:ind w:right="320"/>
        <w:spacing w:after="0" w:line="282" w:lineRule="auto"/>
        <w:rPr>
          <w:sz w:val="20"/>
          <w:szCs w:val="20"/>
          <w:color w:val="auto"/>
        </w:rPr>
      </w:pPr>
      <w:r>
        <w:rPr>
          <w:rFonts w:ascii="Times New Roman" w:cs="Times New Roman" w:eastAsia="Times New Roman" w:hAnsi="Times New Roman"/>
          <w:sz w:val="18"/>
          <w:szCs w:val="18"/>
          <w:color w:val="auto"/>
        </w:rPr>
        <w:t>Selling and administrative expenses as a percent of revenues decreased 40 basis points in the second quarter of 2024 compared to the second quarter of 2023 due primarily to:</w:t>
      </w:r>
    </w:p>
    <w:p>
      <w:pPr>
        <w:spacing w:after="0" w:line="121" w:lineRule="exact"/>
        <w:rPr>
          <w:sz w:val="20"/>
          <w:szCs w:val="20"/>
          <w:color w:val="auto"/>
        </w:rPr>
      </w:pPr>
    </w:p>
    <w:p>
      <w:pPr>
        <w:ind w:left="760" w:hanging="378"/>
        <w:spacing w:after="0"/>
        <w:tabs>
          <w:tab w:leader="none" w:pos="7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30 basis point favorable impact as a result of the restructuring costs incurred in the second quarter of 2023;</w:t>
      </w:r>
    </w:p>
    <w:p>
      <w:pPr>
        <w:spacing w:after="0" w:line="184" w:lineRule="exact"/>
        <w:rPr>
          <w:rFonts w:ascii="Times New Roman" w:cs="Times New Roman" w:eastAsia="Times New Roman" w:hAnsi="Times New Roman"/>
          <w:sz w:val="18"/>
          <w:szCs w:val="18"/>
          <w:color w:val="auto"/>
        </w:rPr>
      </w:pPr>
    </w:p>
    <w:p>
      <w:pPr>
        <w:ind w:left="760" w:hanging="378"/>
        <w:spacing w:after="0" w:line="282" w:lineRule="auto"/>
        <w:tabs>
          <w:tab w:leader="none" w:pos="7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10 basis point favorable impact as personnel costs decreased as a percent of revenues, primarily due to percent of revenue decreases in salaries, bonuses and sales commissions as we saw the effects of restructuring actions taken in 2023; and</w:t>
      </w:r>
    </w:p>
    <w:p>
      <w:pPr>
        <w:spacing w:after="0" w:line="134" w:lineRule="exact"/>
        <w:rPr>
          <w:rFonts w:ascii="Times New Roman" w:cs="Times New Roman" w:eastAsia="Times New Roman" w:hAnsi="Times New Roman"/>
          <w:sz w:val="18"/>
          <w:szCs w:val="18"/>
          <w:color w:val="auto"/>
        </w:rPr>
      </w:pPr>
    </w:p>
    <w:p>
      <w:pPr>
        <w:ind w:left="760" w:right="300" w:hanging="378"/>
        <w:spacing w:after="0" w:line="282" w:lineRule="auto"/>
        <w:tabs>
          <w:tab w:leader="none" w:pos="7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10 basis point favorable impact as non-personnel costs decreased as a percent of revenues, primarily due to percent of revenue decreases in office leases and consulting and outside services; partially offset by</w:t>
      </w:r>
    </w:p>
    <w:p>
      <w:pPr>
        <w:spacing w:after="0" w:line="121"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10 basis point unfavorable impact from changes in currency exchange rates.</w:t>
      </w:r>
    </w:p>
    <w:p>
      <w:pPr>
        <w:spacing w:after="0" w:line="22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61" w:right="379" w:bottom="1440" w:gutter="0" w:footer="0" w:header="0"/>
        </w:sectPr>
      </w:pPr>
    </w:p>
    <w:bookmarkStart w:id="25" w:name="page26"/>
    <w:bookmarkEnd w:id="25"/>
    <w:p>
      <w:pPr>
        <w:ind w:right="120"/>
        <w:spacing w:after="0" w:line="256" w:lineRule="auto"/>
        <w:rPr>
          <w:sz w:val="20"/>
          <w:szCs w:val="20"/>
          <w:color w:val="auto"/>
        </w:rPr>
      </w:pPr>
      <w:r>
        <w:rPr>
          <w:rFonts w:ascii="Times New Roman" w:cs="Times New Roman" w:eastAsia="Times New Roman" w:hAnsi="Times New Roman"/>
          <w:sz w:val="18"/>
          <w:szCs w:val="18"/>
          <w:color w:val="auto"/>
        </w:rPr>
        <w:t>Interest and other expenses, net is comprised of interest, foreign exchange gains and losses and other miscellaneous non-operating income and expenses, including those associated with noncontrolling interests. Interest expense, net was $13.4 million in the second quarter of 2024 compared to $11.6 million in the second quarter of 2023 primarily due to increased revolver and other short term borrowings at a higher interest rate during the period. Foreign exchange loss, net was $1.8 million in the second quarter of 2024 compared to $5.1 million in the second quarter of 2023 primarily due to a reduction in foreign currency exchange losses year over year. Miscellaneous income, net was $6.5 million in the second quarter of 2024 compared to $4.9 million in the second quarter of 2023.</w:t>
      </w:r>
    </w:p>
    <w:p>
      <w:pPr>
        <w:spacing w:after="0" w:line="160" w:lineRule="exact"/>
        <w:rPr>
          <w:sz w:val="20"/>
          <w:szCs w:val="20"/>
          <w:color w:val="auto"/>
        </w:rPr>
      </w:pPr>
    </w:p>
    <w:p>
      <w:pPr>
        <w:ind w:right="240"/>
        <w:spacing w:after="0" w:line="258" w:lineRule="auto"/>
        <w:rPr>
          <w:sz w:val="20"/>
          <w:szCs w:val="20"/>
          <w:color w:val="auto"/>
        </w:rPr>
      </w:pPr>
      <w:r>
        <w:rPr>
          <w:rFonts w:ascii="Times New Roman" w:cs="Times New Roman" w:eastAsia="Times New Roman" w:hAnsi="Times New Roman"/>
          <w:sz w:val="18"/>
          <w:szCs w:val="18"/>
          <w:color w:val="auto"/>
        </w:rPr>
        <w:t>We recorded income tax expense at an effective rate of 34.9% for the three months ended June 30, 2024, as compared to an effective rate of 31.9% for the three months ended June 30, 2023. The 2024 rate was unfavorably impacted by the lower level and overall mix of earnings and partially offset by the scheduled reduction in the French business tax rate from 0.38% to 0.28% effective January 1, 2024. The 34.9% effective tax rate for the second quarter of 2024 was higher than the United States Federal statutory rate of 21% primarily due to the French business tax, tax losses in certain countries for which we did not recognize a corresponding tax benefit due to valuation allowances, and the overall mix of earnings.</w:t>
      </w:r>
    </w:p>
    <w:p>
      <w:pPr>
        <w:spacing w:after="0" w:line="143" w:lineRule="exact"/>
        <w:rPr>
          <w:sz w:val="20"/>
          <w:szCs w:val="20"/>
          <w:color w:val="auto"/>
        </w:rPr>
      </w:pPr>
    </w:p>
    <w:p>
      <w:pPr>
        <w:jc w:val="both"/>
        <w:ind w:right="200"/>
        <w:spacing w:after="0" w:line="266" w:lineRule="auto"/>
        <w:rPr>
          <w:sz w:val="20"/>
          <w:szCs w:val="20"/>
          <w:color w:val="auto"/>
        </w:rPr>
      </w:pPr>
      <w:r>
        <w:rPr>
          <w:rFonts w:ascii="Times New Roman" w:cs="Times New Roman" w:eastAsia="Times New Roman" w:hAnsi="Times New Roman"/>
          <w:sz w:val="18"/>
          <w:szCs w:val="18"/>
          <w:color w:val="auto"/>
        </w:rPr>
        <w:t>Net earnings per share - diluted was $1.24 in the second quarter of 2024 compared to $1.29 in the second quarter of 2023. Losses related to our Proservia Germany wind down in the second quarter of 2024 unfavorably impacted net earnings per share - diluted by approximately $0.06, net of tax, in the second quarter of 2024.</w:t>
      </w:r>
    </w:p>
    <w:p>
      <w:pPr>
        <w:spacing w:after="0" w:line="135" w:lineRule="exact"/>
        <w:rPr>
          <w:sz w:val="20"/>
          <w:szCs w:val="20"/>
          <w:color w:val="auto"/>
        </w:rPr>
      </w:pPr>
    </w:p>
    <w:p>
      <w:pPr>
        <w:ind w:right="340"/>
        <w:spacing w:after="0" w:line="282" w:lineRule="auto"/>
        <w:rPr>
          <w:sz w:val="20"/>
          <w:szCs w:val="20"/>
          <w:color w:val="auto"/>
        </w:rPr>
      </w:pPr>
      <w:r>
        <w:rPr>
          <w:rFonts w:ascii="Times New Roman" w:cs="Times New Roman" w:eastAsia="Times New Roman" w:hAnsi="Times New Roman"/>
          <w:sz w:val="18"/>
          <w:szCs w:val="18"/>
          <w:color w:val="auto"/>
        </w:rPr>
        <w:t>Weighted average shares - diluted decreased to 48.4 million in the second quarter of 2024 from 50.7 million in the second quarter of 2023. This decrease was due to the impact of share repurchases completed since the second quarter of 2023, partially offset by grants of share-based awards.</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Operating Results - Six Months Ended June 30, 2024 and 2023</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selected consolidated financial data for the six months ended June 30, 2024 as compared to 2023.</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20" w:type="dxa"/>
            <w:vAlign w:val="bottom"/>
            <w:gridSpan w:val="3"/>
          </w:tcPr>
          <w:p>
            <w:pPr>
              <w:ind w:left="260"/>
              <w:spacing w:after="0"/>
              <w:rPr>
                <w:sz w:val="20"/>
                <w:szCs w:val="20"/>
                <w:color w:val="auto"/>
              </w:rPr>
            </w:pPr>
            <w:r>
              <w:rPr>
                <w:rFonts w:ascii="Times New Roman" w:cs="Times New Roman" w:eastAsia="Times New Roman" w:hAnsi="Times New Roman"/>
                <w:sz w:val="18"/>
                <w:szCs w:val="18"/>
                <w:b w:val="1"/>
                <w:bCs w:val="1"/>
                <w:color w:val="auto"/>
              </w:rPr>
              <w:t>Constant</w:t>
            </w:r>
          </w:p>
        </w:tc>
      </w:tr>
      <w:tr>
        <w:trPr>
          <w:trHeight w:val="216"/>
        </w:trPr>
        <w:tc>
          <w:tcPr>
            <w:tcW w:w="5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20" w:type="dxa"/>
            <w:vAlign w:val="bottom"/>
            <w:gridSpan w:val="3"/>
          </w:tcPr>
          <w:p>
            <w:pPr>
              <w:ind w:left="240"/>
              <w:spacing w:after="0"/>
              <w:rPr>
                <w:sz w:val="20"/>
                <w:szCs w:val="20"/>
                <w:color w:val="auto"/>
              </w:rPr>
            </w:pPr>
            <w:r>
              <w:rPr>
                <w:rFonts w:ascii="Times New Roman" w:cs="Times New Roman" w:eastAsia="Times New Roman" w:hAnsi="Times New Roman"/>
                <w:sz w:val="18"/>
                <w:szCs w:val="18"/>
                <w:b w:val="1"/>
                <w:bCs w:val="1"/>
                <w:color w:val="auto"/>
              </w:rPr>
              <w:t>Currency</w:t>
            </w:r>
          </w:p>
        </w:tc>
      </w:tr>
      <w:tr>
        <w:trPr>
          <w:trHeight w:val="245"/>
        </w:trPr>
        <w:tc>
          <w:tcPr>
            <w:tcW w:w="58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(in millions, except per share data)</w:t>
            </w:r>
          </w:p>
        </w:tc>
        <w:tc>
          <w:tcPr>
            <w:tcW w:w="12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20" w:type="dxa"/>
            <w:vAlign w:val="bottom"/>
          </w:tcPr>
          <w:p>
            <w:pPr>
              <w:spacing w:after="0"/>
              <w:rPr>
                <w:sz w:val="21"/>
                <w:szCs w:val="21"/>
                <w:color w:val="auto"/>
              </w:rPr>
            </w:pPr>
          </w:p>
        </w:tc>
        <w:tc>
          <w:tcPr>
            <w:tcW w:w="112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8"/>
                <w:szCs w:val="18"/>
                <w:b w:val="1"/>
                <w:bCs w:val="1"/>
                <w:color w:val="auto"/>
              </w:rPr>
              <w:t>Variance</w:t>
            </w:r>
          </w:p>
        </w:tc>
        <w:tc>
          <w:tcPr>
            <w:tcW w:w="220" w:type="dxa"/>
            <w:vAlign w:val="bottom"/>
          </w:tcPr>
          <w:p>
            <w:pPr>
              <w:spacing w:after="0"/>
              <w:rPr>
                <w:sz w:val="21"/>
                <w:szCs w:val="21"/>
                <w:color w:val="auto"/>
              </w:rPr>
            </w:pPr>
          </w:p>
        </w:tc>
        <w:tc>
          <w:tcPr>
            <w:tcW w:w="1220" w:type="dxa"/>
            <w:vAlign w:val="bottom"/>
            <w:tcBorders>
              <w:bottom w:val="single" w:sz="8" w:color="auto"/>
            </w:tcBorders>
          </w:tcPr>
          <w:p>
            <w:pPr>
              <w:ind w:left="260"/>
              <w:spacing w:after="0"/>
              <w:rPr>
                <w:sz w:val="20"/>
                <w:szCs w:val="20"/>
                <w:color w:val="auto"/>
              </w:rPr>
            </w:pPr>
            <w:r>
              <w:rPr>
                <w:rFonts w:ascii="Times New Roman" w:cs="Times New Roman" w:eastAsia="Times New Roman" w:hAnsi="Times New Roman"/>
                <w:sz w:val="18"/>
                <w:szCs w:val="18"/>
                <w:b w:val="1"/>
                <w:bCs w:val="1"/>
                <w:color w:val="auto"/>
              </w:rPr>
              <w:t>Variance</w:t>
            </w:r>
          </w:p>
        </w:tc>
        <w:tc>
          <w:tcPr>
            <w:tcW w:w="200" w:type="dxa"/>
            <w:vAlign w:val="bottom"/>
            <w:gridSpan w:val="2"/>
          </w:tcPr>
          <w:p>
            <w:pPr>
              <w:spacing w:after="0"/>
              <w:rPr>
                <w:sz w:val="21"/>
                <w:szCs w:val="21"/>
                <w:color w:val="auto"/>
              </w:rPr>
            </w:pPr>
          </w:p>
        </w:tc>
      </w:tr>
      <w:tr>
        <w:trPr>
          <w:trHeight w:val="234"/>
        </w:trPr>
        <w:tc>
          <w:tcPr>
            <w:tcW w:w="5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Revenues from services</w:t>
            </w:r>
          </w:p>
        </w:tc>
        <w:tc>
          <w:tcPr>
            <w:tcW w:w="36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8,924.0</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9,608.4</w:t>
            </w:r>
          </w:p>
        </w:tc>
        <w:tc>
          <w:tcPr>
            <w:tcW w:w="220" w:type="dxa"/>
            <w:vAlign w:val="bottom"/>
          </w:tcPr>
          <w:p>
            <w:pPr>
              <w:spacing w:after="0"/>
              <w:rPr>
                <w:sz w:val="20"/>
                <w:szCs w:val="20"/>
                <w:color w:val="auto"/>
              </w:rPr>
            </w:pPr>
          </w:p>
        </w:tc>
        <w:tc>
          <w:tcPr>
            <w:tcW w:w="134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(7.1 )%</w:t>
            </w:r>
          </w:p>
        </w:tc>
        <w:tc>
          <w:tcPr>
            <w:tcW w:w="142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(4.5 )%</w:t>
            </w:r>
          </w:p>
        </w:tc>
      </w:tr>
      <w:tr>
        <w:trPr>
          <w:trHeight w:val="246"/>
        </w:trPr>
        <w:tc>
          <w:tcPr>
            <w:tcW w:w="5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Cost of services</w:t>
            </w:r>
          </w:p>
        </w:tc>
        <w:tc>
          <w:tcPr>
            <w:tcW w:w="12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7,374.4</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7,883.0</w:t>
            </w:r>
          </w:p>
        </w:tc>
        <w:tc>
          <w:tcPr>
            <w:tcW w:w="220" w:type="dxa"/>
            <w:vAlign w:val="bottom"/>
          </w:tcPr>
          <w:p>
            <w:pPr>
              <w:spacing w:after="0"/>
              <w:rPr>
                <w:sz w:val="21"/>
                <w:szCs w:val="21"/>
                <w:color w:val="auto"/>
              </w:rPr>
            </w:pPr>
          </w:p>
        </w:tc>
        <w:tc>
          <w:tcPr>
            <w:tcW w:w="134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(6.5 )%</w:t>
            </w:r>
          </w:p>
        </w:tc>
        <w:tc>
          <w:tcPr>
            <w:tcW w:w="142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(3.7 )%</w:t>
            </w:r>
          </w:p>
        </w:tc>
      </w:tr>
      <w:tr>
        <w:trPr>
          <w:trHeight w:val="234"/>
        </w:trPr>
        <w:tc>
          <w:tcPr>
            <w:tcW w:w="58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Gross profit</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1,549.6</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1,725.4</w:t>
            </w:r>
          </w:p>
        </w:tc>
        <w:tc>
          <w:tcPr>
            <w:tcW w:w="220" w:type="dxa"/>
            <w:vAlign w:val="bottom"/>
          </w:tcPr>
          <w:p>
            <w:pPr>
              <w:spacing w:after="0"/>
              <w:rPr>
                <w:sz w:val="20"/>
                <w:szCs w:val="20"/>
                <w:color w:val="auto"/>
              </w:rPr>
            </w:pPr>
          </w:p>
        </w:tc>
        <w:tc>
          <w:tcPr>
            <w:tcW w:w="134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(10.2 )%</w:t>
            </w:r>
          </w:p>
        </w:tc>
        <w:tc>
          <w:tcPr>
            <w:tcW w:w="142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(7.9 )%</w:t>
            </w:r>
          </w:p>
        </w:tc>
      </w:tr>
      <w:tr>
        <w:trPr>
          <w:trHeight w:val="238"/>
        </w:trPr>
        <w:tc>
          <w:tcPr>
            <w:tcW w:w="5800" w:type="dxa"/>
            <w:vAlign w:val="bottom"/>
          </w:tcPr>
          <w:p>
            <w:pPr>
              <w:ind w:left="200"/>
              <w:spacing w:after="0"/>
              <w:rPr>
                <w:sz w:val="20"/>
                <w:szCs w:val="20"/>
                <w:color w:val="auto"/>
              </w:rPr>
            </w:pPr>
            <w:r>
              <w:rPr>
                <w:rFonts w:ascii="Times New Roman" w:cs="Times New Roman" w:eastAsia="Times New Roman" w:hAnsi="Times New Roman"/>
                <w:sz w:val="18"/>
                <w:szCs w:val="18"/>
                <w:i w:val="1"/>
                <w:iCs w:val="1"/>
                <w:color w:val="auto"/>
              </w:rPr>
              <w:t>Gross profit margin</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6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i w:val="1"/>
                <w:iCs w:val="1"/>
                <w:color w:val="auto"/>
              </w:rPr>
              <w:t>17.4 %</w:t>
            </w:r>
          </w:p>
        </w:tc>
        <w:tc>
          <w:tcPr>
            <w:tcW w:w="220" w:type="dxa"/>
            <w:vAlign w:val="bottom"/>
          </w:tcPr>
          <w:p>
            <w:pPr>
              <w:spacing w:after="0"/>
              <w:rPr>
                <w:sz w:val="20"/>
                <w:szCs w:val="20"/>
                <w:color w:val="auto"/>
              </w:rPr>
            </w:pPr>
          </w:p>
        </w:tc>
        <w:tc>
          <w:tcPr>
            <w:tcW w:w="10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i w:val="1"/>
                <w:iCs w:val="1"/>
                <w:color w:val="auto"/>
              </w:rPr>
              <w:t>18.0 %</w:t>
            </w:r>
          </w:p>
        </w:tc>
        <w:tc>
          <w:tcPr>
            <w:tcW w:w="1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50"/>
        </w:trPr>
        <w:tc>
          <w:tcPr>
            <w:tcW w:w="5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Selling and administrative expenses</w:t>
            </w:r>
          </w:p>
        </w:tc>
        <w:tc>
          <w:tcPr>
            <w:tcW w:w="12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1,382.6</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1,499.9</w:t>
            </w:r>
          </w:p>
        </w:tc>
        <w:tc>
          <w:tcPr>
            <w:tcW w:w="220" w:type="dxa"/>
            <w:vAlign w:val="bottom"/>
          </w:tcPr>
          <w:p>
            <w:pPr>
              <w:spacing w:after="0"/>
              <w:rPr>
                <w:sz w:val="21"/>
                <w:szCs w:val="21"/>
                <w:color w:val="auto"/>
              </w:rPr>
            </w:pPr>
          </w:p>
        </w:tc>
        <w:tc>
          <w:tcPr>
            <w:tcW w:w="134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(7.8 )%</w:t>
            </w:r>
          </w:p>
        </w:tc>
        <w:tc>
          <w:tcPr>
            <w:tcW w:w="142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(5.8 )%</w:t>
            </w:r>
          </w:p>
        </w:tc>
      </w:tr>
      <w:tr>
        <w:trPr>
          <w:trHeight w:val="238"/>
        </w:trPr>
        <w:tc>
          <w:tcPr>
            <w:tcW w:w="58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Operating profit</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167.0</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225.5</w:t>
            </w:r>
          </w:p>
        </w:tc>
        <w:tc>
          <w:tcPr>
            <w:tcW w:w="220" w:type="dxa"/>
            <w:vAlign w:val="bottom"/>
          </w:tcPr>
          <w:p>
            <w:pPr>
              <w:spacing w:after="0"/>
              <w:rPr>
                <w:sz w:val="20"/>
                <w:szCs w:val="20"/>
                <w:color w:val="auto"/>
              </w:rPr>
            </w:pPr>
          </w:p>
        </w:tc>
        <w:tc>
          <w:tcPr>
            <w:tcW w:w="134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(25.9 )%</w:t>
            </w:r>
          </w:p>
        </w:tc>
        <w:tc>
          <w:tcPr>
            <w:tcW w:w="142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(21.9 )%</w:t>
            </w:r>
          </w:p>
        </w:tc>
      </w:tr>
      <w:tr>
        <w:trPr>
          <w:trHeight w:val="247"/>
        </w:trPr>
        <w:tc>
          <w:tcPr>
            <w:tcW w:w="58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i w:val="1"/>
                <w:iCs w:val="1"/>
                <w:color w:val="auto"/>
              </w:rPr>
              <w:t>Operating profit margin</w:t>
            </w:r>
          </w:p>
        </w:tc>
        <w:tc>
          <w:tcPr>
            <w:tcW w:w="12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160" w:type="dxa"/>
            <w:vAlign w:val="bottom"/>
            <w:gridSpan w:val="3"/>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i w:val="1"/>
                <w:iCs w:val="1"/>
                <w:color w:val="auto"/>
              </w:rPr>
              <w:t>1.9 %</w:t>
            </w:r>
          </w:p>
        </w:tc>
        <w:tc>
          <w:tcPr>
            <w:tcW w:w="220" w:type="dxa"/>
            <w:vAlign w:val="bottom"/>
            <w:shd w:val="clear" w:color="auto" w:fill="CFF0FC"/>
          </w:tcPr>
          <w:p>
            <w:pPr>
              <w:spacing w:after="0"/>
              <w:rPr>
                <w:sz w:val="21"/>
                <w:szCs w:val="21"/>
                <w:color w:val="auto"/>
              </w:rPr>
            </w:pPr>
          </w:p>
        </w:tc>
        <w:tc>
          <w:tcPr>
            <w:tcW w:w="10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i w:val="1"/>
                <w:iCs w:val="1"/>
                <w:color w:val="auto"/>
              </w:rPr>
              <w:t>2.3 %</w:t>
            </w:r>
          </w:p>
        </w:tc>
        <w:tc>
          <w:tcPr>
            <w:tcW w:w="112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2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00" w:type="dxa"/>
            <w:vAlign w:val="bottom"/>
          </w:tcPr>
          <w:p>
            <w:pPr>
              <w:spacing w:after="0"/>
              <w:rPr>
                <w:sz w:val="21"/>
                <w:szCs w:val="21"/>
                <w:color w:val="auto"/>
              </w:rPr>
            </w:pPr>
          </w:p>
        </w:tc>
      </w:tr>
      <w:tr>
        <w:trPr>
          <w:trHeight w:val="237"/>
        </w:trPr>
        <w:tc>
          <w:tcPr>
            <w:tcW w:w="5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and other expenses, net</w:t>
            </w:r>
          </w:p>
        </w:tc>
        <w:tc>
          <w:tcPr>
            <w:tcW w:w="1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17.1</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19.3</w:t>
            </w:r>
          </w:p>
        </w:tc>
        <w:tc>
          <w:tcPr>
            <w:tcW w:w="220" w:type="dxa"/>
            <w:vAlign w:val="bottom"/>
          </w:tcPr>
          <w:p>
            <w:pPr>
              <w:spacing w:after="0"/>
              <w:rPr>
                <w:sz w:val="20"/>
                <w:szCs w:val="20"/>
                <w:color w:val="auto"/>
              </w:rPr>
            </w:pPr>
          </w:p>
        </w:tc>
        <w:tc>
          <w:tcPr>
            <w:tcW w:w="134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(11.4 )%</w:t>
            </w: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34"/>
        </w:trPr>
        <w:tc>
          <w:tcPr>
            <w:tcW w:w="58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Earnings before income taxes</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149.9</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206.2</w:t>
            </w:r>
          </w:p>
        </w:tc>
        <w:tc>
          <w:tcPr>
            <w:tcW w:w="220" w:type="dxa"/>
            <w:vAlign w:val="bottom"/>
          </w:tcPr>
          <w:p>
            <w:pPr>
              <w:spacing w:after="0"/>
              <w:rPr>
                <w:sz w:val="20"/>
                <w:szCs w:val="20"/>
                <w:color w:val="auto"/>
              </w:rPr>
            </w:pPr>
          </w:p>
        </w:tc>
        <w:tc>
          <w:tcPr>
            <w:tcW w:w="134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(27.3 )%</w:t>
            </w:r>
          </w:p>
        </w:tc>
        <w:tc>
          <w:tcPr>
            <w:tcW w:w="142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(23.0 )%</w:t>
            </w:r>
          </w:p>
        </w:tc>
      </w:tr>
      <w:tr>
        <w:trPr>
          <w:trHeight w:val="245"/>
        </w:trPr>
        <w:tc>
          <w:tcPr>
            <w:tcW w:w="5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50.1</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63.2</w:t>
            </w:r>
          </w:p>
        </w:tc>
        <w:tc>
          <w:tcPr>
            <w:tcW w:w="220" w:type="dxa"/>
            <w:vAlign w:val="bottom"/>
          </w:tcPr>
          <w:p>
            <w:pPr>
              <w:spacing w:after="0"/>
              <w:rPr>
                <w:sz w:val="21"/>
                <w:szCs w:val="21"/>
                <w:color w:val="auto"/>
              </w:rPr>
            </w:pPr>
          </w:p>
        </w:tc>
        <w:tc>
          <w:tcPr>
            <w:tcW w:w="134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(20.7 )%</w:t>
            </w: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46"/>
        </w:trPr>
        <w:tc>
          <w:tcPr>
            <w:tcW w:w="58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i w:val="1"/>
                <w:iCs w:val="1"/>
                <w:color w:val="auto"/>
              </w:rPr>
              <w:t>Effective income tax rate</w:t>
            </w:r>
          </w:p>
        </w:tc>
        <w:tc>
          <w:tcPr>
            <w:tcW w:w="12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160" w:type="dxa"/>
            <w:vAlign w:val="bottom"/>
            <w:gridSpan w:val="3"/>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i w:val="1"/>
                <w:iCs w:val="1"/>
                <w:color w:val="auto"/>
              </w:rPr>
              <w:t>33.4 %</w:t>
            </w:r>
          </w:p>
        </w:tc>
        <w:tc>
          <w:tcPr>
            <w:tcW w:w="220" w:type="dxa"/>
            <w:vAlign w:val="bottom"/>
            <w:shd w:val="clear" w:color="auto" w:fill="CFF0FC"/>
          </w:tcPr>
          <w:p>
            <w:pPr>
              <w:spacing w:after="0"/>
              <w:rPr>
                <w:sz w:val="21"/>
                <w:szCs w:val="21"/>
                <w:color w:val="auto"/>
              </w:rPr>
            </w:pPr>
          </w:p>
        </w:tc>
        <w:tc>
          <w:tcPr>
            <w:tcW w:w="10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i w:val="1"/>
                <w:iCs w:val="1"/>
                <w:color w:val="auto"/>
              </w:rPr>
              <w:t>30.6 %</w:t>
            </w:r>
          </w:p>
        </w:tc>
        <w:tc>
          <w:tcPr>
            <w:tcW w:w="112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2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00" w:type="dxa"/>
            <w:vAlign w:val="bottom"/>
          </w:tcPr>
          <w:p>
            <w:pPr>
              <w:spacing w:after="0"/>
              <w:rPr>
                <w:sz w:val="21"/>
                <w:szCs w:val="21"/>
                <w:color w:val="auto"/>
              </w:rPr>
            </w:pPr>
          </w:p>
        </w:tc>
      </w:tr>
      <w:tr>
        <w:trPr>
          <w:trHeight w:val="20"/>
        </w:trPr>
        <w:tc>
          <w:tcPr>
            <w:tcW w:w="580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120" w:type="dxa"/>
            <w:vAlign w:val="bottom"/>
            <w:shd w:val="clear" w:color="auto" w:fill="CFF0FC"/>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22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40"/>
        </w:trPr>
        <w:tc>
          <w:tcPr>
            <w:tcW w:w="58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Net earnings</w:t>
            </w:r>
          </w:p>
        </w:tc>
        <w:tc>
          <w:tcPr>
            <w:tcW w:w="120" w:type="dxa"/>
            <w:vAlign w:val="bottom"/>
          </w:tcPr>
          <w:p>
            <w:pPr>
              <w:spacing w:after="0"/>
              <w:rPr>
                <w:sz w:val="20"/>
                <w:szCs w:val="20"/>
                <w:color w:val="auto"/>
              </w:rPr>
            </w:pP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99.8</w:t>
            </w:r>
          </w:p>
        </w:tc>
        <w:tc>
          <w:tcPr>
            <w:tcW w:w="1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143.0</w:t>
            </w:r>
          </w:p>
        </w:tc>
        <w:tc>
          <w:tcPr>
            <w:tcW w:w="220" w:type="dxa"/>
            <w:vAlign w:val="bottom"/>
          </w:tcPr>
          <w:p>
            <w:pPr>
              <w:spacing w:after="0"/>
              <w:rPr>
                <w:sz w:val="20"/>
                <w:szCs w:val="20"/>
                <w:color w:val="auto"/>
              </w:rPr>
            </w:pPr>
          </w:p>
        </w:tc>
        <w:tc>
          <w:tcPr>
            <w:tcW w:w="134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(30.2 )%</w:t>
            </w:r>
          </w:p>
        </w:tc>
        <w:tc>
          <w:tcPr>
            <w:tcW w:w="142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(26.0 )%</w:t>
            </w:r>
          </w:p>
        </w:tc>
      </w:tr>
      <w:tr>
        <w:trPr>
          <w:trHeight w:val="20"/>
        </w:trPr>
        <w:tc>
          <w:tcPr>
            <w:tcW w:w="5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4"/>
        </w:trPr>
        <w:tc>
          <w:tcPr>
            <w:tcW w:w="5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earnings per share – diluted</w:t>
            </w:r>
          </w:p>
        </w:tc>
        <w:tc>
          <w:tcPr>
            <w:tcW w:w="36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2.05</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2.80</w:t>
            </w:r>
          </w:p>
        </w:tc>
        <w:tc>
          <w:tcPr>
            <w:tcW w:w="220" w:type="dxa"/>
            <w:vAlign w:val="bottom"/>
          </w:tcPr>
          <w:p>
            <w:pPr>
              <w:spacing w:after="0"/>
              <w:rPr>
                <w:sz w:val="19"/>
                <w:szCs w:val="19"/>
                <w:color w:val="auto"/>
              </w:rPr>
            </w:pPr>
          </w:p>
        </w:tc>
        <w:tc>
          <w:tcPr>
            <w:tcW w:w="134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(26.8 )%</w:t>
            </w:r>
          </w:p>
        </w:tc>
        <w:tc>
          <w:tcPr>
            <w:tcW w:w="142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(22.5 )%</w:t>
            </w:r>
          </w:p>
        </w:tc>
      </w:tr>
      <w:tr>
        <w:trPr>
          <w:trHeight w:val="20"/>
        </w:trPr>
        <w:tc>
          <w:tcPr>
            <w:tcW w:w="5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3"/>
        </w:trPr>
        <w:tc>
          <w:tcPr>
            <w:tcW w:w="5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Weighted average shares – diluted</w:t>
            </w:r>
          </w:p>
        </w:tc>
        <w:tc>
          <w:tcPr>
            <w:tcW w:w="1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48.7</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51.0</w:t>
            </w:r>
          </w:p>
        </w:tc>
        <w:tc>
          <w:tcPr>
            <w:tcW w:w="220" w:type="dxa"/>
            <w:vAlign w:val="bottom"/>
          </w:tcPr>
          <w:p>
            <w:pPr>
              <w:spacing w:after="0"/>
              <w:rPr>
                <w:sz w:val="19"/>
                <w:szCs w:val="19"/>
                <w:color w:val="auto"/>
              </w:rPr>
            </w:pPr>
          </w:p>
        </w:tc>
        <w:tc>
          <w:tcPr>
            <w:tcW w:w="134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(4.6 )%</w:t>
            </w: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0"/>
        </w:trPr>
        <w:tc>
          <w:tcPr>
            <w:tcW w:w="5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-2270760</wp:posOffset>
            </wp:positionV>
            <wp:extent cx="7132320" cy="15430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-1953895</wp:posOffset>
            </wp:positionV>
            <wp:extent cx="7132320" cy="15430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-1010920</wp:posOffset>
            </wp:positionV>
            <wp:extent cx="7132320" cy="15430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-1645285</wp:posOffset>
            </wp:positionV>
            <wp:extent cx="7132320" cy="16256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132320" cy="162560"/>
                    </a:xfrm>
                    <a:prstGeom prst="rect">
                      <a:avLst/>
                    </a:prstGeom>
                    <a:noFill/>
                  </pic:spPr>
                </pic:pic>
              </a:graphicData>
            </a:graphic>
          </wp:anchor>
        </w:drawing>
        <w:drawing>
          <wp:anchor simplePos="0" relativeHeight="251657728" behindDoc="1" locked="0" layoutInCell="0" allowOverlap="1">
            <wp:simplePos x="0" y="0"/>
            <wp:positionH relativeFrom="column">
              <wp:posOffset>4488180</wp:posOffset>
            </wp:positionH>
            <wp:positionV relativeFrom="paragraph">
              <wp:posOffset>-548005</wp:posOffset>
            </wp:positionV>
            <wp:extent cx="77470" cy="825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5311140</wp:posOffset>
            </wp:positionH>
            <wp:positionV relativeFrom="paragraph">
              <wp:posOffset>-548005</wp:posOffset>
            </wp:positionV>
            <wp:extent cx="68580" cy="825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-359410</wp:posOffset>
            </wp:positionV>
            <wp:extent cx="7132320" cy="18034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132320" cy="180340"/>
                    </a:xfrm>
                    <a:prstGeom prst="rect">
                      <a:avLst/>
                    </a:prstGeom>
                    <a:noFill/>
                  </pic:spPr>
                </pic:pic>
              </a:graphicData>
            </a:graphic>
          </wp:anchor>
        </w:drawing>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year-over-year decrease in revenues from services of -7.1% (-4.5% in constant currency and -4.3% in organic constant currency) was attributed to:</w:t>
      </w:r>
    </w:p>
    <w:p>
      <w:pPr>
        <w:spacing w:after="0" w:line="185" w:lineRule="exact"/>
        <w:rPr>
          <w:sz w:val="20"/>
          <w:szCs w:val="20"/>
          <w:color w:val="auto"/>
        </w:rPr>
      </w:pPr>
    </w:p>
    <w:p>
      <w:pPr>
        <w:ind w:left="760" w:right="240" w:hanging="378"/>
        <w:spacing w:after="0" w:line="258" w:lineRule="auto"/>
        <w:tabs>
          <w:tab w:leader="none" w:pos="7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revenue decrease in the Americas of -5.7% (increase of 1.9% in constant currency) primarily driven by the $170.1 million unfavorable impact of currency exchange rates and a $9.9 million decrease in demand for our permanent recruitment services, partially offset by increased demand of $34.8 million for our Manpower and Experis staffing/interim services and a $9.6 million increase in demand for our Manpower solutions services. The United States, our largest market in the Americas, experienced a revenue decrease of -5.1% primarily driven by a $58.3 million decrease in demand for our Manpower and</w:t>
      </w:r>
    </w:p>
    <w:p>
      <w:pPr>
        <w:spacing w:after="0" w:line="183"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40"/>
          </w:cols>
          <w:pgMar w:left="320" w:top="1161" w:right="239" w:bottom="1440" w:gutter="0" w:footer="0" w:header="0"/>
        </w:sectPr>
      </w:pPr>
    </w:p>
    <w:bookmarkStart w:id="26" w:name="page27"/>
    <w:bookmarkEnd w:id="26"/>
    <w:p>
      <w:pPr>
        <w:ind w:left="760" w:right="480"/>
        <w:spacing w:after="0" w:line="282" w:lineRule="auto"/>
        <w:rPr>
          <w:sz w:val="20"/>
          <w:szCs w:val="20"/>
          <w:color w:val="auto"/>
        </w:rPr>
      </w:pPr>
      <w:r>
        <w:rPr>
          <w:rFonts w:ascii="Times New Roman" w:cs="Times New Roman" w:eastAsia="Times New Roman" w:hAnsi="Times New Roman"/>
          <w:sz w:val="18"/>
          <w:szCs w:val="18"/>
          <w:color w:val="auto"/>
        </w:rPr>
        <w:t>Experis staffing/interim services and a $12.5 million decrease in demand for our permanent recruitment services, partially offset by a $4.6 million increase in demand for our Talent Solutions outplacement services;</w:t>
      </w:r>
    </w:p>
    <w:p>
      <w:pPr>
        <w:spacing w:after="0" w:line="135" w:lineRule="exact"/>
        <w:rPr>
          <w:sz w:val="20"/>
          <w:szCs w:val="20"/>
          <w:color w:val="auto"/>
        </w:rPr>
      </w:pPr>
    </w:p>
    <w:p>
      <w:pPr>
        <w:ind w:left="760" w:right="80" w:hanging="378"/>
        <w:spacing w:after="0" w:line="253" w:lineRule="auto"/>
        <w:tabs>
          <w:tab w:leader="none" w:pos="7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revenue decrease in Southern Europe of -5.0% (-4.6% in constant currency) primarily driven by a $185.0 million decrease in demand for our Manpower and Experis staffing/interim services, the $17.1 million unfavorable impact of currency exchange rates, a $12.0 million decrease in demand for our permanent recruitment services and a $9.7 million decrease in demand for our Manpower and Experis solutions services, partially offset by a $7.1 million increase in demand for our Talent Solutions outplacement services. France, the largest market in Southern Europe, experienced a revenue decrease of -5.9% (-5.8% in constant currency) primarily driven by a $140.4 million decrease in demand for our Manpower staffing services and a $4.2 million decrease in demand for our permanent recruitment services, partially offset by a $6.5 million increase in demand for our Talent Solutions outplacement services. Italy, our second-largest market in Southern Europe, experienced a revenue decrease of -4.6% (-4.6% in constant currency) primarily driven by a $40.6 million decrease in our Manpower staffing services and a $3.6 million decrease in demand for our permanent recruitment services, partially offset by a $2.6 million increase in demand for our Manpower solutions services;</w:t>
      </w:r>
    </w:p>
    <w:p>
      <w:pPr>
        <w:spacing w:after="0" w:line="153" w:lineRule="exact"/>
        <w:rPr>
          <w:rFonts w:ascii="Times New Roman" w:cs="Times New Roman" w:eastAsia="Times New Roman" w:hAnsi="Times New Roman"/>
          <w:sz w:val="18"/>
          <w:szCs w:val="18"/>
          <w:color w:val="auto"/>
        </w:rPr>
      </w:pPr>
    </w:p>
    <w:p>
      <w:pPr>
        <w:ind w:left="760" w:hanging="378"/>
        <w:spacing w:after="0" w:line="255" w:lineRule="auto"/>
        <w:tabs>
          <w:tab w:leader="none" w:pos="7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revenue decrease in Northern Europe of -11.1% (-12.1% in constant currency) primarily driven by a $182.5 million decrease in demand for our Manpower and Experis staffing/interim services, a $39.2 million decrease in demand for our Experis solutions services and an $18.4 million decrease in our permanent recruitment services, partially offset by the $19.6 million favorable impact of currency exchange rates and a $7.7 million increase in demand for our Talent Solutions outplacement and MSP services. Within our Northern Europe segment, we experienced revenue decreases in the United Kingdom of $72.9 million, the Nordics of $101.8 million, Germany of $33.3 million, the Netherlands of $5.7 million and Belgium of $0.6 million, which represented revenue decreases of -10.9%, -23.2%, -11.8%, -2.9 and -0.4%, respectively (-13.2%, -22.5%, -11.8%, -2.9% and -0.4%, respectively, in constant currency); and</w:t>
      </w:r>
    </w:p>
    <w:p>
      <w:pPr>
        <w:spacing w:after="0" w:line="148" w:lineRule="exact"/>
        <w:rPr>
          <w:rFonts w:ascii="Times New Roman" w:cs="Times New Roman" w:eastAsia="Times New Roman" w:hAnsi="Times New Roman"/>
          <w:sz w:val="18"/>
          <w:szCs w:val="18"/>
          <w:color w:val="auto"/>
        </w:rPr>
      </w:pPr>
    </w:p>
    <w:p>
      <w:pPr>
        <w:ind w:left="760" w:right="120" w:hanging="378"/>
        <w:spacing w:after="0" w:line="261" w:lineRule="auto"/>
        <w:tabs>
          <w:tab w:leader="none" w:pos="7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revenue decrease in APME of -10.7% (-3.4% in constant currency and -2.2% in organic constant currency) primarily driven by the $87.9 million unfavorable impact of currency exchange rates, a $45.8 million decrease in demand for our permanent recruitment services and a $10.4 million decrease in demand for our Experis solutions services, partially offset by a $19.3 million increase in demand for our Manpower and Experis staffing/interim services.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year-over-year 60 basis point decrease in gross profit margin was primarily attributed to:</w:t>
      </w:r>
    </w:p>
    <w:p>
      <w:pPr>
        <w:spacing w:after="0" w:line="198" w:lineRule="exact"/>
        <w:rPr>
          <w:sz w:val="20"/>
          <w:szCs w:val="20"/>
          <w:color w:val="auto"/>
        </w:rPr>
      </w:pPr>
    </w:p>
    <w:p>
      <w:pPr>
        <w:ind w:left="760" w:right="360" w:hanging="378"/>
        <w:spacing w:after="0" w:line="282" w:lineRule="auto"/>
        <w:tabs>
          <w:tab w:leader="none" w:pos="7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60 basis point unfavorable impact from decreases to permanent recruitment, including Talent Solutions RPO, as permanent hiring demand continued to soften and experienced reduced levels; and</w:t>
      </w:r>
    </w:p>
    <w:p>
      <w:pPr>
        <w:spacing w:after="0" w:line="121" w:lineRule="exact"/>
        <w:rPr>
          <w:rFonts w:ascii="Times New Roman" w:cs="Times New Roman" w:eastAsia="Times New Roman" w:hAnsi="Times New Roman"/>
          <w:sz w:val="18"/>
          <w:szCs w:val="18"/>
          <w:color w:val="auto"/>
        </w:rPr>
      </w:pPr>
    </w:p>
    <w:p>
      <w:pPr>
        <w:ind w:left="760" w:right="200" w:hanging="378"/>
        <w:spacing w:after="0" w:line="282" w:lineRule="auto"/>
        <w:tabs>
          <w:tab w:leader="none" w:pos="7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20 basis point unfavorable impact from the decrease in staffing/interim margins due to mix shifts and lower volumes while pricing remained stable; partially offset by</w:t>
      </w:r>
    </w:p>
    <w:p>
      <w:pPr>
        <w:spacing w:after="0" w:line="121"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20 basis point favorable impact from increased career transition activity in Right Management as outplacement activity increased.</w:t>
      </w:r>
    </w:p>
    <w:p>
      <w:pPr>
        <w:spacing w:after="0" w:line="200" w:lineRule="exact"/>
        <w:rPr>
          <w:sz w:val="20"/>
          <w:szCs w:val="20"/>
          <w:color w:val="auto"/>
        </w:rPr>
      </w:pPr>
    </w:p>
    <w:p>
      <w:pPr>
        <w:spacing w:after="0" w:line="24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161" w:right="399" w:bottom="1440" w:gutter="0" w:footer="0" w:header="0"/>
        </w:sectPr>
      </w:pPr>
    </w:p>
    <w:bookmarkStart w:id="27" w:name="page28"/>
    <w:bookmarkEnd w:id="27"/>
    <w:p>
      <w:pPr>
        <w:ind w:right="20"/>
        <w:spacing w:after="0" w:line="282" w:lineRule="auto"/>
        <w:rPr>
          <w:sz w:val="20"/>
          <w:szCs w:val="20"/>
          <w:color w:val="auto"/>
        </w:rPr>
      </w:pPr>
      <w:r>
        <w:rPr>
          <w:rFonts w:ascii="Times New Roman" w:cs="Times New Roman" w:eastAsia="Times New Roman" w:hAnsi="Times New Roman"/>
          <w:sz w:val="18"/>
          <w:szCs w:val="18"/>
          <w:color w:val="auto"/>
        </w:rPr>
        <w:t>The -7.8% decrease in selling and administrative expenses in the first half of 2024 (-5.8% in constant currency and -5.7% in organic constant currency) was primarily attributed to:</w:t>
      </w:r>
    </w:p>
    <w:p>
      <w:pPr>
        <w:spacing w:after="0" w:line="135" w:lineRule="exact"/>
        <w:rPr>
          <w:sz w:val="20"/>
          <w:szCs w:val="20"/>
          <w:color w:val="auto"/>
        </w:rPr>
      </w:pPr>
    </w:p>
    <w:p>
      <w:pPr>
        <w:ind w:left="760" w:right="40" w:hanging="378"/>
        <w:spacing w:after="0" w:line="282" w:lineRule="auto"/>
        <w:tabs>
          <w:tab w:leader="none" w:pos="7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$50.8 million, or -6.9% decrease (-5.0% in constant currency) in personnel costs primarily due to a $37.7 million decrease in salary costs as we saw the effects of restructuring actions taken in 2023;</w:t>
      </w:r>
    </w:p>
    <w:p>
      <w:pPr>
        <w:spacing w:after="0" w:line="121"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$29.8 million, or -2.0% decrease due to the impact of changes in currency exchange rates;</w:t>
      </w:r>
    </w:p>
    <w:p>
      <w:pPr>
        <w:spacing w:after="0" w:line="184"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non-recurrence of restructuring costs in the first half of 2024 compared to $21.1 million incurred in the first half of 2023; and</w:t>
      </w:r>
    </w:p>
    <w:p>
      <w:pPr>
        <w:spacing w:after="0" w:line="198" w:lineRule="exact"/>
        <w:rPr>
          <w:rFonts w:ascii="Times New Roman" w:cs="Times New Roman" w:eastAsia="Times New Roman" w:hAnsi="Times New Roman"/>
          <w:sz w:val="18"/>
          <w:szCs w:val="18"/>
          <w:color w:val="auto"/>
        </w:rPr>
      </w:pPr>
    </w:p>
    <w:p>
      <w:pPr>
        <w:ind w:left="760" w:right="220" w:hanging="378"/>
        <w:spacing w:after="0" w:line="266" w:lineRule="auto"/>
        <w:tabs>
          <w:tab w:leader="none" w:pos="7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$16.4 million, or -6.0% decrease (-3.7% in constant currency) in non-personnel costs, primarily due to a $9.4 million decrease in office lease and other office costs and an $8.0 million decrease in consulting and outside services costs associated with our technology and back-office transformation initiatives.</w:t>
      </w:r>
    </w:p>
    <w:p>
      <w:pPr>
        <w:spacing w:after="0" w:line="13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Selling and administrative expenses as a percent of revenues decreased 10 basis points in the first half 2024 compared to the first half of 2023 due primarily to:</w:t>
      </w:r>
    </w:p>
    <w:p>
      <w:pPr>
        <w:spacing w:after="0" w:line="121" w:lineRule="exact"/>
        <w:rPr>
          <w:sz w:val="20"/>
          <w:szCs w:val="20"/>
          <w:color w:val="auto"/>
        </w:rPr>
      </w:pPr>
    </w:p>
    <w:p>
      <w:pPr>
        <w:ind w:left="760" w:hanging="378"/>
        <w:spacing w:after="0"/>
        <w:tabs>
          <w:tab w:leader="none" w:pos="7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20 basis point favorable impact as a result of restructuring costs incurred in the first half of 2023 that did not recur in the first half of 2024; and</w:t>
      </w:r>
    </w:p>
    <w:p>
      <w:pPr>
        <w:spacing w:after="0" w:line="198" w:lineRule="exact"/>
        <w:rPr>
          <w:rFonts w:ascii="Times New Roman" w:cs="Times New Roman" w:eastAsia="Times New Roman" w:hAnsi="Times New Roman"/>
          <w:sz w:val="18"/>
          <w:szCs w:val="18"/>
          <w:color w:val="auto"/>
        </w:rPr>
      </w:pPr>
    </w:p>
    <w:p>
      <w:pPr>
        <w:ind w:left="760" w:right="100" w:hanging="378"/>
        <w:spacing w:after="0" w:line="282" w:lineRule="auto"/>
        <w:tabs>
          <w:tab w:leader="none" w:pos="7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10 basis point favorable impact as personnel costs as a percent of revenue decreased, primarily due to a percent of revenue decrease in salaries as we saw the effects of restructuring actions taken in 2023; partially offset by</w:t>
      </w:r>
    </w:p>
    <w:p>
      <w:pPr>
        <w:spacing w:after="0" w:line="121" w:lineRule="exact"/>
        <w:rPr>
          <w:rFonts w:ascii="Times New Roman" w:cs="Times New Roman" w:eastAsia="Times New Roman" w:hAnsi="Times New Roman"/>
          <w:sz w:val="18"/>
          <w:szCs w:val="18"/>
          <w:color w:val="auto"/>
        </w:rPr>
      </w:pPr>
    </w:p>
    <w:p>
      <w:pPr>
        <w:ind w:left="760" w:right="200" w:hanging="378"/>
        <w:spacing w:after="0" w:line="282" w:lineRule="auto"/>
        <w:tabs>
          <w:tab w:leader="none" w:pos="7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10 basis point unfavorable impact as non-personnel costs as a percent of revenues increased, primarily due to percent of revenue decreases in office leases and consulting and outside services; and</w:t>
      </w:r>
    </w:p>
    <w:p>
      <w:pPr>
        <w:spacing w:after="0" w:line="121"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10 basis point unfavorable impact from changes in currency exchange rates.</w:t>
      </w:r>
    </w:p>
    <w:p>
      <w:pPr>
        <w:spacing w:after="0" w:line="198"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Interest and other expenses, net is comprised of interest, foreign exchange gains and losses and other miscellaneous non-operating income and expenses, including those associated with noncontrolling interests. Interest expense, net was $25.7 million in the first half of 2024 compared to $22.2 million in the first half of 2023 primarily due to increased revolver and other short-term borrowings at a higher interest rate during the period. Foreign exchange loss, net was $4.2 million in the first half of 2024 compared to $8.2 million in the first half of 2023 primarily due to a reduction in foreign currency exchange losses year over year. Miscellaneous income, net was $12.8 million in the first half of 2024 compared to $11.1 million in the first half of 2023.</w:t>
      </w:r>
    </w:p>
    <w:p>
      <w:pPr>
        <w:spacing w:after="0" w:line="143" w:lineRule="exact"/>
        <w:rPr>
          <w:sz w:val="20"/>
          <w:szCs w:val="20"/>
          <w:color w:val="auto"/>
        </w:rPr>
      </w:pPr>
    </w:p>
    <w:p>
      <w:pPr>
        <w:jc w:val="both"/>
        <w:ind w:right="40"/>
        <w:spacing w:after="0" w:line="258" w:lineRule="auto"/>
        <w:rPr>
          <w:sz w:val="20"/>
          <w:szCs w:val="20"/>
          <w:color w:val="auto"/>
        </w:rPr>
      </w:pPr>
      <w:r>
        <w:rPr>
          <w:rFonts w:ascii="Times New Roman" w:cs="Times New Roman" w:eastAsia="Times New Roman" w:hAnsi="Times New Roman"/>
          <w:sz w:val="18"/>
          <w:szCs w:val="18"/>
          <w:color w:val="auto"/>
        </w:rPr>
        <w:t>We recorded income tax expense at an effective rate of 33.4% for the six months ended June 30, 2024, as compared to an effective rate of 30.6% for the six months ended June 30, 2023. The 2024 rate was unfavorably impacted by the lower level and overall mix of earnings and partially offset by the scheduled reduction in the French business tax rate from 0.38% to 0.28% effective January 1, 2024. The 33.4% effective tax rate for the first half of 2024 was higher than the United States Federal statutory rate of 21% primarily due to the French business tax, tax losses in certain countries for which we did not recognize a corresponding tax benefit due to valuation allowances, and the overall mix of earnings.</w:t>
      </w:r>
    </w:p>
    <w:p>
      <w:pPr>
        <w:spacing w:after="0" w:line="143" w:lineRule="exact"/>
        <w:rPr>
          <w:sz w:val="20"/>
          <w:szCs w:val="20"/>
          <w:color w:val="auto"/>
        </w:rPr>
      </w:pPr>
    </w:p>
    <w:p>
      <w:pPr>
        <w:ind w:right="360"/>
        <w:spacing w:after="0" w:line="282" w:lineRule="auto"/>
        <w:rPr>
          <w:sz w:val="20"/>
          <w:szCs w:val="20"/>
          <w:color w:val="auto"/>
        </w:rPr>
      </w:pPr>
      <w:r>
        <w:rPr>
          <w:rFonts w:ascii="Times New Roman" w:cs="Times New Roman" w:eastAsia="Times New Roman" w:hAnsi="Times New Roman"/>
          <w:sz w:val="18"/>
          <w:szCs w:val="18"/>
          <w:color w:val="auto"/>
        </w:rPr>
        <w:t>Net earnings per share - diluted was $2.05 in the first half of 2024 compared to $2.80 in the first half of 2023. Losses related to our Proservia Germany wind down in the first half of 2024 unfavorably impacted net earnings per share - diluted by approximately $0.19, net of tax, in the first half of 2024.</w:t>
      </w:r>
    </w:p>
    <w:p>
      <w:pPr>
        <w:spacing w:after="0" w:line="135"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Weighted average shares - diluted decreased to 48.7 million in the first half of 2024 from 51.0 million in the first half of 2023. This decrease was due to the impact of share repurchases completed since the first half of 2023, partially offset by grants of share-based awards.</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61"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u w:val="single" w:color="auto"/>
          <w:color w:val="auto"/>
        </w:rPr>
        <w:t>Segment Operating Results</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Americas</w:t>
      </w:r>
    </w:p>
    <w:p>
      <w:pPr>
        <w:spacing w:after="0" w:line="187" w:lineRule="exact"/>
        <w:rPr>
          <w:sz w:val="20"/>
          <w:szCs w:val="20"/>
          <w:color w:val="auto"/>
        </w:rPr>
      </w:pPr>
    </w:p>
    <w:p>
      <w:pPr>
        <w:ind w:right="80"/>
        <w:spacing w:after="0" w:line="254" w:lineRule="auto"/>
        <w:rPr>
          <w:sz w:val="20"/>
          <w:szCs w:val="20"/>
          <w:color w:val="auto"/>
        </w:rPr>
      </w:pPr>
      <w:r>
        <w:rPr>
          <w:rFonts w:ascii="Times New Roman" w:cs="Times New Roman" w:eastAsia="Times New Roman" w:hAnsi="Times New Roman"/>
          <w:sz w:val="18"/>
          <w:szCs w:val="18"/>
          <w:color w:val="auto"/>
        </w:rPr>
        <w:t>In the Americas, revenues from services decreased -3.1% (increase of 5.0% in constant currency) in the second quarter of 2024 compared to the second quarter of 2023. In the United States (which represents 65% of the Americas' revenues), revenues from services decreased -1.7% in the second quarter of 2024 compared to the second quarter of 2023, primarily driven by a $5.3 million decrease in demand for our permanent recruitment services and a $3.9 million decrease in demand for our Manpower and Experis staffing/interim services. In Other Americas, revenues from services decreased -5.7% (increase of 17.1% in constant currency) in the second quarter of 2024 compared to the second quarter of 2023, primarily driven by the $88.8 million unfavorable impact of foreign currency exchange rates, partially offset by a $56.3 million increase in demand for our Manpower and Experis staffing/interim services. The constant currency increase in Other Americas was primarily due to inflation in Argentina. Within our Other Americas segment, we experienced decreases in Argentina and Canada of $19.6 million, or -39.2%, and $9.1 million, or -10.2%, respectively (+132.5% and -8.5%, respectively, in constant currency), partially offset by a revenue increase in Mexico of $6.4 million, or 10.9% (8.1% in constant currency).</w:t>
      </w:r>
    </w:p>
    <w:p>
      <w:pPr>
        <w:spacing w:after="0" w:line="148"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In the Americas, revenues from services decreased -5.7% (increase of 1.9% in constant currency) in the first half of 2024 compared to the first half of 2023. In the United States, revenues from services decreased -5.1% in the first half of 2024 compared to the first half of 2023, primarily driven by a $58.3 million decrease in demand for our Manpower and Experis staffing/interim services and a $12.5 million decrease in demand for our permanent recruitment services, partially offset by a $4.6 million increase in demand for our Talent Solutions outplacement services. In Other Americas, revenues from services decreased -7.0% (increase of 14.8% in constant currency) in the first half of 2024 compared to the first half of 2023, primarily driven by the $170.1 million unfavorable impact of foreign currency exchange rates, partially offset by a $98.8 million increase in demand for our Manpower and Experis staffing/interim services. The constant currency increase in Other Americas was primarily due to inflation in Argentina. Within our Other Americas segment, we experienced decreases in Argentina and Canada of $38.4 million, or -39.9%, and $29.1 million, or -15.6%, respectively (+144.4% and -14.9%, respectively, in constant currency), partially offset by a revenue increase in Mexico of $17.6 million, or 15.5% (8.9% in constant currency).</w:t>
      </w:r>
    </w:p>
    <w:p>
      <w:pPr>
        <w:spacing w:after="0" w:line="161"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Gross profit margin decreased 60 basis points in the second quarter of 2024 compared to the second quarter of 2023 primarily due to decreased margins in our staffing and interim services, particularly within Experis, which contributed 50 basis points to the decrease, decreased activity in our permanent recruitment business which contributed 50 basis points to the decrease and decreased margins in our Talent Solutions outplacement business which contributed 10 basis points to the decrease. These contributions were partially offset by the favorable impact of currency exchange rates, which had a 50 basis point offsetting impact.</w:t>
      </w:r>
    </w:p>
    <w:p>
      <w:pPr>
        <w:spacing w:after="0" w:line="143"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Gross profit margin decreased 70 basis points in the first half of 2024 compared to the first half of 2023 primarily due to decreased margins in our staffing and interim services, particularly within Experis, which contributed 80 basis points to the decrease, and decreased activity in our permanent recruitment business which contributed 50 basis points to the decrease. These contributions were partially offset by increased demand in our higher-margin Right Management outplacement business, which had a 10 basis point offsetting impact and the favorable impact of currency exchange rates, which had a 50 basis point offsetting impact.</w:t>
      </w:r>
    </w:p>
    <w:p>
      <w:pPr>
        <w:spacing w:after="0" w:line="143" w:lineRule="exact"/>
        <w:rPr>
          <w:sz w:val="20"/>
          <w:szCs w:val="20"/>
          <w:color w:val="auto"/>
        </w:rPr>
      </w:pPr>
    </w:p>
    <w:p>
      <w:pPr>
        <w:ind w:right="200"/>
        <w:spacing w:after="0" w:line="266" w:lineRule="auto"/>
        <w:rPr>
          <w:sz w:val="20"/>
          <w:szCs w:val="20"/>
          <w:color w:val="auto"/>
        </w:rPr>
      </w:pPr>
      <w:r>
        <w:rPr>
          <w:rFonts w:ascii="Times New Roman" w:cs="Times New Roman" w:eastAsia="Times New Roman" w:hAnsi="Times New Roman"/>
          <w:sz w:val="18"/>
          <w:szCs w:val="18"/>
          <w:color w:val="auto"/>
        </w:rPr>
        <w:t>Selling and administrative expenses decreased -7.6% (-2.3% in constant currency) in the second quarter of 2024 compared to the second quarter of 2023, primarily driven by the $11.5 million favorable impact of currency exchange rates and a $2.8 million decrease in consulting and outside services costs associated with our technology and back-office transformation initiatives.</w:t>
      </w:r>
    </w:p>
    <w:p>
      <w:pPr>
        <w:spacing w:after="0" w:line="149" w:lineRule="exact"/>
        <w:rPr>
          <w:sz w:val="20"/>
          <w:szCs w:val="20"/>
          <w:color w:val="auto"/>
        </w:rPr>
      </w:pPr>
    </w:p>
    <w:p>
      <w:pPr>
        <w:ind w:right="360"/>
        <w:spacing w:after="0" w:line="282" w:lineRule="auto"/>
        <w:rPr>
          <w:sz w:val="20"/>
          <w:szCs w:val="20"/>
          <w:color w:val="auto"/>
        </w:rPr>
      </w:pPr>
      <w:r>
        <w:rPr>
          <w:rFonts w:ascii="Times New Roman" w:cs="Times New Roman" w:eastAsia="Times New Roman" w:hAnsi="Times New Roman"/>
          <w:sz w:val="18"/>
          <w:szCs w:val="18"/>
          <w:color w:val="auto"/>
        </w:rPr>
        <w:t>Selling and administrative expenses decreased -5.4% (-0.5% in constant currency) in the first half of 2024 compared to the first half of 2023, primarily driven by the $21.2 million favorable impact of currency exchange rates and a $1.7 million decrease in salaries from a reduction in headcount.</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61" w:right="359" w:bottom="1440" w:gutter="0" w:footer="0" w:header="0"/>
        </w:sectPr>
      </w:pPr>
    </w:p>
    <w:bookmarkStart w:id="29" w:name="page30"/>
    <w:bookmarkEnd w:id="29"/>
    <w:p>
      <w:pPr>
        <w:ind w:right="80"/>
        <w:spacing w:after="0" w:line="254" w:lineRule="auto"/>
        <w:rPr>
          <w:sz w:val="20"/>
          <w:szCs w:val="20"/>
          <w:color w:val="auto"/>
        </w:rPr>
      </w:pPr>
      <w:r>
        <w:rPr>
          <w:rFonts w:ascii="Times New Roman" w:cs="Times New Roman" w:eastAsia="Times New Roman" w:hAnsi="Times New Roman"/>
          <w:sz w:val="18"/>
          <w:szCs w:val="18"/>
          <w:color w:val="auto"/>
        </w:rPr>
        <w:t>Operating Unit Profit (“OUP”) increased 4.4% (10.9% in constant currency), in the second quarter of 2024, which represents a 4.2% OUP margin, an increase from 3.9% in the second quarter of 2023. This increase was primarily due to increased profitability in our United States business of $4.3 million, which experienced decreases to selling and administrative expenses, partially offset by decreases in higher-margin permanent recruitment revenues, as noted above. In the United States, OUP margin increased to 3.9% in the second quarter of 2024 from 3.3% in the second quarter of 2023 primarily due to a decrease in our selling and administrative expenses as a percent of revenue, partially offset by decreased activity in our higher-margin permanent recruitment business, as noted above. Other Americas OUP margin decreased to 4.8% in the second quarter of 2024 from 5.2% in the second quarter of 2023 primarily due to an increase in our selling and administrative expenses as a percent of revenue, partially offset by an increase in our gross profit margin as we saw a change in business mix towards higher margin Manpower staffing work.</w:t>
      </w:r>
    </w:p>
    <w:p>
      <w:pPr>
        <w:spacing w:after="0" w:line="165"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OUP decreased -22.5% (-17.6% in constant currency), in the first half of 2024, which represents a 3.4% OUP margin, a decrease from 4.1% in the first half of 2023. This decrease was primarily due to decreased profitability in our United States business of $13.8 million, which experienced decreased activity in our higher-margin permanent recruitment business, as noted above, partially offset by decreases to selling and administrative expenses. In the United States, OUP margin decreased to 2.9% in the first half of 2024 from 3.7% in the first half of 2023 primarily due to decreased activity in our higher-margin permanent recruitment and Manpower staffing businesses, as noted above, partially offset by a decrease in our selling and administrative expenses as a percent of revenue. Other Americas OUP margin decreased to 4.4% in the first half of 2024 from 5.0% in the first half of 2023 primarily due to an increase in our selling and administrative expenses as a percent of revenue.</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Southern Europe</w:t>
      </w:r>
    </w:p>
    <w:p>
      <w:pPr>
        <w:spacing w:after="0" w:line="187"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In Southern Europe, revenues from services decreased -5.8% ( -4.4% in constant currency) in the second quarter of 2024 compared to the second quarter of 2023. In France (which represents 56% of Southern Europe’s revenues), revenues from services decreased -7.3% (-6.2% in constant currency) in the second quarter of 2024 compared to the second quarter of 2023, primarily driven by an $80.5 million decrease in demand for our Manpower staffing services and the $13.9 million unfavorable impact of currency exchange rates, partially offset by a $4.6 million increase in demand for our Talent Solutions outplacement services. In Italy (which represents 21% of Southern Europe’s revenues), revenues from services decreased -5.0% (-3.9% in constant currency) in the second quarter of 2024 compared to the second quarter of 2023, primarily driven by an $18.6 million decrease in our Manpower staffing services and the $4.9 million unfavorable impact of currency exchange rates, partially offset by a $3.0 million increase in demand for our Manpower solutions services. In Other Southern Europe, revenues from services decreased -2.6% (0.0% in constant currency) in the second quarter of 2024 compared to the second quarter of 2023, primarily due to the $13.0 million unfavorable impact of currency exchange rates, partially offset by a $4.4 million increase in demand for our Manpower and Experis staffing/interim services. Within our Other Southern Europe segment, we experienced a revenue decrease in Switzerland of $14.8 million, or -11.8% (-11.3% in constant currency), partially offset by a revenue increase in Spain of $1.6 million, or 1.3% (2.5% in constant currency).</w:t>
      </w:r>
    </w:p>
    <w:p>
      <w:pPr>
        <w:spacing w:after="0" w:line="163"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In Southern Europe, revenues from services decreased -5.0% (-4.6% in constant currency) in the first half of 2024 compared to the first half of 2023. In France, revenues from services decreased -5.9% (-5.8% in constant currency) in the first half of 2024 compared to the first half of 2023, primarily driven by a $140.4 million decrease in demand for our Manpower staffing services and a $4.2 million decrease in demand for our permanent recruitment services, partially offset by a $6.5 million increase in demand for our Talent Solutions outplacement services. In Italy, revenues from services decreased -4.6% (-4.6% in constant currency) in the first half of 2024 compared to the first half of 2023, primarily driven by a $40.6 million decrease in our Manpower staffing services and a $3.6 million decrease in demand for our permanent recruitment services, partially offset by a $2.6 million increase in demand for our Manpower solutions services. In Other Southern Europe, revenues from services decreased -3.3% (-1.6% in constant currency) during the first half of 2024 compared to the first half of 2023, primarily driven by the $15.8 million unfavorable impact of currency exchange rates and a $11.4 million decrease in demand for our Experis solutions services. Within our Other Southern Europe segment, we experienced revenue decreases in Spain and Switzerland of $6.6 million, or -2.8% and $23.6 million, or -9.8%, respectively (-2.7% and -11.9%, respectively, in constant currency).</w:t>
      </w:r>
    </w:p>
    <w:p>
      <w:pPr>
        <w:spacing w:after="0" w:line="154" w:lineRule="exact"/>
        <w:rPr>
          <w:sz w:val="20"/>
          <w:szCs w:val="20"/>
          <w:color w:val="auto"/>
        </w:rPr>
      </w:pPr>
    </w:p>
    <w:p>
      <w:pPr>
        <w:ind w:right="340"/>
        <w:spacing w:after="0" w:line="266" w:lineRule="auto"/>
        <w:rPr>
          <w:sz w:val="20"/>
          <w:szCs w:val="20"/>
          <w:color w:val="auto"/>
        </w:rPr>
      </w:pPr>
      <w:r>
        <w:rPr>
          <w:rFonts w:ascii="Times New Roman" w:cs="Times New Roman" w:eastAsia="Times New Roman" w:hAnsi="Times New Roman"/>
          <w:sz w:val="18"/>
          <w:szCs w:val="18"/>
          <w:color w:val="auto"/>
        </w:rPr>
        <w:t>Gross profit margin decreased 30 basis points in the second quarter of 2024 compared to the second quarter of 2023. The decrease was primarily due to decreased activity in our higher margin Manpower staffing services, which contributed 20 basis points to the decrease and decreased activity in our permanent recruitment services, which contributed 20 basis points to the decrease. These contributions</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61"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color w:val="auto"/>
        </w:rPr>
        <w:t>were partially offset by increased demand in our higher-margin Right Management outplacement business which had a 10 basis point offsetting impact.</w:t>
      </w:r>
    </w:p>
    <w:p>
      <w:pPr>
        <w:spacing w:after="0" w:line="198"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Gross profit margin decreased 50 basis points in the first half 2024 compared to the first half 2023. The decrease was primarily due to decreased activity in our higher margin Manpower staffing services, which contributed 30 basis points to the decrease, decreased activity in our permanent recruitment services which contributed 20 basis points to the decrease and decreased activity in our Experis solutions services which contributed 10 basis points to the decrease. These contributions were partially offset by increased demand in our higher-margin Right Management outplacement business which had a 10 basis point offsetting impact.</w:t>
      </w:r>
    </w:p>
    <w:p>
      <w:pPr>
        <w:spacing w:after="0" w:line="143" w:lineRule="exact"/>
        <w:rPr>
          <w:sz w:val="20"/>
          <w:szCs w:val="20"/>
          <w:color w:val="auto"/>
        </w:rPr>
      </w:pPr>
    </w:p>
    <w:p>
      <w:pPr>
        <w:jc w:val="both"/>
        <w:ind w:right="240"/>
        <w:spacing w:after="0" w:line="266" w:lineRule="auto"/>
        <w:rPr>
          <w:sz w:val="20"/>
          <w:szCs w:val="20"/>
          <w:color w:val="auto"/>
        </w:rPr>
      </w:pPr>
      <w:r>
        <w:rPr>
          <w:rFonts w:ascii="Times New Roman" w:cs="Times New Roman" w:eastAsia="Times New Roman" w:hAnsi="Times New Roman"/>
          <w:sz w:val="18"/>
          <w:szCs w:val="18"/>
          <w:color w:val="auto"/>
        </w:rPr>
        <w:t>Selling and administrative expenses decreased -6.6% (-5.2% in constant currency) during the second quarter of 2024 compared to the second quarter of 2023, primarily due to the non-recurrence of $6.0 million in restructuring costs, the $3.3 million favorable impact of currency exchange rates, and a $2.4 million decrease in salary-related costs.</w:t>
      </w:r>
    </w:p>
    <w:p>
      <w:pPr>
        <w:spacing w:after="0" w:line="135"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Selling and administrative expenses decreased -4.5% (-4.2% in constant currency) during the first half of 2024 compared to the first half of 2023, primarily due to the non-recurrence of $6.4 million in restructuring costs, a $6.0 million decrease in salary-related costs, a $2.3 million decrease in consulting and outside services, and a $1.8 million decrease in bonuses and sales commissions.</w:t>
      </w:r>
    </w:p>
    <w:p>
      <w:pPr>
        <w:spacing w:after="0" w:line="149"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OUP decreased -10.3% (-9.0% in constant currency), in the second quarter of 2024, which represents a 4.0% OUP margin, a decrease from 4.2% in the second quarter of 2023. This OUP decrease was primarily due to decreased profitability in the France reporting unit of $9.2 million. In France, the OUP margin decreased to 3.4% for the second quarter of 2024 compared to 3.9% for the second quarter of 2023, primarily driven by increases to selling and administrative expenses as a percent of revenue. In Italy, the OUP margin decreased to 7.8% for the second quarter of 2024 from 7.9% for the second quarter of 2023 primarily due to an increase in our selling and administrative expenses as a percent of revenue, partially offset by an increase in gross profit margin. In Other Southern Europe, the OUP margin increased to 1.9% for the second quarter of 2024 from 1.4% for the second quarter of 2023 primarily due to a decrease in our selling and administrative expenses as a percent of revenue, partially offset by decrease to our gross profit margin as we saw decreased activity in higher-margin Manpower staffing services, as noted above.</w:t>
      </w:r>
    </w:p>
    <w:p>
      <w:pPr>
        <w:spacing w:after="0" w:line="151"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OUP decreased -16.1% (-15.7% in constant currency) in the first half of 2024, which represents a 3.8% OUP margin, a decrease from 4.2% in the first half of 2023. This OUP decrease was primarily due to decreased profitability in the France reporting unit of $21.0 million. In France, the OUP margin decreased to 3.2% for the first half of 2024 compared to 3.9% for the first half of 2023 primarily driven by an increase in selling and administrative expenses as a percent of revenue and a decrease in overall gross profit margin as we saw decreases in our higher-margin permanent recruitment business. In Italy, the OUP margin decreased to 7.3% for the first half of 2024 from 7.6% for the first half of 2023 primarily driven by an increase selling and administrative expenses as a percent of revenue, partially offset by an increase in gross profit margin. In Other Southern Europe, the OUP margin decreased to 2.0% for the first half of 2024 from 2.2% for the first half of 2023 primarily due to a decrease in gross profit margin as we saw decreased activity in higher-margin business solutions services, as noted above, partially offset by a decrease in selling and administrative expenses as a percent of revenue.</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Northern Europe</w:t>
      </w:r>
    </w:p>
    <w:p>
      <w:pPr>
        <w:spacing w:after="0" w:line="200"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In Northern Europe, the largest country operations include the United Kingdom, the Nordics, Germany, the Netherlands and Belgium (comprising 35%, 20%, 14%, 11% and 9%, respectively, of Northern Europe’s revenues). In the Northern Europe region, revenues from services decreased -12.1% (-12.0% in constant currency) in the second quarter of 2024 compared to the second quarter of 2023. Within our Northern Europe segment, we experienced revenue decreases in the United Kingdom of $37.7 million, the Nordics of $42.6 million, Germany of $24.8 million, the Netherlands of $2.4 million and Belgium of $4.0 million, which represented revenue decreases of -11.5%, -20.2%, -17.6%, -2.5% and -4.9%, respectively (-12.2%, -19.4%, -16.6%, -1.3% and -3.8%, respectively, in constant currency). The revenue decrease in Northern Europe was primarily driven by a $92.5 million decrease in demand for our Manpower and Experis staffing/interim services, a $20.9 million decrease in demand for our Experis solutions services and a $7.8 million decrease in our permanent recruitment services.</w:t>
      </w:r>
    </w:p>
    <w:p>
      <w:pPr>
        <w:spacing w:after="0" w:line="151"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In the Northern Europe region, revenues from services decreased -11.1% (-12.1% in constant currency) in the first half of 2024 compared to the first half of 2023. Within our Northern Europe segment, we experienced revenue decreases in the United Kingdom of</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61" w:right="339" w:bottom="1440" w:gutter="0" w:footer="0" w:header="0"/>
        </w:sectPr>
      </w:pPr>
    </w:p>
    <w:bookmarkStart w:id="31" w:name="page32"/>
    <w:bookmarkEnd w:id="31"/>
    <w:p>
      <w:pPr>
        <w:ind w:right="40"/>
        <w:spacing w:after="0" w:line="256" w:lineRule="auto"/>
        <w:rPr>
          <w:sz w:val="20"/>
          <w:szCs w:val="20"/>
          <w:color w:val="auto"/>
        </w:rPr>
      </w:pPr>
      <w:r>
        <w:rPr>
          <w:rFonts w:ascii="Times New Roman" w:cs="Times New Roman" w:eastAsia="Times New Roman" w:hAnsi="Times New Roman"/>
          <w:sz w:val="18"/>
          <w:szCs w:val="18"/>
          <w:color w:val="auto"/>
        </w:rPr>
        <w:t>$72.9 million, the Nordics of $101.8 million, Germany of $33.3 million, the Netherlands of $5.7 million and Belgium of $0.6 million, which represented revenue decreases of -10.9%, -23.2%, -11.8%, -2.9 and -0.4%, respectively (-13.2%, -22.5%, -11.8%, -2.9% and -0.4%, respectively, in constant currency). The revenue decrease in Northern Europe was primarily driven by a $182.5 million decrease in demand for our Manpower and Experis staffing/interim services, a $39.2 million decrease in demand for our Experis solutions services and a $18.4 million decrease in our permanent recruitment services, partially offset by the $19.6 million favorable impact of currency exchange rates and a $7.7 million increase in demand for our Talent Solutions outplacement and MSP services.</w:t>
      </w:r>
    </w:p>
    <w:p>
      <w:pPr>
        <w:spacing w:after="0" w:line="160"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Gross profit margin increased by 30 basis points in the second quarter of 2024 compared to the second quarter of 2023 primarily due to a shift in business mix towards our higher-margin Talent Solutions outplacement and MSP services, which contributed 60 basis points to the increase, partially offset by a decreased activity in our higher-margin permanent recruitment business, which had a 30 basis point offsetting impact.</w:t>
      </w:r>
    </w:p>
    <w:p>
      <w:pPr>
        <w:spacing w:after="0" w:line="135" w:lineRule="exact"/>
        <w:rPr>
          <w:sz w:val="20"/>
          <w:szCs w:val="20"/>
          <w:color w:val="auto"/>
        </w:rPr>
      </w:pPr>
    </w:p>
    <w:p>
      <w:pPr>
        <w:spacing w:after="0" w:line="277" w:lineRule="auto"/>
        <w:rPr>
          <w:sz w:val="20"/>
          <w:szCs w:val="20"/>
          <w:color w:val="auto"/>
        </w:rPr>
      </w:pPr>
      <w:r>
        <w:rPr>
          <w:rFonts w:ascii="Times New Roman" w:cs="Times New Roman" w:eastAsia="Times New Roman" w:hAnsi="Times New Roman"/>
          <w:sz w:val="17"/>
          <w:szCs w:val="17"/>
          <w:color w:val="auto"/>
        </w:rPr>
        <w:t>Gross profit margin decreased by 20 basis points in the first half of 2024 compared to the first half of 2023 primarily due to decreased demand in our permanent recruitment business, particularly in Manpower and Experis, which contributed 40 basis points to the decrease, decreased demand in our Experis Solutions services, which contributed 30 basis points to the decrease, and decreases in our staffing/interim margins, which contributed 20 basis points to the decrease. These contributions were partially offset by a shift in business mix towards our higher-margin Talent Solutions outplacement and MSP services, which had a 60 basis point offsetting impact, and the favorable impact of currency exchange rates, which had a 10 basis point offsetting impact.</w:t>
      </w:r>
    </w:p>
    <w:p>
      <w:pPr>
        <w:spacing w:after="0" w:line="127"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Selling and administrative expenses decreased -14.3% (-14.1% in constant currency) in the second quarter of 2024 compared to the second quarter of 2023. The decrease is primarily driven by a $14.9 million decrease in total personnel costs as we experience the impacts of significant restructuring action taken in 2023 and no restructuring costs incurred in the second quarter of 2024 compared to $7.7 million in second quarter of 2023.</w:t>
      </w:r>
    </w:p>
    <w:p>
      <w:pPr>
        <w:spacing w:after="0" w:line="149" w:lineRule="exact"/>
        <w:rPr>
          <w:sz w:val="20"/>
          <w:szCs w:val="20"/>
          <w:color w:val="auto"/>
        </w:rPr>
      </w:pPr>
    </w:p>
    <w:p>
      <w:pPr>
        <w:ind w:right="200"/>
        <w:spacing w:after="0" w:line="266" w:lineRule="auto"/>
        <w:rPr>
          <w:sz w:val="20"/>
          <w:szCs w:val="20"/>
          <w:color w:val="auto"/>
        </w:rPr>
      </w:pPr>
      <w:r>
        <w:rPr>
          <w:rFonts w:ascii="Times New Roman" w:cs="Times New Roman" w:eastAsia="Times New Roman" w:hAnsi="Times New Roman"/>
          <w:sz w:val="18"/>
          <w:szCs w:val="18"/>
          <w:color w:val="auto"/>
        </w:rPr>
        <w:t>Selling and administrative expenses decreased -12.9% (-13.7% in constant currency) in the first half of 2024 compared to the first half of 2023. The decrease is primarily driven by a $30.4 million decrease in total personnel costs as we experience the impacts of significant restructuring actions taken in 2023 and no restructuring costs incurred in the first half of 2024 compared to $10.3 million in the first half of 2023.</w:t>
      </w:r>
    </w:p>
    <w:p>
      <w:pPr>
        <w:spacing w:after="0" w:line="135"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OUP in Northern Europe increased 75.6% (73.1% in constant currency) in the second quarter of 2024, which represents a -0.3% OUP margin, an increase from -1.0% in the second quarter of 2023. This OUP increase was primarily driven by an increase in profitability of our bench model countries, notably the Nordics, Germany and the Netherlands which experienced increases of $4.2 million, $5.0 million and $1.4 million, respectively. The OUP increase was also driven by a decrease in selling and administrative expenses as we saw the effects of restructuring actions taken in the prior year period, as noted above.</w:t>
      </w:r>
    </w:p>
    <w:p>
      <w:pPr>
        <w:spacing w:after="0" w:line="139"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OUP in Northern Europe increased 49.4% (35.0% in constant currency) in the first half of 2024, which represents a -0.1% OUP margin, an increase from -0.2% in the first half of 2023. This OUP increase was primarily driven by an increase in profitability of our bench model countries, notably Germany and the Netherlands which experienced increases of $9.8 million, and $2.4 million, respectively, partially offset by a decrease in profitability in the Nordics, which experienced an aggregate decrease of $4.3 million. The OUP increase was also driven by a decrease in selling and administrative expenses as we saw the effects of restructuring actions taken in the prior year period, as noted above.</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APME</w:t>
      </w:r>
    </w:p>
    <w:p>
      <w:pPr>
        <w:spacing w:after="0" w:line="187"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Revenues from services decreased -9.7% (-2.0% in constant currency and 0.7% in organic constant currency) in the second quarter of 2024 compared to the second quarter of 2023. In Japan (which represents 51% of APME’s revenues), revenues from services decreased -3.8% (increase of 9.2% in constant currency), primarily driven by the $37.4 million unfavorable impact of currency exchange rates, partially offset by a $26.3 million increase in demand for our Manpower and Experis staffing/interim services. In Australia (which represents 6% of APME’s revenues), revenues from services decreased -46.1% (-45.4% in constant currency), primarily driven by a $21.8 million decrease in our permanent recruitment business driven by the non-recurrence of a government contract from the prior year period and a $6.7 million decrease in demand for our Manpower and Experis staffing/interim services.</w:t>
      </w:r>
    </w:p>
    <w:p>
      <w:pPr>
        <w:spacing w:after="0" w:line="1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61" w:right="359" w:bottom="1440" w:gutter="0" w:footer="0" w:header="0"/>
        </w:sectPr>
      </w:pPr>
    </w:p>
    <w:bookmarkStart w:id="32" w:name="page33"/>
    <w:bookmarkEnd w:id="32"/>
    <w:p>
      <w:pPr>
        <w:ind w:right="120"/>
        <w:spacing w:after="0" w:line="256" w:lineRule="auto"/>
        <w:rPr>
          <w:sz w:val="20"/>
          <w:szCs w:val="20"/>
          <w:color w:val="auto"/>
        </w:rPr>
      </w:pPr>
      <w:r>
        <w:rPr>
          <w:rFonts w:ascii="Times New Roman" w:cs="Times New Roman" w:eastAsia="Times New Roman" w:hAnsi="Times New Roman"/>
          <w:sz w:val="18"/>
          <w:szCs w:val="18"/>
          <w:color w:val="auto"/>
        </w:rPr>
        <w:t>Revenues from services decreased -10.7% (-3.4% in constant currency and -2.2% in organic constant currency) in the first half of 2024 compared to the first half of 2023. In Japan, revenues from services decreased -4.5% (increase of 7.7% in constant currency), primarily driven by the $70.6 million unfavorable impact of currency exchange rates, partially offset by a $46.7 million increase in demand for our Manpower and Experis staffing/interim services. In Australia, revenues from services decreased -49.6% (-48.3% in constant currency), primarily driven by a $47.1 million decrease in our permanent recruitment business driven by the non-recurrence of a government contract from the prior year period and a $16.1 million decrease in demand for our Manpower and Experis staffing/interim services.</w:t>
      </w:r>
    </w:p>
    <w:p>
      <w:pPr>
        <w:spacing w:after="0" w:line="160"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Gross profit margin decreased 160 basis points in 2024 compared to 2023 primarily due to decreased activity in our permanent recruitment business, particularly Talent Solutions RPO, which contributed 230 basis points to the decrease and decreased gross profit across training solutions services, which contributed 20 basis points to the decrease. These contributions were partially offset by improvement in our staffing/interim margins, which had a 90 basis point offsetting impact.</w:t>
      </w:r>
    </w:p>
    <w:p>
      <w:pPr>
        <w:spacing w:after="0" w:line="139"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Gross profit margin decreased 160 basis points in 2024 compared to 2023 primarily due to decreased activity in our permanent recruitment business, particularly Talent Solutions RPO, which contributed 240 basis points to the decrease, a decrease in gross profit across training solutions services, which contributed 20 basis points to the decrease, and the unfavorable impact of currency exchange rates, which contributed 10 basis points to the decrease. These contributions were partially offset by improvement in our staffing/interim margins, which had a 90 basis point offsetting impact, and increased activity in our higher-margin Right Management outplacement services, which had a 20 basis point offsetting impact.</w:t>
      </w:r>
    </w:p>
    <w:p>
      <w:pPr>
        <w:spacing w:after="0" w:line="143"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Selling and administrative expenses decreased -22.8% (-16.3% in constant currency) in the second quarter of 2024 compared to the second quarter of 2023. The decrease is primarily due to a $5.6 million decrease in salary related costs, the $5.2 million favorable impact of currency exchange rates and a $3.3 million decrease in consulting and outside services.</w:t>
      </w:r>
    </w:p>
    <w:p>
      <w:pPr>
        <w:spacing w:after="0" w:line="149"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Selling and administrative expenses decreased -23.3% (-17.1% in constant currency) in the first half of 2024 compared to the first half of 2023. The decrease is primarily driven by a $11.9 million decrease in salary related costs from a reduction in headcount, the $9.9 million favorable impact of currency exchange rates, a $7.6 million decrease in office lease costs and other office related costs and a $5.6 million decrease in consulting and outside services costs.</w:t>
      </w:r>
    </w:p>
    <w:p>
      <w:pPr>
        <w:spacing w:after="0" w:line="139" w:lineRule="exact"/>
        <w:rPr>
          <w:sz w:val="20"/>
          <w:szCs w:val="20"/>
          <w:color w:val="auto"/>
        </w:rPr>
      </w:pPr>
    </w:p>
    <w:p>
      <w:pPr>
        <w:jc w:val="both"/>
        <w:ind w:right="360"/>
        <w:spacing w:after="0" w:line="266" w:lineRule="auto"/>
        <w:rPr>
          <w:sz w:val="20"/>
          <w:szCs w:val="20"/>
          <w:color w:val="auto"/>
        </w:rPr>
      </w:pPr>
      <w:r>
        <w:rPr>
          <w:rFonts w:ascii="Times New Roman" w:cs="Times New Roman" w:eastAsia="Times New Roman" w:hAnsi="Times New Roman"/>
          <w:sz w:val="18"/>
          <w:szCs w:val="18"/>
          <w:color w:val="auto"/>
        </w:rPr>
        <w:t>OUP in APME decreased -2.0% (increases of 8.2% in constant currency and 9.0% in organic constant currency), in the second quarter of 2024, which represents a 4.6% OUP margin, in the second quarter of 2024, an increase from 4.3% in the second quarter of 2023. This OUP decrease was primarily driven by the impact of currency exchange rates, partially offset by a decrease in selling and administrative expenses, as noted above.</w:t>
      </w:r>
    </w:p>
    <w:p>
      <w:pPr>
        <w:spacing w:after="0" w:line="135"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OUP in APME decreased -3.8% (increases of 6.0% in constant currency and 7.0% in organic constant currency), in the first half of 2024, which represents a 4.2% OUP margin, in the first half of 2024, an increase from 3.9% in the first half of 2023 This OUP decrease was primarily driven by the impact of currency exchange rates, partially offset by a decrease in selling and administrative expenses, as noted above.</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61" w:right="35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u w:val="single" w:color="auto"/>
          <w:color w:val="auto"/>
        </w:rPr>
        <w:t>Financial Measures</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Constant Currency and Organic Constant Currency Reconciliation</w:t>
      </w:r>
    </w:p>
    <w:p>
      <w:pPr>
        <w:spacing w:after="0" w:line="187" w:lineRule="exact"/>
        <w:rPr>
          <w:sz w:val="20"/>
          <w:szCs w:val="20"/>
          <w:color w:val="auto"/>
        </w:rPr>
      </w:pPr>
    </w:p>
    <w:p>
      <w:pPr>
        <w:jc w:val="both"/>
        <w:ind w:right="460"/>
        <w:spacing w:after="0" w:line="266" w:lineRule="auto"/>
        <w:rPr>
          <w:sz w:val="20"/>
          <w:szCs w:val="20"/>
          <w:color w:val="auto"/>
        </w:rPr>
      </w:pPr>
      <w:r>
        <w:rPr>
          <w:rFonts w:ascii="Times New Roman" w:cs="Times New Roman" w:eastAsia="Times New Roman" w:hAnsi="Times New Roman"/>
          <w:sz w:val="18"/>
          <w:szCs w:val="18"/>
          <w:color w:val="auto"/>
        </w:rPr>
        <w:t>Changes in our financial results include the impact of changes in foreign currency exchange rates, acquisitions, and dispositions. We provide “constant currency” and “organic constant currency” calculations in this report to remove the impact of these items. We express year-over-year variances that are calculated in constant currency and organic constant currency as a percentage.</w:t>
      </w:r>
    </w:p>
    <w:p>
      <w:pPr>
        <w:spacing w:after="0" w:line="135" w:lineRule="exact"/>
        <w:rPr>
          <w:sz w:val="20"/>
          <w:szCs w:val="20"/>
          <w:color w:val="auto"/>
        </w:rPr>
      </w:pPr>
    </w:p>
    <w:p>
      <w:pPr>
        <w:ind w:right="260"/>
        <w:spacing w:after="0" w:line="255" w:lineRule="auto"/>
        <w:rPr>
          <w:sz w:val="20"/>
          <w:szCs w:val="20"/>
          <w:color w:val="auto"/>
        </w:rPr>
      </w:pPr>
      <w:r>
        <w:rPr>
          <w:rFonts w:ascii="Times New Roman" w:cs="Times New Roman" w:eastAsia="Times New Roman" w:hAnsi="Times New Roman"/>
          <w:sz w:val="18"/>
          <w:szCs w:val="18"/>
          <w:color w:val="auto"/>
        </w:rPr>
        <w:t>When we use the term “constant currency,” it means that we have translated financial data for a period into United States dollars using the same foreign currency exchange rates that we used to translate financial data for the previous period. We believe that this calculation is a useful measure, indicating the actual growth or decline of our operations. We use constant currency results in our analysis of subsidiary or segment performance, including Argentina which operates in a hyperinflationary economy. We also use constant currency when analyzing our performance against that of our competitors. Substantially all of our subsidiaries derive revenues and incur expenses within a single country and, consequently, do not generally incur currency risks in connection with the conduct of their normal business operations. Changes in foreign currency exchange rates primarily impact reported earnings and not our actual cash flow unless earnings are repatriated.</w:t>
      </w:r>
    </w:p>
    <w:p>
      <w:pPr>
        <w:spacing w:after="0" w:line="162" w:lineRule="exact"/>
        <w:rPr>
          <w:sz w:val="20"/>
          <w:szCs w:val="20"/>
          <w:color w:val="auto"/>
        </w:rPr>
      </w:pPr>
    </w:p>
    <w:p>
      <w:pPr>
        <w:ind w:right="200"/>
        <w:spacing w:after="0" w:line="266" w:lineRule="auto"/>
        <w:rPr>
          <w:sz w:val="20"/>
          <w:szCs w:val="20"/>
          <w:color w:val="auto"/>
        </w:rPr>
      </w:pPr>
      <w:r>
        <w:rPr>
          <w:rFonts w:ascii="Times New Roman" w:cs="Times New Roman" w:eastAsia="Times New Roman" w:hAnsi="Times New Roman"/>
          <w:sz w:val="18"/>
          <w:szCs w:val="18"/>
          <w:color w:val="auto"/>
        </w:rPr>
        <w:t>When we use the term “organic constant currency,” it means that we have further removed the impact of acquisitions in the current period and dispositions from the prior period from our constant currency calculation. We believe that this calculation is useful because it allows us to show the actual growth or decline of our ongoing business.</w:t>
      </w:r>
    </w:p>
    <w:p>
      <w:pPr>
        <w:spacing w:after="0" w:line="135" w:lineRule="exact"/>
        <w:rPr>
          <w:sz w:val="20"/>
          <w:szCs w:val="20"/>
          <w:color w:val="auto"/>
        </w:rPr>
      </w:pPr>
    </w:p>
    <w:p>
      <w:pPr>
        <w:ind w:right="120"/>
        <w:spacing w:after="0" w:line="281" w:lineRule="auto"/>
        <w:rPr>
          <w:sz w:val="20"/>
          <w:szCs w:val="20"/>
          <w:color w:val="auto"/>
        </w:rPr>
      </w:pPr>
      <w:r>
        <w:rPr>
          <w:rFonts w:ascii="Times New Roman" w:cs="Times New Roman" w:eastAsia="Times New Roman" w:hAnsi="Times New Roman"/>
          <w:sz w:val="17"/>
          <w:szCs w:val="17"/>
          <w:color w:val="auto"/>
        </w:rPr>
        <w:t>The constant currency and organic constant currency financial measures are used to supplement those measures that are in accordance with United States Generally Accepted Accounting Principles (“GAAP”). These Non-GAAP financial measures may not provide information that is directly comparable to that provided by other companies in our industry, as other companies may calculate such financial results differently. These Non-GAAP financial measures are not measurements of financial performance under GAAP, and should not be considered as alternatives to measures presented in accordance with GAAP.</w:t>
      </w:r>
    </w:p>
    <w:p>
      <w:pPr>
        <w:spacing w:after="0" w:line="124" w:lineRule="exact"/>
        <w:rPr>
          <w:sz w:val="20"/>
          <w:szCs w:val="20"/>
          <w:color w:val="auto"/>
        </w:rPr>
      </w:pPr>
    </w:p>
    <w:p>
      <w:pPr>
        <w:ind w:right="560"/>
        <w:spacing w:after="0" w:line="282" w:lineRule="auto"/>
        <w:rPr>
          <w:sz w:val="20"/>
          <w:szCs w:val="20"/>
          <w:color w:val="auto"/>
        </w:rPr>
      </w:pPr>
      <w:r>
        <w:rPr>
          <w:rFonts w:ascii="Times New Roman" w:cs="Times New Roman" w:eastAsia="Times New Roman" w:hAnsi="Times New Roman"/>
          <w:sz w:val="18"/>
          <w:szCs w:val="18"/>
          <w:color w:val="auto"/>
        </w:rPr>
        <w:t>Constant currency and organic constant currency percent variances, along with a reconciliation of these amounts to certain of our reported results, are provided below:</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478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4340" w:type="dxa"/>
            <w:vAlign w:val="bottom"/>
            <w:tcBorders>
              <w:bottom w:val="single" w:sz="8" w:color="auto"/>
            </w:tcBorders>
            <w:gridSpan w:val="8"/>
          </w:tcPr>
          <w:p>
            <w:pPr>
              <w:jc w:val="right"/>
              <w:ind w:right="340"/>
              <w:spacing w:after="0"/>
              <w:rPr>
                <w:sz w:val="20"/>
                <w:szCs w:val="20"/>
                <w:color w:val="auto"/>
              </w:rPr>
            </w:pPr>
            <w:r>
              <w:rPr>
                <w:rFonts w:ascii="Times New Roman" w:cs="Times New Roman" w:eastAsia="Times New Roman" w:hAnsi="Times New Roman"/>
                <w:sz w:val="16"/>
                <w:szCs w:val="16"/>
                <w:b w:val="1"/>
                <w:bCs w:val="1"/>
                <w:color w:val="auto"/>
              </w:rPr>
              <w:t>Three Months Ended June 30, 2024 Compared to 2023</w:t>
            </w:r>
          </w:p>
        </w:tc>
        <w:tc>
          <w:tcPr>
            <w:tcW w:w="106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0"/>
        </w:trPr>
        <w:tc>
          <w:tcPr>
            <w:tcW w:w="47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w w:val="99"/>
              </w:rPr>
              <w:t>Impact of</w:t>
            </w: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7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w w:val="99"/>
              </w:rPr>
              <w:t>Acquisition</w:t>
            </w: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7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w w:val="95"/>
              </w:rPr>
              <w:t>s</w:t>
            </w: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47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and</w:t>
            </w: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7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Disposition</w:t>
            </w: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7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w w:val="95"/>
              </w:rPr>
              <w:t>s</w:t>
            </w:r>
          </w:p>
        </w:tc>
        <w:tc>
          <w:tcPr>
            <w:tcW w:w="116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Organic</w:t>
            </w:r>
          </w:p>
        </w:tc>
        <w:tc>
          <w:tcPr>
            <w:tcW w:w="0" w:type="dxa"/>
            <w:vAlign w:val="bottom"/>
          </w:tcPr>
          <w:p>
            <w:pPr>
              <w:spacing w:after="0"/>
              <w:rPr>
                <w:sz w:val="1"/>
                <w:szCs w:val="1"/>
                <w:color w:val="auto"/>
              </w:rPr>
            </w:pPr>
          </w:p>
        </w:tc>
      </w:tr>
      <w:tr>
        <w:trPr>
          <w:trHeight w:val="203"/>
        </w:trPr>
        <w:tc>
          <w:tcPr>
            <w:tcW w:w="47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gridSpan w:val="2"/>
          </w:tcPr>
          <w:p>
            <w:pPr>
              <w:ind w:left="120"/>
              <w:spacing w:after="0"/>
              <w:rPr>
                <w:sz w:val="20"/>
                <w:szCs w:val="20"/>
                <w:color w:val="auto"/>
              </w:rPr>
            </w:pPr>
            <w:r>
              <w:rPr>
                <w:rFonts w:ascii="Times New Roman" w:cs="Times New Roman" w:eastAsia="Times New Roman" w:hAnsi="Times New Roman"/>
                <w:sz w:val="16"/>
                <w:szCs w:val="16"/>
                <w:b w:val="1"/>
                <w:bCs w:val="1"/>
                <w:color w:val="auto"/>
              </w:rPr>
              <w:t>Constant</w:t>
            </w:r>
          </w:p>
        </w:tc>
        <w:tc>
          <w:tcPr>
            <w:tcW w:w="108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(In</w:t>
            </w:r>
          </w:p>
        </w:tc>
        <w:tc>
          <w:tcPr>
            <w:tcW w:w="116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w w:val="99"/>
              </w:rPr>
              <w:t>Constant</w:t>
            </w:r>
          </w:p>
        </w:tc>
        <w:tc>
          <w:tcPr>
            <w:tcW w:w="0" w:type="dxa"/>
            <w:vAlign w:val="bottom"/>
          </w:tcPr>
          <w:p>
            <w:pPr>
              <w:spacing w:after="0"/>
              <w:rPr>
                <w:sz w:val="1"/>
                <w:szCs w:val="1"/>
                <w:color w:val="auto"/>
              </w:rPr>
            </w:pPr>
          </w:p>
        </w:tc>
      </w:tr>
      <w:tr>
        <w:trPr>
          <w:trHeight w:val="189"/>
        </w:trPr>
        <w:tc>
          <w:tcPr>
            <w:tcW w:w="4780" w:type="dxa"/>
            <w:vAlign w:val="bottom"/>
          </w:tcPr>
          <w:p>
            <w:pPr>
              <w:spacing w:after="0"/>
              <w:rPr>
                <w:sz w:val="16"/>
                <w:szCs w:val="16"/>
                <w:color w:val="auto"/>
              </w:rPr>
            </w:pPr>
          </w:p>
        </w:tc>
        <w:tc>
          <w:tcPr>
            <w:tcW w:w="940" w:type="dxa"/>
            <w:vAlign w:val="bottom"/>
            <w:gridSpan w:val="2"/>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rPr>
              <w:t>Reported</w:t>
            </w:r>
          </w:p>
        </w:tc>
        <w:tc>
          <w:tcPr>
            <w:tcW w:w="120" w:type="dxa"/>
            <w:vAlign w:val="bottom"/>
          </w:tcPr>
          <w:p>
            <w:pPr>
              <w:spacing w:after="0"/>
              <w:rPr>
                <w:sz w:val="16"/>
                <w:szCs w:val="16"/>
                <w:color w:val="auto"/>
              </w:rPr>
            </w:pPr>
          </w:p>
        </w:tc>
        <w:tc>
          <w:tcPr>
            <w:tcW w:w="1120" w:type="dxa"/>
            <w:vAlign w:val="bottom"/>
            <w:gridSpan w:val="2"/>
          </w:tcPr>
          <w:p>
            <w:pPr>
              <w:jc w:val="right"/>
              <w:ind w:right="360"/>
              <w:spacing w:after="0"/>
              <w:rPr>
                <w:sz w:val="20"/>
                <w:szCs w:val="20"/>
                <w:color w:val="auto"/>
              </w:rPr>
            </w:pPr>
            <w:r>
              <w:rPr>
                <w:rFonts w:ascii="Times New Roman" w:cs="Times New Roman" w:eastAsia="Times New Roman" w:hAnsi="Times New Roman"/>
                <w:sz w:val="16"/>
                <w:szCs w:val="16"/>
                <w:b w:val="1"/>
                <w:bCs w:val="1"/>
                <w:color w:val="auto"/>
              </w:rPr>
              <w:t>Reported</w:t>
            </w:r>
          </w:p>
        </w:tc>
        <w:tc>
          <w:tcPr>
            <w:tcW w:w="1080" w:type="dxa"/>
            <w:vAlign w:val="bottom"/>
            <w:gridSpan w:val="2"/>
          </w:tcPr>
          <w:p>
            <w:pPr>
              <w:jc w:val="right"/>
              <w:ind w:right="320"/>
              <w:spacing w:after="0"/>
              <w:rPr>
                <w:sz w:val="20"/>
                <w:szCs w:val="20"/>
                <w:color w:val="auto"/>
              </w:rPr>
            </w:pPr>
            <w:r>
              <w:rPr>
                <w:rFonts w:ascii="Times New Roman" w:cs="Times New Roman" w:eastAsia="Times New Roman" w:hAnsi="Times New Roman"/>
                <w:sz w:val="16"/>
                <w:szCs w:val="16"/>
                <w:b w:val="1"/>
                <w:bCs w:val="1"/>
                <w:color w:val="auto"/>
              </w:rPr>
              <w:t>Impact of</w:t>
            </w:r>
          </w:p>
        </w:tc>
        <w:tc>
          <w:tcPr>
            <w:tcW w:w="1060" w:type="dxa"/>
            <w:vAlign w:val="bottom"/>
            <w:gridSpan w:val="2"/>
          </w:tcPr>
          <w:p>
            <w:pPr>
              <w:ind w:left="100"/>
              <w:spacing w:after="0"/>
              <w:rPr>
                <w:sz w:val="20"/>
                <w:szCs w:val="20"/>
                <w:color w:val="auto"/>
              </w:rPr>
            </w:pPr>
            <w:r>
              <w:rPr>
                <w:rFonts w:ascii="Times New Roman" w:cs="Times New Roman" w:eastAsia="Times New Roman" w:hAnsi="Times New Roman"/>
                <w:sz w:val="16"/>
                <w:szCs w:val="16"/>
                <w:b w:val="1"/>
                <w:bCs w:val="1"/>
                <w:color w:val="auto"/>
              </w:rPr>
              <w:t>Currency</w:t>
            </w:r>
          </w:p>
        </w:tc>
        <w:tc>
          <w:tcPr>
            <w:tcW w:w="108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w w:val="99"/>
              </w:rPr>
              <w:t>Constant</w:t>
            </w:r>
          </w:p>
        </w:tc>
        <w:tc>
          <w:tcPr>
            <w:tcW w:w="116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Currency</w:t>
            </w:r>
          </w:p>
        </w:tc>
        <w:tc>
          <w:tcPr>
            <w:tcW w:w="0" w:type="dxa"/>
            <w:vAlign w:val="bottom"/>
          </w:tcPr>
          <w:p>
            <w:pPr>
              <w:spacing w:after="0"/>
              <w:rPr>
                <w:sz w:val="1"/>
                <w:szCs w:val="1"/>
                <w:color w:val="auto"/>
              </w:rPr>
            </w:pPr>
          </w:p>
        </w:tc>
      </w:tr>
      <w:tr>
        <w:trPr>
          <w:trHeight w:val="246"/>
        </w:trPr>
        <w:tc>
          <w:tcPr>
            <w:tcW w:w="4780" w:type="dxa"/>
            <w:vAlign w:val="bottom"/>
          </w:tcPr>
          <w:p>
            <w:pPr>
              <w:spacing w:after="0"/>
              <w:rPr>
                <w:sz w:val="21"/>
                <w:szCs w:val="21"/>
                <w:color w:val="auto"/>
              </w:rPr>
            </w:pPr>
          </w:p>
        </w:tc>
        <w:tc>
          <w:tcPr>
            <w:tcW w:w="940" w:type="dxa"/>
            <w:vAlign w:val="bottom"/>
            <w:gridSpan w:val="2"/>
          </w:tcPr>
          <w:p>
            <w:pPr>
              <w:jc w:val="right"/>
              <w:ind w:right="99"/>
              <w:spacing w:after="0"/>
              <w:rPr>
                <w:sz w:val="20"/>
                <w:szCs w:val="20"/>
                <w:color w:val="auto"/>
              </w:rPr>
            </w:pPr>
            <w:r>
              <w:rPr>
                <w:rFonts w:ascii="Times New Roman" w:cs="Times New Roman" w:eastAsia="Times New Roman" w:hAnsi="Times New Roman"/>
                <w:sz w:val="16"/>
                <w:szCs w:val="16"/>
                <w:b w:val="1"/>
                <w:bCs w:val="1"/>
                <w:color w:val="auto"/>
              </w:rPr>
              <w:t>Amount</w:t>
            </w:r>
            <w:r>
              <w:rPr>
                <w:rFonts w:ascii="Times New Roman" w:cs="Times New Roman" w:eastAsia="Times New Roman" w:hAnsi="Times New Roman"/>
                <w:sz w:val="21"/>
                <w:szCs w:val="21"/>
                <w:b w:val="1"/>
                <w:bCs w:val="1"/>
                <w:color w:val="auto"/>
                <w:vertAlign w:val="superscript"/>
              </w:rPr>
              <w:t>(a)</w:t>
            </w:r>
          </w:p>
        </w:tc>
        <w:tc>
          <w:tcPr>
            <w:tcW w:w="120" w:type="dxa"/>
            <w:vAlign w:val="bottom"/>
          </w:tcPr>
          <w:p>
            <w:pPr>
              <w:spacing w:after="0"/>
              <w:rPr>
                <w:sz w:val="21"/>
                <w:szCs w:val="21"/>
                <w:color w:val="auto"/>
              </w:rPr>
            </w:pPr>
          </w:p>
        </w:tc>
        <w:tc>
          <w:tcPr>
            <w:tcW w:w="1120" w:type="dxa"/>
            <w:vAlign w:val="bottom"/>
            <w:gridSpan w:val="2"/>
          </w:tcPr>
          <w:p>
            <w:pPr>
              <w:jc w:val="right"/>
              <w:ind w:right="380"/>
              <w:spacing w:after="0"/>
              <w:rPr>
                <w:sz w:val="20"/>
                <w:szCs w:val="20"/>
                <w:color w:val="auto"/>
              </w:rPr>
            </w:pPr>
            <w:r>
              <w:rPr>
                <w:rFonts w:ascii="Times New Roman" w:cs="Times New Roman" w:eastAsia="Times New Roman" w:hAnsi="Times New Roman"/>
                <w:sz w:val="16"/>
                <w:szCs w:val="16"/>
                <w:b w:val="1"/>
                <w:bCs w:val="1"/>
                <w:color w:val="auto"/>
              </w:rPr>
              <w:t>Variance</w:t>
            </w:r>
          </w:p>
        </w:tc>
        <w:tc>
          <w:tcPr>
            <w:tcW w:w="1080" w:type="dxa"/>
            <w:vAlign w:val="bottom"/>
            <w:gridSpan w:val="2"/>
          </w:tcPr>
          <w:p>
            <w:pPr>
              <w:jc w:val="right"/>
              <w:ind w:right="320"/>
              <w:spacing w:after="0"/>
              <w:rPr>
                <w:sz w:val="20"/>
                <w:szCs w:val="20"/>
                <w:color w:val="auto"/>
              </w:rPr>
            </w:pPr>
            <w:r>
              <w:rPr>
                <w:rFonts w:ascii="Times New Roman" w:cs="Times New Roman" w:eastAsia="Times New Roman" w:hAnsi="Times New Roman"/>
                <w:sz w:val="16"/>
                <w:szCs w:val="16"/>
                <w:b w:val="1"/>
                <w:bCs w:val="1"/>
                <w:color w:val="auto"/>
              </w:rPr>
              <w:t>Currency</w:t>
            </w:r>
          </w:p>
        </w:tc>
        <w:tc>
          <w:tcPr>
            <w:tcW w:w="1060" w:type="dxa"/>
            <w:vAlign w:val="bottom"/>
            <w:gridSpan w:val="2"/>
          </w:tcPr>
          <w:p>
            <w:pPr>
              <w:ind w:left="120"/>
              <w:spacing w:after="0"/>
              <w:rPr>
                <w:sz w:val="20"/>
                <w:szCs w:val="20"/>
                <w:color w:val="auto"/>
              </w:rPr>
            </w:pPr>
            <w:r>
              <w:rPr>
                <w:rFonts w:ascii="Times New Roman" w:cs="Times New Roman" w:eastAsia="Times New Roman" w:hAnsi="Times New Roman"/>
                <w:sz w:val="16"/>
                <w:szCs w:val="16"/>
                <w:b w:val="1"/>
                <w:bCs w:val="1"/>
                <w:color w:val="auto"/>
              </w:rPr>
              <w:t>Variance</w:t>
            </w:r>
          </w:p>
        </w:tc>
        <w:tc>
          <w:tcPr>
            <w:tcW w:w="108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rPr>
              <w:t>Currency)</w:t>
            </w:r>
          </w:p>
        </w:tc>
        <w:tc>
          <w:tcPr>
            <w:tcW w:w="116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w w:val="99"/>
              </w:rPr>
              <w:t>Variance</w:t>
            </w:r>
          </w:p>
        </w:tc>
        <w:tc>
          <w:tcPr>
            <w:tcW w:w="0" w:type="dxa"/>
            <w:vAlign w:val="bottom"/>
          </w:tcPr>
          <w:p>
            <w:pPr>
              <w:spacing w:after="0"/>
              <w:rPr>
                <w:sz w:val="1"/>
                <w:szCs w:val="1"/>
                <w:color w:val="auto"/>
              </w:rPr>
            </w:pPr>
          </w:p>
        </w:tc>
      </w:tr>
      <w:tr>
        <w:trPr>
          <w:trHeight w:val="223"/>
        </w:trPr>
        <w:tc>
          <w:tcPr>
            <w:tcW w:w="47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Revenues from services:</w:t>
            </w:r>
          </w:p>
        </w:tc>
        <w:tc>
          <w:tcPr>
            <w:tcW w:w="200" w:type="dxa"/>
            <w:vAlign w:val="bottom"/>
            <w:tcBorders>
              <w:top w:val="single" w:sz="8" w:color="auto"/>
            </w:tcBorders>
            <w:shd w:val="clear" w:color="auto" w:fill="CFF0FC"/>
          </w:tcPr>
          <w:p>
            <w:pPr>
              <w:spacing w:after="0"/>
              <w:rPr>
                <w:sz w:val="19"/>
                <w:szCs w:val="19"/>
                <w:color w:val="auto"/>
              </w:rPr>
            </w:pPr>
          </w:p>
        </w:tc>
        <w:tc>
          <w:tcPr>
            <w:tcW w:w="740" w:type="dxa"/>
            <w:vAlign w:val="bottom"/>
            <w:tcBorders>
              <w:top w:val="single" w:sz="8" w:color="auto"/>
            </w:tcBorders>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00" w:type="dxa"/>
            <w:vAlign w:val="bottom"/>
            <w:tcBorders>
              <w:top w:val="single" w:sz="8" w:color="auto"/>
            </w:tcBorders>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80" w:type="dxa"/>
            <w:vAlign w:val="bottom"/>
            <w:tcBorders>
              <w:top w:val="single" w:sz="8" w:color="auto"/>
            </w:tcBorders>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60" w:type="dxa"/>
            <w:vAlign w:val="bottom"/>
            <w:tcBorders>
              <w:top w:val="single" w:sz="8" w:color="auto"/>
            </w:tcBorders>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60" w:type="dxa"/>
            <w:vAlign w:val="bottom"/>
            <w:tcBorders>
              <w:top w:val="single" w:sz="8" w:color="auto"/>
            </w:tcBorders>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60" w:type="dxa"/>
            <w:vAlign w:val="bottom"/>
            <w:tcBorders>
              <w:top w:val="single" w:sz="8" w:color="auto"/>
            </w:tcBorders>
            <w:shd w:val="clear" w:color="auto" w:fill="CFF0FC"/>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47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Americas:</w:t>
            </w: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78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United States</w:t>
            </w:r>
          </w:p>
        </w:tc>
        <w:tc>
          <w:tcPr>
            <w:tcW w:w="2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74"/>
              </w:rPr>
              <w:t>$</w:t>
            </w:r>
          </w:p>
        </w:tc>
        <w:tc>
          <w:tcPr>
            <w:tcW w:w="7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697.0</w:t>
            </w:r>
          </w:p>
        </w:tc>
        <w:tc>
          <w:tcPr>
            <w:tcW w:w="1240" w:type="dxa"/>
            <w:vAlign w:val="bottom"/>
            <w:gridSpan w:val="3"/>
          </w:tcPr>
          <w:p>
            <w:pPr>
              <w:jc w:val="right"/>
              <w:ind w:right="40"/>
              <w:spacing w:after="0"/>
              <w:rPr>
                <w:sz w:val="20"/>
                <w:szCs w:val="20"/>
                <w:color w:val="auto"/>
              </w:rPr>
            </w:pPr>
            <w:r>
              <w:rPr>
                <w:rFonts w:ascii="Times New Roman" w:cs="Times New Roman" w:eastAsia="Times New Roman" w:hAnsi="Times New Roman"/>
                <w:sz w:val="16"/>
                <w:szCs w:val="16"/>
                <w:color w:val="auto"/>
              </w:rPr>
              <w:t>(1.7 )%</w:t>
            </w: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(1.7 )%</w:t>
            </w:r>
          </w:p>
        </w:tc>
        <w:tc>
          <w:tcPr>
            <w:tcW w:w="108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(1.7 )%</w:t>
            </w:r>
          </w:p>
        </w:tc>
        <w:tc>
          <w:tcPr>
            <w:tcW w:w="0" w:type="dxa"/>
            <w:vAlign w:val="bottom"/>
          </w:tcPr>
          <w:p>
            <w:pPr>
              <w:spacing w:after="0"/>
              <w:rPr>
                <w:sz w:val="1"/>
                <w:szCs w:val="1"/>
                <w:color w:val="auto"/>
              </w:rPr>
            </w:pPr>
          </w:p>
        </w:tc>
      </w:tr>
      <w:tr>
        <w:trPr>
          <w:trHeight w:val="246"/>
        </w:trPr>
        <w:tc>
          <w:tcPr>
            <w:tcW w:w="478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Other Americas</w:t>
            </w:r>
          </w:p>
        </w:tc>
        <w:tc>
          <w:tcPr>
            <w:tcW w:w="200" w:type="dxa"/>
            <w:vAlign w:val="bottom"/>
            <w:tcBorders>
              <w:bottom w:val="single" w:sz="8" w:color="auto"/>
            </w:tcBorders>
          </w:tcPr>
          <w:p>
            <w:pPr>
              <w:spacing w:after="0"/>
              <w:rPr>
                <w:sz w:val="21"/>
                <w:szCs w:val="21"/>
                <w:color w:val="auto"/>
              </w:rPr>
            </w:pPr>
          </w:p>
        </w:tc>
        <w:tc>
          <w:tcPr>
            <w:tcW w:w="74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367.4</w:t>
            </w:r>
          </w:p>
        </w:tc>
        <w:tc>
          <w:tcPr>
            <w:tcW w:w="1240" w:type="dxa"/>
            <w:vAlign w:val="bottom"/>
            <w:gridSpan w:val="3"/>
          </w:tcPr>
          <w:p>
            <w:pPr>
              <w:jc w:val="right"/>
              <w:ind w:right="40"/>
              <w:spacing w:after="0"/>
              <w:rPr>
                <w:sz w:val="20"/>
                <w:szCs w:val="20"/>
                <w:color w:val="auto"/>
              </w:rPr>
            </w:pPr>
            <w:r>
              <w:rPr>
                <w:rFonts w:ascii="Times New Roman" w:cs="Times New Roman" w:eastAsia="Times New Roman" w:hAnsi="Times New Roman"/>
                <w:sz w:val="16"/>
                <w:szCs w:val="16"/>
                <w:color w:val="auto"/>
              </w:rPr>
              <w:t>(5.7 )%</w:t>
            </w:r>
          </w:p>
        </w:tc>
        <w:tc>
          <w:tcPr>
            <w:tcW w:w="108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(22.8 )%</w:t>
            </w:r>
          </w:p>
        </w:tc>
        <w:tc>
          <w:tcPr>
            <w:tcW w:w="106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17.1 %</w:t>
            </w:r>
          </w:p>
        </w:tc>
        <w:tc>
          <w:tcPr>
            <w:tcW w:w="108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17.1 %</w:t>
            </w:r>
          </w:p>
        </w:tc>
        <w:tc>
          <w:tcPr>
            <w:tcW w:w="0" w:type="dxa"/>
            <w:vAlign w:val="bottom"/>
          </w:tcPr>
          <w:p>
            <w:pPr>
              <w:spacing w:after="0"/>
              <w:rPr>
                <w:sz w:val="1"/>
                <w:szCs w:val="1"/>
                <w:color w:val="auto"/>
              </w:rPr>
            </w:pPr>
          </w:p>
        </w:tc>
      </w:tr>
      <w:tr>
        <w:trPr>
          <w:trHeight w:val="220"/>
        </w:trPr>
        <w:tc>
          <w:tcPr>
            <w:tcW w:w="478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1,064.4</w:t>
            </w:r>
          </w:p>
        </w:tc>
        <w:tc>
          <w:tcPr>
            <w:tcW w:w="1240" w:type="dxa"/>
            <w:vAlign w:val="bottom"/>
            <w:gridSpan w:val="3"/>
          </w:tcPr>
          <w:p>
            <w:pPr>
              <w:jc w:val="right"/>
              <w:ind w:right="40"/>
              <w:spacing w:after="0"/>
              <w:rPr>
                <w:sz w:val="20"/>
                <w:szCs w:val="20"/>
                <w:color w:val="auto"/>
              </w:rPr>
            </w:pPr>
            <w:r>
              <w:rPr>
                <w:rFonts w:ascii="Times New Roman" w:cs="Times New Roman" w:eastAsia="Times New Roman" w:hAnsi="Times New Roman"/>
                <w:sz w:val="16"/>
                <w:szCs w:val="16"/>
                <w:color w:val="auto"/>
              </w:rPr>
              <w:t>(3.1 )%</w:t>
            </w:r>
          </w:p>
        </w:tc>
        <w:tc>
          <w:tcPr>
            <w:tcW w:w="108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(8.1 )%</w:t>
            </w:r>
          </w:p>
        </w:tc>
        <w:tc>
          <w:tcPr>
            <w:tcW w:w="106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5.0 %</w:t>
            </w:r>
          </w:p>
        </w:tc>
        <w:tc>
          <w:tcPr>
            <w:tcW w:w="108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5.0 %</w:t>
            </w:r>
          </w:p>
        </w:tc>
        <w:tc>
          <w:tcPr>
            <w:tcW w:w="0" w:type="dxa"/>
            <w:vAlign w:val="bottom"/>
          </w:tcPr>
          <w:p>
            <w:pPr>
              <w:spacing w:after="0"/>
              <w:rPr>
                <w:sz w:val="1"/>
                <w:szCs w:val="1"/>
                <w:color w:val="auto"/>
              </w:rPr>
            </w:pPr>
          </w:p>
        </w:tc>
      </w:tr>
      <w:tr>
        <w:trPr>
          <w:trHeight w:val="210"/>
        </w:trPr>
        <w:tc>
          <w:tcPr>
            <w:tcW w:w="47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Southern Europe:</w:t>
            </w: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78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France</w:t>
            </w:r>
          </w:p>
        </w:tc>
        <w:tc>
          <w:tcPr>
            <w:tcW w:w="200" w:type="dxa"/>
            <w:vAlign w:val="bottom"/>
          </w:tcPr>
          <w:p>
            <w:pPr>
              <w:spacing w:after="0"/>
              <w:rPr>
                <w:sz w:val="19"/>
                <w:szCs w:val="19"/>
                <w:color w:val="auto"/>
              </w:rPr>
            </w:pPr>
          </w:p>
        </w:tc>
        <w:tc>
          <w:tcPr>
            <w:tcW w:w="7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1,184.9</w:t>
            </w:r>
          </w:p>
        </w:tc>
        <w:tc>
          <w:tcPr>
            <w:tcW w:w="1240" w:type="dxa"/>
            <w:vAlign w:val="bottom"/>
            <w:gridSpan w:val="3"/>
          </w:tcPr>
          <w:p>
            <w:pPr>
              <w:jc w:val="right"/>
              <w:ind w:right="40"/>
              <w:spacing w:after="0"/>
              <w:rPr>
                <w:sz w:val="20"/>
                <w:szCs w:val="20"/>
                <w:color w:val="auto"/>
              </w:rPr>
            </w:pPr>
            <w:r>
              <w:rPr>
                <w:rFonts w:ascii="Times New Roman" w:cs="Times New Roman" w:eastAsia="Times New Roman" w:hAnsi="Times New Roman"/>
                <w:sz w:val="16"/>
                <w:szCs w:val="16"/>
                <w:color w:val="auto"/>
              </w:rPr>
              <w:t>(7.3 )%</w:t>
            </w:r>
          </w:p>
        </w:tc>
        <w:tc>
          <w:tcPr>
            <w:tcW w:w="108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(1.1 )%</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(6.2 )%</w:t>
            </w:r>
          </w:p>
        </w:tc>
        <w:tc>
          <w:tcPr>
            <w:tcW w:w="108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(6.2 )%</w:t>
            </w:r>
          </w:p>
        </w:tc>
        <w:tc>
          <w:tcPr>
            <w:tcW w:w="0" w:type="dxa"/>
            <w:vAlign w:val="bottom"/>
          </w:tcPr>
          <w:p>
            <w:pPr>
              <w:spacing w:after="0"/>
              <w:rPr>
                <w:sz w:val="1"/>
                <w:szCs w:val="1"/>
                <w:color w:val="auto"/>
              </w:rPr>
            </w:pPr>
          </w:p>
        </w:tc>
      </w:tr>
      <w:tr>
        <w:trPr>
          <w:trHeight w:val="239"/>
        </w:trPr>
        <w:tc>
          <w:tcPr>
            <w:tcW w:w="478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Italy</w:t>
            </w:r>
          </w:p>
        </w:tc>
        <w:tc>
          <w:tcPr>
            <w:tcW w:w="200" w:type="dxa"/>
            <w:vAlign w:val="bottom"/>
          </w:tcPr>
          <w:p>
            <w:pPr>
              <w:spacing w:after="0"/>
              <w:rPr>
                <w:sz w:val="20"/>
                <w:szCs w:val="20"/>
                <w:color w:val="auto"/>
              </w:rPr>
            </w:pPr>
          </w:p>
        </w:tc>
        <w:tc>
          <w:tcPr>
            <w:tcW w:w="7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434.9</w:t>
            </w:r>
          </w:p>
        </w:tc>
        <w:tc>
          <w:tcPr>
            <w:tcW w:w="1240" w:type="dxa"/>
            <w:vAlign w:val="bottom"/>
            <w:gridSpan w:val="3"/>
          </w:tcPr>
          <w:p>
            <w:pPr>
              <w:jc w:val="right"/>
              <w:ind w:right="40"/>
              <w:spacing w:after="0"/>
              <w:rPr>
                <w:sz w:val="20"/>
                <w:szCs w:val="20"/>
                <w:color w:val="auto"/>
              </w:rPr>
            </w:pPr>
            <w:r>
              <w:rPr>
                <w:rFonts w:ascii="Times New Roman" w:cs="Times New Roman" w:eastAsia="Times New Roman" w:hAnsi="Times New Roman"/>
                <w:sz w:val="16"/>
                <w:szCs w:val="16"/>
                <w:color w:val="auto"/>
              </w:rPr>
              <w:t>(5.0 )%</w:t>
            </w:r>
          </w:p>
        </w:tc>
        <w:tc>
          <w:tcPr>
            <w:tcW w:w="108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(1.1 )%</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(3.9 )%</w:t>
            </w:r>
          </w:p>
        </w:tc>
        <w:tc>
          <w:tcPr>
            <w:tcW w:w="108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(3.9 )%</w:t>
            </w:r>
          </w:p>
        </w:tc>
        <w:tc>
          <w:tcPr>
            <w:tcW w:w="0" w:type="dxa"/>
            <w:vAlign w:val="bottom"/>
          </w:tcPr>
          <w:p>
            <w:pPr>
              <w:spacing w:after="0"/>
              <w:rPr>
                <w:sz w:val="1"/>
                <w:szCs w:val="1"/>
                <w:color w:val="auto"/>
              </w:rPr>
            </w:pPr>
          </w:p>
        </w:tc>
      </w:tr>
      <w:tr>
        <w:trPr>
          <w:trHeight w:val="236"/>
        </w:trPr>
        <w:tc>
          <w:tcPr>
            <w:tcW w:w="478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Other Southern Europe</w:t>
            </w:r>
          </w:p>
        </w:tc>
        <w:tc>
          <w:tcPr>
            <w:tcW w:w="200" w:type="dxa"/>
            <w:vAlign w:val="bottom"/>
            <w:tcBorders>
              <w:bottom w:val="single" w:sz="8" w:color="auto"/>
            </w:tcBorders>
            <w:shd w:val="clear" w:color="auto" w:fill="CFF0FC"/>
          </w:tcPr>
          <w:p>
            <w:pPr>
              <w:spacing w:after="0"/>
              <w:rPr>
                <w:sz w:val="20"/>
                <w:szCs w:val="20"/>
                <w:color w:val="auto"/>
              </w:rPr>
            </w:pPr>
          </w:p>
        </w:tc>
        <w:tc>
          <w:tcPr>
            <w:tcW w:w="740" w:type="dxa"/>
            <w:vAlign w:val="bottom"/>
            <w:tcBorders>
              <w:bottom w:val="single" w:sz="8" w:color="auto"/>
            </w:tcBorders>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478.2</w:t>
            </w:r>
          </w:p>
        </w:tc>
        <w:tc>
          <w:tcPr>
            <w:tcW w:w="1240" w:type="dxa"/>
            <w:vAlign w:val="bottom"/>
            <w:tcBorders>
              <w:bottom w:val="single" w:sz="8" w:color="CFF0FC"/>
            </w:tcBorders>
            <w:gridSpan w:val="3"/>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(2.6 )%</w:t>
            </w:r>
          </w:p>
        </w:tc>
        <w:tc>
          <w:tcPr>
            <w:tcW w:w="1080" w:type="dxa"/>
            <w:vAlign w:val="bottom"/>
            <w:tcBorders>
              <w:bottom w:val="single" w:sz="8" w:color="CFF0FC"/>
            </w:tcBorders>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(2.6 )%</w:t>
            </w:r>
          </w:p>
        </w:tc>
        <w:tc>
          <w:tcPr>
            <w:tcW w:w="1060" w:type="dxa"/>
            <w:vAlign w:val="bottom"/>
            <w:tcBorders>
              <w:bottom w:val="single" w:sz="8" w:color="CFF0FC"/>
            </w:tcBorders>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0.0 %</w:t>
            </w:r>
          </w:p>
        </w:tc>
        <w:tc>
          <w:tcPr>
            <w:tcW w:w="1080" w:type="dxa"/>
            <w:vAlign w:val="bottom"/>
            <w:tcBorders>
              <w:bottom w:val="single" w:sz="8" w:color="CFF0FC"/>
            </w:tcBorders>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tcBorders>
              <w:bottom w:val="single" w:sz="8" w:color="CFF0FC"/>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0"/>
        </w:trPr>
        <w:tc>
          <w:tcPr>
            <w:tcW w:w="478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2,098.0</w:t>
            </w:r>
          </w:p>
        </w:tc>
        <w:tc>
          <w:tcPr>
            <w:tcW w:w="1240" w:type="dxa"/>
            <w:vAlign w:val="bottom"/>
            <w:gridSpan w:val="3"/>
          </w:tcPr>
          <w:p>
            <w:pPr>
              <w:jc w:val="right"/>
              <w:ind w:right="40"/>
              <w:spacing w:after="0"/>
              <w:rPr>
                <w:sz w:val="20"/>
                <w:szCs w:val="20"/>
                <w:color w:val="auto"/>
              </w:rPr>
            </w:pPr>
            <w:r>
              <w:rPr>
                <w:rFonts w:ascii="Times New Roman" w:cs="Times New Roman" w:eastAsia="Times New Roman" w:hAnsi="Times New Roman"/>
                <w:sz w:val="16"/>
                <w:szCs w:val="16"/>
                <w:color w:val="auto"/>
              </w:rPr>
              <w:t>(5.8 )%</w:t>
            </w:r>
          </w:p>
        </w:tc>
        <w:tc>
          <w:tcPr>
            <w:tcW w:w="108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(1.4 )%</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(4.4 )%</w:t>
            </w:r>
          </w:p>
        </w:tc>
        <w:tc>
          <w:tcPr>
            <w:tcW w:w="108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(4.4 )%</w:t>
            </w:r>
          </w:p>
        </w:tc>
        <w:tc>
          <w:tcPr>
            <w:tcW w:w="0" w:type="dxa"/>
            <w:vAlign w:val="bottom"/>
          </w:tcPr>
          <w:p>
            <w:pPr>
              <w:spacing w:after="0"/>
              <w:rPr>
                <w:sz w:val="1"/>
                <w:szCs w:val="1"/>
                <w:color w:val="auto"/>
              </w:rPr>
            </w:pPr>
          </w:p>
        </w:tc>
      </w:tr>
      <w:tr>
        <w:trPr>
          <w:trHeight w:val="210"/>
        </w:trPr>
        <w:tc>
          <w:tcPr>
            <w:tcW w:w="47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Northern Europe</w:t>
            </w:r>
          </w:p>
        </w:tc>
        <w:tc>
          <w:tcPr>
            <w:tcW w:w="200" w:type="dxa"/>
            <w:vAlign w:val="bottom"/>
          </w:tcPr>
          <w:p>
            <w:pPr>
              <w:spacing w:after="0"/>
              <w:rPr>
                <w:sz w:val="18"/>
                <w:szCs w:val="18"/>
                <w:color w:val="auto"/>
              </w:rPr>
            </w:pPr>
          </w:p>
        </w:tc>
        <w:tc>
          <w:tcPr>
            <w:tcW w:w="7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837.3</w:t>
            </w:r>
          </w:p>
        </w:tc>
        <w:tc>
          <w:tcPr>
            <w:tcW w:w="1240" w:type="dxa"/>
            <w:vAlign w:val="bottom"/>
            <w:gridSpan w:val="3"/>
          </w:tcPr>
          <w:p>
            <w:pPr>
              <w:jc w:val="right"/>
              <w:ind w:right="40"/>
              <w:spacing w:after="0"/>
              <w:rPr>
                <w:sz w:val="20"/>
                <w:szCs w:val="20"/>
                <w:color w:val="auto"/>
              </w:rPr>
            </w:pPr>
            <w:r>
              <w:rPr>
                <w:rFonts w:ascii="Times New Roman" w:cs="Times New Roman" w:eastAsia="Times New Roman" w:hAnsi="Times New Roman"/>
                <w:sz w:val="16"/>
                <w:szCs w:val="16"/>
                <w:color w:val="auto"/>
              </w:rPr>
              <w:t>(12.1 )%</w:t>
            </w:r>
          </w:p>
        </w:tc>
        <w:tc>
          <w:tcPr>
            <w:tcW w:w="108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(0.0 )%</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(12.0 )%</w:t>
            </w:r>
          </w:p>
        </w:tc>
        <w:tc>
          <w:tcPr>
            <w:tcW w:w="108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(12.0 )%</w:t>
            </w:r>
          </w:p>
        </w:tc>
        <w:tc>
          <w:tcPr>
            <w:tcW w:w="0" w:type="dxa"/>
            <w:vAlign w:val="bottom"/>
          </w:tcPr>
          <w:p>
            <w:pPr>
              <w:spacing w:after="0"/>
              <w:rPr>
                <w:sz w:val="1"/>
                <w:szCs w:val="1"/>
                <w:color w:val="auto"/>
              </w:rPr>
            </w:pPr>
          </w:p>
        </w:tc>
      </w:tr>
      <w:tr>
        <w:trPr>
          <w:trHeight w:val="246"/>
        </w:trPr>
        <w:tc>
          <w:tcPr>
            <w:tcW w:w="47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APME</w:t>
            </w:r>
          </w:p>
        </w:tc>
        <w:tc>
          <w:tcPr>
            <w:tcW w:w="200" w:type="dxa"/>
            <w:vAlign w:val="bottom"/>
            <w:tcBorders>
              <w:bottom w:val="single" w:sz="8" w:color="auto"/>
            </w:tcBorders>
          </w:tcPr>
          <w:p>
            <w:pPr>
              <w:spacing w:after="0"/>
              <w:rPr>
                <w:sz w:val="21"/>
                <w:szCs w:val="21"/>
                <w:color w:val="auto"/>
              </w:rPr>
            </w:pPr>
          </w:p>
        </w:tc>
        <w:tc>
          <w:tcPr>
            <w:tcW w:w="74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541.4</w:t>
            </w:r>
          </w:p>
        </w:tc>
        <w:tc>
          <w:tcPr>
            <w:tcW w:w="1240" w:type="dxa"/>
            <w:vAlign w:val="bottom"/>
            <w:gridSpan w:val="3"/>
          </w:tcPr>
          <w:p>
            <w:pPr>
              <w:jc w:val="right"/>
              <w:ind w:right="40"/>
              <w:spacing w:after="0"/>
              <w:rPr>
                <w:sz w:val="20"/>
                <w:szCs w:val="20"/>
                <w:color w:val="auto"/>
              </w:rPr>
            </w:pPr>
            <w:r>
              <w:rPr>
                <w:rFonts w:ascii="Times New Roman" w:cs="Times New Roman" w:eastAsia="Times New Roman" w:hAnsi="Times New Roman"/>
                <w:sz w:val="16"/>
                <w:szCs w:val="16"/>
                <w:color w:val="auto"/>
              </w:rPr>
              <w:t>(9.7 )%</w:t>
            </w:r>
          </w:p>
        </w:tc>
        <w:tc>
          <w:tcPr>
            <w:tcW w:w="108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(7.7 )%</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(2.0 )%</w:t>
            </w:r>
          </w:p>
        </w:tc>
        <w:tc>
          <w:tcPr>
            <w:tcW w:w="108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(2.7 )%</w:t>
            </w:r>
          </w:p>
        </w:tc>
        <w:tc>
          <w:tcPr>
            <w:tcW w:w="116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0.7 %</w:t>
            </w:r>
          </w:p>
        </w:tc>
        <w:tc>
          <w:tcPr>
            <w:tcW w:w="0" w:type="dxa"/>
            <w:vAlign w:val="bottom"/>
          </w:tcPr>
          <w:p>
            <w:pPr>
              <w:spacing w:after="0"/>
              <w:rPr>
                <w:sz w:val="1"/>
                <w:szCs w:val="1"/>
                <w:color w:val="auto"/>
              </w:rPr>
            </w:pPr>
          </w:p>
        </w:tc>
      </w:tr>
      <w:tr>
        <w:trPr>
          <w:trHeight w:val="220"/>
        </w:trPr>
        <w:tc>
          <w:tcPr>
            <w:tcW w:w="478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740" w:type="dxa"/>
            <w:vAlign w:val="bottom"/>
            <w:tcBorders>
              <w:bottom w:val="single" w:sz="8" w:color="auto"/>
            </w:tcBorders>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4,541.1</w:t>
            </w:r>
          </w:p>
        </w:tc>
        <w:tc>
          <w:tcPr>
            <w:tcW w:w="120" w:type="dxa"/>
            <w:vAlign w:val="bottom"/>
            <w:tcBorders>
              <w:bottom w:val="single" w:sz="8" w:color="CFF0FC"/>
            </w:tcBorders>
            <w:shd w:val="clear" w:color="auto" w:fill="CFF0FC"/>
          </w:tcPr>
          <w:p>
            <w:pPr>
              <w:spacing w:after="0"/>
              <w:rPr>
                <w:sz w:val="19"/>
                <w:szCs w:val="19"/>
                <w:color w:val="auto"/>
              </w:rPr>
            </w:pPr>
          </w:p>
        </w:tc>
        <w:tc>
          <w:tcPr>
            <w:tcW w:w="100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CFF0FC"/>
            </w:tcBorders>
            <w:shd w:val="clear" w:color="auto" w:fill="CFF0FC"/>
          </w:tcPr>
          <w:p>
            <w:pPr>
              <w:spacing w:after="0"/>
              <w:rPr>
                <w:sz w:val="19"/>
                <w:szCs w:val="19"/>
                <w:color w:val="auto"/>
              </w:rPr>
            </w:pPr>
          </w:p>
        </w:tc>
        <w:tc>
          <w:tcPr>
            <w:tcW w:w="98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CFF0FC"/>
            </w:tcBorders>
            <w:shd w:val="clear" w:color="auto" w:fill="CFF0FC"/>
          </w:tcPr>
          <w:p>
            <w:pPr>
              <w:spacing w:after="0"/>
              <w:rPr>
                <w:sz w:val="19"/>
                <w:szCs w:val="19"/>
                <w:color w:val="auto"/>
              </w:rPr>
            </w:pPr>
          </w:p>
        </w:tc>
        <w:tc>
          <w:tcPr>
            <w:tcW w:w="96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CFF0FC"/>
            </w:tcBorders>
            <w:shd w:val="clear" w:color="auto" w:fill="CFF0FC"/>
          </w:tcPr>
          <w:p>
            <w:pPr>
              <w:spacing w:after="0"/>
              <w:rPr>
                <w:sz w:val="19"/>
                <w:szCs w:val="19"/>
                <w:color w:val="auto"/>
              </w:rPr>
            </w:pPr>
          </w:p>
        </w:tc>
        <w:tc>
          <w:tcPr>
            <w:tcW w:w="96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CFF0FC"/>
            </w:tcBorders>
            <w:shd w:val="clear" w:color="auto" w:fill="CFF0FC"/>
          </w:tcPr>
          <w:p>
            <w:pPr>
              <w:spacing w:after="0"/>
              <w:rPr>
                <w:sz w:val="19"/>
                <w:szCs w:val="19"/>
                <w:color w:val="auto"/>
              </w:rPr>
            </w:pPr>
          </w:p>
        </w:tc>
        <w:tc>
          <w:tcPr>
            <w:tcW w:w="1060" w:type="dxa"/>
            <w:vAlign w:val="bottom"/>
            <w:tcBorders>
              <w:bottom w:val="single" w:sz="8" w:color="CFF0FC"/>
            </w:tcBorders>
            <w:shd w:val="clear" w:color="auto" w:fill="CFF0FC"/>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7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Intercompany Eliminations</w:t>
            </w:r>
          </w:p>
        </w:tc>
        <w:tc>
          <w:tcPr>
            <w:tcW w:w="2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(20.4 )</w:t>
            </w:r>
          </w:p>
        </w:tc>
        <w:tc>
          <w:tcPr>
            <w:tcW w:w="1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Consolidated</w:t>
            </w:r>
          </w:p>
        </w:tc>
        <w:tc>
          <w:tcPr>
            <w:tcW w:w="20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w w:val="74"/>
              </w:rPr>
              <w:t>$</w:t>
            </w:r>
          </w:p>
        </w:tc>
        <w:tc>
          <w:tcPr>
            <w:tcW w:w="74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4,520.7</w:t>
            </w:r>
          </w:p>
        </w:tc>
        <w:tc>
          <w:tcPr>
            <w:tcW w:w="1240" w:type="dxa"/>
            <w:vAlign w:val="bottom"/>
            <w:gridSpan w:val="3"/>
          </w:tcPr>
          <w:p>
            <w:pPr>
              <w:jc w:val="right"/>
              <w:ind w:right="40"/>
              <w:spacing w:after="0"/>
              <w:rPr>
                <w:sz w:val="20"/>
                <w:szCs w:val="20"/>
                <w:color w:val="auto"/>
              </w:rPr>
            </w:pPr>
            <w:r>
              <w:rPr>
                <w:rFonts w:ascii="Times New Roman" w:cs="Times New Roman" w:eastAsia="Times New Roman" w:hAnsi="Times New Roman"/>
                <w:sz w:val="16"/>
                <w:szCs w:val="16"/>
                <w:color w:val="auto"/>
              </w:rPr>
              <w:t>(6.9 )%</w:t>
            </w:r>
          </w:p>
        </w:tc>
        <w:tc>
          <w:tcPr>
            <w:tcW w:w="108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(3.4 )%</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(3.5 )%</w:t>
            </w:r>
          </w:p>
        </w:tc>
        <w:tc>
          <w:tcPr>
            <w:tcW w:w="108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(0.2 )%</w:t>
            </w: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(3.3 )%</w:t>
            </w:r>
          </w:p>
        </w:tc>
        <w:tc>
          <w:tcPr>
            <w:tcW w:w="0" w:type="dxa"/>
            <w:vAlign w:val="bottom"/>
          </w:tcPr>
          <w:p>
            <w:pPr>
              <w:spacing w:after="0"/>
              <w:rPr>
                <w:sz w:val="1"/>
                <w:szCs w:val="1"/>
                <w:color w:val="auto"/>
              </w:rPr>
            </w:pPr>
          </w:p>
        </w:tc>
      </w:tr>
      <w:tr>
        <w:trPr>
          <w:trHeight w:val="20"/>
        </w:trPr>
        <w:tc>
          <w:tcPr>
            <w:tcW w:w="4780" w:type="dxa"/>
            <w:vAlign w:val="bottom"/>
            <w:vMerge w:val="restart"/>
          </w:tcPr>
          <w:p>
            <w:pPr>
              <w:ind w:left="20"/>
              <w:spacing w:after="0"/>
              <w:rPr>
                <w:sz w:val="20"/>
                <w:szCs w:val="20"/>
                <w:color w:val="auto"/>
              </w:rPr>
            </w:pPr>
            <w:r>
              <w:rPr>
                <w:rFonts w:ascii="Times New Roman" w:cs="Times New Roman" w:eastAsia="Times New Roman" w:hAnsi="Times New Roman"/>
                <w:sz w:val="16"/>
                <w:szCs w:val="16"/>
                <w:color w:val="auto"/>
              </w:rPr>
              <w:t>Gross Profit</w:t>
            </w: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40" w:type="dxa"/>
            <w:vAlign w:val="bottom"/>
            <w:gridSpan w:val="3"/>
            <w:vMerge w:val="restart"/>
          </w:tcPr>
          <w:p>
            <w:pPr>
              <w:jc w:val="right"/>
              <w:ind w:right="40"/>
              <w:spacing w:after="0"/>
              <w:rPr>
                <w:sz w:val="20"/>
                <w:szCs w:val="20"/>
                <w:color w:val="auto"/>
              </w:rPr>
            </w:pPr>
            <w:r>
              <w:rPr>
                <w:rFonts w:ascii="Times New Roman" w:cs="Times New Roman" w:eastAsia="Times New Roman" w:hAnsi="Times New Roman"/>
                <w:sz w:val="16"/>
                <w:szCs w:val="16"/>
                <w:color w:val="auto"/>
              </w:rPr>
              <w:t>(8.9 )%</w:t>
            </w:r>
          </w:p>
        </w:tc>
        <w:tc>
          <w:tcPr>
            <w:tcW w:w="108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16"/>
                <w:szCs w:val="16"/>
                <w:color w:val="auto"/>
              </w:rPr>
              <w:t>(3.2 )%</w:t>
            </w:r>
          </w:p>
        </w:tc>
        <w:tc>
          <w:tcPr>
            <w:tcW w:w="10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6"/>
                <w:szCs w:val="16"/>
                <w:color w:val="auto"/>
              </w:rPr>
              <w:t>(5.7 )%</w:t>
            </w:r>
          </w:p>
        </w:tc>
        <w:tc>
          <w:tcPr>
            <w:tcW w:w="108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16"/>
                <w:szCs w:val="16"/>
                <w:color w:val="auto"/>
              </w:rPr>
              <w:t>(0.1 )%</w:t>
            </w:r>
          </w:p>
        </w:tc>
        <w:tc>
          <w:tcPr>
            <w:tcW w:w="11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6"/>
                <w:szCs w:val="16"/>
                <w:color w:val="auto"/>
              </w:rPr>
              <w:t>(5.6 )%</w:t>
            </w:r>
          </w:p>
        </w:tc>
        <w:tc>
          <w:tcPr>
            <w:tcW w:w="0" w:type="dxa"/>
            <w:vAlign w:val="bottom"/>
          </w:tcPr>
          <w:p>
            <w:pPr>
              <w:spacing w:after="0" w:line="20" w:lineRule="exact"/>
              <w:rPr>
                <w:sz w:val="1"/>
                <w:szCs w:val="1"/>
                <w:color w:val="auto"/>
              </w:rPr>
            </w:pPr>
          </w:p>
        </w:tc>
      </w:tr>
      <w:tr>
        <w:trPr>
          <w:trHeight w:val="191"/>
        </w:trPr>
        <w:tc>
          <w:tcPr>
            <w:tcW w:w="4780" w:type="dxa"/>
            <w:vAlign w:val="bottom"/>
            <w:vMerge w:val="continue"/>
          </w:tcPr>
          <w:p>
            <w:pPr>
              <w:spacing w:after="0"/>
              <w:rPr>
                <w:sz w:val="16"/>
                <w:szCs w:val="16"/>
                <w:color w:val="auto"/>
              </w:rPr>
            </w:pPr>
          </w:p>
        </w:tc>
        <w:tc>
          <w:tcPr>
            <w:tcW w:w="2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74"/>
              </w:rPr>
              <w:t>$</w:t>
            </w:r>
          </w:p>
        </w:tc>
        <w:tc>
          <w:tcPr>
            <w:tcW w:w="7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785.9</w:t>
            </w:r>
          </w:p>
        </w:tc>
        <w:tc>
          <w:tcPr>
            <w:tcW w:w="1240" w:type="dxa"/>
            <w:vAlign w:val="bottom"/>
            <w:gridSpan w:val="3"/>
            <w:vMerge w:val="continue"/>
          </w:tcPr>
          <w:p>
            <w:pPr>
              <w:spacing w:after="0"/>
              <w:rPr>
                <w:sz w:val="16"/>
                <w:szCs w:val="16"/>
                <w:color w:val="auto"/>
              </w:rPr>
            </w:pPr>
          </w:p>
        </w:tc>
        <w:tc>
          <w:tcPr>
            <w:tcW w:w="1080" w:type="dxa"/>
            <w:vAlign w:val="bottom"/>
            <w:gridSpan w:val="2"/>
            <w:vMerge w:val="continue"/>
          </w:tcPr>
          <w:p>
            <w:pPr>
              <w:spacing w:after="0"/>
              <w:rPr>
                <w:sz w:val="16"/>
                <w:szCs w:val="16"/>
                <w:color w:val="auto"/>
              </w:rPr>
            </w:pPr>
          </w:p>
        </w:tc>
        <w:tc>
          <w:tcPr>
            <w:tcW w:w="1060" w:type="dxa"/>
            <w:vAlign w:val="bottom"/>
            <w:gridSpan w:val="2"/>
            <w:vMerge w:val="continue"/>
          </w:tcPr>
          <w:p>
            <w:pPr>
              <w:spacing w:after="0"/>
              <w:rPr>
                <w:sz w:val="16"/>
                <w:szCs w:val="16"/>
                <w:color w:val="auto"/>
              </w:rPr>
            </w:pPr>
          </w:p>
        </w:tc>
        <w:tc>
          <w:tcPr>
            <w:tcW w:w="1080" w:type="dxa"/>
            <w:vAlign w:val="bottom"/>
            <w:gridSpan w:val="2"/>
            <w:vMerge w:val="continue"/>
          </w:tcPr>
          <w:p>
            <w:pPr>
              <w:spacing w:after="0"/>
              <w:rPr>
                <w:sz w:val="16"/>
                <w:szCs w:val="16"/>
                <w:color w:val="auto"/>
              </w:rPr>
            </w:pPr>
          </w:p>
        </w:tc>
        <w:tc>
          <w:tcPr>
            <w:tcW w:w="116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9"/>
        </w:trPr>
        <w:tc>
          <w:tcPr>
            <w:tcW w:w="47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Selling and Administrative Expenses</w:t>
            </w:r>
          </w:p>
        </w:tc>
        <w:tc>
          <w:tcPr>
            <w:tcW w:w="2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74"/>
              </w:rPr>
              <w:t>$</w:t>
            </w:r>
          </w:p>
        </w:tc>
        <w:tc>
          <w:tcPr>
            <w:tcW w:w="7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684.8</w:t>
            </w:r>
          </w:p>
        </w:tc>
        <w:tc>
          <w:tcPr>
            <w:tcW w:w="1240" w:type="dxa"/>
            <w:vAlign w:val="bottom"/>
            <w:gridSpan w:val="3"/>
          </w:tcPr>
          <w:p>
            <w:pPr>
              <w:jc w:val="right"/>
              <w:ind w:right="40"/>
              <w:spacing w:after="0"/>
              <w:rPr>
                <w:sz w:val="20"/>
                <w:szCs w:val="20"/>
                <w:color w:val="auto"/>
              </w:rPr>
            </w:pPr>
            <w:r>
              <w:rPr>
                <w:rFonts w:ascii="Times New Roman" w:cs="Times New Roman" w:eastAsia="Times New Roman" w:hAnsi="Times New Roman"/>
                <w:sz w:val="16"/>
                <w:szCs w:val="16"/>
                <w:color w:val="auto"/>
              </w:rPr>
              <w:t>(9.3 )%</w:t>
            </w:r>
          </w:p>
        </w:tc>
        <w:tc>
          <w:tcPr>
            <w:tcW w:w="108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(2.8 )%</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(6.5 )%</w:t>
            </w:r>
          </w:p>
        </w:tc>
        <w:tc>
          <w:tcPr>
            <w:tcW w:w="108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(0.1 )%</w:t>
            </w: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(6.4 )%</w:t>
            </w:r>
          </w:p>
        </w:tc>
        <w:tc>
          <w:tcPr>
            <w:tcW w:w="0" w:type="dxa"/>
            <w:vAlign w:val="bottom"/>
          </w:tcPr>
          <w:p>
            <w:pPr>
              <w:spacing w:after="0"/>
              <w:rPr>
                <w:sz w:val="1"/>
                <w:szCs w:val="1"/>
                <w:color w:val="auto"/>
              </w:rPr>
            </w:pPr>
          </w:p>
        </w:tc>
      </w:tr>
      <w:tr>
        <w:trPr>
          <w:trHeight w:val="230"/>
        </w:trPr>
        <w:tc>
          <w:tcPr>
            <w:tcW w:w="47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Operating Profit</w:t>
            </w:r>
          </w:p>
        </w:tc>
        <w:tc>
          <w:tcPr>
            <w:tcW w:w="2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74"/>
              </w:rPr>
              <w:t>$</w:t>
            </w:r>
          </w:p>
        </w:tc>
        <w:tc>
          <w:tcPr>
            <w:tcW w:w="7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101.1</w:t>
            </w:r>
          </w:p>
        </w:tc>
        <w:tc>
          <w:tcPr>
            <w:tcW w:w="1240" w:type="dxa"/>
            <w:vAlign w:val="bottom"/>
            <w:gridSpan w:val="3"/>
          </w:tcPr>
          <w:p>
            <w:pPr>
              <w:jc w:val="right"/>
              <w:ind w:right="40"/>
              <w:spacing w:after="0"/>
              <w:rPr>
                <w:sz w:val="20"/>
                <w:szCs w:val="20"/>
                <w:color w:val="auto"/>
              </w:rPr>
            </w:pPr>
            <w:r>
              <w:rPr>
                <w:rFonts w:ascii="Times New Roman" w:cs="Times New Roman" w:eastAsia="Times New Roman" w:hAnsi="Times New Roman"/>
                <w:sz w:val="16"/>
                <w:szCs w:val="16"/>
                <w:color w:val="auto"/>
              </w:rPr>
              <w:t>(6.1 )%</w:t>
            </w:r>
          </w:p>
        </w:tc>
        <w:tc>
          <w:tcPr>
            <w:tcW w:w="108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(6.0 )%</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(0.1 )%</w:t>
            </w:r>
          </w:p>
        </w:tc>
        <w:tc>
          <w:tcPr>
            <w:tcW w:w="108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(0.1 )%</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-2404110</wp:posOffset>
            </wp:positionV>
            <wp:extent cx="7132320" cy="14605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7132320" cy="1460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-1804035</wp:posOffset>
            </wp:positionV>
            <wp:extent cx="7132320" cy="146050"/>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7132320" cy="1460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-1203960</wp:posOffset>
            </wp:positionV>
            <wp:extent cx="7132320" cy="146050"/>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7132320" cy="1460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-278765</wp:posOffset>
            </wp:positionV>
            <wp:extent cx="7132320" cy="146050"/>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7132320" cy="1460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-2104390</wp:posOffset>
            </wp:positionV>
            <wp:extent cx="7132320" cy="15430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3630930</wp:posOffset>
            </wp:positionH>
            <wp:positionV relativeFrom="paragraph">
              <wp:posOffset>-1367155</wp:posOffset>
            </wp:positionV>
            <wp:extent cx="77470" cy="8890"/>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3630930</wp:posOffset>
            </wp:positionH>
            <wp:positionV relativeFrom="paragraph">
              <wp:posOffset>-758190</wp:posOffset>
            </wp:positionV>
            <wp:extent cx="77470" cy="8890"/>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-595630</wp:posOffset>
            </wp:positionV>
            <wp:extent cx="7132320" cy="171450"/>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ind w:left="480" w:hanging="472"/>
        <w:spacing w:after="0"/>
        <w:tabs>
          <w:tab w:leader="none" w:pos="480" w:val="left"/>
        </w:tabs>
        <w:numPr>
          <w:ilvl w:val="0"/>
          <w:numId w:val="3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millions for the three months ended June 30, 2024.</w:t>
      </w:r>
    </w:p>
    <w:p>
      <w:pPr>
        <w:spacing w:after="0" w:line="224"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40"/>
          </w:cols>
          <w:pgMar w:left="320" w:top="1161" w:right="239" w:bottom="1440" w:gutter="0" w:footer="0" w:header="0"/>
        </w:sectPr>
      </w:pPr>
    </w:p>
    <w:bookmarkStart w:id="34" w:name="page35"/>
    <w:bookmarkEnd w:id="34"/>
    <w:tbl>
      <w:tblPr>
        <w:tblLayout w:type="fixed"/>
        <w:tblInd w:w="0" w:type="dxa"/>
        <w:tblCellMar>
          <w:top w:w="0" w:type="dxa"/>
          <w:left w:w="0" w:type="dxa"/>
          <w:bottom w:w="0" w:type="dxa"/>
          <w:right w:w="0" w:type="dxa"/>
        </w:tblCellMar>
      </w:tblPr>
      <w:tr>
        <w:trPr>
          <w:trHeight w:val="225"/>
        </w:trPr>
        <w:tc>
          <w:tcPr>
            <w:tcW w:w="478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4340" w:type="dxa"/>
            <w:vAlign w:val="bottom"/>
            <w:tcBorders>
              <w:bottom w:val="single" w:sz="8" w:color="auto"/>
            </w:tcBorders>
            <w:gridSpan w:val="8"/>
          </w:tcPr>
          <w:p>
            <w:pPr>
              <w:jc w:val="right"/>
              <w:ind w:right="440"/>
              <w:spacing w:after="0"/>
              <w:rPr>
                <w:sz w:val="20"/>
                <w:szCs w:val="20"/>
                <w:color w:val="auto"/>
              </w:rPr>
            </w:pPr>
            <w:r>
              <w:rPr>
                <w:rFonts w:ascii="Times New Roman" w:cs="Times New Roman" w:eastAsia="Times New Roman" w:hAnsi="Times New Roman"/>
                <w:sz w:val="16"/>
                <w:szCs w:val="16"/>
                <w:b w:val="1"/>
                <w:bCs w:val="1"/>
                <w:color w:val="auto"/>
              </w:rPr>
              <w:t>Six Months Ended June 30, 2024 Compared to 2023</w:t>
            </w:r>
          </w:p>
        </w:tc>
        <w:tc>
          <w:tcPr>
            <w:tcW w:w="96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0"/>
        </w:trPr>
        <w:tc>
          <w:tcPr>
            <w:tcW w:w="47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8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w w:val="99"/>
              </w:rPr>
              <w:t>Impact of</w:t>
            </w: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7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8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w w:val="99"/>
              </w:rPr>
              <w:t>Acquisition</w:t>
            </w: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7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8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w w:val="95"/>
              </w:rPr>
              <w:t>s</w:t>
            </w: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7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8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and</w:t>
            </w: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7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8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Disposition</w:t>
            </w: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7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8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w w:val="95"/>
              </w:rPr>
              <w:t>s</w:t>
            </w:r>
          </w:p>
        </w:tc>
        <w:tc>
          <w:tcPr>
            <w:tcW w:w="1160" w:type="dxa"/>
            <w:vAlign w:val="bottom"/>
            <w:gridSpan w:val="3"/>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Organic</w:t>
            </w:r>
          </w:p>
        </w:tc>
        <w:tc>
          <w:tcPr>
            <w:tcW w:w="0" w:type="dxa"/>
            <w:vAlign w:val="bottom"/>
          </w:tcPr>
          <w:p>
            <w:pPr>
              <w:spacing w:after="0"/>
              <w:rPr>
                <w:sz w:val="1"/>
                <w:szCs w:val="1"/>
                <w:color w:val="auto"/>
              </w:rPr>
            </w:pPr>
          </w:p>
        </w:tc>
      </w:tr>
      <w:tr>
        <w:trPr>
          <w:trHeight w:val="203"/>
        </w:trPr>
        <w:tc>
          <w:tcPr>
            <w:tcW w:w="47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60" w:type="dxa"/>
            <w:vAlign w:val="bottom"/>
            <w:gridSpan w:val="2"/>
          </w:tcPr>
          <w:p>
            <w:pPr>
              <w:ind w:left="120"/>
              <w:spacing w:after="0"/>
              <w:rPr>
                <w:sz w:val="20"/>
                <w:szCs w:val="20"/>
                <w:color w:val="auto"/>
              </w:rPr>
            </w:pPr>
            <w:r>
              <w:rPr>
                <w:rFonts w:ascii="Times New Roman" w:cs="Times New Roman" w:eastAsia="Times New Roman" w:hAnsi="Times New Roman"/>
                <w:sz w:val="16"/>
                <w:szCs w:val="16"/>
                <w:b w:val="1"/>
                <w:bCs w:val="1"/>
                <w:color w:val="auto"/>
              </w:rPr>
              <w:t>Constant</w:t>
            </w:r>
          </w:p>
        </w:tc>
        <w:tc>
          <w:tcPr>
            <w:tcW w:w="108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(In</w:t>
            </w:r>
          </w:p>
        </w:tc>
        <w:tc>
          <w:tcPr>
            <w:tcW w:w="1160" w:type="dxa"/>
            <w:vAlign w:val="bottom"/>
            <w:gridSpan w:val="3"/>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w w:val="99"/>
              </w:rPr>
              <w:t>Constant</w:t>
            </w:r>
          </w:p>
        </w:tc>
        <w:tc>
          <w:tcPr>
            <w:tcW w:w="0" w:type="dxa"/>
            <w:vAlign w:val="bottom"/>
          </w:tcPr>
          <w:p>
            <w:pPr>
              <w:spacing w:after="0"/>
              <w:rPr>
                <w:sz w:val="1"/>
                <w:szCs w:val="1"/>
                <w:color w:val="auto"/>
              </w:rPr>
            </w:pPr>
          </w:p>
        </w:tc>
      </w:tr>
      <w:tr>
        <w:trPr>
          <w:trHeight w:val="175"/>
        </w:trPr>
        <w:tc>
          <w:tcPr>
            <w:tcW w:w="4780" w:type="dxa"/>
            <w:vAlign w:val="bottom"/>
          </w:tcPr>
          <w:p>
            <w:pPr>
              <w:spacing w:after="0"/>
              <w:rPr>
                <w:sz w:val="15"/>
                <w:szCs w:val="15"/>
                <w:color w:val="auto"/>
              </w:rPr>
            </w:pPr>
          </w:p>
        </w:tc>
        <w:tc>
          <w:tcPr>
            <w:tcW w:w="1060" w:type="dxa"/>
            <w:vAlign w:val="bottom"/>
            <w:gridSpan w:val="3"/>
          </w:tcPr>
          <w:p>
            <w:pPr>
              <w:jc w:val="right"/>
              <w:ind w:right="340"/>
              <w:spacing w:after="0" w:line="175" w:lineRule="exact"/>
              <w:rPr>
                <w:sz w:val="20"/>
                <w:szCs w:val="20"/>
                <w:color w:val="auto"/>
              </w:rPr>
            </w:pPr>
            <w:r>
              <w:rPr>
                <w:rFonts w:ascii="Times New Roman" w:cs="Times New Roman" w:eastAsia="Times New Roman" w:hAnsi="Times New Roman"/>
                <w:sz w:val="16"/>
                <w:szCs w:val="16"/>
                <w:b w:val="1"/>
                <w:bCs w:val="1"/>
                <w:color w:val="auto"/>
              </w:rPr>
              <w:t>Reported</w:t>
            </w:r>
          </w:p>
        </w:tc>
        <w:tc>
          <w:tcPr>
            <w:tcW w:w="1120" w:type="dxa"/>
            <w:vAlign w:val="bottom"/>
            <w:gridSpan w:val="2"/>
          </w:tcPr>
          <w:p>
            <w:pPr>
              <w:jc w:val="right"/>
              <w:ind w:right="360"/>
              <w:spacing w:after="0" w:line="175" w:lineRule="exact"/>
              <w:rPr>
                <w:sz w:val="20"/>
                <w:szCs w:val="20"/>
                <w:color w:val="auto"/>
              </w:rPr>
            </w:pPr>
            <w:r>
              <w:rPr>
                <w:rFonts w:ascii="Times New Roman" w:cs="Times New Roman" w:eastAsia="Times New Roman" w:hAnsi="Times New Roman"/>
                <w:sz w:val="16"/>
                <w:szCs w:val="16"/>
                <w:b w:val="1"/>
                <w:bCs w:val="1"/>
                <w:color w:val="auto"/>
              </w:rPr>
              <w:t>Reported</w:t>
            </w:r>
          </w:p>
        </w:tc>
        <w:tc>
          <w:tcPr>
            <w:tcW w:w="1080" w:type="dxa"/>
            <w:vAlign w:val="bottom"/>
            <w:gridSpan w:val="2"/>
          </w:tcPr>
          <w:p>
            <w:pPr>
              <w:jc w:val="right"/>
              <w:ind w:right="320"/>
              <w:spacing w:after="0" w:line="175" w:lineRule="exact"/>
              <w:rPr>
                <w:sz w:val="20"/>
                <w:szCs w:val="20"/>
                <w:color w:val="auto"/>
              </w:rPr>
            </w:pPr>
            <w:r>
              <w:rPr>
                <w:rFonts w:ascii="Times New Roman" w:cs="Times New Roman" w:eastAsia="Times New Roman" w:hAnsi="Times New Roman"/>
                <w:sz w:val="16"/>
                <w:szCs w:val="16"/>
                <w:b w:val="1"/>
                <w:bCs w:val="1"/>
                <w:color w:val="auto"/>
              </w:rPr>
              <w:t>Impact of</w:t>
            </w:r>
          </w:p>
        </w:tc>
        <w:tc>
          <w:tcPr>
            <w:tcW w:w="1060" w:type="dxa"/>
            <w:vAlign w:val="bottom"/>
            <w:gridSpan w:val="2"/>
          </w:tcPr>
          <w:p>
            <w:pPr>
              <w:ind w:left="100"/>
              <w:spacing w:after="0" w:line="175" w:lineRule="exact"/>
              <w:rPr>
                <w:sz w:val="20"/>
                <w:szCs w:val="20"/>
                <w:color w:val="auto"/>
              </w:rPr>
            </w:pPr>
            <w:r>
              <w:rPr>
                <w:rFonts w:ascii="Times New Roman" w:cs="Times New Roman" w:eastAsia="Times New Roman" w:hAnsi="Times New Roman"/>
                <w:sz w:val="16"/>
                <w:szCs w:val="16"/>
                <w:b w:val="1"/>
                <w:bCs w:val="1"/>
                <w:color w:val="auto"/>
              </w:rPr>
              <w:t>Currency</w:t>
            </w:r>
          </w:p>
        </w:tc>
        <w:tc>
          <w:tcPr>
            <w:tcW w:w="1080" w:type="dxa"/>
            <w:vAlign w:val="bottom"/>
            <w:gridSpan w:val="2"/>
          </w:tcPr>
          <w:p>
            <w:pPr>
              <w:jc w:val="center"/>
              <w:ind w:right="220"/>
              <w:spacing w:after="0" w:line="175" w:lineRule="exact"/>
              <w:rPr>
                <w:sz w:val="20"/>
                <w:szCs w:val="20"/>
                <w:color w:val="auto"/>
              </w:rPr>
            </w:pPr>
            <w:r>
              <w:rPr>
                <w:rFonts w:ascii="Times New Roman" w:cs="Times New Roman" w:eastAsia="Times New Roman" w:hAnsi="Times New Roman"/>
                <w:sz w:val="16"/>
                <w:szCs w:val="16"/>
                <w:b w:val="1"/>
                <w:bCs w:val="1"/>
                <w:color w:val="auto"/>
                <w:w w:val="99"/>
              </w:rPr>
              <w:t>Constant</w:t>
            </w:r>
          </w:p>
        </w:tc>
        <w:tc>
          <w:tcPr>
            <w:tcW w:w="1160" w:type="dxa"/>
            <w:vAlign w:val="bottom"/>
            <w:gridSpan w:val="3"/>
          </w:tcPr>
          <w:p>
            <w:pPr>
              <w:jc w:val="center"/>
              <w:ind w:right="220"/>
              <w:spacing w:after="0" w:line="175" w:lineRule="exact"/>
              <w:rPr>
                <w:sz w:val="20"/>
                <w:szCs w:val="20"/>
                <w:color w:val="auto"/>
              </w:rPr>
            </w:pPr>
            <w:r>
              <w:rPr>
                <w:rFonts w:ascii="Times New Roman" w:cs="Times New Roman" w:eastAsia="Times New Roman" w:hAnsi="Times New Roman"/>
                <w:sz w:val="16"/>
                <w:szCs w:val="16"/>
                <w:b w:val="1"/>
                <w:bCs w:val="1"/>
                <w:color w:val="auto"/>
              </w:rPr>
              <w:t>Currency</w:t>
            </w:r>
          </w:p>
        </w:tc>
        <w:tc>
          <w:tcPr>
            <w:tcW w:w="0" w:type="dxa"/>
            <w:vAlign w:val="bottom"/>
          </w:tcPr>
          <w:p>
            <w:pPr>
              <w:spacing w:after="0"/>
              <w:rPr>
                <w:sz w:val="1"/>
                <w:szCs w:val="1"/>
                <w:color w:val="auto"/>
              </w:rPr>
            </w:pPr>
          </w:p>
        </w:tc>
      </w:tr>
      <w:tr>
        <w:trPr>
          <w:trHeight w:val="259"/>
        </w:trPr>
        <w:tc>
          <w:tcPr>
            <w:tcW w:w="4780" w:type="dxa"/>
            <w:vAlign w:val="bottom"/>
          </w:tcPr>
          <w:p>
            <w:pPr>
              <w:spacing w:after="0"/>
              <w:rPr>
                <w:sz w:val="22"/>
                <w:szCs w:val="22"/>
                <w:color w:val="auto"/>
              </w:rPr>
            </w:pPr>
          </w:p>
        </w:tc>
        <w:tc>
          <w:tcPr>
            <w:tcW w:w="1060" w:type="dxa"/>
            <w:vAlign w:val="bottom"/>
            <w:gridSpan w:val="3"/>
          </w:tcPr>
          <w:p>
            <w:pPr>
              <w:jc w:val="right"/>
              <w:ind w:right="300"/>
              <w:spacing w:after="0"/>
              <w:rPr>
                <w:sz w:val="20"/>
                <w:szCs w:val="20"/>
                <w:color w:val="auto"/>
              </w:rPr>
            </w:pPr>
            <w:r>
              <w:rPr>
                <w:rFonts w:ascii="Times New Roman" w:cs="Times New Roman" w:eastAsia="Times New Roman" w:hAnsi="Times New Roman"/>
                <w:sz w:val="16"/>
                <w:szCs w:val="16"/>
                <w:b w:val="1"/>
                <w:bCs w:val="1"/>
                <w:color w:val="auto"/>
              </w:rPr>
              <w:t>Amount</w:t>
            </w:r>
            <w:r>
              <w:rPr>
                <w:rFonts w:ascii="Times New Roman" w:cs="Times New Roman" w:eastAsia="Times New Roman" w:hAnsi="Times New Roman"/>
                <w:sz w:val="21"/>
                <w:szCs w:val="21"/>
                <w:b w:val="1"/>
                <w:bCs w:val="1"/>
                <w:color w:val="auto"/>
                <w:vertAlign w:val="superscript"/>
              </w:rPr>
              <w:t>(a)</w:t>
            </w:r>
          </w:p>
        </w:tc>
        <w:tc>
          <w:tcPr>
            <w:tcW w:w="1120" w:type="dxa"/>
            <w:vAlign w:val="bottom"/>
            <w:gridSpan w:val="2"/>
          </w:tcPr>
          <w:p>
            <w:pPr>
              <w:jc w:val="right"/>
              <w:ind w:right="380"/>
              <w:spacing w:after="0"/>
              <w:rPr>
                <w:sz w:val="20"/>
                <w:szCs w:val="20"/>
                <w:color w:val="auto"/>
              </w:rPr>
            </w:pPr>
            <w:r>
              <w:rPr>
                <w:rFonts w:ascii="Times New Roman" w:cs="Times New Roman" w:eastAsia="Times New Roman" w:hAnsi="Times New Roman"/>
                <w:sz w:val="16"/>
                <w:szCs w:val="16"/>
                <w:b w:val="1"/>
                <w:bCs w:val="1"/>
                <w:color w:val="auto"/>
              </w:rPr>
              <w:t>Variance</w:t>
            </w:r>
          </w:p>
        </w:tc>
        <w:tc>
          <w:tcPr>
            <w:tcW w:w="1080" w:type="dxa"/>
            <w:vAlign w:val="bottom"/>
            <w:gridSpan w:val="2"/>
          </w:tcPr>
          <w:p>
            <w:pPr>
              <w:jc w:val="right"/>
              <w:ind w:right="320"/>
              <w:spacing w:after="0"/>
              <w:rPr>
                <w:sz w:val="20"/>
                <w:szCs w:val="20"/>
                <w:color w:val="auto"/>
              </w:rPr>
            </w:pPr>
            <w:r>
              <w:rPr>
                <w:rFonts w:ascii="Times New Roman" w:cs="Times New Roman" w:eastAsia="Times New Roman" w:hAnsi="Times New Roman"/>
                <w:sz w:val="16"/>
                <w:szCs w:val="16"/>
                <w:b w:val="1"/>
                <w:bCs w:val="1"/>
                <w:color w:val="auto"/>
              </w:rPr>
              <w:t>Currency</w:t>
            </w:r>
          </w:p>
        </w:tc>
        <w:tc>
          <w:tcPr>
            <w:tcW w:w="1060" w:type="dxa"/>
            <w:vAlign w:val="bottom"/>
            <w:gridSpan w:val="2"/>
          </w:tcPr>
          <w:p>
            <w:pPr>
              <w:ind w:left="120"/>
              <w:spacing w:after="0"/>
              <w:rPr>
                <w:sz w:val="20"/>
                <w:szCs w:val="20"/>
                <w:color w:val="auto"/>
              </w:rPr>
            </w:pPr>
            <w:r>
              <w:rPr>
                <w:rFonts w:ascii="Times New Roman" w:cs="Times New Roman" w:eastAsia="Times New Roman" w:hAnsi="Times New Roman"/>
                <w:sz w:val="16"/>
                <w:szCs w:val="16"/>
                <w:b w:val="1"/>
                <w:bCs w:val="1"/>
                <w:color w:val="auto"/>
              </w:rPr>
              <w:t>Variance</w:t>
            </w:r>
          </w:p>
        </w:tc>
        <w:tc>
          <w:tcPr>
            <w:tcW w:w="108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rPr>
              <w:t>Currency)</w:t>
            </w:r>
          </w:p>
        </w:tc>
        <w:tc>
          <w:tcPr>
            <w:tcW w:w="1160" w:type="dxa"/>
            <w:vAlign w:val="bottom"/>
            <w:gridSpan w:val="3"/>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w w:val="99"/>
              </w:rPr>
              <w:t>Variance</w:t>
            </w:r>
          </w:p>
        </w:tc>
        <w:tc>
          <w:tcPr>
            <w:tcW w:w="0" w:type="dxa"/>
            <w:vAlign w:val="bottom"/>
          </w:tcPr>
          <w:p>
            <w:pPr>
              <w:spacing w:after="0"/>
              <w:rPr>
                <w:sz w:val="1"/>
                <w:szCs w:val="1"/>
                <w:color w:val="auto"/>
              </w:rPr>
            </w:pPr>
          </w:p>
        </w:tc>
      </w:tr>
      <w:tr>
        <w:trPr>
          <w:trHeight w:val="223"/>
        </w:trPr>
        <w:tc>
          <w:tcPr>
            <w:tcW w:w="47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Revenues from services:</w:t>
            </w:r>
          </w:p>
        </w:tc>
        <w:tc>
          <w:tcPr>
            <w:tcW w:w="200" w:type="dxa"/>
            <w:vAlign w:val="bottom"/>
            <w:tcBorders>
              <w:top w:val="single" w:sz="8" w:color="auto"/>
            </w:tcBorders>
            <w:shd w:val="clear" w:color="auto" w:fill="CFF0FC"/>
          </w:tcPr>
          <w:p>
            <w:pPr>
              <w:spacing w:after="0"/>
              <w:rPr>
                <w:sz w:val="19"/>
                <w:szCs w:val="19"/>
                <w:color w:val="auto"/>
              </w:rPr>
            </w:pPr>
          </w:p>
        </w:tc>
        <w:tc>
          <w:tcPr>
            <w:tcW w:w="620" w:type="dxa"/>
            <w:vAlign w:val="bottom"/>
            <w:tcBorders>
              <w:top w:val="single" w:sz="8" w:color="auto"/>
            </w:tcBorders>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80" w:type="dxa"/>
            <w:vAlign w:val="bottom"/>
            <w:tcBorders>
              <w:top w:val="single" w:sz="8" w:color="auto"/>
            </w:tcBorders>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60" w:type="dxa"/>
            <w:vAlign w:val="bottom"/>
            <w:tcBorders>
              <w:top w:val="single" w:sz="8" w:color="auto"/>
            </w:tcBorders>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60" w:type="dxa"/>
            <w:vAlign w:val="bottom"/>
            <w:tcBorders>
              <w:top w:val="single" w:sz="8" w:color="auto"/>
            </w:tcBorders>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60" w:type="dxa"/>
            <w:vAlign w:val="bottom"/>
            <w:tcBorders>
              <w:top w:val="single" w:sz="8" w:color="auto"/>
            </w:tcBorders>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60" w:type="dxa"/>
            <w:vAlign w:val="bottom"/>
            <w:tcBorders>
              <w:top w:val="single" w:sz="8" w:color="auto"/>
            </w:tcBorders>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47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Americas:</w:t>
            </w:r>
          </w:p>
        </w:tc>
        <w:tc>
          <w:tcPr>
            <w:tcW w:w="2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78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United States</w:t>
            </w:r>
          </w:p>
        </w:tc>
        <w:tc>
          <w:tcPr>
            <w:tcW w:w="2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74"/>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1,377.4</w:t>
            </w:r>
          </w:p>
        </w:tc>
        <w:tc>
          <w:tcPr>
            <w:tcW w:w="240" w:type="dxa"/>
            <w:vAlign w:val="bottom"/>
          </w:tcPr>
          <w:p>
            <w:pPr>
              <w:spacing w:after="0"/>
              <w:rPr>
                <w:sz w:val="19"/>
                <w:szCs w:val="19"/>
                <w:color w:val="auto"/>
              </w:rPr>
            </w:pPr>
          </w:p>
        </w:tc>
        <w:tc>
          <w:tcPr>
            <w:tcW w:w="112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(5.1 )%</w:t>
            </w: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(5.1 )%</w:t>
            </w:r>
          </w:p>
        </w:tc>
        <w:tc>
          <w:tcPr>
            <w:tcW w:w="108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(5.1 )%</w:t>
            </w:r>
          </w:p>
        </w:tc>
        <w:tc>
          <w:tcPr>
            <w:tcW w:w="0" w:type="dxa"/>
            <w:vAlign w:val="bottom"/>
          </w:tcPr>
          <w:p>
            <w:pPr>
              <w:spacing w:after="0"/>
              <w:rPr>
                <w:sz w:val="1"/>
                <w:szCs w:val="1"/>
                <w:color w:val="auto"/>
              </w:rPr>
            </w:pPr>
          </w:p>
        </w:tc>
      </w:tr>
      <w:tr>
        <w:trPr>
          <w:trHeight w:val="246"/>
        </w:trPr>
        <w:tc>
          <w:tcPr>
            <w:tcW w:w="478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Other Americas</w:t>
            </w:r>
          </w:p>
        </w:tc>
        <w:tc>
          <w:tcPr>
            <w:tcW w:w="200" w:type="dxa"/>
            <w:vAlign w:val="bottom"/>
            <w:tcBorders>
              <w:bottom w:val="single" w:sz="8" w:color="auto"/>
            </w:tcBorders>
          </w:tcPr>
          <w:p>
            <w:pPr>
              <w:spacing w:after="0"/>
              <w:rPr>
                <w:sz w:val="21"/>
                <w:szCs w:val="21"/>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723.4</w:t>
            </w:r>
          </w:p>
        </w:tc>
        <w:tc>
          <w:tcPr>
            <w:tcW w:w="240" w:type="dxa"/>
            <w:vAlign w:val="bottom"/>
          </w:tcPr>
          <w:p>
            <w:pPr>
              <w:spacing w:after="0"/>
              <w:rPr>
                <w:sz w:val="21"/>
                <w:szCs w:val="21"/>
                <w:color w:val="auto"/>
              </w:rPr>
            </w:pPr>
          </w:p>
        </w:tc>
        <w:tc>
          <w:tcPr>
            <w:tcW w:w="112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(7.0 )%</w:t>
            </w:r>
          </w:p>
        </w:tc>
        <w:tc>
          <w:tcPr>
            <w:tcW w:w="108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(21.8 )%</w:t>
            </w:r>
          </w:p>
        </w:tc>
        <w:tc>
          <w:tcPr>
            <w:tcW w:w="106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14.8 %</w:t>
            </w:r>
          </w:p>
        </w:tc>
        <w:tc>
          <w:tcPr>
            <w:tcW w:w="108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gridSpan w:val="3"/>
          </w:tcPr>
          <w:p>
            <w:pPr>
              <w:jc w:val="right"/>
              <w:ind w:right="60"/>
              <w:spacing w:after="0"/>
              <w:rPr>
                <w:sz w:val="20"/>
                <w:szCs w:val="20"/>
                <w:color w:val="auto"/>
              </w:rPr>
            </w:pPr>
            <w:r>
              <w:rPr>
                <w:rFonts w:ascii="Times New Roman" w:cs="Times New Roman" w:eastAsia="Times New Roman" w:hAnsi="Times New Roman"/>
                <w:sz w:val="16"/>
                <w:szCs w:val="16"/>
                <w:color w:val="auto"/>
              </w:rPr>
              <w:t>14.8 %</w:t>
            </w:r>
          </w:p>
        </w:tc>
        <w:tc>
          <w:tcPr>
            <w:tcW w:w="0" w:type="dxa"/>
            <w:vAlign w:val="bottom"/>
          </w:tcPr>
          <w:p>
            <w:pPr>
              <w:spacing w:after="0"/>
              <w:rPr>
                <w:sz w:val="1"/>
                <w:szCs w:val="1"/>
                <w:color w:val="auto"/>
              </w:rPr>
            </w:pPr>
          </w:p>
        </w:tc>
      </w:tr>
      <w:tr>
        <w:trPr>
          <w:trHeight w:val="220"/>
        </w:trPr>
        <w:tc>
          <w:tcPr>
            <w:tcW w:w="478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2,100.8</w:t>
            </w:r>
          </w:p>
        </w:tc>
        <w:tc>
          <w:tcPr>
            <w:tcW w:w="240" w:type="dxa"/>
            <w:vAlign w:val="bottom"/>
          </w:tcPr>
          <w:p>
            <w:pPr>
              <w:spacing w:after="0"/>
              <w:rPr>
                <w:sz w:val="19"/>
                <w:szCs w:val="19"/>
                <w:color w:val="auto"/>
              </w:rPr>
            </w:pPr>
          </w:p>
        </w:tc>
        <w:tc>
          <w:tcPr>
            <w:tcW w:w="112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(5.7 )%</w:t>
            </w:r>
          </w:p>
        </w:tc>
        <w:tc>
          <w:tcPr>
            <w:tcW w:w="108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(7.6 )%</w:t>
            </w:r>
          </w:p>
        </w:tc>
        <w:tc>
          <w:tcPr>
            <w:tcW w:w="106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1.9 %</w:t>
            </w:r>
          </w:p>
        </w:tc>
        <w:tc>
          <w:tcPr>
            <w:tcW w:w="108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gridSpan w:val="3"/>
          </w:tcPr>
          <w:p>
            <w:pPr>
              <w:jc w:val="right"/>
              <w:ind w:right="60"/>
              <w:spacing w:after="0"/>
              <w:rPr>
                <w:sz w:val="20"/>
                <w:szCs w:val="20"/>
                <w:color w:val="auto"/>
              </w:rPr>
            </w:pPr>
            <w:r>
              <w:rPr>
                <w:rFonts w:ascii="Times New Roman" w:cs="Times New Roman" w:eastAsia="Times New Roman" w:hAnsi="Times New Roman"/>
                <w:sz w:val="16"/>
                <w:szCs w:val="16"/>
                <w:color w:val="auto"/>
              </w:rPr>
              <w:t>1.9 %</w:t>
            </w:r>
          </w:p>
        </w:tc>
        <w:tc>
          <w:tcPr>
            <w:tcW w:w="0" w:type="dxa"/>
            <w:vAlign w:val="bottom"/>
          </w:tcPr>
          <w:p>
            <w:pPr>
              <w:spacing w:after="0"/>
              <w:rPr>
                <w:sz w:val="1"/>
                <w:szCs w:val="1"/>
                <w:color w:val="auto"/>
              </w:rPr>
            </w:pPr>
          </w:p>
        </w:tc>
      </w:tr>
      <w:tr>
        <w:trPr>
          <w:trHeight w:val="210"/>
        </w:trPr>
        <w:tc>
          <w:tcPr>
            <w:tcW w:w="47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Southern Europe:</w:t>
            </w:r>
          </w:p>
        </w:tc>
        <w:tc>
          <w:tcPr>
            <w:tcW w:w="2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78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France</w:t>
            </w:r>
          </w:p>
        </w:tc>
        <w:tc>
          <w:tcPr>
            <w:tcW w:w="20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2,304.2</w:t>
            </w:r>
          </w:p>
        </w:tc>
        <w:tc>
          <w:tcPr>
            <w:tcW w:w="240" w:type="dxa"/>
            <w:vAlign w:val="bottom"/>
          </w:tcPr>
          <w:p>
            <w:pPr>
              <w:spacing w:after="0"/>
              <w:rPr>
                <w:sz w:val="19"/>
                <w:szCs w:val="19"/>
                <w:color w:val="auto"/>
              </w:rPr>
            </w:pPr>
          </w:p>
        </w:tc>
        <w:tc>
          <w:tcPr>
            <w:tcW w:w="112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(5.9 )%</w:t>
            </w:r>
          </w:p>
        </w:tc>
        <w:tc>
          <w:tcPr>
            <w:tcW w:w="108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(0.0 )%</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(5.8 )%</w:t>
            </w:r>
          </w:p>
        </w:tc>
        <w:tc>
          <w:tcPr>
            <w:tcW w:w="108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(5.8 )%</w:t>
            </w:r>
          </w:p>
        </w:tc>
        <w:tc>
          <w:tcPr>
            <w:tcW w:w="0" w:type="dxa"/>
            <w:vAlign w:val="bottom"/>
          </w:tcPr>
          <w:p>
            <w:pPr>
              <w:spacing w:after="0"/>
              <w:rPr>
                <w:sz w:val="1"/>
                <w:szCs w:val="1"/>
                <w:color w:val="auto"/>
              </w:rPr>
            </w:pPr>
          </w:p>
        </w:tc>
      </w:tr>
      <w:tr>
        <w:trPr>
          <w:trHeight w:val="229"/>
        </w:trPr>
        <w:tc>
          <w:tcPr>
            <w:tcW w:w="478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Italy</w:t>
            </w:r>
          </w:p>
        </w:tc>
        <w:tc>
          <w:tcPr>
            <w:tcW w:w="20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839.2</w:t>
            </w:r>
          </w:p>
        </w:tc>
        <w:tc>
          <w:tcPr>
            <w:tcW w:w="240" w:type="dxa"/>
            <w:vAlign w:val="bottom"/>
          </w:tcPr>
          <w:p>
            <w:pPr>
              <w:spacing w:after="0"/>
              <w:rPr>
                <w:sz w:val="19"/>
                <w:szCs w:val="19"/>
                <w:color w:val="auto"/>
              </w:rPr>
            </w:pPr>
          </w:p>
        </w:tc>
        <w:tc>
          <w:tcPr>
            <w:tcW w:w="112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(4.6 )%</w:t>
            </w:r>
          </w:p>
        </w:tc>
        <w:tc>
          <w:tcPr>
            <w:tcW w:w="108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(0.0 )%</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(4.6 )%</w:t>
            </w:r>
          </w:p>
        </w:tc>
        <w:tc>
          <w:tcPr>
            <w:tcW w:w="108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(4.6 )%</w:t>
            </w:r>
          </w:p>
        </w:tc>
        <w:tc>
          <w:tcPr>
            <w:tcW w:w="0" w:type="dxa"/>
            <w:vAlign w:val="bottom"/>
          </w:tcPr>
          <w:p>
            <w:pPr>
              <w:spacing w:after="0"/>
              <w:rPr>
                <w:sz w:val="1"/>
                <w:szCs w:val="1"/>
                <w:color w:val="auto"/>
              </w:rPr>
            </w:pPr>
          </w:p>
        </w:tc>
      </w:tr>
      <w:tr>
        <w:trPr>
          <w:trHeight w:val="246"/>
        </w:trPr>
        <w:tc>
          <w:tcPr>
            <w:tcW w:w="478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Other Southern Europe</w:t>
            </w:r>
          </w:p>
        </w:tc>
        <w:tc>
          <w:tcPr>
            <w:tcW w:w="200" w:type="dxa"/>
            <w:vAlign w:val="bottom"/>
            <w:tcBorders>
              <w:bottom w:val="single" w:sz="8" w:color="auto"/>
            </w:tcBorders>
          </w:tcPr>
          <w:p>
            <w:pPr>
              <w:spacing w:after="0"/>
              <w:rPr>
                <w:sz w:val="21"/>
                <w:szCs w:val="21"/>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935.9</w:t>
            </w:r>
          </w:p>
        </w:tc>
        <w:tc>
          <w:tcPr>
            <w:tcW w:w="240" w:type="dxa"/>
            <w:vAlign w:val="bottom"/>
          </w:tcPr>
          <w:p>
            <w:pPr>
              <w:spacing w:after="0"/>
              <w:rPr>
                <w:sz w:val="21"/>
                <w:szCs w:val="21"/>
                <w:color w:val="auto"/>
              </w:rPr>
            </w:pPr>
          </w:p>
        </w:tc>
        <w:tc>
          <w:tcPr>
            <w:tcW w:w="112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(3.3 )%</w:t>
            </w:r>
          </w:p>
        </w:tc>
        <w:tc>
          <w:tcPr>
            <w:tcW w:w="108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(1.6 )%</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(1.6 )%</w:t>
            </w:r>
          </w:p>
        </w:tc>
        <w:tc>
          <w:tcPr>
            <w:tcW w:w="108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(1.6 )%</w:t>
            </w:r>
          </w:p>
        </w:tc>
        <w:tc>
          <w:tcPr>
            <w:tcW w:w="0" w:type="dxa"/>
            <w:vAlign w:val="bottom"/>
          </w:tcPr>
          <w:p>
            <w:pPr>
              <w:spacing w:after="0"/>
              <w:rPr>
                <w:sz w:val="1"/>
                <w:szCs w:val="1"/>
                <w:color w:val="auto"/>
              </w:rPr>
            </w:pPr>
          </w:p>
        </w:tc>
      </w:tr>
      <w:tr>
        <w:trPr>
          <w:trHeight w:val="220"/>
        </w:trPr>
        <w:tc>
          <w:tcPr>
            <w:tcW w:w="478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4,079.3</w:t>
            </w:r>
          </w:p>
        </w:tc>
        <w:tc>
          <w:tcPr>
            <w:tcW w:w="240" w:type="dxa"/>
            <w:vAlign w:val="bottom"/>
          </w:tcPr>
          <w:p>
            <w:pPr>
              <w:spacing w:after="0"/>
              <w:rPr>
                <w:sz w:val="19"/>
                <w:szCs w:val="19"/>
                <w:color w:val="auto"/>
              </w:rPr>
            </w:pPr>
          </w:p>
        </w:tc>
        <w:tc>
          <w:tcPr>
            <w:tcW w:w="112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(5.0 )%</w:t>
            </w:r>
          </w:p>
        </w:tc>
        <w:tc>
          <w:tcPr>
            <w:tcW w:w="108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(0.4 )%</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(4.6 )%</w:t>
            </w:r>
          </w:p>
        </w:tc>
        <w:tc>
          <w:tcPr>
            <w:tcW w:w="108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(4.6 )%</w:t>
            </w:r>
          </w:p>
        </w:tc>
        <w:tc>
          <w:tcPr>
            <w:tcW w:w="0" w:type="dxa"/>
            <w:vAlign w:val="bottom"/>
          </w:tcPr>
          <w:p>
            <w:pPr>
              <w:spacing w:after="0"/>
              <w:rPr>
                <w:sz w:val="1"/>
                <w:szCs w:val="1"/>
                <w:color w:val="auto"/>
              </w:rPr>
            </w:pPr>
          </w:p>
        </w:tc>
      </w:tr>
      <w:tr>
        <w:trPr>
          <w:trHeight w:val="210"/>
        </w:trPr>
        <w:tc>
          <w:tcPr>
            <w:tcW w:w="47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Northern Europe</w:t>
            </w:r>
          </w:p>
        </w:tc>
        <w:tc>
          <w:tcPr>
            <w:tcW w:w="2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1,707.6</w:t>
            </w:r>
          </w:p>
        </w:tc>
        <w:tc>
          <w:tcPr>
            <w:tcW w:w="240" w:type="dxa"/>
            <w:vAlign w:val="bottom"/>
          </w:tcPr>
          <w:p>
            <w:pPr>
              <w:spacing w:after="0"/>
              <w:rPr>
                <w:sz w:val="18"/>
                <w:szCs w:val="18"/>
                <w:color w:val="auto"/>
              </w:rPr>
            </w:pPr>
          </w:p>
        </w:tc>
        <w:tc>
          <w:tcPr>
            <w:tcW w:w="112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(11.1 )%</w:t>
            </w:r>
          </w:p>
        </w:tc>
        <w:tc>
          <w:tcPr>
            <w:tcW w:w="108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1.0 %</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(12.1 )%</w:t>
            </w:r>
          </w:p>
        </w:tc>
        <w:tc>
          <w:tcPr>
            <w:tcW w:w="108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(12.1 )%</w:t>
            </w:r>
          </w:p>
        </w:tc>
        <w:tc>
          <w:tcPr>
            <w:tcW w:w="0" w:type="dxa"/>
            <w:vAlign w:val="bottom"/>
          </w:tcPr>
          <w:p>
            <w:pPr>
              <w:spacing w:after="0"/>
              <w:rPr>
                <w:sz w:val="1"/>
                <w:szCs w:val="1"/>
                <w:color w:val="auto"/>
              </w:rPr>
            </w:pPr>
          </w:p>
        </w:tc>
      </w:tr>
      <w:tr>
        <w:trPr>
          <w:trHeight w:val="246"/>
        </w:trPr>
        <w:tc>
          <w:tcPr>
            <w:tcW w:w="47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APME</w:t>
            </w:r>
          </w:p>
        </w:tc>
        <w:tc>
          <w:tcPr>
            <w:tcW w:w="200" w:type="dxa"/>
            <w:vAlign w:val="bottom"/>
            <w:tcBorders>
              <w:bottom w:val="single" w:sz="8" w:color="auto"/>
            </w:tcBorders>
          </w:tcPr>
          <w:p>
            <w:pPr>
              <w:spacing w:after="0"/>
              <w:rPr>
                <w:sz w:val="21"/>
                <w:szCs w:val="21"/>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1,076.5</w:t>
            </w:r>
          </w:p>
        </w:tc>
        <w:tc>
          <w:tcPr>
            <w:tcW w:w="240" w:type="dxa"/>
            <w:vAlign w:val="bottom"/>
          </w:tcPr>
          <w:p>
            <w:pPr>
              <w:spacing w:after="0"/>
              <w:rPr>
                <w:sz w:val="21"/>
                <w:szCs w:val="21"/>
                <w:color w:val="auto"/>
              </w:rPr>
            </w:pPr>
          </w:p>
        </w:tc>
        <w:tc>
          <w:tcPr>
            <w:tcW w:w="112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(10.7 )%</w:t>
            </w:r>
          </w:p>
        </w:tc>
        <w:tc>
          <w:tcPr>
            <w:tcW w:w="108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(7.3 )%</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(3.4 )%</w:t>
            </w:r>
          </w:p>
        </w:tc>
        <w:tc>
          <w:tcPr>
            <w:tcW w:w="108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(1.2 )%</w:t>
            </w:r>
          </w:p>
        </w:tc>
        <w:tc>
          <w:tcPr>
            <w:tcW w:w="116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(2.2 )%</w:t>
            </w:r>
          </w:p>
        </w:tc>
        <w:tc>
          <w:tcPr>
            <w:tcW w:w="0" w:type="dxa"/>
            <w:vAlign w:val="bottom"/>
          </w:tcPr>
          <w:p>
            <w:pPr>
              <w:spacing w:after="0"/>
              <w:rPr>
                <w:sz w:val="1"/>
                <w:szCs w:val="1"/>
                <w:color w:val="auto"/>
              </w:rPr>
            </w:pPr>
          </w:p>
        </w:tc>
      </w:tr>
      <w:tr>
        <w:trPr>
          <w:trHeight w:val="220"/>
        </w:trPr>
        <w:tc>
          <w:tcPr>
            <w:tcW w:w="478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8,964.2</w:t>
            </w:r>
          </w:p>
        </w:tc>
        <w:tc>
          <w:tcPr>
            <w:tcW w:w="240" w:type="dxa"/>
            <w:vAlign w:val="bottom"/>
            <w:tcBorders>
              <w:bottom w:val="single" w:sz="8" w:color="CFF0FC"/>
            </w:tcBorders>
            <w:shd w:val="clear" w:color="auto" w:fill="CFF0FC"/>
          </w:tcPr>
          <w:p>
            <w:pPr>
              <w:spacing w:after="0"/>
              <w:rPr>
                <w:sz w:val="19"/>
                <w:szCs w:val="19"/>
                <w:color w:val="auto"/>
              </w:rPr>
            </w:pPr>
          </w:p>
        </w:tc>
        <w:tc>
          <w:tcPr>
            <w:tcW w:w="88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CFF0FC"/>
            </w:tcBorders>
            <w:shd w:val="clear" w:color="auto" w:fill="CFF0FC"/>
          </w:tcPr>
          <w:p>
            <w:pPr>
              <w:spacing w:after="0"/>
              <w:rPr>
                <w:sz w:val="19"/>
                <w:szCs w:val="19"/>
                <w:color w:val="auto"/>
              </w:rPr>
            </w:pPr>
          </w:p>
        </w:tc>
        <w:tc>
          <w:tcPr>
            <w:tcW w:w="86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CFF0FC"/>
            </w:tcBorders>
            <w:shd w:val="clear" w:color="auto" w:fill="CFF0FC"/>
          </w:tcPr>
          <w:p>
            <w:pPr>
              <w:spacing w:after="0"/>
              <w:rPr>
                <w:sz w:val="19"/>
                <w:szCs w:val="19"/>
                <w:color w:val="auto"/>
              </w:rPr>
            </w:pPr>
          </w:p>
        </w:tc>
        <w:tc>
          <w:tcPr>
            <w:tcW w:w="86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CFF0FC"/>
            </w:tcBorders>
            <w:shd w:val="clear" w:color="auto" w:fill="CFF0FC"/>
          </w:tcPr>
          <w:p>
            <w:pPr>
              <w:spacing w:after="0"/>
              <w:rPr>
                <w:sz w:val="19"/>
                <w:szCs w:val="19"/>
                <w:color w:val="auto"/>
              </w:rPr>
            </w:pPr>
          </w:p>
        </w:tc>
        <w:tc>
          <w:tcPr>
            <w:tcW w:w="86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CFF0FC"/>
            </w:tcBorders>
            <w:shd w:val="clear" w:color="auto" w:fill="CFF0FC"/>
          </w:tcPr>
          <w:p>
            <w:pPr>
              <w:spacing w:after="0"/>
              <w:rPr>
                <w:sz w:val="19"/>
                <w:szCs w:val="19"/>
                <w:color w:val="auto"/>
              </w:rPr>
            </w:pPr>
          </w:p>
        </w:tc>
        <w:tc>
          <w:tcPr>
            <w:tcW w:w="96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CFF0FC"/>
            </w:tcBorders>
            <w:shd w:val="clear" w:color="auto" w:fill="CFF0FC"/>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7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Intercompany Eliminations</w:t>
            </w:r>
          </w:p>
        </w:tc>
        <w:tc>
          <w:tcPr>
            <w:tcW w:w="200" w:type="dxa"/>
            <w:vAlign w:val="bottom"/>
          </w:tcPr>
          <w:p>
            <w:pPr>
              <w:spacing w:after="0"/>
              <w:rPr>
                <w:sz w:val="19"/>
                <w:szCs w:val="19"/>
                <w:color w:val="auto"/>
              </w:rPr>
            </w:pPr>
          </w:p>
        </w:tc>
        <w:tc>
          <w:tcPr>
            <w:tcW w:w="8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(40.2 )</w:t>
            </w:r>
          </w:p>
        </w:tc>
        <w:tc>
          <w:tcPr>
            <w:tcW w:w="8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Consolidated</w:t>
            </w:r>
          </w:p>
        </w:tc>
        <w:tc>
          <w:tcPr>
            <w:tcW w:w="200" w:type="dxa"/>
            <w:vAlign w:val="bottom"/>
            <w:tcBorders>
              <w:top w:val="single" w:sz="8" w:color="auto"/>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w w:val="74"/>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8,924.0</w:t>
            </w:r>
          </w:p>
        </w:tc>
        <w:tc>
          <w:tcPr>
            <w:tcW w:w="240" w:type="dxa"/>
            <w:vAlign w:val="bottom"/>
          </w:tcPr>
          <w:p>
            <w:pPr>
              <w:spacing w:after="0"/>
              <w:rPr>
                <w:sz w:val="19"/>
                <w:szCs w:val="19"/>
                <w:color w:val="auto"/>
              </w:rPr>
            </w:pPr>
          </w:p>
        </w:tc>
        <w:tc>
          <w:tcPr>
            <w:tcW w:w="112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(7.1 )%</w:t>
            </w:r>
          </w:p>
        </w:tc>
        <w:tc>
          <w:tcPr>
            <w:tcW w:w="108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(2.7 )%</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(4.5 )%</w:t>
            </w:r>
          </w:p>
        </w:tc>
        <w:tc>
          <w:tcPr>
            <w:tcW w:w="108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(0.2 )%</w:t>
            </w:r>
          </w:p>
        </w:tc>
        <w:tc>
          <w:tcPr>
            <w:tcW w:w="116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(4.3 )%</w:t>
            </w:r>
          </w:p>
        </w:tc>
        <w:tc>
          <w:tcPr>
            <w:tcW w:w="0" w:type="dxa"/>
            <w:vAlign w:val="bottom"/>
          </w:tcPr>
          <w:p>
            <w:pPr>
              <w:spacing w:after="0"/>
              <w:rPr>
                <w:sz w:val="1"/>
                <w:szCs w:val="1"/>
                <w:color w:val="auto"/>
              </w:rPr>
            </w:pPr>
          </w:p>
        </w:tc>
      </w:tr>
      <w:tr>
        <w:trPr>
          <w:trHeight w:val="20"/>
        </w:trPr>
        <w:tc>
          <w:tcPr>
            <w:tcW w:w="4780" w:type="dxa"/>
            <w:vAlign w:val="bottom"/>
            <w:vMerge w:val="restart"/>
          </w:tcPr>
          <w:p>
            <w:pPr>
              <w:ind w:left="20"/>
              <w:spacing w:after="0"/>
              <w:rPr>
                <w:sz w:val="20"/>
                <w:szCs w:val="20"/>
                <w:color w:val="auto"/>
              </w:rPr>
            </w:pPr>
            <w:r>
              <w:rPr>
                <w:rFonts w:ascii="Times New Roman" w:cs="Times New Roman" w:eastAsia="Times New Roman" w:hAnsi="Times New Roman"/>
                <w:sz w:val="16"/>
                <w:szCs w:val="16"/>
                <w:color w:val="auto"/>
              </w:rPr>
              <w:t>Gross Profit</w:t>
            </w:r>
          </w:p>
        </w:tc>
        <w:tc>
          <w:tcPr>
            <w:tcW w:w="2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2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6"/>
                <w:szCs w:val="16"/>
                <w:color w:val="auto"/>
              </w:rPr>
              <w:t>(10.2 )%</w:t>
            </w:r>
          </w:p>
        </w:tc>
        <w:tc>
          <w:tcPr>
            <w:tcW w:w="108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16"/>
                <w:szCs w:val="16"/>
                <w:color w:val="auto"/>
              </w:rPr>
              <w:t>(2.3 )%</w:t>
            </w:r>
          </w:p>
        </w:tc>
        <w:tc>
          <w:tcPr>
            <w:tcW w:w="10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6"/>
                <w:szCs w:val="16"/>
                <w:color w:val="auto"/>
              </w:rPr>
              <w:t>(7.9 )%</w:t>
            </w:r>
          </w:p>
        </w:tc>
        <w:tc>
          <w:tcPr>
            <w:tcW w:w="108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16"/>
                <w:szCs w:val="16"/>
                <w:color w:val="auto"/>
              </w:rPr>
              <w:t>(0.1 )%</w:t>
            </w:r>
          </w:p>
        </w:tc>
        <w:tc>
          <w:tcPr>
            <w:tcW w:w="1160" w:type="dxa"/>
            <w:vAlign w:val="bottom"/>
            <w:gridSpan w:val="3"/>
            <w:vMerge w:val="restart"/>
          </w:tcPr>
          <w:p>
            <w:pPr>
              <w:jc w:val="right"/>
              <w:spacing w:after="0"/>
              <w:rPr>
                <w:sz w:val="20"/>
                <w:szCs w:val="20"/>
                <w:color w:val="auto"/>
              </w:rPr>
            </w:pPr>
            <w:r>
              <w:rPr>
                <w:rFonts w:ascii="Times New Roman" w:cs="Times New Roman" w:eastAsia="Times New Roman" w:hAnsi="Times New Roman"/>
                <w:sz w:val="16"/>
                <w:szCs w:val="16"/>
                <w:color w:val="auto"/>
              </w:rPr>
              <w:t>(7.8 )%</w:t>
            </w:r>
          </w:p>
        </w:tc>
        <w:tc>
          <w:tcPr>
            <w:tcW w:w="0" w:type="dxa"/>
            <w:vAlign w:val="bottom"/>
          </w:tcPr>
          <w:p>
            <w:pPr>
              <w:spacing w:after="0" w:line="20" w:lineRule="exact"/>
              <w:rPr>
                <w:sz w:val="1"/>
                <w:szCs w:val="1"/>
                <w:color w:val="auto"/>
              </w:rPr>
            </w:pPr>
          </w:p>
        </w:tc>
      </w:tr>
      <w:tr>
        <w:trPr>
          <w:trHeight w:val="191"/>
        </w:trPr>
        <w:tc>
          <w:tcPr>
            <w:tcW w:w="4780" w:type="dxa"/>
            <w:vAlign w:val="bottom"/>
            <w:vMerge w:val="continue"/>
          </w:tcPr>
          <w:p>
            <w:pPr>
              <w:spacing w:after="0"/>
              <w:rPr>
                <w:sz w:val="16"/>
                <w:szCs w:val="16"/>
                <w:color w:val="auto"/>
              </w:rPr>
            </w:pPr>
          </w:p>
        </w:tc>
        <w:tc>
          <w:tcPr>
            <w:tcW w:w="2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74"/>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1,549.6</w:t>
            </w:r>
          </w:p>
        </w:tc>
        <w:tc>
          <w:tcPr>
            <w:tcW w:w="240" w:type="dxa"/>
            <w:vAlign w:val="bottom"/>
          </w:tcPr>
          <w:p>
            <w:pPr>
              <w:spacing w:after="0"/>
              <w:rPr>
                <w:sz w:val="16"/>
                <w:szCs w:val="16"/>
                <w:color w:val="auto"/>
              </w:rPr>
            </w:pPr>
          </w:p>
        </w:tc>
        <w:tc>
          <w:tcPr>
            <w:tcW w:w="1120" w:type="dxa"/>
            <w:vAlign w:val="bottom"/>
            <w:gridSpan w:val="2"/>
            <w:vMerge w:val="continue"/>
          </w:tcPr>
          <w:p>
            <w:pPr>
              <w:spacing w:after="0"/>
              <w:rPr>
                <w:sz w:val="16"/>
                <w:szCs w:val="16"/>
                <w:color w:val="auto"/>
              </w:rPr>
            </w:pPr>
          </w:p>
        </w:tc>
        <w:tc>
          <w:tcPr>
            <w:tcW w:w="1080" w:type="dxa"/>
            <w:vAlign w:val="bottom"/>
            <w:gridSpan w:val="2"/>
            <w:vMerge w:val="continue"/>
          </w:tcPr>
          <w:p>
            <w:pPr>
              <w:spacing w:after="0"/>
              <w:rPr>
                <w:sz w:val="16"/>
                <w:szCs w:val="16"/>
                <w:color w:val="auto"/>
              </w:rPr>
            </w:pPr>
          </w:p>
        </w:tc>
        <w:tc>
          <w:tcPr>
            <w:tcW w:w="1060" w:type="dxa"/>
            <w:vAlign w:val="bottom"/>
            <w:gridSpan w:val="2"/>
            <w:vMerge w:val="continue"/>
          </w:tcPr>
          <w:p>
            <w:pPr>
              <w:spacing w:after="0"/>
              <w:rPr>
                <w:sz w:val="16"/>
                <w:szCs w:val="16"/>
                <w:color w:val="auto"/>
              </w:rPr>
            </w:pPr>
          </w:p>
        </w:tc>
        <w:tc>
          <w:tcPr>
            <w:tcW w:w="1080" w:type="dxa"/>
            <w:vAlign w:val="bottom"/>
            <w:gridSpan w:val="2"/>
            <w:vMerge w:val="continue"/>
          </w:tcPr>
          <w:p>
            <w:pPr>
              <w:spacing w:after="0"/>
              <w:rPr>
                <w:sz w:val="16"/>
                <w:szCs w:val="16"/>
                <w:color w:val="auto"/>
              </w:rPr>
            </w:pPr>
          </w:p>
        </w:tc>
        <w:tc>
          <w:tcPr>
            <w:tcW w:w="1160" w:type="dxa"/>
            <w:vAlign w:val="bottom"/>
            <w:gridSpan w:val="3"/>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9"/>
        </w:trPr>
        <w:tc>
          <w:tcPr>
            <w:tcW w:w="47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Selling and Administrative Expenses</w:t>
            </w:r>
          </w:p>
        </w:tc>
        <w:tc>
          <w:tcPr>
            <w:tcW w:w="2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74"/>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1,382.6</w:t>
            </w:r>
          </w:p>
        </w:tc>
        <w:tc>
          <w:tcPr>
            <w:tcW w:w="240" w:type="dxa"/>
            <w:vAlign w:val="bottom"/>
          </w:tcPr>
          <w:p>
            <w:pPr>
              <w:spacing w:after="0"/>
              <w:rPr>
                <w:sz w:val="19"/>
                <w:szCs w:val="19"/>
                <w:color w:val="auto"/>
              </w:rPr>
            </w:pPr>
          </w:p>
        </w:tc>
        <w:tc>
          <w:tcPr>
            <w:tcW w:w="112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(7.8 )%</w:t>
            </w:r>
          </w:p>
        </w:tc>
        <w:tc>
          <w:tcPr>
            <w:tcW w:w="108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(2.0 )%</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(5.8 )%</w:t>
            </w:r>
          </w:p>
        </w:tc>
        <w:tc>
          <w:tcPr>
            <w:tcW w:w="108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(0.1 )%</w:t>
            </w:r>
          </w:p>
        </w:tc>
        <w:tc>
          <w:tcPr>
            <w:tcW w:w="116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(5.7 )%</w:t>
            </w:r>
          </w:p>
        </w:tc>
        <w:tc>
          <w:tcPr>
            <w:tcW w:w="0" w:type="dxa"/>
            <w:vAlign w:val="bottom"/>
          </w:tcPr>
          <w:p>
            <w:pPr>
              <w:spacing w:after="0"/>
              <w:rPr>
                <w:sz w:val="1"/>
                <w:szCs w:val="1"/>
                <w:color w:val="auto"/>
              </w:rPr>
            </w:pPr>
          </w:p>
        </w:tc>
      </w:tr>
      <w:tr>
        <w:trPr>
          <w:trHeight w:val="229"/>
        </w:trPr>
        <w:tc>
          <w:tcPr>
            <w:tcW w:w="47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Operating Profit</w:t>
            </w:r>
          </w:p>
        </w:tc>
        <w:tc>
          <w:tcPr>
            <w:tcW w:w="2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74"/>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167.0</w:t>
            </w:r>
          </w:p>
        </w:tc>
        <w:tc>
          <w:tcPr>
            <w:tcW w:w="240" w:type="dxa"/>
            <w:vAlign w:val="bottom"/>
          </w:tcPr>
          <w:p>
            <w:pPr>
              <w:spacing w:after="0"/>
              <w:rPr>
                <w:sz w:val="19"/>
                <w:szCs w:val="19"/>
                <w:color w:val="auto"/>
              </w:rPr>
            </w:pPr>
          </w:p>
        </w:tc>
        <w:tc>
          <w:tcPr>
            <w:tcW w:w="112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(25.9 )%</w:t>
            </w:r>
          </w:p>
        </w:tc>
        <w:tc>
          <w:tcPr>
            <w:tcW w:w="108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(4.0 )%</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(21.9 )%</w:t>
            </w:r>
          </w:p>
        </w:tc>
        <w:tc>
          <w:tcPr>
            <w:tcW w:w="108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(0.1 )%</w:t>
            </w:r>
          </w:p>
        </w:tc>
        <w:tc>
          <w:tcPr>
            <w:tcW w:w="116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(21.8 )%</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-2404110</wp:posOffset>
            </wp:positionV>
            <wp:extent cx="7132320" cy="14541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-1804035</wp:posOffset>
            </wp:positionV>
            <wp:extent cx="7132320" cy="14541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-1204595</wp:posOffset>
            </wp:positionV>
            <wp:extent cx="7132320" cy="146050"/>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7132320" cy="1460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-278130</wp:posOffset>
            </wp:positionV>
            <wp:extent cx="7132320" cy="146050"/>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7132320" cy="1460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-2104390</wp:posOffset>
            </wp:positionV>
            <wp:extent cx="7132320" cy="15430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-1512570</wp:posOffset>
            </wp:positionV>
            <wp:extent cx="7132320" cy="15430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3554095</wp:posOffset>
            </wp:positionH>
            <wp:positionV relativeFrom="paragraph">
              <wp:posOffset>-758190</wp:posOffset>
            </wp:positionV>
            <wp:extent cx="76835" cy="825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-595630</wp:posOffset>
            </wp:positionV>
            <wp:extent cx="7132320" cy="171450"/>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ind w:left="480" w:hanging="472"/>
        <w:spacing w:after="0"/>
        <w:tabs>
          <w:tab w:leader="none" w:pos="480" w:val="left"/>
        </w:tabs>
        <w:numPr>
          <w:ilvl w:val="0"/>
          <w:numId w:val="3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millions for the six months ended June 30, 2024.</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Liquidity and Capital Resources</w:t>
      </w:r>
    </w:p>
    <w:p>
      <w:pPr>
        <w:spacing w:after="0" w:line="198" w:lineRule="exact"/>
        <w:rPr>
          <w:sz w:val="20"/>
          <w:szCs w:val="20"/>
          <w:color w:val="auto"/>
        </w:rPr>
      </w:pPr>
    </w:p>
    <w:p>
      <w:pPr>
        <w:ind w:right="180"/>
        <w:spacing w:after="0" w:line="258" w:lineRule="auto"/>
        <w:rPr>
          <w:sz w:val="20"/>
          <w:szCs w:val="20"/>
          <w:color w:val="auto"/>
        </w:rPr>
      </w:pPr>
      <w:r>
        <w:rPr>
          <w:rFonts w:ascii="Times New Roman" w:cs="Times New Roman" w:eastAsia="Times New Roman" w:hAnsi="Times New Roman"/>
          <w:sz w:val="18"/>
          <w:szCs w:val="18"/>
          <w:color w:val="auto"/>
        </w:rPr>
        <w:t>Cash used to fund our operations is primarily generated through operating activities and provided by our existing credit facilities. We believe our available cash and existing credit facilities are sufficient to cover our cash needs for the foreseeable future. We assess and monitor our liquidity and capital resources globally. We use a global cash pooling arrangement, intercompany borrowing, and some local credit lines to meet funding needs and allocate our capital resources among our various entities. As of June 30, 2024, we had $315.2 million of cash held by foreign subsidiaries. We have historically made and anticipate future cash repatriations to the United States from certain foreign subsidiaries to fund domestic operations.</w:t>
      </w:r>
    </w:p>
    <w:p>
      <w:pPr>
        <w:spacing w:after="0" w:line="143" w:lineRule="exact"/>
        <w:rPr>
          <w:sz w:val="20"/>
          <w:szCs w:val="20"/>
          <w:color w:val="auto"/>
        </w:rPr>
      </w:pPr>
    </w:p>
    <w:p>
      <w:pPr>
        <w:ind w:right="340"/>
        <w:spacing w:after="0" w:line="257" w:lineRule="auto"/>
        <w:rPr>
          <w:sz w:val="20"/>
          <w:szCs w:val="20"/>
          <w:color w:val="auto"/>
        </w:rPr>
      </w:pPr>
      <w:r>
        <w:rPr>
          <w:rFonts w:ascii="Times New Roman" w:cs="Times New Roman" w:eastAsia="Times New Roman" w:hAnsi="Times New Roman"/>
          <w:sz w:val="18"/>
          <w:szCs w:val="18"/>
          <w:color w:val="auto"/>
        </w:rPr>
        <w:t>Cash used in operating activities was $21.9 million during the six months ended June 30, 2024, as compared to $31.2 million used during the six months ended June 30, 2023. Changes in operating assets and liabilities utilized $191.2 million of cash during the six months ended June 30, 2024 compared to $246.0 million utilized during the six months ended June 30, 2023. These changes were primarily attributable to the timing of collections and payments.</w:t>
      </w:r>
    </w:p>
    <w:p>
      <w:pPr>
        <w:spacing w:after="0" w:line="1" w:lineRule="exact"/>
        <w:rPr>
          <w:sz w:val="20"/>
          <w:szCs w:val="20"/>
          <w:color w:val="auto"/>
        </w:rPr>
      </w:pPr>
    </w:p>
    <w:p>
      <w:pPr>
        <w:ind w:right="120"/>
        <w:spacing w:after="0" w:line="255" w:lineRule="auto"/>
        <w:rPr>
          <w:sz w:val="20"/>
          <w:szCs w:val="20"/>
          <w:color w:val="auto"/>
        </w:rPr>
      </w:pPr>
      <w:r>
        <w:rPr>
          <w:rFonts w:ascii="Times New Roman" w:cs="Times New Roman" w:eastAsia="Times New Roman" w:hAnsi="Times New Roman"/>
          <w:sz w:val="18"/>
          <w:szCs w:val="18"/>
          <w:color w:val="auto"/>
        </w:rPr>
        <w:t>Accounts receivable decreased to $4,595.7 million as of June 30, 2024 from $4,830.0 million as of December 31, 2023 primarily due to the revenue decline and the impact of changes in currency exchange rates. Days Sales Outstanding ("DSO") increased by two days from December 31, 2023 to 56 days as of June 30, 2024.</w:t>
      </w:r>
    </w:p>
    <w:p>
      <w:pPr>
        <w:spacing w:after="0" w:line="145" w:lineRule="exact"/>
        <w:rPr>
          <w:sz w:val="20"/>
          <w:szCs w:val="20"/>
          <w:color w:val="auto"/>
        </w:rPr>
      </w:pPr>
    </w:p>
    <w:p>
      <w:pPr>
        <w:ind w:right="340"/>
        <w:spacing w:after="0" w:line="261" w:lineRule="auto"/>
        <w:rPr>
          <w:sz w:val="20"/>
          <w:szCs w:val="20"/>
          <w:color w:val="auto"/>
        </w:rPr>
      </w:pPr>
      <w:r>
        <w:rPr>
          <w:rFonts w:ascii="Times New Roman" w:cs="Times New Roman" w:eastAsia="Times New Roman" w:hAnsi="Times New Roman"/>
          <w:sz w:val="18"/>
          <w:szCs w:val="18"/>
          <w:color w:val="auto"/>
        </w:rPr>
        <w:t>The nature of our operations is such that our most significant current asset is accounts receivable and our most significant current liabilities are payroll-related costs, which are generally paid either weekly or monthly. As the demand for our services increases, we generally experience an increase in our working capital needs, as we continue to pay our associates on a weekly or monthly basis while the related accounts receivable are outstanding for much longer, which may result in a decline in operating cash flows.</w:t>
      </w:r>
    </w:p>
    <w:p>
      <w:pPr>
        <w:spacing w:after="0" w:line="153" w:lineRule="exact"/>
        <w:rPr>
          <w:sz w:val="20"/>
          <w:szCs w:val="20"/>
          <w:color w:val="auto"/>
        </w:rPr>
      </w:pPr>
    </w:p>
    <w:p>
      <w:pPr>
        <w:ind w:right="200"/>
        <w:spacing w:after="0" w:line="258" w:lineRule="auto"/>
        <w:rPr>
          <w:sz w:val="20"/>
          <w:szCs w:val="20"/>
          <w:color w:val="auto"/>
        </w:rPr>
      </w:pPr>
      <w:r>
        <w:rPr>
          <w:rFonts w:ascii="Times New Roman" w:cs="Times New Roman" w:eastAsia="Times New Roman" w:hAnsi="Times New Roman"/>
          <w:sz w:val="18"/>
          <w:szCs w:val="18"/>
          <w:color w:val="auto"/>
        </w:rPr>
        <w:t>Conversely, as the demand for our services declines, we generally experience a decrease in our working capital needs, as the existing accounts receivable are collected and not replaced at the same level, resulting in a decline of our accounts receivable balance, with less of an effect on current liabilities due to the shorter cycle time of the payroll related items. While this may result in an increase in our operating cash flows, longer payment terms and timing of payroll, tax and supplier-related payments significantly impact our cash position and cash flows each period. Any increase in operating cash flows from an economic slowdown would not be sustained in the event that a downturn continues for an extended period.</w:t>
      </w:r>
    </w:p>
    <w:p>
      <w:pPr>
        <w:spacing w:after="0" w:line="183"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40"/>
          </w:cols>
          <w:pgMar w:left="320" w:top="1204" w:right="239" w:bottom="1440" w:gutter="0" w:footer="0" w:header="0"/>
        </w:sectPr>
      </w:pPr>
    </w:p>
    <w:bookmarkStart w:id="35" w:name="page36"/>
    <w:bookmarkEnd w:id="35"/>
    <w:p>
      <w:pPr>
        <w:jc w:val="both"/>
        <w:ind w:right="60"/>
        <w:spacing w:after="0" w:line="289" w:lineRule="auto"/>
        <w:rPr>
          <w:sz w:val="20"/>
          <w:szCs w:val="20"/>
          <w:color w:val="auto"/>
        </w:rPr>
      </w:pPr>
      <w:r>
        <w:rPr>
          <w:rFonts w:ascii="Times New Roman" w:cs="Times New Roman" w:eastAsia="Times New Roman" w:hAnsi="Times New Roman"/>
          <w:sz w:val="17"/>
          <w:szCs w:val="17"/>
          <w:color w:val="auto"/>
        </w:rPr>
        <w:t>Capital expenditures were $23.7 million for the six months ended June 30, 2024 compared to $34.6 million for the six months ended June 30, 2023. These expenditures were primarily comprised of purchases of computer equipment, office furniture and other costs related to office openings and refurbishments, as well as capitalized software costs. The lower expenditures in 2024 compared to 2023 are primarily due to the timing of the expenditures.</w:t>
      </w:r>
    </w:p>
    <w:p>
      <w:pPr>
        <w:spacing w:after="0" w:line="131" w:lineRule="exact"/>
        <w:rPr>
          <w:sz w:val="20"/>
          <w:szCs w:val="20"/>
          <w:color w:val="auto"/>
        </w:rPr>
      </w:pPr>
    </w:p>
    <w:p>
      <w:pPr>
        <w:jc w:val="both"/>
        <w:ind w:right="420"/>
        <w:spacing w:after="0" w:line="266" w:lineRule="auto"/>
        <w:rPr>
          <w:sz w:val="20"/>
          <w:szCs w:val="20"/>
          <w:color w:val="auto"/>
        </w:rPr>
      </w:pPr>
      <w:r>
        <w:rPr>
          <w:rFonts w:ascii="Times New Roman" w:cs="Times New Roman" w:eastAsia="Times New Roman" w:hAnsi="Times New Roman"/>
          <w:sz w:val="18"/>
          <w:szCs w:val="18"/>
          <w:color w:val="auto"/>
        </w:rPr>
        <w:t>From time to time, we acquire and invest in companies throughout the world, including franchises. For the six months ended June 30, 2024, total cash consideration paid for acquisitions, net of cash acquired, was $2.8 million, which represents a contingent consideration payment related to a previous acquisition. No cash consideration was paid during the six months ended June 30, 2023.</w:t>
      </w:r>
    </w:p>
    <w:p>
      <w:pPr>
        <w:spacing w:after="0" w:line="135" w:lineRule="exact"/>
        <w:rPr>
          <w:sz w:val="20"/>
          <w:szCs w:val="20"/>
          <w:color w:val="auto"/>
        </w:rPr>
      </w:pPr>
    </w:p>
    <w:p>
      <w:pPr>
        <w:ind w:right="640"/>
        <w:spacing w:after="0" w:line="282" w:lineRule="auto"/>
        <w:rPr>
          <w:sz w:val="20"/>
          <w:szCs w:val="20"/>
          <w:color w:val="auto"/>
        </w:rPr>
      </w:pPr>
      <w:r>
        <w:rPr>
          <w:rFonts w:ascii="Times New Roman" w:cs="Times New Roman" w:eastAsia="Times New Roman" w:hAnsi="Times New Roman"/>
          <w:sz w:val="18"/>
          <w:szCs w:val="18"/>
          <w:color w:val="auto"/>
        </w:rPr>
        <w:t>Net borrowings were $124.7 million as compared to net debt repayments of $5.6 million in the six months ended June 30, 2024 and June 30, 2023, respectively.</w:t>
      </w:r>
    </w:p>
    <w:p>
      <w:pPr>
        <w:spacing w:after="0" w:line="121"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Our €500.0 million notes and €400.0 million notes are due June 2026 and June 2027, respectively. When those notes mature, we plan to either repay the amounts with available cash or borrowings under our $600.0 million revolving credit facility or a new borrowing. The credit terms, including interest rate and facility fees, of any replacement borrowings will be dependent upon the condition of the credit markets at that time. We currently do not anticipate any problems accessing the credit markets for replacement of those notes.</w:t>
      </w:r>
    </w:p>
    <w:p>
      <w:pPr>
        <w:spacing w:after="0" w:line="153"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Our $600.0 million revolving credit agreement requires that we comply with a leverage ratio (Net Debt-to-Net Earnings before interest and other expenses, provision for income taxes, intangible asset amortization expense, depreciation and amortization expense ("EBITDA")) of not greater than 3.5 to 1 and a fixed charge coverage ratio of not less than 1.5 to 1. As defined in the agreement, we had a Net Debt-to-EBITDA ratio of 2.71 to 1 and a fixed charge coverage ratio of 3.14 to 1 as of June 30, 2024. Based on our current forecast, we expect to be in compliance with our financial covenants for the next 12 months.</w:t>
      </w:r>
    </w:p>
    <w:p>
      <w:pPr>
        <w:spacing w:after="0" w:line="143" w:lineRule="exact"/>
        <w:rPr>
          <w:sz w:val="20"/>
          <w:szCs w:val="20"/>
          <w:color w:val="auto"/>
        </w:rPr>
      </w:pPr>
    </w:p>
    <w:p>
      <w:pPr>
        <w:jc w:val="both"/>
        <w:ind w:right="180"/>
        <w:spacing w:after="0" w:line="266" w:lineRule="auto"/>
        <w:rPr>
          <w:sz w:val="20"/>
          <w:szCs w:val="20"/>
          <w:color w:val="auto"/>
        </w:rPr>
      </w:pPr>
      <w:r>
        <w:rPr>
          <w:rFonts w:ascii="Times New Roman" w:cs="Times New Roman" w:eastAsia="Times New Roman" w:hAnsi="Times New Roman"/>
          <w:sz w:val="18"/>
          <w:szCs w:val="18"/>
          <w:color w:val="auto"/>
        </w:rPr>
        <w:t>As of June 30, 2024, we had borrowings of $76.0 million and letters of credit of $0.4 million issued under our $600.0 million revolving credit facility, as well as $45.0 million drawn under our uncommitted credit facility. Those borrowings were made in the second quarter to fund our working capital needs. Additional borrowings of $523.6 million were available to us under our $600.0 million revolving credit facility as of June 30, 2024.</w:t>
      </w:r>
    </w:p>
    <w:p>
      <w:pPr>
        <w:spacing w:after="0" w:line="135"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In addition to the previously mentioned facilities, we maintain separate bank credit lines with financial institutions to meet the working capital needs of our subsidiary operations. As of June 30, 2024, such uncommitted credit lines totaled $298.5 million, of which $281.1 million was unused. Under the revolving credit agreement, total subsidiary borrowings cannot exceed $300.0 million in the first, second and fourth quarters, and $600.0 million in the third quarter of each year. Due to these limitations, additional borrowings of $281.1 million could have been made under these lines as of June 30, 2024.</w:t>
      </w:r>
    </w:p>
    <w:p>
      <w:pPr>
        <w:spacing w:after="0" w:line="153"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We have assessed our liquidity position as of June 30, 2024 and for the near future. As of June 30, 2024, our cash and cash equivalents balance was $468.9 million. We also have access to the previously mentioned revolving credit facility that could have immediately provided us with up to $600.0 million of additional cash, less any outstanding borrowings and letters of credit, and we have an option to request an increase to the total availability under the revolving credit facility by an additional $300.0 million and each lender may participate in the requested increase at their discretion. In addition, we have access to the previously mentioned credit lines to meet the working capital needs of our subsidiaries, of which $281.1 million was available to use as of June 30, 2024. Our €500.0 ($534.3) million notes mature in June 2026, and our €400.0 ($425.8) million notes mature in June 2027. Based on the above, we believe we have sufficient liquidity and capital resources to satisfy future requirements and meet our obligations currently and in the near future.</w:t>
      </w:r>
    </w:p>
    <w:p>
      <w:pPr>
        <w:spacing w:after="0" w:line="18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61" w:right="359" w:bottom="1440" w:gutter="0" w:footer="0" w:header="0"/>
        </w:sectPr>
      </w:pPr>
    </w:p>
    <w:bookmarkStart w:id="36" w:name="page37"/>
    <w:bookmarkEnd w:id="36"/>
    <w:p>
      <w:pPr>
        <w:ind w:right="60"/>
        <w:spacing w:after="0" w:line="266" w:lineRule="auto"/>
        <w:rPr>
          <w:sz w:val="20"/>
          <w:szCs w:val="20"/>
          <w:color w:val="auto"/>
        </w:rPr>
      </w:pPr>
      <w:r>
        <w:rPr>
          <w:rFonts w:ascii="Times New Roman" w:cs="Times New Roman" w:eastAsia="Times New Roman" w:hAnsi="Times New Roman"/>
          <w:sz w:val="18"/>
          <w:szCs w:val="18"/>
          <w:color w:val="auto"/>
        </w:rPr>
        <w:t>The Board of Directors declared a semi-annual dividend of $1.54 and $1.47 per share on May 3, 2024 and May 5, 2023, respectively. The 2024 dividends were paid on June 14, 2024 to shareholders of record as of June 3, 2024. The 2023 dividends were paid on June 15, 2023 to shareholders of record as of June 1, 2023.</w:t>
      </w:r>
    </w:p>
    <w:p>
      <w:pPr>
        <w:spacing w:after="0" w:line="176"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In August 2023 and August 2021, the Board of Directors authorized the repurchase of 5.0 million shares and 4.0 million shares of our common stock, respectively. We conduct share repurchases from time to time through a variety of methods, including open market purchases, block transactions, privately negotiated transactions or similar facilities. During the six months ended June 30, 2024, we repurchased a total of 1.0 million shares under the 2023 authorization at a cost of $77.0 million. During the six months ended June 30, 2023, we repurchased a total of 1.1 million shares under the 2021 authorization at a cost of $81.9 million, including 25,000 shares at a cost of $2.0 million that were repurchased but not yet settled. As of June 30, 2024, there were 3.6 million shares remaining authorized for repurchase under the 2023 authorization and no shares remaining authorized for repurchase under the 2021 authorization.</w:t>
      </w:r>
    </w:p>
    <w:p>
      <w:pPr>
        <w:spacing w:after="0" w:line="148"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We had aggregate commitments of $2,263.7 million as of June 30, 2024 related to debt, operating leases, severance and office closure costs, transition tax resulting from the Tax Act and certain other commitments compared to $2,320.5 million as of December 31, 2023.</w:t>
      </w:r>
    </w:p>
    <w:p>
      <w:pPr>
        <w:spacing w:after="0" w:line="135"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We also have entered into guarantee contracts and stand-by letters of credit totaling $603.2 million and $745.7 million as of June 30, 2024 and December 31, 2023, respectively ($556.4 million and $696.9 million for guarantees as of June 30, 2024 and December 31, 2023, respectively, and $46.8 and $48.8 million for stand-by letters of credit, respectively). The guarantees primarily relate to staffing license requirements, operating leases and indebtedness. The stand-by letters of credit mainly relate to workers’ compensation in the United States. If certain conditions were met under these arrangements, we would be required to satisfy our obligations in cash. Due to the nature of these arrangements and our historical experience, we do not expect any significant payments under these arrangements. Therefore, they have been excluded from our aggregate commitments. The cost of these guarantees and letters of credit were $0.7 million and $0.9 million for the six months ended June 30, 2024 and 2023, respectively.</w:t>
      </w:r>
    </w:p>
    <w:p>
      <w:pPr>
        <w:spacing w:after="0" w:line="148" w:lineRule="exact"/>
        <w:rPr>
          <w:sz w:val="20"/>
          <w:szCs w:val="20"/>
          <w:color w:val="auto"/>
        </w:rPr>
      </w:pPr>
    </w:p>
    <w:p>
      <w:pPr>
        <w:ind w:right="180"/>
        <w:spacing w:after="0" w:line="261" w:lineRule="auto"/>
        <w:rPr>
          <w:sz w:val="20"/>
          <w:szCs w:val="20"/>
          <w:color w:val="auto"/>
        </w:rPr>
      </w:pPr>
      <w:r>
        <w:rPr>
          <w:rFonts w:ascii="Times New Roman" w:cs="Times New Roman" w:eastAsia="Times New Roman" w:hAnsi="Times New Roman"/>
          <w:sz w:val="18"/>
          <w:szCs w:val="18"/>
          <w:color w:val="auto"/>
        </w:rPr>
        <w:t>During the six months ended June 30, 2024, we did not record any restructuring costs. During the six months ended June 30, 2023, we recorded $21.1 million in restructuring costs. During the six months ended June 30, 2024, we made payments of $51.0 million out of our restructuring reserve, which is used for severance, office closures and consolidations, and professional and other fees related to restructuring in multiple countries and territories. We expect a majority of the remaining $39.0 million reserve will be paid by the end of 2024.</w:t>
      </w:r>
    </w:p>
    <w:p>
      <w:pPr>
        <w:spacing w:after="0" w:line="396"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1201" w:right="4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u w:val="single" w:color="auto"/>
          <w:color w:val="auto"/>
        </w:rPr>
        <w:t>Recently Issued Accounting Standards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Note 2 to the Consolidated Financial Statements.</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 Quantitative and Qualitative Disclosures About Market Risk</w:t>
      </w:r>
    </w:p>
    <w:p>
      <w:pPr>
        <w:spacing w:after="0" w:line="189" w:lineRule="exact"/>
        <w:rPr>
          <w:sz w:val="20"/>
          <w:szCs w:val="20"/>
          <w:color w:val="auto"/>
        </w:rPr>
      </w:pPr>
    </w:p>
    <w:p>
      <w:pPr>
        <w:ind w:right="860"/>
        <w:spacing w:after="0" w:line="282" w:lineRule="auto"/>
        <w:rPr>
          <w:sz w:val="20"/>
          <w:szCs w:val="20"/>
          <w:color w:val="auto"/>
        </w:rPr>
      </w:pPr>
      <w:r>
        <w:rPr>
          <w:rFonts w:ascii="Times New Roman" w:cs="Times New Roman" w:eastAsia="Times New Roman" w:hAnsi="Times New Roman"/>
          <w:sz w:val="18"/>
          <w:szCs w:val="18"/>
          <w:color w:val="auto"/>
        </w:rPr>
        <w:t>Our 2023 Annual Report on Form 10-K contains certain disclosures about market risks affecting us. There have been no material changes to the information provided which would require additional disclosures as of the date of this filing.</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 Controls and Procedures</w:t>
      </w:r>
    </w:p>
    <w:p>
      <w:pPr>
        <w:spacing w:after="0" w:line="202"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We maintain a set of disclosure controls and procedures that are designed to ensure that information required to be disclosed by us in the reports filed by us under the Securities Exchange Act of 1934, as amended (the “Exchange Act”), is recorded, processed, summarized and reported within the time periods specified in the SEC’s rules and forms and that such information is accumulated and communicated to management of the company, including its Chief Executive Officer and Chief Financial Officer, as appropriate, to allow timely decisions regarding timely disclosure. We carried out an evaluation, under the supervision and with the participation of our management, including our Chief Executive Officer and our Executive Vice President and Chief Financial Officer, of the effectiveness of the design and operation of our disclosure controls and procedures at a reasonable assurance level pursuant to Rule 13a-15 of the Exchange Act. Based on that evaluation, our Chief Executive Officer and our Executive Vice President and Chief Financial Officer concluded that, as of the end of the period covered by this report, our disclosure controls and procedures were effective at the reasonable assurance level.</w:t>
      </w:r>
    </w:p>
    <w:p>
      <w:pPr>
        <w:spacing w:after="0" w:line="151" w:lineRule="exact"/>
        <w:rPr>
          <w:sz w:val="20"/>
          <w:szCs w:val="20"/>
          <w:color w:val="auto"/>
        </w:rPr>
      </w:pPr>
    </w:p>
    <w:p>
      <w:pPr>
        <w:ind w:right="460"/>
        <w:spacing w:after="0" w:line="312" w:lineRule="auto"/>
        <w:rPr>
          <w:sz w:val="20"/>
          <w:szCs w:val="20"/>
          <w:color w:val="auto"/>
        </w:rPr>
      </w:pPr>
      <w:r>
        <w:rPr>
          <w:rFonts w:ascii="Times New Roman" w:cs="Times New Roman" w:eastAsia="Times New Roman" w:hAnsi="Times New Roman"/>
          <w:sz w:val="17"/>
          <w:szCs w:val="17"/>
          <w:color w:val="auto"/>
        </w:rPr>
        <w:t>There have been no changes in our internal control over financial reporting identified in connection with the evaluation discussed above that occurred during our last fiscal quarter that have materially affected, or are reasonably likely to materially affect, our internal control over financial reporting.</w:t>
      </w:r>
    </w:p>
    <w:p>
      <w:pPr>
        <w:spacing w:after="0" w:line="1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38" w:name="page39"/>
    <w:bookmarkEnd w:id="38"/>
    <w:p>
      <w:pPr>
        <w:jc w:val="center"/>
        <w:spacing w:after="0"/>
        <w:rPr>
          <w:sz w:val="20"/>
          <w:szCs w:val="20"/>
          <w:color w:val="auto"/>
        </w:rPr>
      </w:pPr>
      <w:r>
        <w:rPr>
          <w:rFonts w:ascii="Times New Roman" w:cs="Times New Roman" w:eastAsia="Times New Roman" w:hAnsi="Times New Roman"/>
          <w:sz w:val="18"/>
          <w:szCs w:val="18"/>
          <w:b w:val="1"/>
          <w:bCs w:val="1"/>
          <w:color w:val="auto"/>
        </w:rPr>
        <w:t>PART II - OTHER INFORMATION</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 Risk Factors</w:t>
      </w:r>
    </w:p>
    <w:p>
      <w:pPr>
        <w:spacing w:after="0" w:line="202" w:lineRule="exact"/>
        <w:rPr>
          <w:sz w:val="20"/>
          <w:szCs w:val="20"/>
          <w:color w:val="auto"/>
        </w:rPr>
      </w:pPr>
    </w:p>
    <w:p>
      <w:pPr>
        <w:ind w:right="300"/>
        <w:spacing w:after="0" w:line="282" w:lineRule="auto"/>
        <w:rPr>
          <w:sz w:val="20"/>
          <w:szCs w:val="20"/>
          <w:color w:val="auto"/>
        </w:rPr>
      </w:pPr>
      <w:r>
        <w:rPr>
          <w:rFonts w:ascii="Times New Roman" w:cs="Times New Roman" w:eastAsia="Times New Roman" w:hAnsi="Times New Roman"/>
          <w:sz w:val="18"/>
          <w:szCs w:val="18"/>
          <w:color w:val="auto"/>
        </w:rPr>
        <w:t>As of the date of this filing, the Company and its operations continue to be subject to the risk factors previously disclosed in the “Risk Factors” sections contained in the 2023 Annual Report on Form 10-K.</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 Unregistered Sales of Equity Securities and Use of Proceeds</w:t>
      </w:r>
    </w:p>
    <w:p>
      <w:pPr>
        <w:spacing w:after="0" w:line="189" w:lineRule="exact"/>
        <w:rPr>
          <w:sz w:val="20"/>
          <w:szCs w:val="20"/>
          <w:color w:val="auto"/>
        </w:rPr>
      </w:pPr>
    </w:p>
    <w:p>
      <w:pPr>
        <w:ind w:right="200"/>
        <w:spacing w:after="0" w:line="261" w:lineRule="auto"/>
        <w:rPr>
          <w:sz w:val="20"/>
          <w:szCs w:val="20"/>
          <w:color w:val="auto"/>
        </w:rPr>
      </w:pPr>
      <w:r>
        <w:rPr>
          <w:rFonts w:ascii="Times New Roman" w:cs="Times New Roman" w:eastAsia="Times New Roman" w:hAnsi="Times New Roman"/>
          <w:sz w:val="18"/>
          <w:szCs w:val="18"/>
          <w:color w:val="auto"/>
        </w:rPr>
        <w:t>In August 2023, the Board of Directors authorized the repurchase of 5.0 million shares of our common stock. We conduct share repurchases from time to time through a variety of methods, including open market purchases, block transactions, privately negotiated transactions or similar facilities. The following table shows the total number of shares repurchased during the second quarter of 2024. As of June 30, 2024, there were 3.6 million shares remaining authorized for repurchase under the 2023 authorization.</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460" w:type="dxa"/>
            <w:vAlign w:val="bottom"/>
          </w:tcPr>
          <w:p>
            <w:pPr>
              <w:spacing w:after="0"/>
              <w:rPr>
                <w:sz w:val="20"/>
                <w:szCs w:val="20"/>
                <w:color w:val="auto"/>
              </w:rPr>
            </w:pPr>
          </w:p>
        </w:tc>
        <w:tc>
          <w:tcPr>
            <w:tcW w:w="5240" w:type="dxa"/>
            <w:vAlign w:val="bottom"/>
            <w:gridSpan w:val="7"/>
          </w:tcPr>
          <w:p>
            <w:pPr>
              <w:jc w:val="center"/>
              <w:ind w:left="890"/>
              <w:spacing w:after="0"/>
              <w:rPr>
                <w:sz w:val="20"/>
                <w:szCs w:val="20"/>
                <w:color w:val="auto"/>
              </w:rPr>
            </w:pPr>
            <w:r>
              <w:rPr>
                <w:rFonts w:ascii="Times New Roman" w:cs="Times New Roman" w:eastAsia="Times New Roman" w:hAnsi="Times New Roman"/>
                <w:sz w:val="18"/>
                <w:szCs w:val="18"/>
                <w:b w:val="1"/>
                <w:bCs w:val="1"/>
                <w:color w:val="auto"/>
              </w:rPr>
              <w:t>ISSUER PURCHASES OF EQUITY SECURITIES</w:t>
            </w:r>
          </w:p>
        </w:tc>
        <w:tc>
          <w:tcPr>
            <w:tcW w:w="1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40" w:type="dxa"/>
            <w:vAlign w:val="bottom"/>
          </w:tcPr>
          <w:p>
            <w:pPr>
              <w:spacing w:after="0"/>
              <w:rPr>
                <w:sz w:val="20"/>
                <w:szCs w:val="20"/>
                <w:color w:val="auto"/>
              </w:rPr>
            </w:pPr>
          </w:p>
        </w:tc>
      </w:tr>
      <w:tr>
        <w:trPr>
          <w:trHeight w:val="221"/>
        </w:trPr>
        <w:tc>
          <w:tcPr>
            <w:tcW w:w="24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8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0" w:type="dxa"/>
            <w:vAlign w:val="bottom"/>
          </w:tcPr>
          <w:p>
            <w:pPr>
              <w:jc w:val="center"/>
              <w:ind w:right="190"/>
              <w:spacing w:after="0"/>
              <w:rPr>
                <w:sz w:val="20"/>
                <w:szCs w:val="20"/>
                <w:color w:val="auto"/>
              </w:rPr>
            </w:pPr>
            <w:r>
              <w:rPr>
                <w:rFonts w:ascii="Times New Roman" w:cs="Times New Roman" w:eastAsia="Times New Roman" w:hAnsi="Times New Roman"/>
                <w:sz w:val="18"/>
                <w:szCs w:val="18"/>
                <w:b w:val="1"/>
                <w:bCs w:val="1"/>
                <w:color w:val="auto"/>
                <w:w w:val="97"/>
              </w:rPr>
              <w:t>Total number</w:t>
            </w:r>
          </w:p>
        </w:tc>
        <w:tc>
          <w:tcPr>
            <w:tcW w:w="100" w:type="dxa"/>
            <w:vAlign w:val="bottom"/>
          </w:tcPr>
          <w:p>
            <w:pPr>
              <w:spacing w:after="0"/>
              <w:rPr>
                <w:sz w:val="19"/>
                <w:szCs w:val="19"/>
                <w:color w:val="auto"/>
              </w:rPr>
            </w:pPr>
          </w:p>
        </w:tc>
        <w:tc>
          <w:tcPr>
            <w:tcW w:w="1840" w:type="dxa"/>
            <w:vAlign w:val="bottom"/>
          </w:tcPr>
          <w:p>
            <w:pPr>
              <w:spacing w:after="0"/>
              <w:rPr>
                <w:sz w:val="19"/>
                <w:szCs w:val="19"/>
                <w:color w:val="auto"/>
              </w:rPr>
            </w:pPr>
          </w:p>
        </w:tc>
      </w:tr>
      <w:tr>
        <w:trPr>
          <w:trHeight w:val="216"/>
        </w:trPr>
        <w:tc>
          <w:tcPr>
            <w:tcW w:w="24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0" w:type="dxa"/>
            <w:vAlign w:val="bottom"/>
          </w:tcPr>
          <w:p>
            <w:pPr>
              <w:jc w:val="center"/>
              <w:ind w:right="190"/>
              <w:spacing w:after="0"/>
              <w:rPr>
                <w:sz w:val="20"/>
                <w:szCs w:val="20"/>
                <w:color w:val="auto"/>
              </w:rPr>
            </w:pPr>
            <w:r>
              <w:rPr>
                <w:rFonts w:ascii="Times New Roman" w:cs="Times New Roman" w:eastAsia="Times New Roman" w:hAnsi="Times New Roman"/>
                <w:sz w:val="18"/>
                <w:szCs w:val="18"/>
                <w:b w:val="1"/>
                <w:bCs w:val="1"/>
                <w:color w:val="auto"/>
                <w:w w:val="99"/>
              </w:rPr>
              <w:t>of shares</w:t>
            </w:r>
          </w:p>
        </w:tc>
        <w:tc>
          <w:tcPr>
            <w:tcW w:w="100" w:type="dxa"/>
            <w:vAlign w:val="bottom"/>
          </w:tcPr>
          <w:p>
            <w:pPr>
              <w:spacing w:after="0"/>
              <w:rPr>
                <w:sz w:val="18"/>
                <w:szCs w:val="18"/>
                <w:color w:val="auto"/>
              </w:rPr>
            </w:pPr>
          </w:p>
        </w:tc>
        <w:tc>
          <w:tcPr>
            <w:tcW w:w="1840" w:type="dxa"/>
            <w:vAlign w:val="bottom"/>
          </w:tcPr>
          <w:p>
            <w:pPr>
              <w:spacing w:after="0"/>
              <w:rPr>
                <w:sz w:val="18"/>
                <w:szCs w:val="18"/>
                <w:color w:val="auto"/>
              </w:rPr>
            </w:pPr>
          </w:p>
        </w:tc>
      </w:tr>
      <w:tr>
        <w:trPr>
          <w:trHeight w:val="216"/>
        </w:trPr>
        <w:tc>
          <w:tcPr>
            <w:tcW w:w="24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0" w:type="dxa"/>
            <w:vAlign w:val="bottom"/>
          </w:tcPr>
          <w:p>
            <w:pPr>
              <w:jc w:val="center"/>
              <w:ind w:right="190"/>
              <w:spacing w:after="0"/>
              <w:rPr>
                <w:sz w:val="20"/>
                <w:szCs w:val="20"/>
                <w:color w:val="auto"/>
              </w:rPr>
            </w:pPr>
            <w:r>
              <w:rPr>
                <w:rFonts w:ascii="Times New Roman" w:cs="Times New Roman" w:eastAsia="Times New Roman" w:hAnsi="Times New Roman"/>
                <w:sz w:val="18"/>
                <w:szCs w:val="18"/>
                <w:b w:val="1"/>
                <w:bCs w:val="1"/>
                <w:color w:val="auto"/>
                <w:w w:val="99"/>
              </w:rPr>
              <w:t>purchased as</w:t>
            </w:r>
          </w:p>
        </w:tc>
        <w:tc>
          <w:tcPr>
            <w:tcW w:w="100" w:type="dxa"/>
            <w:vAlign w:val="bottom"/>
          </w:tcPr>
          <w:p>
            <w:pPr>
              <w:spacing w:after="0"/>
              <w:rPr>
                <w:sz w:val="18"/>
                <w:szCs w:val="18"/>
                <w:color w:val="auto"/>
              </w:rPr>
            </w:pPr>
          </w:p>
        </w:tc>
        <w:tc>
          <w:tcPr>
            <w:tcW w:w="1840" w:type="dxa"/>
            <w:vAlign w:val="bottom"/>
          </w:tcPr>
          <w:p>
            <w:pPr>
              <w:ind w:left="460"/>
              <w:spacing w:after="0"/>
              <w:rPr>
                <w:sz w:val="20"/>
                <w:szCs w:val="20"/>
                <w:color w:val="auto"/>
              </w:rPr>
            </w:pPr>
            <w:r>
              <w:rPr>
                <w:rFonts w:ascii="Times New Roman" w:cs="Times New Roman" w:eastAsia="Times New Roman" w:hAnsi="Times New Roman"/>
                <w:sz w:val="18"/>
                <w:szCs w:val="18"/>
                <w:b w:val="1"/>
                <w:bCs w:val="1"/>
                <w:color w:val="auto"/>
              </w:rPr>
              <w:t>Maximum</w:t>
            </w:r>
          </w:p>
        </w:tc>
      </w:tr>
      <w:tr>
        <w:trPr>
          <w:trHeight w:val="216"/>
        </w:trPr>
        <w:tc>
          <w:tcPr>
            <w:tcW w:w="24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880" w:type="dxa"/>
            <w:vAlign w:val="bottom"/>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7"/>
              </w:rPr>
              <w:t>Total</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0" w:type="dxa"/>
            <w:vAlign w:val="bottom"/>
          </w:tcPr>
          <w:p>
            <w:pPr>
              <w:jc w:val="center"/>
              <w:ind w:right="190"/>
              <w:spacing w:after="0"/>
              <w:rPr>
                <w:sz w:val="20"/>
                <w:szCs w:val="20"/>
                <w:color w:val="auto"/>
              </w:rPr>
            </w:pPr>
            <w:r>
              <w:rPr>
                <w:rFonts w:ascii="Times New Roman" w:cs="Times New Roman" w:eastAsia="Times New Roman" w:hAnsi="Times New Roman"/>
                <w:sz w:val="18"/>
                <w:szCs w:val="18"/>
                <w:b w:val="1"/>
                <w:bCs w:val="1"/>
                <w:color w:val="auto"/>
                <w:w w:val="98"/>
              </w:rPr>
              <w:t>part of</w:t>
            </w:r>
          </w:p>
        </w:tc>
        <w:tc>
          <w:tcPr>
            <w:tcW w:w="100" w:type="dxa"/>
            <w:vAlign w:val="bottom"/>
          </w:tcPr>
          <w:p>
            <w:pPr>
              <w:spacing w:after="0"/>
              <w:rPr>
                <w:sz w:val="18"/>
                <w:szCs w:val="18"/>
                <w:color w:val="auto"/>
              </w:rPr>
            </w:pPr>
          </w:p>
        </w:tc>
        <w:tc>
          <w:tcPr>
            <w:tcW w:w="1840" w:type="dxa"/>
            <w:vAlign w:val="bottom"/>
          </w:tcPr>
          <w:p>
            <w:pPr>
              <w:ind w:left="460"/>
              <w:spacing w:after="0"/>
              <w:rPr>
                <w:sz w:val="20"/>
                <w:szCs w:val="20"/>
                <w:color w:val="auto"/>
              </w:rPr>
            </w:pPr>
            <w:r>
              <w:rPr>
                <w:rFonts w:ascii="Times New Roman" w:cs="Times New Roman" w:eastAsia="Times New Roman" w:hAnsi="Times New Roman"/>
                <w:sz w:val="18"/>
                <w:szCs w:val="18"/>
                <w:b w:val="1"/>
                <w:bCs w:val="1"/>
                <w:color w:val="auto"/>
              </w:rPr>
              <w:t>number of</w:t>
            </w:r>
          </w:p>
        </w:tc>
      </w:tr>
      <w:tr>
        <w:trPr>
          <w:trHeight w:val="216"/>
        </w:trPr>
        <w:tc>
          <w:tcPr>
            <w:tcW w:w="24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880" w:type="dxa"/>
            <w:vAlign w:val="bottom"/>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8"/>
              </w:rPr>
              <w:t>number</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0" w:type="dxa"/>
            <w:vAlign w:val="bottom"/>
          </w:tcPr>
          <w:p>
            <w:pPr>
              <w:jc w:val="center"/>
              <w:ind w:right="170"/>
              <w:spacing w:after="0"/>
              <w:rPr>
                <w:sz w:val="20"/>
                <w:szCs w:val="20"/>
                <w:color w:val="auto"/>
              </w:rPr>
            </w:pPr>
            <w:r>
              <w:rPr>
                <w:rFonts w:ascii="Times New Roman" w:cs="Times New Roman" w:eastAsia="Times New Roman" w:hAnsi="Times New Roman"/>
                <w:sz w:val="18"/>
                <w:szCs w:val="18"/>
                <w:b w:val="1"/>
                <w:bCs w:val="1"/>
                <w:color w:val="auto"/>
                <w:w w:val="99"/>
              </w:rPr>
              <w:t>publicly</w:t>
            </w:r>
          </w:p>
        </w:tc>
        <w:tc>
          <w:tcPr>
            <w:tcW w:w="100" w:type="dxa"/>
            <w:vAlign w:val="bottom"/>
          </w:tcPr>
          <w:p>
            <w:pPr>
              <w:spacing w:after="0"/>
              <w:rPr>
                <w:sz w:val="18"/>
                <w:szCs w:val="18"/>
                <w:color w:val="auto"/>
              </w:rPr>
            </w:pPr>
          </w:p>
        </w:tc>
        <w:tc>
          <w:tcPr>
            <w:tcW w:w="1840" w:type="dxa"/>
            <w:vAlign w:val="bottom"/>
          </w:tcPr>
          <w:p>
            <w:pPr>
              <w:ind w:left="440"/>
              <w:spacing w:after="0"/>
              <w:rPr>
                <w:sz w:val="20"/>
                <w:szCs w:val="20"/>
                <w:color w:val="auto"/>
              </w:rPr>
            </w:pPr>
            <w:r>
              <w:rPr>
                <w:rFonts w:ascii="Times New Roman" w:cs="Times New Roman" w:eastAsia="Times New Roman" w:hAnsi="Times New Roman"/>
                <w:sz w:val="18"/>
                <w:szCs w:val="18"/>
                <w:b w:val="1"/>
                <w:bCs w:val="1"/>
                <w:color w:val="auto"/>
              </w:rPr>
              <w:t>shares that</w:t>
            </w:r>
          </w:p>
        </w:tc>
      </w:tr>
      <w:tr>
        <w:trPr>
          <w:trHeight w:val="216"/>
        </w:trPr>
        <w:tc>
          <w:tcPr>
            <w:tcW w:w="24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880" w:type="dxa"/>
            <w:vAlign w:val="bottom"/>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9"/>
              </w:rPr>
              <w:t>of shares</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0" w:type="dxa"/>
            <w:vAlign w:val="bottom"/>
            <w:gridSpan w:val="3"/>
          </w:tcPr>
          <w:p>
            <w:pPr>
              <w:ind w:left="100"/>
              <w:spacing w:after="0"/>
              <w:rPr>
                <w:sz w:val="20"/>
                <w:szCs w:val="20"/>
                <w:color w:val="auto"/>
              </w:rPr>
            </w:pPr>
            <w:r>
              <w:rPr>
                <w:rFonts w:ascii="Times New Roman" w:cs="Times New Roman" w:eastAsia="Times New Roman" w:hAnsi="Times New Roman"/>
                <w:sz w:val="18"/>
                <w:szCs w:val="18"/>
                <w:b w:val="1"/>
                <w:bCs w:val="1"/>
                <w:color w:val="auto"/>
              </w:rPr>
              <w:t>Average price</w:t>
            </w:r>
          </w:p>
        </w:tc>
        <w:tc>
          <w:tcPr>
            <w:tcW w:w="1600" w:type="dxa"/>
            <w:vAlign w:val="bottom"/>
          </w:tcPr>
          <w:p>
            <w:pPr>
              <w:jc w:val="center"/>
              <w:ind w:right="190"/>
              <w:spacing w:after="0"/>
              <w:rPr>
                <w:sz w:val="20"/>
                <w:szCs w:val="20"/>
                <w:color w:val="auto"/>
              </w:rPr>
            </w:pPr>
            <w:r>
              <w:rPr>
                <w:rFonts w:ascii="Times New Roman" w:cs="Times New Roman" w:eastAsia="Times New Roman" w:hAnsi="Times New Roman"/>
                <w:sz w:val="18"/>
                <w:szCs w:val="18"/>
                <w:b w:val="1"/>
                <w:bCs w:val="1"/>
                <w:color w:val="auto"/>
                <w:w w:val="99"/>
              </w:rPr>
              <w:t>announced</w:t>
            </w:r>
          </w:p>
        </w:tc>
        <w:tc>
          <w:tcPr>
            <w:tcW w:w="100" w:type="dxa"/>
            <w:vAlign w:val="bottom"/>
          </w:tcPr>
          <w:p>
            <w:pPr>
              <w:spacing w:after="0"/>
              <w:rPr>
                <w:sz w:val="18"/>
                <w:szCs w:val="18"/>
                <w:color w:val="auto"/>
              </w:rPr>
            </w:pPr>
          </w:p>
        </w:tc>
        <w:tc>
          <w:tcPr>
            <w:tcW w:w="1840" w:type="dxa"/>
            <w:vAlign w:val="bottom"/>
          </w:tcPr>
          <w:p>
            <w:pPr>
              <w:ind w:left="460"/>
              <w:spacing w:after="0"/>
              <w:rPr>
                <w:sz w:val="20"/>
                <w:szCs w:val="20"/>
                <w:color w:val="auto"/>
              </w:rPr>
            </w:pPr>
            <w:r>
              <w:rPr>
                <w:rFonts w:ascii="Times New Roman" w:cs="Times New Roman" w:eastAsia="Times New Roman" w:hAnsi="Times New Roman"/>
                <w:sz w:val="18"/>
                <w:szCs w:val="18"/>
                <w:b w:val="1"/>
                <w:bCs w:val="1"/>
                <w:color w:val="auto"/>
              </w:rPr>
              <w:t>may yet be</w:t>
            </w:r>
          </w:p>
        </w:tc>
      </w:tr>
      <w:tr>
        <w:trPr>
          <w:trHeight w:val="245"/>
        </w:trPr>
        <w:tc>
          <w:tcPr>
            <w:tcW w:w="24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880" w:type="dxa"/>
            <w:vAlign w:val="bottom"/>
            <w:tcBorders>
              <w:bottom w:val="single" w:sz="8" w:color="auto"/>
            </w:tcBorders>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9"/>
              </w:rPr>
              <w:t>purchased</w:t>
            </w:r>
          </w:p>
        </w:tc>
        <w:tc>
          <w:tcPr>
            <w:tcW w:w="28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54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paid per share</w:t>
            </w:r>
          </w:p>
        </w:tc>
        <w:tc>
          <w:tcPr>
            <w:tcW w:w="10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600" w:type="dxa"/>
            <w:vAlign w:val="bottom"/>
            <w:tcBorders>
              <w:bottom w:val="single" w:sz="8" w:color="auto"/>
            </w:tcBorders>
          </w:tcPr>
          <w:p>
            <w:pPr>
              <w:jc w:val="center"/>
              <w:ind w:right="170"/>
              <w:spacing w:after="0"/>
              <w:rPr>
                <w:sz w:val="20"/>
                <w:szCs w:val="20"/>
                <w:color w:val="auto"/>
              </w:rPr>
            </w:pPr>
            <w:r>
              <w:rPr>
                <w:rFonts w:ascii="Times New Roman" w:cs="Times New Roman" w:eastAsia="Times New Roman" w:hAnsi="Times New Roman"/>
                <w:sz w:val="18"/>
                <w:szCs w:val="18"/>
                <w:b w:val="1"/>
                <w:bCs w:val="1"/>
                <w:color w:val="auto"/>
                <w:w w:val="99"/>
              </w:rPr>
              <w:t>plan</w:t>
            </w:r>
          </w:p>
        </w:tc>
        <w:tc>
          <w:tcPr>
            <w:tcW w:w="100" w:type="dxa"/>
            <w:vAlign w:val="bottom"/>
          </w:tcPr>
          <w:p>
            <w:pPr>
              <w:spacing w:after="0"/>
              <w:rPr>
                <w:sz w:val="21"/>
                <w:szCs w:val="21"/>
                <w:color w:val="auto"/>
              </w:rPr>
            </w:pPr>
          </w:p>
        </w:tc>
        <w:tc>
          <w:tcPr>
            <w:tcW w:w="1840" w:type="dxa"/>
            <w:vAlign w:val="bottom"/>
            <w:tcBorders>
              <w:bottom w:val="single" w:sz="8" w:color="auto"/>
            </w:tcBorders>
          </w:tcPr>
          <w:p>
            <w:pPr>
              <w:ind w:left="460"/>
              <w:spacing w:after="0"/>
              <w:rPr>
                <w:sz w:val="20"/>
                <w:szCs w:val="20"/>
                <w:color w:val="auto"/>
              </w:rPr>
            </w:pPr>
            <w:r>
              <w:rPr>
                <w:rFonts w:ascii="Times New Roman" w:cs="Times New Roman" w:eastAsia="Times New Roman" w:hAnsi="Times New Roman"/>
                <w:sz w:val="18"/>
                <w:szCs w:val="18"/>
                <w:b w:val="1"/>
                <w:bCs w:val="1"/>
                <w:color w:val="auto"/>
              </w:rPr>
              <w:t>purchased</w:t>
            </w:r>
          </w:p>
        </w:tc>
      </w:tr>
      <w:tr>
        <w:trPr>
          <w:trHeight w:val="243"/>
        </w:trPr>
        <w:tc>
          <w:tcPr>
            <w:tcW w:w="24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April 1 - 30, 2024</w:t>
            </w:r>
          </w:p>
        </w:tc>
        <w:tc>
          <w:tcPr>
            <w:tcW w:w="3000" w:type="dxa"/>
            <w:vAlign w:val="bottom"/>
            <w:gridSpan w:val="2"/>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342,648</w:t>
            </w:r>
          </w:p>
        </w:tc>
        <w:tc>
          <w:tcPr>
            <w:tcW w:w="280" w:type="dxa"/>
            <w:vAlign w:val="bottom"/>
            <w:shd w:val="clear" w:color="auto" w:fill="CFF0FC"/>
          </w:tcPr>
          <w:p>
            <w:pPr>
              <w:spacing w:after="0"/>
              <w:rPr>
                <w:sz w:val="21"/>
                <w:szCs w:val="21"/>
                <w:color w:val="auto"/>
              </w:rPr>
            </w:pP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72.96</w:t>
            </w:r>
          </w:p>
        </w:tc>
        <w:tc>
          <w:tcPr>
            <w:tcW w:w="10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60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342,648</w:t>
            </w:r>
          </w:p>
        </w:tc>
        <w:tc>
          <w:tcPr>
            <w:tcW w:w="1940" w:type="dxa"/>
            <w:vAlign w:val="bottom"/>
            <w:gridSpan w:val="2"/>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3,590,434</w:t>
            </w:r>
          </w:p>
        </w:tc>
      </w:tr>
      <w:tr>
        <w:trPr>
          <w:trHeight w:val="239"/>
        </w:trPr>
        <w:tc>
          <w:tcPr>
            <w:tcW w:w="2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May 1 - 31, 2024</w:t>
            </w:r>
          </w:p>
        </w:tc>
        <w:tc>
          <w:tcPr>
            <w:tcW w:w="300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1,006</w:t>
            </w:r>
          </w:p>
        </w:tc>
        <w:tc>
          <w:tcPr>
            <w:tcW w:w="280" w:type="dxa"/>
            <w:vAlign w:val="bottom"/>
          </w:tcPr>
          <w:p>
            <w:pPr>
              <w:jc w:val="right"/>
              <w:ind w:right="60"/>
              <w:spacing w:after="0"/>
              <w:rPr>
                <w:sz w:val="20"/>
                <w:szCs w:val="20"/>
                <w:color w:val="auto"/>
              </w:rPr>
            </w:pPr>
            <w:r>
              <w:rPr>
                <w:rFonts w:ascii="Times New Roman" w:cs="Times New Roman" w:eastAsia="Times New Roman" w:hAnsi="Times New Roman"/>
                <w:sz w:val="12"/>
                <w:szCs w:val="12"/>
                <w:color w:val="auto"/>
                <w:w w:val="99"/>
              </w:rPr>
              <w:t>(1)</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800" w:type="dxa"/>
            <w:vAlign w:val="bottom"/>
            <w:gridSpan w:val="3"/>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94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3,590,434</w:t>
            </w:r>
          </w:p>
        </w:tc>
      </w:tr>
      <w:tr>
        <w:trPr>
          <w:trHeight w:val="247"/>
        </w:trPr>
        <w:tc>
          <w:tcPr>
            <w:tcW w:w="24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June 1 - 30, 2024</w:t>
            </w:r>
          </w:p>
        </w:tc>
        <w:tc>
          <w:tcPr>
            <w:tcW w:w="1120" w:type="dxa"/>
            <w:vAlign w:val="bottom"/>
            <w:tcBorders>
              <w:bottom w:val="single" w:sz="8" w:color="CFF0FC"/>
            </w:tcBorders>
            <w:shd w:val="clear" w:color="auto" w:fill="CFF0FC"/>
          </w:tcPr>
          <w:p>
            <w:pPr>
              <w:spacing w:after="0"/>
              <w:rPr>
                <w:sz w:val="21"/>
                <w:szCs w:val="21"/>
                <w:color w:val="auto"/>
              </w:rPr>
            </w:pPr>
          </w:p>
        </w:tc>
        <w:tc>
          <w:tcPr>
            <w:tcW w:w="188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28,700</w:t>
            </w:r>
          </w:p>
        </w:tc>
        <w:tc>
          <w:tcPr>
            <w:tcW w:w="28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tcBorders>
              <w:bottom w:val="single" w:sz="8" w:color="CFF0FC"/>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69.56</w:t>
            </w:r>
          </w:p>
        </w:tc>
        <w:tc>
          <w:tcPr>
            <w:tcW w:w="10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auto"/>
            </w:tcBorders>
            <w:shd w:val="clear" w:color="auto" w:fill="CFF0FC"/>
          </w:tcPr>
          <w:p>
            <w:pPr>
              <w:spacing w:after="0"/>
              <w:rPr>
                <w:sz w:val="21"/>
                <w:szCs w:val="21"/>
                <w:color w:val="auto"/>
              </w:rPr>
            </w:pPr>
          </w:p>
        </w:tc>
        <w:tc>
          <w:tcPr>
            <w:tcW w:w="160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28,700</w:t>
            </w:r>
          </w:p>
        </w:tc>
        <w:tc>
          <w:tcPr>
            <w:tcW w:w="1940" w:type="dxa"/>
            <w:vAlign w:val="bottom"/>
            <w:tcBorders>
              <w:bottom w:val="single" w:sz="8" w:color="CFF0FC"/>
            </w:tcBorders>
            <w:gridSpan w:val="2"/>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3,561,734</w:t>
            </w:r>
          </w:p>
        </w:tc>
      </w:tr>
      <w:tr>
        <w:trPr>
          <w:trHeight w:val="236"/>
        </w:trPr>
        <w:tc>
          <w:tcPr>
            <w:tcW w:w="2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300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372,354</w:t>
            </w:r>
          </w:p>
        </w:tc>
        <w:tc>
          <w:tcPr>
            <w:tcW w:w="28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72.70</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371,348</w:t>
            </w:r>
          </w:p>
        </w:tc>
        <w:tc>
          <w:tcPr>
            <w:tcW w:w="194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3,561,734</w:t>
            </w:r>
          </w:p>
        </w:tc>
      </w:tr>
      <w:tr>
        <w:trPr>
          <w:trHeight w:val="20"/>
        </w:trPr>
        <w:tc>
          <w:tcPr>
            <w:tcW w:w="24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8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3468370</wp:posOffset>
            </wp:positionH>
            <wp:positionV relativeFrom="paragraph">
              <wp:posOffset>-187960</wp:posOffset>
            </wp:positionV>
            <wp:extent cx="171450" cy="825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17145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-187960</wp:posOffset>
            </wp:positionV>
            <wp:extent cx="68580" cy="825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51" w:lineRule="exact"/>
        <w:rPr>
          <w:sz w:val="20"/>
          <w:szCs w:val="20"/>
          <w:color w:val="auto"/>
        </w:rPr>
      </w:pPr>
    </w:p>
    <w:p>
      <w:pPr>
        <w:ind w:right="280" w:firstLine="8"/>
        <w:spacing w:after="0" w:line="282" w:lineRule="auto"/>
        <w:tabs>
          <w:tab w:leader="none" w:pos="255"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common stock withheld by ManpowerGroup to satisfy tax withholding obligations on shares acquired by certain officers in settlement of restricted stock.</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 Other Information</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Audit Committee Approval of Audit-Related and Non-Audit Services</w:t>
      </w:r>
    </w:p>
    <w:p>
      <w:pPr>
        <w:spacing w:after="0" w:line="198"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Audit Committee of our Board of Directors has approved the following audit-related and non-audit services performed or to be performed for us by our independent registered public accounting firm, Deloitte &amp; Touche LLP and affiliates, to date in 2024:</w:t>
      </w:r>
    </w:p>
    <w:p>
      <w:pPr>
        <w:spacing w:after="0" w:line="121" w:lineRule="exact"/>
        <w:rPr>
          <w:sz w:val="20"/>
          <w:szCs w:val="20"/>
          <w:color w:val="auto"/>
        </w:rPr>
      </w:pPr>
    </w:p>
    <w:p>
      <w:pPr>
        <w:ind w:right="260" w:firstLine="8"/>
        <w:spacing w:after="0" w:line="282" w:lineRule="auto"/>
        <w:tabs>
          <w:tab w:leader="none" w:pos="245"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preparation and/or review of tax returns, including sales and use tax, excise tax, income tax, local tax, property tax, and value added tax, consultation regarding appropriate handling of items on the United States and international tax returns;</w:t>
      </w:r>
    </w:p>
    <w:p>
      <w:pPr>
        <w:spacing w:after="0" w:line="121" w:lineRule="exact"/>
        <w:rPr>
          <w:rFonts w:ascii="Times New Roman" w:cs="Times New Roman" w:eastAsia="Times New Roman" w:hAnsi="Times New Roman"/>
          <w:sz w:val="18"/>
          <w:szCs w:val="18"/>
          <w:color w:val="auto"/>
        </w:rPr>
      </w:pPr>
    </w:p>
    <w:p>
      <w:pPr>
        <w:ind w:right="440" w:firstLine="8"/>
        <w:spacing w:after="0" w:line="282" w:lineRule="auto"/>
        <w:tabs>
          <w:tab w:leader="none" w:pos="255"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advice and assistance with respect to transfer pricing matters, as well as communicating with various taxing authorities regarding the requirements associated with royalties and inter-company pricing, and tax audits; and</w:t>
      </w:r>
    </w:p>
    <w:p>
      <w:pPr>
        <w:spacing w:after="0" w:line="134"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audit services with respect to certain procedures and certifications where required.</w:t>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Trading Plans</w:t>
      </w:r>
    </w:p>
    <w:p>
      <w:pPr>
        <w:spacing w:after="0" w:line="185" w:lineRule="exact"/>
        <w:rPr>
          <w:sz w:val="20"/>
          <w:szCs w:val="20"/>
          <w:color w:val="auto"/>
        </w:rPr>
      </w:pPr>
    </w:p>
    <w:p>
      <w:pPr>
        <w:ind w:right="420"/>
        <w:spacing w:after="0" w:line="282" w:lineRule="auto"/>
        <w:rPr>
          <w:sz w:val="20"/>
          <w:szCs w:val="20"/>
          <w:color w:val="auto"/>
        </w:rPr>
      </w:pPr>
      <w:r>
        <w:rPr>
          <w:rFonts w:ascii="Times New Roman" w:cs="Times New Roman" w:eastAsia="Times New Roman" w:hAnsi="Times New Roman"/>
          <w:sz w:val="18"/>
          <w:szCs w:val="18"/>
          <w:color w:val="auto"/>
        </w:rPr>
        <w:t>During the quarter ended June 30, 2024, no director or Section 16 officer adopted or terminated any "Rule 10b5-1 trading arrangements" or "non-Rule 10b5-1 trading arrangements" as each term is defined in Item 408(a) of Regulation S-K.</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b w:val="1"/>
          <w:bCs w:val="1"/>
          <w:color w:val="auto"/>
        </w:rPr>
        <w:t>Item 6 – Exhibits</w:t>
      </w:r>
    </w:p>
    <w:p>
      <w:pPr>
        <w:spacing w:after="0" w:line="256"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1160" w:type="dxa"/>
            <w:vAlign w:val="bottom"/>
          </w:tcPr>
          <w:p>
            <w:pPr>
              <w:spacing w:after="0"/>
              <w:rPr>
                <w:sz w:val="20"/>
                <w:szCs w:val="20"/>
                <w:color w:val="auto"/>
              </w:rPr>
            </w:pPr>
            <w:r>
              <w:rPr>
                <w:rFonts w:ascii="Times New Roman" w:cs="Times New Roman" w:eastAsia="Times New Roman" w:hAnsi="Times New Roman"/>
                <w:sz w:val="18"/>
                <w:szCs w:val="18"/>
                <w:color w:val="auto"/>
              </w:rPr>
              <w:t>31.1</w:t>
            </w:r>
          </w:p>
        </w:tc>
        <w:tc>
          <w:tcPr>
            <w:tcW w:w="10000" w:type="dxa"/>
            <w:vAlign w:val="bottom"/>
            <w:gridSpan w:val="6"/>
          </w:tcPr>
          <w:p>
            <w:pPr>
              <w:spacing w:after="0"/>
              <w:rPr>
                <w:sz w:val="20"/>
                <w:szCs w:val="20"/>
                <w:color w:val="auto"/>
              </w:rPr>
            </w:pPr>
            <w:r>
              <w:rPr>
                <w:rFonts w:ascii="Times New Roman" w:cs="Times New Roman" w:eastAsia="Times New Roman" w:hAnsi="Times New Roman"/>
                <w:sz w:val="18"/>
                <w:szCs w:val="18"/>
                <w:color w:val="0000FF"/>
              </w:rPr>
              <w:t>Certification of Jonas Prising, Chief Executive Officer, pursuant to Section 13a-14(a) of the Securities Exchange Act of 1934.</w:t>
            </w:r>
          </w:p>
        </w:tc>
      </w:tr>
      <w:tr>
        <w:trPr>
          <w:trHeight w:val="20"/>
        </w:trPr>
        <w:tc>
          <w:tcPr>
            <w:tcW w:w="1160" w:type="dxa"/>
            <w:vAlign w:val="bottom"/>
            <w:tcBorders>
              <w:right w:val="single" w:sz="8" w:color="0000EE"/>
            </w:tcBorders>
          </w:tcPr>
          <w:p>
            <w:pPr>
              <w:spacing w:after="0" w:line="20" w:lineRule="exact"/>
              <w:rPr>
                <w:sz w:val="1"/>
                <w:szCs w:val="1"/>
                <w:color w:val="auto"/>
              </w:rPr>
            </w:pPr>
          </w:p>
        </w:tc>
        <w:tc>
          <w:tcPr>
            <w:tcW w:w="1660" w:type="dxa"/>
            <w:vAlign w:val="bottom"/>
            <w:tcBorders>
              <w:right w:val="single" w:sz="8" w:color="0000FF"/>
            </w:tcBorders>
            <w:shd w:val="clear" w:color="auto" w:fill="0000FF"/>
          </w:tcPr>
          <w:p>
            <w:pPr>
              <w:spacing w:after="0" w:line="20" w:lineRule="exact"/>
              <w:rPr>
                <w:sz w:val="1"/>
                <w:szCs w:val="1"/>
                <w:color w:val="auto"/>
              </w:rPr>
            </w:pPr>
          </w:p>
        </w:tc>
        <w:tc>
          <w:tcPr>
            <w:tcW w:w="4380" w:type="dxa"/>
            <w:vAlign w:val="bottom"/>
            <w:tcBorders>
              <w:right w:val="single" w:sz="8" w:color="0000FF"/>
            </w:tcBorders>
            <w:shd w:val="clear" w:color="auto" w:fill="0000FF"/>
          </w:tcPr>
          <w:p>
            <w:pPr>
              <w:spacing w:after="0" w:line="20" w:lineRule="exact"/>
              <w:rPr>
                <w:sz w:val="1"/>
                <w:szCs w:val="1"/>
                <w:color w:val="auto"/>
              </w:rPr>
            </w:pPr>
          </w:p>
        </w:tc>
        <w:tc>
          <w:tcPr>
            <w:tcW w:w="244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466"/>
        </w:trPr>
        <w:tc>
          <w:tcPr>
            <w:tcW w:w="1160" w:type="dxa"/>
            <w:vAlign w:val="bottom"/>
          </w:tcPr>
          <w:p>
            <w:pPr>
              <w:spacing w:after="0"/>
              <w:rPr>
                <w:sz w:val="20"/>
                <w:szCs w:val="20"/>
                <w:color w:val="auto"/>
              </w:rPr>
            </w:pPr>
            <w:r>
              <w:rPr>
                <w:rFonts w:ascii="Times New Roman" w:cs="Times New Roman" w:eastAsia="Times New Roman" w:hAnsi="Times New Roman"/>
                <w:sz w:val="18"/>
                <w:szCs w:val="18"/>
                <w:color w:val="auto"/>
              </w:rPr>
              <w:t>31.2</w:t>
            </w:r>
          </w:p>
        </w:tc>
        <w:tc>
          <w:tcPr>
            <w:tcW w:w="10000" w:type="dxa"/>
            <w:vAlign w:val="bottom"/>
            <w:gridSpan w:val="6"/>
          </w:tcPr>
          <w:p>
            <w:pPr>
              <w:spacing w:after="0"/>
              <w:rPr>
                <w:sz w:val="20"/>
                <w:szCs w:val="20"/>
                <w:color w:val="auto"/>
              </w:rPr>
            </w:pPr>
            <w:r>
              <w:rPr>
                <w:rFonts w:ascii="Times New Roman" w:cs="Times New Roman" w:eastAsia="Times New Roman" w:hAnsi="Times New Roman"/>
                <w:sz w:val="18"/>
                <w:szCs w:val="18"/>
                <w:color w:val="0000FF"/>
              </w:rPr>
              <w:t>Certification of John T. McGinnis, Executive Vice President and Chief Financial Officer, pursuant to Section 13a-14(a) of the Securities</w:t>
            </w:r>
          </w:p>
        </w:tc>
      </w:tr>
      <w:tr>
        <w:trPr>
          <w:trHeight w:val="20"/>
        </w:trPr>
        <w:tc>
          <w:tcPr>
            <w:tcW w:w="1160" w:type="dxa"/>
            <w:vAlign w:val="bottom"/>
          </w:tcPr>
          <w:p>
            <w:pPr>
              <w:spacing w:after="0" w:line="20" w:lineRule="exact"/>
              <w:rPr>
                <w:sz w:val="1"/>
                <w:szCs w:val="1"/>
                <w:color w:val="auto"/>
              </w:rPr>
            </w:pPr>
          </w:p>
        </w:tc>
        <w:tc>
          <w:tcPr>
            <w:tcW w:w="1660" w:type="dxa"/>
            <w:vAlign w:val="bottom"/>
            <w:tcBorders>
              <w:right w:val="single" w:sz="8" w:color="0000FF"/>
            </w:tcBorders>
            <w:shd w:val="clear" w:color="auto" w:fill="0000FF"/>
          </w:tcPr>
          <w:p>
            <w:pPr>
              <w:spacing w:after="0" w:line="20" w:lineRule="exact"/>
              <w:rPr>
                <w:sz w:val="1"/>
                <w:szCs w:val="1"/>
                <w:color w:val="auto"/>
              </w:rPr>
            </w:pPr>
          </w:p>
        </w:tc>
        <w:tc>
          <w:tcPr>
            <w:tcW w:w="4380" w:type="dxa"/>
            <w:vAlign w:val="bottom"/>
            <w:tcBorders>
              <w:right w:val="single" w:sz="8" w:color="0000FF"/>
            </w:tcBorders>
            <w:shd w:val="clear" w:color="auto" w:fill="0000FF"/>
          </w:tcPr>
          <w:p>
            <w:pPr>
              <w:spacing w:after="0" w:line="20" w:lineRule="exact"/>
              <w:rPr>
                <w:sz w:val="1"/>
                <w:szCs w:val="1"/>
                <w:color w:val="auto"/>
              </w:rPr>
            </w:pPr>
          </w:p>
        </w:tc>
        <w:tc>
          <w:tcPr>
            <w:tcW w:w="2440" w:type="dxa"/>
            <w:vAlign w:val="bottom"/>
            <w:shd w:val="clear" w:color="auto" w:fill="0000FF"/>
          </w:tcPr>
          <w:p>
            <w:pPr>
              <w:spacing w:after="0" w:line="20" w:lineRule="exact"/>
              <w:rPr>
                <w:sz w:val="1"/>
                <w:szCs w:val="1"/>
                <w:color w:val="auto"/>
              </w:rPr>
            </w:pPr>
          </w:p>
        </w:tc>
        <w:tc>
          <w:tcPr>
            <w:tcW w:w="1340" w:type="dxa"/>
            <w:vAlign w:val="bottom"/>
            <w:gridSpan w:val="2"/>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196"/>
        </w:trPr>
        <w:tc>
          <w:tcPr>
            <w:tcW w:w="1160" w:type="dxa"/>
            <w:vAlign w:val="bottom"/>
          </w:tcPr>
          <w:p>
            <w:pPr>
              <w:spacing w:after="0"/>
              <w:rPr>
                <w:sz w:val="17"/>
                <w:szCs w:val="17"/>
                <w:color w:val="auto"/>
              </w:rPr>
            </w:pPr>
          </w:p>
        </w:tc>
        <w:tc>
          <w:tcPr>
            <w:tcW w:w="10000" w:type="dxa"/>
            <w:vAlign w:val="bottom"/>
            <w:gridSpan w:val="6"/>
          </w:tcPr>
          <w:p>
            <w:pPr>
              <w:spacing w:after="0" w:line="196" w:lineRule="exact"/>
              <w:rPr>
                <w:sz w:val="20"/>
                <w:szCs w:val="20"/>
                <w:color w:val="auto"/>
              </w:rPr>
            </w:pPr>
            <w:r>
              <w:rPr>
                <w:rFonts w:ascii="Times New Roman" w:cs="Times New Roman" w:eastAsia="Times New Roman" w:hAnsi="Times New Roman"/>
                <w:sz w:val="18"/>
                <w:szCs w:val="18"/>
                <w:color w:val="0000FF"/>
              </w:rPr>
              <w:t>Exchange Act of 1934.</w:t>
            </w:r>
          </w:p>
        </w:tc>
      </w:tr>
      <w:tr>
        <w:trPr>
          <w:trHeight w:val="20"/>
        </w:trPr>
        <w:tc>
          <w:tcPr>
            <w:tcW w:w="1160" w:type="dxa"/>
            <w:vAlign w:val="bottom"/>
            <w:tcBorders>
              <w:right w:val="single" w:sz="8" w:color="0000EE"/>
            </w:tcBorders>
          </w:tcPr>
          <w:p>
            <w:pPr>
              <w:spacing w:after="0" w:line="20" w:lineRule="exact"/>
              <w:rPr>
                <w:sz w:val="1"/>
                <w:szCs w:val="1"/>
                <w:color w:val="auto"/>
              </w:rPr>
            </w:pPr>
          </w:p>
        </w:tc>
        <w:tc>
          <w:tcPr>
            <w:tcW w:w="1660" w:type="dxa"/>
            <w:vAlign w:val="bottom"/>
            <w:tcBorders>
              <w:right w:val="single" w:sz="8" w:color="0000EE"/>
            </w:tcBorders>
            <w:shd w:val="clear" w:color="auto" w:fill="0000FF"/>
          </w:tcPr>
          <w:p>
            <w:pPr>
              <w:spacing w:after="0" w:line="20" w:lineRule="exact"/>
              <w:rPr>
                <w:sz w:val="1"/>
                <w:szCs w:val="1"/>
                <w:color w:val="auto"/>
              </w:rPr>
            </w:pPr>
          </w:p>
        </w:tc>
        <w:tc>
          <w:tcPr>
            <w:tcW w:w="438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1520" w:type="dxa"/>
            <w:vAlign w:val="bottom"/>
            <w:gridSpan w:val="3"/>
          </w:tcPr>
          <w:p>
            <w:pPr>
              <w:spacing w:after="0" w:line="20" w:lineRule="exact"/>
              <w:rPr>
                <w:sz w:val="1"/>
                <w:szCs w:val="1"/>
                <w:color w:val="auto"/>
              </w:rPr>
            </w:pPr>
          </w:p>
        </w:tc>
      </w:tr>
      <w:tr>
        <w:trPr>
          <w:trHeight w:val="466"/>
        </w:trPr>
        <w:tc>
          <w:tcPr>
            <w:tcW w:w="1160" w:type="dxa"/>
            <w:vAlign w:val="bottom"/>
          </w:tcPr>
          <w:p>
            <w:pPr>
              <w:spacing w:after="0"/>
              <w:rPr>
                <w:sz w:val="20"/>
                <w:szCs w:val="20"/>
                <w:color w:val="auto"/>
              </w:rPr>
            </w:pPr>
            <w:r>
              <w:rPr>
                <w:rFonts w:ascii="Times New Roman" w:cs="Times New Roman" w:eastAsia="Times New Roman" w:hAnsi="Times New Roman"/>
                <w:sz w:val="18"/>
                <w:szCs w:val="18"/>
                <w:color w:val="auto"/>
              </w:rPr>
              <w:t>32.1</w:t>
            </w:r>
          </w:p>
        </w:tc>
        <w:tc>
          <w:tcPr>
            <w:tcW w:w="10000" w:type="dxa"/>
            <w:vAlign w:val="bottom"/>
            <w:gridSpan w:val="6"/>
          </w:tcPr>
          <w:p>
            <w:pPr>
              <w:spacing w:after="0"/>
              <w:rPr>
                <w:sz w:val="20"/>
                <w:szCs w:val="20"/>
                <w:color w:val="auto"/>
              </w:rPr>
            </w:pPr>
            <w:r>
              <w:rPr>
                <w:rFonts w:ascii="Times New Roman" w:cs="Times New Roman" w:eastAsia="Times New Roman" w:hAnsi="Times New Roman"/>
                <w:sz w:val="18"/>
                <w:szCs w:val="18"/>
                <w:color w:val="0000FF"/>
              </w:rPr>
              <w:t>Statement of Jonas Prising, Chief Executive Officer, pursuant to 18 U.S.C. ss. 1350.</w:t>
            </w:r>
          </w:p>
        </w:tc>
      </w:tr>
      <w:tr>
        <w:trPr>
          <w:trHeight w:val="20"/>
        </w:trPr>
        <w:tc>
          <w:tcPr>
            <w:tcW w:w="1160" w:type="dxa"/>
            <w:vAlign w:val="bottom"/>
            <w:tcBorders>
              <w:right w:val="single" w:sz="8" w:color="0000EE"/>
            </w:tcBorders>
          </w:tcPr>
          <w:p>
            <w:pPr>
              <w:spacing w:after="0" w:line="20" w:lineRule="exact"/>
              <w:rPr>
                <w:sz w:val="1"/>
                <w:szCs w:val="1"/>
                <w:color w:val="auto"/>
              </w:rPr>
            </w:pPr>
          </w:p>
        </w:tc>
        <w:tc>
          <w:tcPr>
            <w:tcW w:w="6040" w:type="dxa"/>
            <w:vAlign w:val="bottom"/>
            <w:tcBorders>
              <w:right w:val="single" w:sz="8" w:color="0000EE"/>
            </w:tcBorders>
            <w:gridSpan w:val="2"/>
            <w:shd w:val="clear" w:color="auto" w:fill="0000FF"/>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1520" w:type="dxa"/>
            <w:vAlign w:val="bottom"/>
            <w:gridSpan w:val="3"/>
          </w:tcPr>
          <w:p>
            <w:pPr>
              <w:spacing w:after="0" w:line="20" w:lineRule="exact"/>
              <w:rPr>
                <w:sz w:val="1"/>
                <w:szCs w:val="1"/>
                <w:color w:val="auto"/>
              </w:rPr>
            </w:pPr>
          </w:p>
        </w:tc>
      </w:tr>
      <w:tr>
        <w:trPr>
          <w:trHeight w:val="466"/>
        </w:trPr>
        <w:tc>
          <w:tcPr>
            <w:tcW w:w="1160" w:type="dxa"/>
            <w:vAlign w:val="bottom"/>
          </w:tcPr>
          <w:p>
            <w:pPr>
              <w:spacing w:after="0"/>
              <w:rPr>
                <w:sz w:val="20"/>
                <w:szCs w:val="20"/>
                <w:color w:val="auto"/>
              </w:rPr>
            </w:pPr>
            <w:r>
              <w:rPr>
                <w:rFonts w:ascii="Times New Roman" w:cs="Times New Roman" w:eastAsia="Times New Roman" w:hAnsi="Times New Roman"/>
                <w:sz w:val="18"/>
                <w:szCs w:val="18"/>
                <w:color w:val="auto"/>
              </w:rPr>
              <w:t>32.2</w:t>
            </w:r>
          </w:p>
        </w:tc>
        <w:tc>
          <w:tcPr>
            <w:tcW w:w="10000" w:type="dxa"/>
            <w:vAlign w:val="bottom"/>
            <w:gridSpan w:val="6"/>
          </w:tcPr>
          <w:p>
            <w:pPr>
              <w:spacing w:after="0"/>
              <w:rPr>
                <w:sz w:val="20"/>
                <w:szCs w:val="20"/>
                <w:color w:val="auto"/>
              </w:rPr>
            </w:pPr>
            <w:r>
              <w:rPr>
                <w:rFonts w:ascii="Times New Roman" w:cs="Times New Roman" w:eastAsia="Times New Roman" w:hAnsi="Times New Roman"/>
                <w:sz w:val="18"/>
                <w:szCs w:val="18"/>
                <w:color w:val="0000FF"/>
              </w:rPr>
              <w:t>Statement of John T. McGinnis, Executive Vice President and Chief Financial Officer, pursuant to 18 U.S.C. ss. 1350.</w:t>
            </w:r>
          </w:p>
        </w:tc>
      </w:tr>
      <w:tr>
        <w:trPr>
          <w:trHeight w:val="20"/>
        </w:trPr>
        <w:tc>
          <w:tcPr>
            <w:tcW w:w="1160" w:type="dxa"/>
            <w:vAlign w:val="bottom"/>
            <w:tcBorders>
              <w:right w:val="single" w:sz="8" w:color="0000EE"/>
            </w:tcBorders>
          </w:tcPr>
          <w:p>
            <w:pPr>
              <w:spacing w:after="0" w:line="20" w:lineRule="exact"/>
              <w:rPr>
                <w:sz w:val="1"/>
                <w:szCs w:val="1"/>
                <w:color w:val="auto"/>
              </w:rPr>
            </w:pPr>
          </w:p>
        </w:tc>
        <w:tc>
          <w:tcPr>
            <w:tcW w:w="8480" w:type="dxa"/>
            <w:vAlign w:val="bottom"/>
            <w:gridSpan w:val="3"/>
            <w:shd w:val="clear" w:color="auto" w:fill="0000FF"/>
          </w:tcPr>
          <w:p>
            <w:pPr>
              <w:spacing w:after="0" w:line="20" w:lineRule="exact"/>
              <w:rPr>
                <w:sz w:val="1"/>
                <w:szCs w:val="1"/>
                <w:color w:val="auto"/>
              </w:rPr>
            </w:pPr>
          </w:p>
        </w:tc>
        <w:tc>
          <w:tcPr>
            <w:tcW w:w="1520" w:type="dxa"/>
            <w:vAlign w:val="bottom"/>
            <w:gridSpan w:val="3"/>
          </w:tcPr>
          <w:p>
            <w:pPr>
              <w:spacing w:after="0" w:line="20" w:lineRule="exact"/>
              <w:rPr>
                <w:sz w:val="1"/>
                <w:szCs w:val="1"/>
                <w:color w:val="auto"/>
              </w:rPr>
            </w:pPr>
          </w:p>
        </w:tc>
      </w:tr>
      <w:tr>
        <w:trPr>
          <w:trHeight w:val="488"/>
        </w:trPr>
        <w:tc>
          <w:tcPr>
            <w:tcW w:w="1160" w:type="dxa"/>
            <w:vAlign w:val="bottom"/>
          </w:tcPr>
          <w:p>
            <w:pPr>
              <w:spacing w:after="0"/>
              <w:rPr>
                <w:sz w:val="20"/>
                <w:szCs w:val="20"/>
                <w:color w:val="auto"/>
              </w:rPr>
            </w:pPr>
            <w:r>
              <w:rPr>
                <w:rFonts w:ascii="Times New Roman" w:cs="Times New Roman" w:eastAsia="Times New Roman" w:hAnsi="Times New Roman"/>
                <w:sz w:val="18"/>
                <w:szCs w:val="18"/>
                <w:color w:val="auto"/>
              </w:rPr>
              <w:t>101.INS</w:t>
            </w:r>
          </w:p>
        </w:tc>
        <w:tc>
          <w:tcPr>
            <w:tcW w:w="10000" w:type="dxa"/>
            <w:vAlign w:val="bottom"/>
            <w:gridSpan w:val="6"/>
          </w:tcPr>
          <w:p>
            <w:pPr>
              <w:spacing w:after="0"/>
              <w:rPr>
                <w:sz w:val="20"/>
                <w:szCs w:val="20"/>
                <w:color w:val="auto"/>
              </w:rPr>
            </w:pPr>
            <w:r>
              <w:rPr>
                <w:rFonts w:ascii="Times New Roman" w:cs="Times New Roman" w:eastAsia="Times New Roman" w:hAnsi="Times New Roman"/>
                <w:sz w:val="18"/>
                <w:szCs w:val="18"/>
                <w:color w:val="auto"/>
                <w:w w:val="99"/>
              </w:rPr>
              <w:t xml:space="preserve">Inline </w:t>
            </w:r>
            <w:r>
              <w:rPr>
                <w:rFonts w:ascii="Times New Roman" w:cs="Times New Roman" w:eastAsia="Times New Roman" w:hAnsi="Times New Roman"/>
                <w:sz w:val="18"/>
                <w:szCs w:val="18"/>
                <w:color w:val="212529"/>
                <w:w w:val="99"/>
              </w:rPr>
              <w:t>XBRL Instance Document</w:t>
            </w:r>
            <w:r>
              <w:rPr>
                <w:rFonts w:ascii="Times New Roman" w:cs="Times New Roman" w:eastAsia="Times New Roman" w:hAnsi="Times New Roman"/>
                <w:sz w:val="18"/>
                <w:szCs w:val="18"/>
                <w:color w:val="auto"/>
                <w:w w:val="99"/>
              </w:rPr>
              <w:t xml:space="preserve"> - the instance document does not appear in the Interactive Data File because its XBRL tags are embedded</w:t>
            </w:r>
          </w:p>
        </w:tc>
      </w:tr>
      <w:tr>
        <w:trPr>
          <w:trHeight w:val="234"/>
        </w:trPr>
        <w:tc>
          <w:tcPr>
            <w:tcW w:w="1160" w:type="dxa"/>
            <w:vAlign w:val="bottom"/>
          </w:tcPr>
          <w:p>
            <w:pPr>
              <w:spacing w:after="0"/>
              <w:rPr>
                <w:sz w:val="20"/>
                <w:szCs w:val="20"/>
                <w:color w:val="auto"/>
              </w:rPr>
            </w:pPr>
          </w:p>
        </w:tc>
        <w:tc>
          <w:tcPr>
            <w:tcW w:w="1000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within the Inline XBRL document.</w:t>
            </w:r>
          </w:p>
        </w:tc>
      </w:tr>
      <w:tr>
        <w:trPr>
          <w:trHeight w:val="486"/>
        </w:trPr>
        <w:tc>
          <w:tcPr>
            <w:tcW w:w="1160" w:type="dxa"/>
            <w:vAlign w:val="bottom"/>
          </w:tcPr>
          <w:p>
            <w:pPr>
              <w:spacing w:after="0"/>
              <w:rPr>
                <w:sz w:val="20"/>
                <w:szCs w:val="20"/>
                <w:color w:val="auto"/>
              </w:rPr>
            </w:pPr>
            <w:r>
              <w:rPr>
                <w:rFonts w:ascii="Times New Roman" w:cs="Times New Roman" w:eastAsia="Times New Roman" w:hAnsi="Times New Roman"/>
                <w:sz w:val="18"/>
                <w:szCs w:val="18"/>
                <w:color w:val="auto"/>
              </w:rPr>
              <w:t>101.SCH</w:t>
            </w:r>
          </w:p>
        </w:tc>
        <w:tc>
          <w:tcPr>
            <w:tcW w:w="10000" w:type="dxa"/>
            <w:vAlign w:val="bottom"/>
            <w:gridSpan w:val="6"/>
          </w:tcPr>
          <w:p>
            <w:pPr>
              <w:spacing w:after="0"/>
              <w:rPr>
                <w:sz w:val="20"/>
                <w:szCs w:val="20"/>
                <w:color w:val="auto"/>
              </w:rPr>
            </w:pPr>
            <w:r>
              <w:rPr>
                <w:rFonts w:ascii="Times New Roman" w:cs="Times New Roman" w:eastAsia="Times New Roman" w:hAnsi="Times New Roman"/>
                <w:sz w:val="18"/>
                <w:szCs w:val="18"/>
                <w:color w:val="212529"/>
              </w:rPr>
              <w:t>Inline XBRL Taxonomy Extension Schema With Embedded Linkbase Documents</w:t>
            </w:r>
          </w:p>
        </w:tc>
      </w:tr>
    </w:tbl>
    <w:p>
      <w:pPr>
        <w:spacing w:after="0" w:line="252" w:lineRule="exact"/>
        <w:rPr>
          <w:sz w:val="20"/>
          <w:szCs w:val="20"/>
          <w:color w:val="auto"/>
        </w:rPr>
      </w:pPr>
    </w:p>
    <w:p>
      <w:pPr>
        <w:ind w:left="1160" w:right="380" w:hanging="1139"/>
        <w:spacing w:after="0" w:line="282" w:lineRule="auto"/>
        <w:tabs>
          <w:tab w:leader="none" w:pos="11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cover page from the Company’s Quarterly Report on Form 10-Q for the quarter ended June 30, 2024 has been formatted in Inline XBRL (Inline Extensible Business Reporting Language) and contained in Exhibits 101.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981" w:right="399" w:bottom="1440" w:gutter="0" w:footer="0" w:header="0"/>
        </w:sectPr>
      </w:pPr>
    </w:p>
    <w:bookmarkStart w:id="40" w:name="page41"/>
    <w:bookmarkEnd w:id="40"/>
    <w:p>
      <w:pPr>
        <w:ind w:left="5040"/>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216" w:lineRule="exact"/>
        <w:rPr>
          <w:sz w:val="20"/>
          <w:szCs w:val="20"/>
          <w:color w:val="auto"/>
        </w:rPr>
      </w:pPr>
    </w:p>
    <w:p>
      <w:pPr>
        <w:ind w:left="4140"/>
        <w:spacing w:after="0"/>
        <w:rPr>
          <w:sz w:val="20"/>
          <w:szCs w:val="20"/>
          <w:color w:val="auto"/>
        </w:rPr>
      </w:pPr>
      <w:r>
        <w:rPr>
          <w:rFonts w:ascii="Times New Roman" w:cs="Times New Roman" w:eastAsia="Times New Roman" w:hAnsi="Times New Roman"/>
          <w:sz w:val="18"/>
          <w:szCs w:val="18"/>
          <w:color w:val="auto"/>
        </w:rPr>
        <w:t>ManpowerGroup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2593975</wp:posOffset>
            </wp:positionH>
            <wp:positionV relativeFrom="paragraph">
              <wp:posOffset>51435</wp:posOffset>
            </wp:positionV>
            <wp:extent cx="1945640" cy="825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1945640" cy="8255"/>
                    </a:xfrm>
                    <a:prstGeom prst="rect">
                      <a:avLst/>
                    </a:prstGeom>
                    <a:noFill/>
                  </pic:spPr>
                </pic:pic>
              </a:graphicData>
            </a:graphic>
          </wp:anchor>
        </w:drawing>
      </w:r>
    </w:p>
    <w:p>
      <w:pPr>
        <w:spacing w:after="0" w:line="111" w:lineRule="exact"/>
        <w:rPr>
          <w:sz w:val="20"/>
          <w:szCs w:val="20"/>
          <w:color w:val="auto"/>
        </w:rPr>
      </w:pPr>
    </w:p>
    <w:p>
      <w:pPr>
        <w:ind w:left="4180"/>
        <w:spacing w:after="0"/>
        <w:rPr>
          <w:sz w:val="20"/>
          <w:szCs w:val="20"/>
          <w:color w:val="auto"/>
        </w:rPr>
      </w:pPr>
      <w:r>
        <w:rPr>
          <w:rFonts w:ascii="Times New Roman" w:cs="Times New Roman" w:eastAsia="Times New Roman" w:hAnsi="Times New Roman"/>
          <w:sz w:val="18"/>
          <w:szCs w:val="18"/>
          <w:color w:val="auto"/>
        </w:rPr>
        <w:t>(Registrant)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Date: August 2, 2024</w:t>
      </w:r>
    </w:p>
    <w:p>
      <w:pPr>
        <w:spacing w:after="0" w:line="279" w:lineRule="exact"/>
        <w:rPr>
          <w:sz w:val="20"/>
          <w:szCs w:val="20"/>
          <w:color w:val="auto"/>
        </w:rPr>
      </w:pPr>
    </w:p>
    <w:p>
      <w:pPr>
        <w:ind w:left="2420"/>
        <w:spacing w:after="0"/>
        <w:rPr>
          <w:sz w:val="20"/>
          <w:szCs w:val="20"/>
          <w:color w:val="auto"/>
        </w:rPr>
      </w:pPr>
      <w:r>
        <w:rPr>
          <w:rFonts w:ascii="Times New Roman" w:cs="Times New Roman" w:eastAsia="Times New Roman" w:hAnsi="Times New Roman"/>
          <w:sz w:val="18"/>
          <w:szCs w:val="18"/>
          <w:color w:val="auto"/>
        </w:rPr>
        <w:t>/s/ John T. McGinnis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1496695</wp:posOffset>
            </wp:positionH>
            <wp:positionV relativeFrom="paragraph">
              <wp:posOffset>26035</wp:posOffset>
            </wp:positionV>
            <wp:extent cx="4140200" cy="825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4140200" cy="8255"/>
                    </a:xfrm>
                    <a:prstGeom prst="rect">
                      <a:avLst/>
                    </a:prstGeom>
                    <a:noFill/>
                  </pic:spPr>
                </pic:pic>
              </a:graphicData>
            </a:graphic>
          </wp:anchor>
        </w:drawing>
      </w:r>
    </w:p>
    <w:p>
      <w:pPr>
        <w:spacing w:after="0" w:line="30" w:lineRule="exact"/>
        <w:rPr>
          <w:sz w:val="20"/>
          <w:szCs w:val="20"/>
          <w:color w:val="auto"/>
        </w:rPr>
      </w:pPr>
    </w:p>
    <w:p>
      <w:pPr>
        <w:ind w:left="2420"/>
        <w:spacing w:after="0"/>
        <w:rPr>
          <w:sz w:val="20"/>
          <w:szCs w:val="20"/>
          <w:color w:val="auto"/>
        </w:rPr>
      </w:pPr>
      <w:r>
        <w:rPr>
          <w:rFonts w:ascii="Times New Roman" w:cs="Times New Roman" w:eastAsia="Times New Roman" w:hAnsi="Times New Roman"/>
          <w:sz w:val="18"/>
          <w:szCs w:val="18"/>
          <w:color w:val="auto"/>
        </w:rPr>
        <w:t>John T. McGinnis</w:t>
      </w:r>
    </w:p>
    <w:p>
      <w:pPr>
        <w:spacing w:after="0" w:line="36" w:lineRule="exact"/>
        <w:rPr>
          <w:sz w:val="20"/>
          <w:szCs w:val="20"/>
          <w:color w:val="auto"/>
        </w:rPr>
      </w:pPr>
    </w:p>
    <w:p>
      <w:pPr>
        <w:ind w:left="2420"/>
        <w:spacing w:after="0"/>
        <w:rPr>
          <w:sz w:val="20"/>
          <w:szCs w:val="20"/>
          <w:color w:val="auto"/>
        </w:rPr>
      </w:pPr>
      <w:r>
        <w:rPr>
          <w:rFonts w:ascii="Times New Roman" w:cs="Times New Roman" w:eastAsia="Times New Roman" w:hAnsi="Times New Roman"/>
          <w:sz w:val="18"/>
          <w:szCs w:val="18"/>
          <w:color w:val="auto"/>
        </w:rPr>
        <w:t>Executive Vice President and Chief Financial Officer</w:t>
      </w:r>
    </w:p>
    <w:p>
      <w:pPr>
        <w:spacing w:after="0" w:line="27" w:lineRule="exact"/>
        <w:rPr>
          <w:sz w:val="20"/>
          <w:szCs w:val="20"/>
          <w:color w:val="auto"/>
        </w:rPr>
      </w:pPr>
    </w:p>
    <w:p>
      <w:pPr>
        <w:ind w:left="2420"/>
        <w:spacing w:after="0"/>
        <w:rPr>
          <w:sz w:val="20"/>
          <w:szCs w:val="20"/>
          <w:color w:val="auto"/>
        </w:rPr>
      </w:pPr>
      <w:r>
        <w:rPr>
          <w:rFonts w:ascii="Times New Roman" w:cs="Times New Roman" w:eastAsia="Times New Roman" w:hAnsi="Times New Roman"/>
          <w:sz w:val="18"/>
          <w:szCs w:val="18"/>
          <w:color w:val="auto"/>
        </w:rPr>
        <w:t>(Signing on behalf of the Registrant and as the Principal Financial Officer)</w:t>
      </w:r>
    </w:p>
    <w:p>
      <w:pPr>
        <w:spacing w:after="0" w:line="261" w:lineRule="exact"/>
        <w:rPr>
          <w:sz w:val="20"/>
          <w:szCs w:val="20"/>
          <w:color w:val="auto"/>
        </w:rPr>
      </w:pPr>
    </w:p>
    <w:p>
      <w:pPr>
        <w:ind w:left="2420"/>
        <w:spacing w:after="0"/>
        <w:rPr>
          <w:sz w:val="20"/>
          <w:szCs w:val="20"/>
          <w:color w:val="auto"/>
        </w:rPr>
      </w:pPr>
      <w:r>
        <w:rPr>
          <w:rFonts w:ascii="Times New Roman" w:cs="Times New Roman" w:eastAsia="Times New Roman" w:hAnsi="Times New Roman"/>
          <w:sz w:val="18"/>
          <w:szCs w:val="18"/>
          <w:color w:val="auto"/>
        </w:rPr>
        <w:t>/s/ Eric Rozek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1496695</wp:posOffset>
            </wp:positionH>
            <wp:positionV relativeFrom="paragraph">
              <wp:posOffset>26035</wp:posOffset>
            </wp:positionV>
            <wp:extent cx="4140200" cy="825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4140200" cy="8255"/>
                    </a:xfrm>
                    <a:prstGeom prst="rect">
                      <a:avLst/>
                    </a:prstGeom>
                    <a:noFill/>
                  </pic:spPr>
                </pic:pic>
              </a:graphicData>
            </a:graphic>
          </wp:anchor>
        </w:drawing>
      </w:r>
    </w:p>
    <w:p>
      <w:pPr>
        <w:spacing w:after="0" w:line="30" w:lineRule="exact"/>
        <w:rPr>
          <w:sz w:val="20"/>
          <w:szCs w:val="20"/>
          <w:color w:val="auto"/>
        </w:rPr>
      </w:pPr>
    </w:p>
    <w:p>
      <w:pPr>
        <w:ind w:left="2420"/>
        <w:spacing w:after="0"/>
        <w:rPr>
          <w:sz w:val="20"/>
          <w:szCs w:val="20"/>
          <w:color w:val="auto"/>
        </w:rPr>
      </w:pPr>
      <w:r>
        <w:rPr>
          <w:rFonts w:ascii="Times New Roman" w:cs="Times New Roman" w:eastAsia="Times New Roman" w:hAnsi="Times New Roman"/>
          <w:sz w:val="18"/>
          <w:szCs w:val="18"/>
          <w:color w:val="auto"/>
        </w:rPr>
        <w:t>Eric Rozek</w:t>
      </w:r>
    </w:p>
    <w:p>
      <w:pPr>
        <w:spacing w:after="0" w:line="36" w:lineRule="exact"/>
        <w:rPr>
          <w:sz w:val="20"/>
          <w:szCs w:val="20"/>
          <w:color w:val="auto"/>
        </w:rPr>
      </w:pPr>
    </w:p>
    <w:p>
      <w:pPr>
        <w:ind w:left="2420"/>
        <w:spacing w:after="0"/>
        <w:rPr>
          <w:sz w:val="20"/>
          <w:szCs w:val="20"/>
          <w:color w:val="auto"/>
        </w:rPr>
      </w:pPr>
      <w:r>
        <w:rPr>
          <w:rFonts w:ascii="Times New Roman" w:cs="Times New Roman" w:eastAsia="Times New Roman" w:hAnsi="Times New Roman"/>
          <w:sz w:val="18"/>
          <w:szCs w:val="18"/>
          <w:color w:val="auto"/>
        </w:rPr>
        <w:t>Vice President and Global Controller (Principal Accounting Officer)</w:t>
      </w:r>
    </w:p>
    <w:p>
      <w:pPr>
        <w:spacing w:after="0" w:line="200" w:lineRule="exact"/>
        <w:rPr>
          <w:sz w:val="20"/>
          <w:szCs w:val="20"/>
          <w:color w:val="auto"/>
        </w:rPr>
      </w:pPr>
    </w:p>
    <w:p>
      <w:pPr>
        <w:spacing w:after="0" w:line="255"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340"/>
          </w:cols>
          <w:pgMar w:left="320" w:top="981" w:right="1239" w:bottom="1440" w:gutter="0" w:footer="0" w:header="0"/>
        </w:sectPr>
      </w:pPr>
    </w:p>
    <w:bookmarkStart w:id="41" w:name="page42"/>
    <w:bookmarkEnd w:id="41"/>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5" w:lineRule="exact"/>
        <w:rPr>
          <w:sz w:val="20"/>
          <w:szCs w:val="20"/>
          <w:color w:val="auto"/>
        </w:rPr>
      </w:pPr>
    </w:p>
    <w:p>
      <w:pPr>
        <w:ind w:left="4900"/>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Jonas Prising, Chief Executive Officer of ManpowerGroup Inc., certify that:</w:t>
      </w:r>
    </w:p>
    <w:p>
      <w:pPr>
        <w:spacing w:after="0" w:line="198" w:lineRule="exact"/>
        <w:rPr>
          <w:sz w:val="20"/>
          <w:szCs w:val="20"/>
          <w:color w:val="auto"/>
        </w:rPr>
      </w:pPr>
    </w:p>
    <w:p>
      <w:pPr>
        <w:ind w:left="380" w:hanging="372"/>
        <w:spacing w:after="0"/>
        <w:tabs>
          <w:tab w:leader="none" w:pos="38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ManpowerGroup Inc.;</w:t>
      </w:r>
    </w:p>
    <w:p>
      <w:pPr>
        <w:spacing w:after="0" w:line="184" w:lineRule="exact"/>
        <w:rPr>
          <w:rFonts w:ascii="Times New Roman" w:cs="Times New Roman" w:eastAsia="Times New Roman" w:hAnsi="Times New Roman"/>
          <w:sz w:val="18"/>
          <w:szCs w:val="18"/>
          <w:color w:val="auto"/>
        </w:rPr>
      </w:pPr>
    </w:p>
    <w:p>
      <w:pPr>
        <w:jc w:val="both"/>
        <w:ind w:left="380" w:right="400" w:hanging="372"/>
        <w:spacing w:after="0" w:line="266" w:lineRule="auto"/>
        <w:tabs>
          <w:tab w:leader="none" w:pos="38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35" w:lineRule="exact"/>
        <w:rPr>
          <w:rFonts w:ascii="Times New Roman" w:cs="Times New Roman" w:eastAsia="Times New Roman" w:hAnsi="Times New Roman"/>
          <w:sz w:val="18"/>
          <w:szCs w:val="18"/>
          <w:color w:val="auto"/>
        </w:rPr>
      </w:pPr>
    </w:p>
    <w:p>
      <w:pPr>
        <w:ind w:left="380" w:right="360" w:hanging="372"/>
        <w:spacing w:after="0" w:line="282" w:lineRule="auto"/>
        <w:tabs>
          <w:tab w:leader="none" w:pos="38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34" w:lineRule="exact"/>
        <w:rPr>
          <w:rFonts w:ascii="Times New Roman" w:cs="Times New Roman" w:eastAsia="Times New Roman" w:hAnsi="Times New Roman"/>
          <w:sz w:val="18"/>
          <w:szCs w:val="18"/>
          <w:color w:val="auto"/>
        </w:rPr>
      </w:pPr>
    </w:p>
    <w:p>
      <w:pPr>
        <w:jc w:val="both"/>
        <w:ind w:left="380" w:right="380" w:hanging="372"/>
        <w:spacing w:after="0" w:line="266" w:lineRule="auto"/>
        <w:tabs>
          <w:tab w:leader="none" w:pos="38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35" w:lineRule="exact"/>
        <w:rPr>
          <w:rFonts w:ascii="Times New Roman" w:cs="Times New Roman" w:eastAsia="Times New Roman" w:hAnsi="Times New Roman"/>
          <w:sz w:val="18"/>
          <w:szCs w:val="18"/>
          <w:color w:val="auto"/>
        </w:rPr>
      </w:pPr>
    </w:p>
    <w:p>
      <w:pPr>
        <w:ind w:left="760" w:right="280" w:hanging="378"/>
        <w:spacing w:after="0" w:line="266" w:lineRule="auto"/>
        <w:tabs>
          <w:tab w:leader="none" w:pos="760" w:val="left"/>
        </w:tabs>
        <w:numPr>
          <w:ilvl w:val="1"/>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35" w:lineRule="exact"/>
        <w:rPr>
          <w:rFonts w:ascii="Times New Roman" w:cs="Times New Roman" w:eastAsia="Times New Roman" w:hAnsi="Times New Roman"/>
          <w:sz w:val="18"/>
          <w:szCs w:val="18"/>
          <w:color w:val="auto"/>
        </w:rPr>
      </w:pPr>
    </w:p>
    <w:p>
      <w:pPr>
        <w:ind w:left="760" w:right="600" w:hanging="378"/>
        <w:spacing w:after="0" w:line="266" w:lineRule="auto"/>
        <w:tabs>
          <w:tab w:leader="none" w:pos="760" w:val="left"/>
        </w:tabs>
        <w:numPr>
          <w:ilvl w:val="1"/>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48" w:lineRule="exact"/>
        <w:rPr>
          <w:rFonts w:ascii="Times New Roman" w:cs="Times New Roman" w:eastAsia="Times New Roman" w:hAnsi="Times New Roman"/>
          <w:sz w:val="18"/>
          <w:szCs w:val="18"/>
          <w:color w:val="auto"/>
        </w:rPr>
      </w:pPr>
    </w:p>
    <w:p>
      <w:pPr>
        <w:jc w:val="both"/>
        <w:ind w:left="760" w:right="760" w:hanging="378"/>
        <w:spacing w:after="0" w:line="312" w:lineRule="auto"/>
        <w:tabs>
          <w:tab w:leader="none" w:pos="760" w:val="left"/>
        </w:tabs>
        <w:numPr>
          <w:ilvl w:val="1"/>
          <w:numId w:val="3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99" w:lineRule="exact"/>
        <w:rPr>
          <w:rFonts w:ascii="Times New Roman" w:cs="Times New Roman" w:eastAsia="Times New Roman" w:hAnsi="Times New Roman"/>
          <w:sz w:val="17"/>
          <w:szCs w:val="17"/>
          <w:color w:val="auto"/>
        </w:rPr>
      </w:pPr>
    </w:p>
    <w:p>
      <w:pPr>
        <w:ind w:left="760" w:right="280" w:hanging="378"/>
        <w:spacing w:after="0" w:line="266" w:lineRule="auto"/>
        <w:tabs>
          <w:tab w:leader="none" w:pos="760" w:val="left"/>
        </w:tabs>
        <w:numPr>
          <w:ilvl w:val="1"/>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35" w:lineRule="exact"/>
        <w:rPr>
          <w:rFonts w:ascii="Times New Roman" w:cs="Times New Roman" w:eastAsia="Times New Roman" w:hAnsi="Times New Roman"/>
          <w:sz w:val="18"/>
          <w:szCs w:val="18"/>
          <w:color w:val="auto"/>
        </w:rPr>
      </w:pPr>
    </w:p>
    <w:p>
      <w:pPr>
        <w:ind w:left="380" w:right="80" w:hanging="372"/>
        <w:spacing w:after="0" w:line="282" w:lineRule="auto"/>
        <w:tabs>
          <w:tab w:leader="none" w:pos="38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34" w:lineRule="exact"/>
        <w:rPr>
          <w:rFonts w:ascii="Times New Roman" w:cs="Times New Roman" w:eastAsia="Times New Roman" w:hAnsi="Times New Roman"/>
          <w:sz w:val="18"/>
          <w:szCs w:val="18"/>
          <w:color w:val="auto"/>
        </w:rPr>
      </w:pPr>
    </w:p>
    <w:p>
      <w:pPr>
        <w:ind w:left="760" w:right="180" w:hanging="378"/>
        <w:spacing w:after="0" w:line="282" w:lineRule="auto"/>
        <w:tabs>
          <w:tab w:leader="none" w:pos="760" w:val="left"/>
        </w:tabs>
        <w:numPr>
          <w:ilvl w:val="1"/>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1" w:lineRule="exact"/>
        <w:rPr>
          <w:rFonts w:ascii="Times New Roman" w:cs="Times New Roman" w:eastAsia="Times New Roman" w:hAnsi="Times New Roman"/>
          <w:sz w:val="18"/>
          <w:szCs w:val="18"/>
          <w:color w:val="auto"/>
        </w:rPr>
      </w:pPr>
    </w:p>
    <w:p>
      <w:pPr>
        <w:ind w:left="760" w:right="140" w:hanging="378"/>
        <w:spacing w:after="0" w:line="282" w:lineRule="auto"/>
        <w:tabs>
          <w:tab w:leader="none" w:pos="760" w:val="left"/>
        </w:tabs>
        <w:numPr>
          <w:ilvl w:val="1"/>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August 2, 2024</w:t>
      </w:r>
    </w:p>
    <w:p>
      <w:pPr>
        <w:spacing w:after="0" w:line="26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/s/ Jonas Prising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3206115" cy="8890"/>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3206115" cy="8890"/>
                    </a:xfrm>
                    <a:prstGeom prst="rect">
                      <a:avLst/>
                    </a:prstGeom>
                    <a:noFill/>
                  </pic:spPr>
                </pic:pic>
              </a:graphicData>
            </a:graphic>
          </wp:anchor>
        </w:drawing>
      </w:r>
    </w:p>
    <w:p>
      <w:pPr>
        <w:spacing w:after="0" w:line="3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Jonas Prising</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619125</wp:posOffset>
            </wp:positionV>
            <wp:extent cx="7157720" cy="4254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42" w:name="page43"/>
    <w:bookmarkEnd w:id="42"/>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5" w:lineRule="exact"/>
        <w:rPr>
          <w:sz w:val="20"/>
          <w:szCs w:val="20"/>
          <w:color w:val="auto"/>
        </w:rPr>
      </w:pPr>
    </w:p>
    <w:p>
      <w:pPr>
        <w:ind w:left="4900"/>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John T. McGinnis, Executive Vice President and Chief Financial Officer of ManpowerGroup Inc., certify that:</w:t>
      </w:r>
    </w:p>
    <w:p>
      <w:pPr>
        <w:spacing w:after="0" w:line="198" w:lineRule="exact"/>
        <w:rPr>
          <w:sz w:val="20"/>
          <w:szCs w:val="20"/>
          <w:color w:val="auto"/>
        </w:rPr>
      </w:pPr>
    </w:p>
    <w:p>
      <w:pPr>
        <w:ind w:left="380" w:hanging="372"/>
        <w:spacing w:after="0"/>
        <w:tabs>
          <w:tab w:leader="none" w:pos="38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ManpowerGroup Inc.;</w:t>
      </w:r>
    </w:p>
    <w:p>
      <w:pPr>
        <w:spacing w:after="0" w:line="184" w:lineRule="exact"/>
        <w:rPr>
          <w:rFonts w:ascii="Times New Roman" w:cs="Times New Roman" w:eastAsia="Times New Roman" w:hAnsi="Times New Roman"/>
          <w:sz w:val="18"/>
          <w:szCs w:val="18"/>
          <w:color w:val="auto"/>
        </w:rPr>
      </w:pPr>
    </w:p>
    <w:p>
      <w:pPr>
        <w:jc w:val="both"/>
        <w:ind w:left="380" w:right="400" w:hanging="372"/>
        <w:spacing w:after="0" w:line="266" w:lineRule="auto"/>
        <w:tabs>
          <w:tab w:leader="none" w:pos="38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35" w:lineRule="exact"/>
        <w:rPr>
          <w:rFonts w:ascii="Times New Roman" w:cs="Times New Roman" w:eastAsia="Times New Roman" w:hAnsi="Times New Roman"/>
          <w:sz w:val="18"/>
          <w:szCs w:val="18"/>
          <w:color w:val="auto"/>
        </w:rPr>
      </w:pPr>
    </w:p>
    <w:p>
      <w:pPr>
        <w:ind w:left="380" w:right="360" w:hanging="372"/>
        <w:spacing w:after="0" w:line="282" w:lineRule="auto"/>
        <w:tabs>
          <w:tab w:leader="none" w:pos="38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34" w:lineRule="exact"/>
        <w:rPr>
          <w:rFonts w:ascii="Times New Roman" w:cs="Times New Roman" w:eastAsia="Times New Roman" w:hAnsi="Times New Roman"/>
          <w:sz w:val="18"/>
          <w:szCs w:val="18"/>
          <w:color w:val="auto"/>
        </w:rPr>
      </w:pPr>
    </w:p>
    <w:p>
      <w:pPr>
        <w:jc w:val="both"/>
        <w:ind w:left="380" w:right="380" w:hanging="372"/>
        <w:spacing w:after="0" w:line="266" w:lineRule="auto"/>
        <w:tabs>
          <w:tab w:leader="none" w:pos="38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35" w:lineRule="exact"/>
        <w:rPr>
          <w:rFonts w:ascii="Times New Roman" w:cs="Times New Roman" w:eastAsia="Times New Roman" w:hAnsi="Times New Roman"/>
          <w:sz w:val="18"/>
          <w:szCs w:val="18"/>
          <w:color w:val="auto"/>
        </w:rPr>
      </w:pPr>
    </w:p>
    <w:p>
      <w:pPr>
        <w:ind w:left="760" w:right="280" w:hanging="378"/>
        <w:spacing w:after="0" w:line="266" w:lineRule="auto"/>
        <w:tabs>
          <w:tab w:leader="none" w:pos="760" w:val="left"/>
        </w:tabs>
        <w:numPr>
          <w:ilvl w:val="1"/>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35" w:lineRule="exact"/>
        <w:rPr>
          <w:rFonts w:ascii="Times New Roman" w:cs="Times New Roman" w:eastAsia="Times New Roman" w:hAnsi="Times New Roman"/>
          <w:sz w:val="18"/>
          <w:szCs w:val="18"/>
          <w:color w:val="auto"/>
        </w:rPr>
      </w:pPr>
    </w:p>
    <w:p>
      <w:pPr>
        <w:ind w:left="760" w:right="600" w:hanging="378"/>
        <w:spacing w:after="0" w:line="266" w:lineRule="auto"/>
        <w:tabs>
          <w:tab w:leader="none" w:pos="760" w:val="left"/>
        </w:tabs>
        <w:numPr>
          <w:ilvl w:val="1"/>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48" w:lineRule="exact"/>
        <w:rPr>
          <w:rFonts w:ascii="Times New Roman" w:cs="Times New Roman" w:eastAsia="Times New Roman" w:hAnsi="Times New Roman"/>
          <w:sz w:val="18"/>
          <w:szCs w:val="18"/>
          <w:color w:val="auto"/>
        </w:rPr>
      </w:pPr>
    </w:p>
    <w:p>
      <w:pPr>
        <w:jc w:val="both"/>
        <w:ind w:left="760" w:right="760" w:hanging="378"/>
        <w:spacing w:after="0" w:line="312" w:lineRule="auto"/>
        <w:tabs>
          <w:tab w:leader="none" w:pos="760" w:val="left"/>
        </w:tabs>
        <w:numPr>
          <w:ilvl w:val="1"/>
          <w:numId w:val="4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99" w:lineRule="exact"/>
        <w:rPr>
          <w:rFonts w:ascii="Times New Roman" w:cs="Times New Roman" w:eastAsia="Times New Roman" w:hAnsi="Times New Roman"/>
          <w:sz w:val="17"/>
          <w:szCs w:val="17"/>
          <w:color w:val="auto"/>
        </w:rPr>
      </w:pPr>
    </w:p>
    <w:p>
      <w:pPr>
        <w:ind w:left="760" w:right="280" w:hanging="378"/>
        <w:spacing w:after="0" w:line="266" w:lineRule="auto"/>
        <w:tabs>
          <w:tab w:leader="none" w:pos="760" w:val="left"/>
        </w:tabs>
        <w:numPr>
          <w:ilvl w:val="1"/>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35" w:lineRule="exact"/>
        <w:rPr>
          <w:rFonts w:ascii="Times New Roman" w:cs="Times New Roman" w:eastAsia="Times New Roman" w:hAnsi="Times New Roman"/>
          <w:sz w:val="18"/>
          <w:szCs w:val="18"/>
          <w:color w:val="auto"/>
        </w:rPr>
      </w:pPr>
    </w:p>
    <w:p>
      <w:pPr>
        <w:ind w:left="380" w:right="80" w:hanging="372"/>
        <w:spacing w:after="0" w:line="282" w:lineRule="auto"/>
        <w:tabs>
          <w:tab w:leader="none" w:pos="38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34" w:lineRule="exact"/>
        <w:rPr>
          <w:rFonts w:ascii="Times New Roman" w:cs="Times New Roman" w:eastAsia="Times New Roman" w:hAnsi="Times New Roman"/>
          <w:sz w:val="18"/>
          <w:szCs w:val="18"/>
          <w:color w:val="auto"/>
        </w:rPr>
      </w:pPr>
    </w:p>
    <w:p>
      <w:pPr>
        <w:ind w:left="760" w:right="180" w:hanging="378"/>
        <w:spacing w:after="0" w:line="282" w:lineRule="auto"/>
        <w:tabs>
          <w:tab w:leader="none" w:pos="760" w:val="left"/>
        </w:tabs>
        <w:numPr>
          <w:ilvl w:val="1"/>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1" w:lineRule="exact"/>
        <w:rPr>
          <w:rFonts w:ascii="Times New Roman" w:cs="Times New Roman" w:eastAsia="Times New Roman" w:hAnsi="Times New Roman"/>
          <w:sz w:val="18"/>
          <w:szCs w:val="18"/>
          <w:color w:val="auto"/>
        </w:rPr>
      </w:pPr>
    </w:p>
    <w:p>
      <w:pPr>
        <w:ind w:left="760" w:right="140" w:hanging="378"/>
        <w:spacing w:after="0" w:line="282" w:lineRule="auto"/>
        <w:tabs>
          <w:tab w:leader="none" w:pos="760" w:val="left"/>
        </w:tabs>
        <w:numPr>
          <w:ilvl w:val="1"/>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August 2, 2024</w:t>
      </w:r>
    </w:p>
    <w:p>
      <w:pPr>
        <w:spacing w:after="0" w:line="26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/s/ John T. McGinnis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3206115" cy="825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3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John T. McGinnis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Executive Vice President and 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619125</wp:posOffset>
            </wp:positionV>
            <wp:extent cx="7157720" cy="4254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43" w:name="page44"/>
    <w:bookmarkEnd w:id="43"/>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STATEMENT</w:t>
      </w:r>
    </w:p>
    <w:p>
      <w:pPr>
        <w:spacing w:after="0" w:line="189" w:lineRule="exact"/>
        <w:rPr>
          <w:sz w:val="20"/>
          <w:szCs w:val="20"/>
          <w:color w:val="auto"/>
        </w:rPr>
      </w:pPr>
    </w:p>
    <w:p>
      <w:pPr>
        <w:ind w:right="460"/>
        <w:spacing w:after="0" w:line="282" w:lineRule="auto"/>
        <w:rPr>
          <w:sz w:val="20"/>
          <w:szCs w:val="20"/>
          <w:color w:val="auto"/>
        </w:rPr>
      </w:pPr>
      <w:r>
        <w:rPr>
          <w:rFonts w:ascii="Times New Roman" w:cs="Times New Roman" w:eastAsia="Times New Roman" w:hAnsi="Times New Roman"/>
          <w:sz w:val="18"/>
          <w:szCs w:val="18"/>
          <w:color w:val="auto"/>
        </w:rPr>
        <w:t>Pursuant to ss. 906 of the Sarbanes-Oxley Act of 2002, 18 U.S.C. ss. 1350, the undersigned officer of ManpowerGroup Inc. (the “Company”), hereby certifies that to his knowledge:</w:t>
      </w:r>
    </w:p>
    <w:p>
      <w:pPr>
        <w:spacing w:after="0" w:line="135" w:lineRule="exact"/>
        <w:rPr>
          <w:sz w:val="20"/>
          <w:szCs w:val="20"/>
          <w:color w:val="auto"/>
        </w:rPr>
      </w:pPr>
    </w:p>
    <w:p>
      <w:pPr>
        <w:ind w:left="760" w:right="360" w:hanging="378"/>
        <w:spacing w:after="0" w:line="282" w:lineRule="auto"/>
        <w:tabs>
          <w:tab w:leader="none" w:pos="76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Quarterly Report on Form 10-Q for the quarter ended June 30, 2024 fully complies with the requirements of Section 13(a) or 15(d), as applicable, of the Securities Exchange Act of 1934, and</w:t>
      </w:r>
    </w:p>
    <w:p>
      <w:pPr>
        <w:spacing w:after="0" w:line="121" w:lineRule="exact"/>
        <w:rPr>
          <w:rFonts w:ascii="Times New Roman" w:cs="Times New Roman" w:eastAsia="Times New Roman" w:hAnsi="Times New Roman"/>
          <w:sz w:val="18"/>
          <w:szCs w:val="18"/>
          <w:color w:val="auto"/>
        </w:rPr>
      </w:pPr>
    </w:p>
    <w:p>
      <w:pPr>
        <w:ind w:right="160" w:firstLine="382"/>
        <w:spacing w:after="0" w:line="461" w:lineRule="auto"/>
        <w:tabs>
          <w:tab w:leader="none" w:pos="748"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 ManpowerGroup Inc.</w:t>
      </w:r>
    </w:p>
    <w:p>
      <w:pPr>
        <w:spacing w:after="0" w:line="1"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Dated: August 2, 2024</w:t>
      </w:r>
    </w:p>
    <w:p>
      <w:pPr>
        <w:spacing w:after="0" w:line="23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/s/ Jonas Prising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3206115" cy="825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3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Jonas Prising</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218" w:lineRule="exact"/>
        <w:rPr>
          <w:sz w:val="20"/>
          <w:szCs w:val="20"/>
          <w:color w:val="auto"/>
        </w:rPr>
      </w:pPr>
    </w:p>
    <w:p>
      <w:pPr>
        <w:ind w:right="260"/>
        <w:spacing w:after="0" w:line="284" w:lineRule="auto"/>
        <w:rPr>
          <w:sz w:val="20"/>
          <w:szCs w:val="20"/>
          <w:color w:val="auto"/>
        </w:rPr>
      </w:pPr>
      <w:r>
        <w:rPr>
          <w:rFonts w:ascii="Times New Roman" w:cs="Times New Roman" w:eastAsia="Times New Roman" w:hAnsi="Times New Roman"/>
          <w:sz w:val="18"/>
          <w:szCs w:val="18"/>
          <w:i w:val="1"/>
          <w:iCs w:val="1"/>
          <w:color w:val="auto"/>
        </w:rPr>
        <w:t>This certification accompanies this Quarterly Report on Form 10-Q pursuant to Section 906 of the Sarbanes-Oxley Act of 2002 and shall not be deemed filed by the Company for purposes of the Securities Exchange Act of 1934.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580390</wp:posOffset>
            </wp:positionV>
            <wp:extent cx="7157720" cy="4254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44" w:name="page45"/>
    <w:bookmarkEnd w:id="44"/>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STATEMENT</w:t>
      </w:r>
    </w:p>
    <w:p>
      <w:pPr>
        <w:spacing w:after="0" w:line="189" w:lineRule="exact"/>
        <w:rPr>
          <w:sz w:val="20"/>
          <w:szCs w:val="20"/>
          <w:color w:val="auto"/>
        </w:rPr>
      </w:pPr>
    </w:p>
    <w:p>
      <w:pPr>
        <w:ind w:right="460"/>
        <w:spacing w:after="0" w:line="282" w:lineRule="auto"/>
        <w:rPr>
          <w:sz w:val="20"/>
          <w:szCs w:val="20"/>
          <w:color w:val="auto"/>
        </w:rPr>
      </w:pPr>
      <w:r>
        <w:rPr>
          <w:rFonts w:ascii="Times New Roman" w:cs="Times New Roman" w:eastAsia="Times New Roman" w:hAnsi="Times New Roman"/>
          <w:sz w:val="18"/>
          <w:szCs w:val="18"/>
          <w:color w:val="auto"/>
        </w:rPr>
        <w:t>Pursuant to ss. 906 of the Sarbanes-Oxley Act of 2002, 18 U.S.C. ss. 1350, the undersigned officer of ManpowerGroup Inc. (the “Company”), hereby certifies that to his knowledge:</w:t>
      </w:r>
    </w:p>
    <w:p>
      <w:pPr>
        <w:spacing w:after="0" w:line="135" w:lineRule="exact"/>
        <w:rPr>
          <w:sz w:val="20"/>
          <w:szCs w:val="20"/>
          <w:color w:val="auto"/>
        </w:rPr>
      </w:pPr>
    </w:p>
    <w:p>
      <w:pPr>
        <w:ind w:left="760" w:right="360" w:hanging="378"/>
        <w:spacing w:after="0" w:line="282" w:lineRule="auto"/>
        <w:tabs>
          <w:tab w:leader="none" w:pos="76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Quarterly Report on Form 10-Q for the quarter ended June 30, 2024 fully complies with the requirements of Section 13(a) or 15(d), as applicable, of the Securities Exchange Act of 1934, and</w:t>
      </w:r>
    </w:p>
    <w:p>
      <w:pPr>
        <w:spacing w:after="0" w:line="121" w:lineRule="exact"/>
        <w:rPr>
          <w:rFonts w:ascii="Times New Roman" w:cs="Times New Roman" w:eastAsia="Times New Roman" w:hAnsi="Times New Roman"/>
          <w:sz w:val="18"/>
          <w:szCs w:val="18"/>
          <w:color w:val="auto"/>
        </w:rPr>
      </w:pPr>
    </w:p>
    <w:p>
      <w:pPr>
        <w:ind w:right="160" w:firstLine="382"/>
        <w:spacing w:after="0" w:line="461" w:lineRule="auto"/>
        <w:tabs>
          <w:tab w:leader="none" w:pos="748"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 ManpowerGroup Inc.</w:t>
      </w:r>
    </w:p>
    <w:p>
      <w:pPr>
        <w:spacing w:after="0" w:line="1"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Dated: August 2, 2024</w:t>
      </w:r>
    </w:p>
    <w:p>
      <w:pPr>
        <w:spacing w:after="0" w:line="23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/s/ John T. McGinnis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3206115" cy="825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3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John T. McGinnis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Executive Vice President and Chief Financial Officer</w:t>
      </w:r>
    </w:p>
    <w:p>
      <w:pPr>
        <w:spacing w:after="0" w:line="218" w:lineRule="exact"/>
        <w:rPr>
          <w:sz w:val="20"/>
          <w:szCs w:val="20"/>
          <w:color w:val="auto"/>
        </w:rPr>
      </w:pPr>
    </w:p>
    <w:p>
      <w:pPr>
        <w:ind w:right="260"/>
        <w:spacing w:after="0" w:line="284" w:lineRule="auto"/>
        <w:rPr>
          <w:sz w:val="20"/>
          <w:szCs w:val="20"/>
          <w:color w:val="auto"/>
        </w:rPr>
      </w:pPr>
      <w:r>
        <w:rPr>
          <w:rFonts w:ascii="Times New Roman" w:cs="Times New Roman" w:eastAsia="Times New Roman" w:hAnsi="Times New Roman"/>
          <w:sz w:val="18"/>
          <w:szCs w:val="18"/>
          <w:i w:val="1"/>
          <w:iCs w:val="1"/>
          <w:color w:val="auto"/>
        </w:rPr>
        <w:t>This certification accompanies this Quarterly Report on Form 10-Q pursuant to Section 906 of the Sarbanes-Oxley Act of 2002 and shall not be deemed filed by the Company for purposes of the Securities Exchange Act of 1934.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580390</wp:posOffset>
            </wp:positionV>
            <wp:extent cx="7157720" cy="4254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45" w:name="page46"/>
    <w:bookmarkEnd w:id="45"/>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33AB105"/>
    <w:multiLevelType w:val="hybridMultilevel"/>
    <w:lvl w:ilvl="0">
      <w:lvlJc w:val="left"/>
      <w:lvlText w:val="☒"/>
      <w:numFmt w:val="bullet"/>
      <w:start w:val="1"/>
    </w:lvl>
  </w:abstractNum>
  <w:abstractNum w:abstractNumId="1">
    <w:nsid w:val="721DA317"/>
    <w:multiLevelType w:val="hybridMultilevel"/>
    <w:lvl w:ilvl="0">
      <w:lvlJc w:val="left"/>
      <w:lvlText w:val="☐"/>
      <w:numFmt w:val="bullet"/>
      <w:start w:val="1"/>
    </w:lvl>
  </w:abstractNum>
  <w:abstractNum w:abstractNumId="2">
    <w:nsid w:val="2443A858"/>
    <w:multiLevelType w:val="hybridMultilevel"/>
    <w:lvl w:ilvl="0">
      <w:lvlJc w:val="left"/>
      <w:lvlText w:val="(%1)"/>
      <w:numFmt w:val="decimal"/>
      <w:start w:val="1"/>
    </w:lvl>
  </w:abstractNum>
  <w:abstractNum w:abstractNumId="3">
    <w:nsid w:val="2D1D5AE9"/>
    <w:multiLevelType w:val="hybridMultilevel"/>
    <w:lvl w:ilvl="0">
      <w:lvlJc w:val="left"/>
      <w:lvlText w:val="(%1)"/>
      <w:numFmt w:val="decimal"/>
      <w:start w:val="2"/>
    </w:lvl>
  </w:abstractNum>
  <w:abstractNum w:abstractNumId="4">
    <w:nsid w:val="6763845E"/>
    <w:multiLevelType w:val="hybridMultilevel"/>
    <w:lvl w:ilvl="0">
      <w:lvlJc w:val="left"/>
      <w:lvlText w:val="(%1)"/>
      <w:numFmt w:val="decimal"/>
      <w:start w:val="3"/>
    </w:lvl>
  </w:abstractNum>
  <w:abstractNum w:abstractNumId="5">
    <w:nsid w:val="75A2A8D4"/>
    <w:multiLevelType w:val="hybridMultilevel"/>
    <w:lvl w:ilvl="0">
      <w:lvlJc w:val="left"/>
      <w:lvlText w:val="(%1)"/>
      <w:numFmt w:val="lowerLetter"/>
      <w:start w:val="1"/>
    </w:lvl>
  </w:abstractNum>
  <w:abstractNum w:abstractNumId="6">
    <w:nsid w:val="8EDBDAB"/>
    <w:multiLevelType w:val="hybridMultilevel"/>
    <w:lvl w:ilvl="0">
      <w:lvlJc w:val="left"/>
      <w:lvlText w:val="(%1)"/>
      <w:numFmt w:val="lowerLetter"/>
      <w:start w:val="1"/>
    </w:lvl>
  </w:abstractNum>
  <w:abstractNum w:abstractNumId="7">
    <w:nsid w:val="79838CB2"/>
    <w:multiLevelType w:val="hybridMultilevel"/>
    <w:lvl w:ilvl="0">
      <w:lvlJc w:val="left"/>
      <w:lvlText w:val="(%1)"/>
      <w:numFmt w:val="lowerLetter"/>
      <w:start w:val="1"/>
    </w:lvl>
  </w:abstractNum>
  <w:abstractNum w:abstractNumId="8">
    <w:nsid w:val="4353D0CD"/>
    <w:multiLevelType w:val="hybridMultilevel"/>
    <w:lvl w:ilvl="0">
      <w:lvlJc w:val="left"/>
      <w:lvlText w:val="(%1)"/>
      <w:numFmt w:val="lowerLetter"/>
      <w:start w:val="1"/>
    </w:lvl>
  </w:abstractNum>
  <w:abstractNum w:abstractNumId="9">
    <w:nsid w:val="B03E0C6"/>
    <w:multiLevelType w:val="hybridMultilevel"/>
    <w:lvl w:ilvl="0">
      <w:lvlJc w:val="left"/>
      <w:lvlText w:val="(%1)"/>
      <w:numFmt w:val="decimal"/>
      <w:start w:val="4"/>
    </w:lvl>
  </w:abstractNum>
  <w:abstractNum w:abstractNumId="10">
    <w:nsid w:val="189A769B"/>
    <w:multiLevelType w:val="hybridMultilevel"/>
    <w:lvl w:ilvl="0">
      <w:lvlJc w:val="left"/>
      <w:lvlText w:val="(%1)"/>
      <w:numFmt w:val="decimal"/>
      <w:start w:val="5"/>
    </w:lvl>
  </w:abstractNum>
  <w:abstractNum w:abstractNumId="11">
    <w:nsid w:val="54E49EB4"/>
    <w:multiLevelType w:val="hybridMultilevel"/>
    <w:lvl w:ilvl="0">
      <w:lvlJc w:val="left"/>
      <w:lvlText w:val="(%1)"/>
      <w:numFmt w:val="decimal"/>
      <w:start w:val="6"/>
    </w:lvl>
  </w:abstractNum>
  <w:abstractNum w:abstractNumId="12">
    <w:nsid w:val="71F32454"/>
    <w:multiLevelType w:val="hybridMultilevel"/>
    <w:lvl w:ilvl="0">
      <w:lvlJc w:val="left"/>
      <w:lvlText w:val="(%1)"/>
      <w:numFmt w:val="lowerLetter"/>
      <w:start w:val="1"/>
    </w:lvl>
  </w:abstractNum>
  <w:abstractNum w:abstractNumId="13">
    <w:nsid w:val="2CA88611"/>
    <w:multiLevelType w:val="hybridMultilevel"/>
    <w:lvl w:ilvl="0">
      <w:lvlJc w:val="left"/>
      <w:lvlText w:val="(%1)"/>
      <w:numFmt w:val="decimal"/>
      <w:start w:val="7"/>
    </w:lvl>
  </w:abstractNum>
  <w:abstractNum w:abstractNumId="14">
    <w:nsid w:val="836C40E"/>
    <w:multiLevelType w:val="hybridMultilevel"/>
    <w:lvl w:ilvl="0">
      <w:lvlJc w:val="left"/>
      <w:lvlText w:val="(%1)"/>
      <w:numFmt w:val="decimal"/>
      <w:start w:val="8"/>
    </w:lvl>
  </w:abstractNum>
  <w:abstractNum w:abstractNumId="15">
    <w:nsid w:val="2901D82"/>
    <w:multiLevelType w:val="hybridMultilevel"/>
    <w:lvl w:ilvl="0">
      <w:lvlJc w:val="left"/>
      <w:lvlText w:val="(%1)"/>
      <w:numFmt w:val="decimal"/>
      <w:start w:val="9"/>
    </w:lvl>
  </w:abstractNum>
  <w:abstractNum w:abstractNumId="16">
    <w:nsid w:val="3A95F874"/>
    <w:multiLevelType w:val="hybridMultilevel"/>
    <w:lvl w:ilvl="0">
      <w:lvlJc w:val="left"/>
      <w:lvlText w:val="(%1)"/>
      <w:numFmt w:val="lowerLetter"/>
      <w:start w:val="1"/>
    </w:lvl>
  </w:abstractNum>
  <w:abstractNum w:abstractNumId="17">
    <w:nsid w:val="8138641"/>
    <w:multiLevelType w:val="hybridMultilevel"/>
    <w:lvl w:ilvl="0">
      <w:lvlJc w:val="left"/>
      <w:lvlText w:val="%1"/>
      <w:numFmt w:val="decimal"/>
      <w:start w:val="1"/>
    </w:lvl>
    <w:lvl w:ilvl="1">
      <w:lvlJc w:val="left"/>
      <w:lvlText w:val="(%2)"/>
      <w:numFmt w:val="lowerLetter"/>
      <w:start w:val="1"/>
    </w:lvl>
  </w:abstractNum>
  <w:abstractNum w:abstractNumId="18">
    <w:nsid w:val="1E7FF521"/>
    <w:multiLevelType w:val="hybridMultilevel"/>
    <w:lvl w:ilvl="0">
      <w:lvlJc w:val="left"/>
      <w:lvlText w:val="(%1)"/>
      <w:numFmt w:val="decimal"/>
      <w:start w:val="10"/>
    </w:lvl>
    <w:lvl w:ilvl="1">
      <w:lvlJc w:val="left"/>
      <w:lvlText w:val="%2"/>
      <w:numFmt w:val="lowerLetter"/>
      <w:start w:val="1"/>
    </w:lvl>
  </w:abstractNum>
  <w:abstractNum w:abstractNumId="19">
    <w:nsid w:val="7C3DBD3D"/>
    <w:multiLevelType w:val="hybridMultilevel"/>
    <w:lvl w:ilvl="0">
      <w:lvlJc w:val="left"/>
      <w:lvlText w:val="(%1)"/>
      <w:numFmt w:val="decimal"/>
      <w:start w:val="13"/>
    </w:lvl>
  </w:abstractNum>
  <w:abstractNum w:abstractNumId="20">
    <w:nsid w:val="737B8DDC"/>
    <w:multiLevelType w:val="hybridMultilevel"/>
    <w:lvl w:ilvl="0">
      <w:lvlJc w:val="left"/>
      <w:lvlText w:val="(%1)"/>
      <w:numFmt w:val="lowerLetter"/>
      <w:start w:val="1"/>
    </w:lvl>
  </w:abstractNum>
  <w:abstractNum w:abstractNumId="21">
    <w:nsid w:val="6CEAF087"/>
    <w:multiLevelType w:val="hybridMultilevel"/>
    <w:lvl w:ilvl="0">
      <w:lvlJc w:val="left"/>
      <w:lvlText w:val="(%1)"/>
      <w:numFmt w:val="lowerLetter"/>
      <w:start w:val="1"/>
    </w:lvl>
  </w:abstractNum>
  <w:abstractNum w:abstractNumId="22">
    <w:nsid w:val="22221A70"/>
    <w:multiLevelType w:val="hybridMultilevel"/>
    <w:lvl w:ilvl="0">
      <w:lvlJc w:val="left"/>
      <w:lvlText w:val="(%1)"/>
      <w:numFmt w:val="lowerLetter"/>
      <w:start w:val="1"/>
    </w:lvl>
  </w:abstractNum>
  <w:abstractNum w:abstractNumId="23">
    <w:nsid w:val="4516DDE9"/>
    <w:multiLevelType w:val="hybridMultilevel"/>
    <w:lvl w:ilvl="0">
      <w:lvlJc w:val="left"/>
      <w:lvlText w:val="•"/>
      <w:numFmt w:val="bullet"/>
      <w:start w:val="1"/>
    </w:lvl>
  </w:abstractNum>
  <w:abstractNum w:abstractNumId="24">
    <w:nsid w:val="3006C83E"/>
    <w:multiLevelType w:val="hybridMultilevel"/>
    <w:lvl w:ilvl="0">
      <w:lvlJc w:val="left"/>
      <w:lvlText w:val="•"/>
      <w:numFmt w:val="bullet"/>
      <w:start w:val="1"/>
    </w:lvl>
  </w:abstractNum>
  <w:abstractNum w:abstractNumId="25">
    <w:nsid w:val="614FD4A1"/>
    <w:multiLevelType w:val="hybridMultilevel"/>
    <w:lvl w:ilvl="0">
      <w:lvlJc w:val="left"/>
      <w:lvlText w:val="•"/>
      <w:numFmt w:val="bullet"/>
      <w:start w:val="1"/>
    </w:lvl>
  </w:abstractNum>
  <w:abstractNum w:abstractNumId="26">
    <w:nsid w:val="419AC241"/>
    <w:multiLevelType w:val="hybridMultilevel"/>
    <w:lvl w:ilvl="0">
      <w:lvlJc w:val="left"/>
      <w:lvlText w:val="•"/>
      <w:numFmt w:val="bullet"/>
      <w:start w:val="1"/>
    </w:lvl>
  </w:abstractNum>
  <w:abstractNum w:abstractNumId="27">
    <w:nsid w:val="5577F8E1"/>
    <w:multiLevelType w:val="hybridMultilevel"/>
    <w:lvl w:ilvl="0">
      <w:lvlJc w:val="left"/>
      <w:lvlText w:val="•"/>
      <w:numFmt w:val="bullet"/>
      <w:start w:val="1"/>
    </w:lvl>
  </w:abstractNum>
  <w:abstractNum w:abstractNumId="28">
    <w:nsid w:val="440BADFC"/>
    <w:multiLevelType w:val="hybridMultilevel"/>
    <w:lvl w:ilvl="0">
      <w:lvlJc w:val="left"/>
      <w:lvlText w:val="•"/>
      <w:numFmt w:val="bullet"/>
      <w:start w:val="1"/>
    </w:lvl>
  </w:abstractNum>
  <w:abstractNum w:abstractNumId="29">
    <w:nsid w:val="5072367"/>
    <w:multiLevelType w:val="hybridMultilevel"/>
    <w:lvl w:ilvl="0">
      <w:lvlJc w:val="left"/>
      <w:lvlText w:val="•"/>
      <w:numFmt w:val="bullet"/>
      <w:start w:val="1"/>
    </w:lvl>
  </w:abstractNum>
  <w:abstractNum w:abstractNumId="30">
    <w:nsid w:val="3804823E"/>
    <w:multiLevelType w:val="hybridMultilevel"/>
    <w:lvl w:ilvl="0">
      <w:lvlJc w:val="left"/>
      <w:lvlText w:val="•"/>
      <w:numFmt w:val="bullet"/>
      <w:start w:val="1"/>
    </w:lvl>
  </w:abstractNum>
  <w:abstractNum w:abstractNumId="31">
    <w:nsid w:val="77465F01"/>
    <w:multiLevelType w:val="hybridMultilevel"/>
    <w:lvl w:ilvl="0">
      <w:lvlJc w:val="left"/>
      <w:lvlText w:val="•"/>
      <w:numFmt w:val="bullet"/>
      <w:start w:val="1"/>
    </w:lvl>
  </w:abstractNum>
  <w:abstractNum w:abstractNumId="32">
    <w:nsid w:val="7724C67E"/>
    <w:multiLevelType w:val="hybridMultilevel"/>
    <w:lvl w:ilvl="0">
      <w:lvlJc w:val="left"/>
      <w:lvlText w:val="•"/>
      <w:numFmt w:val="bullet"/>
      <w:start w:val="1"/>
    </w:lvl>
  </w:abstractNum>
  <w:abstractNum w:abstractNumId="33">
    <w:nsid w:val="5C482A97"/>
    <w:multiLevelType w:val="hybridMultilevel"/>
    <w:lvl w:ilvl="0">
      <w:lvlJc w:val="left"/>
      <w:lvlText w:val="(%1)"/>
      <w:numFmt w:val="lowerLetter"/>
      <w:start w:val="1"/>
    </w:lvl>
  </w:abstractNum>
  <w:abstractNum w:abstractNumId="34">
    <w:nsid w:val="2463B9EA"/>
    <w:multiLevelType w:val="hybridMultilevel"/>
    <w:lvl w:ilvl="0">
      <w:lvlJc w:val="left"/>
      <w:lvlText w:val="(%1)"/>
      <w:numFmt w:val="lowerLetter"/>
      <w:start w:val="1"/>
    </w:lvl>
  </w:abstractNum>
  <w:abstractNum w:abstractNumId="35">
    <w:nsid w:val="5E884ADC"/>
    <w:multiLevelType w:val="hybridMultilevel"/>
    <w:lvl w:ilvl="0">
      <w:lvlJc w:val="left"/>
      <w:lvlText w:val="(%1)"/>
      <w:numFmt w:val="decimal"/>
      <w:start w:val="1"/>
    </w:lvl>
  </w:abstractNum>
  <w:abstractNum w:abstractNumId="36">
    <w:nsid w:val="51EAD36B"/>
    <w:multiLevelType w:val="hybridMultilevel"/>
    <w:lvl w:ilvl="0">
      <w:lvlJc w:val="left"/>
      <w:lvlText w:val="(%1)"/>
      <w:numFmt w:val="lowerLetter"/>
      <w:start w:val="1"/>
    </w:lvl>
  </w:abstractNum>
  <w:abstractNum w:abstractNumId="37">
    <w:nsid w:val="2D517796"/>
    <w:multiLevelType w:val="hybridMultilevel"/>
    <w:lvl w:ilvl="0">
      <w:lvlJc w:val="left"/>
      <w:lvlText w:val="%1"/>
      <w:numFmt w:val="decimal"/>
      <w:start w:val="104"/>
    </w:lvl>
  </w:abstractNum>
  <w:abstractNum w:abstractNumId="38">
    <w:nsid w:val="580BD78F"/>
    <w:multiLevelType w:val="hybridMultilevel"/>
    <w:lvl w:ilvl="0">
      <w:lvlJc w:val="left"/>
      <w:lvlText w:val="%1."/>
      <w:numFmt w:val="decimal"/>
      <w:start w:val="1"/>
    </w:lvl>
    <w:lvl w:ilvl="1">
      <w:lvlJc w:val="left"/>
      <w:lvlText w:val="(%2)"/>
      <w:numFmt w:val="lowerLetter"/>
      <w:start w:val="1"/>
    </w:lvl>
  </w:abstractNum>
  <w:abstractNum w:abstractNumId="39">
    <w:nsid w:val="153EA438"/>
    <w:multiLevelType w:val="hybridMultilevel"/>
    <w:lvl w:ilvl="0">
      <w:lvlJc w:val="left"/>
      <w:lvlText w:val="%1."/>
      <w:numFmt w:val="decimal"/>
      <w:start w:val="1"/>
    </w:lvl>
    <w:lvl w:ilvl="1">
      <w:lvlJc w:val="left"/>
      <w:lvlText w:val="(%2)"/>
      <w:numFmt w:val="lowerLetter"/>
      <w:start w:val="1"/>
    </w:lvl>
  </w:abstractNum>
  <w:abstractNum w:abstractNumId="40">
    <w:nsid w:val="3855585C"/>
    <w:multiLevelType w:val="hybridMultilevel"/>
    <w:lvl w:ilvl="0">
      <w:lvlJc w:val="left"/>
      <w:lvlText w:val="%1."/>
      <w:numFmt w:val="decimal"/>
      <w:start w:val="1"/>
    </w:lvl>
  </w:abstractNum>
  <w:abstractNum w:abstractNumId="41">
    <w:nsid w:val="70A64E2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2024-08-02T15:56:07Z</dcterms:created>
  <dcterms:modified xsi:type="dcterms:W3CDTF">2024-08-02T15:56:07Z</dcterms:modified>
</cp:coreProperties>
</file>