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192" w:lineRule="exact"/>
        <w:rPr>
          <w:sz w:val="24"/>
          <w:szCs w:val="24"/>
          <w:color w:val="auto"/>
        </w:rPr>
      </w:pPr>
    </w:p>
    <w:p>
      <w:pPr>
        <w:ind w:left="1760"/>
        <w:spacing w:after="0"/>
        <w:rPr>
          <w:sz w:val="20"/>
          <w:szCs w:val="20"/>
          <w:color w:val="auto"/>
        </w:rPr>
      </w:pPr>
      <w:r>
        <w:rPr>
          <w:rFonts w:ascii="Arial" w:cs="Arial" w:eastAsia="Arial" w:hAnsi="Arial"/>
          <w:sz w:val="15"/>
          <w:szCs w:val="15"/>
          <w:b w:val="1"/>
          <w:bCs w:val="1"/>
          <w:color w:val="auto"/>
        </w:rPr>
        <w:t>x ANNUAL REPORT PURSUANT TO SECTION 13 OR 15(d) OF THE SECURITIES EXCHANGE ACT OF 1934:</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For the fiscal year ended December 31, 2009</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OR</w:t>
      </w:r>
    </w:p>
    <w:p>
      <w:pPr>
        <w:spacing w:after="0" w:line="7" w:lineRule="exact"/>
        <w:rPr>
          <w:sz w:val="24"/>
          <w:szCs w:val="24"/>
          <w:color w:val="auto"/>
        </w:rPr>
      </w:pPr>
    </w:p>
    <w:p>
      <w:pPr>
        <w:jc w:val="center"/>
        <w:ind w:left="4760" w:right="1660" w:hanging="3031"/>
        <w:spacing w:after="0" w:line="521" w:lineRule="auto"/>
        <w:tabs>
          <w:tab w:leader="none" w:pos="1903"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Commission File No. 1-10686</w:t>
      </w:r>
    </w:p>
    <w:tbl>
      <w:tblPr>
        <w:tblLayout w:type="fixed"/>
        <w:tblInd w:w="400" w:type="dxa"/>
        <w:tblCellMar>
          <w:top w:w="0" w:type="dxa"/>
          <w:left w:w="0" w:type="dxa"/>
          <w:bottom w:w="0" w:type="dxa"/>
          <w:right w:w="0" w:type="dxa"/>
        </w:tblCellMar>
      </w:tblPr>
      <w:tr>
        <w:trPr>
          <w:trHeight w:val="332"/>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40" w:type="dxa"/>
            <w:vAlign w:val="bottom"/>
            <w:gridSpan w:val="2"/>
          </w:tcPr>
          <w:p>
            <w:pPr>
              <w:jc w:val="center"/>
              <w:ind w:right="223"/>
              <w:spacing w:after="0"/>
              <w:rPr>
                <w:sz w:val="20"/>
                <w:szCs w:val="20"/>
                <w:color w:val="auto"/>
              </w:rPr>
            </w:pPr>
            <w:r>
              <w:rPr>
                <w:rFonts w:ascii="Arial" w:cs="Arial" w:eastAsia="Arial" w:hAnsi="Arial"/>
                <w:sz w:val="28"/>
                <w:szCs w:val="28"/>
                <w:b w:val="1"/>
                <w:bCs w:val="1"/>
                <w:color w:val="auto"/>
              </w:rPr>
              <w:t>MANPOWER INC.</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8"/>
        </w:trPr>
        <w:tc>
          <w:tcPr>
            <w:tcW w:w="1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40" w:type="dxa"/>
            <w:vAlign w:val="bottom"/>
            <w:gridSpan w:val="2"/>
          </w:tcPr>
          <w:p>
            <w:pPr>
              <w:jc w:val="center"/>
              <w:ind w:right="223"/>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3"/>
        </w:trPr>
        <w:tc>
          <w:tcPr>
            <w:tcW w:w="1880" w:type="dxa"/>
            <w:vAlign w:val="bottom"/>
          </w:tcPr>
          <w:p>
            <w:pPr>
              <w:spacing w:after="0"/>
              <w:rPr>
                <w:sz w:val="24"/>
                <w:szCs w:val="24"/>
                <w:color w:val="auto"/>
              </w:rPr>
            </w:pPr>
          </w:p>
        </w:tc>
        <w:tc>
          <w:tcPr>
            <w:tcW w:w="1660" w:type="dxa"/>
            <w:vAlign w:val="bottom"/>
            <w:gridSpan w:val="2"/>
          </w:tcPr>
          <w:p>
            <w:pPr>
              <w:jc w:val="center"/>
              <w:ind w:right="443"/>
              <w:spacing w:after="0"/>
              <w:rPr>
                <w:sz w:val="20"/>
                <w:szCs w:val="20"/>
                <w:color w:val="auto"/>
              </w:rPr>
            </w:pPr>
            <w:r>
              <w:rPr>
                <w:rFonts w:ascii="Arial" w:cs="Arial" w:eastAsia="Arial" w:hAnsi="Arial"/>
                <w:sz w:val="15"/>
                <w:szCs w:val="15"/>
                <w:b w:val="1"/>
                <w:bCs w:val="1"/>
                <w:color w:val="auto"/>
              </w:rPr>
              <w:t>WISCONSIN</w:t>
            </w: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823"/>
              <w:spacing w:after="0"/>
              <w:rPr>
                <w:sz w:val="20"/>
                <w:szCs w:val="20"/>
                <w:color w:val="auto"/>
              </w:rPr>
            </w:pPr>
            <w:r>
              <w:rPr>
                <w:rFonts w:ascii="Arial" w:cs="Arial" w:eastAsia="Arial" w:hAnsi="Arial"/>
                <w:sz w:val="15"/>
                <w:szCs w:val="15"/>
                <w:b w:val="1"/>
                <w:bCs w:val="1"/>
                <w:color w:val="auto"/>
                <w:w w:val="94"/>
              </w:rPr>
              <w:t>39-1672779</w:t>
            </w:r>
          </w:p>
        </w:tc>
      </w:tr>
      <w:tr>
        <w:trPr>
          <w:trHeight w:val="184"/>
        </w:trPr>
        <w:tc>
          <w:tcPr>
            <w:tcW w:w="3540" w:type="dxa"/>
            <w:vAlign w:val="bottom"/>
            <w:gridSpan w:val="3"/>
          </w:tcPr>
          <w:p>
            <w:pPr>
              <w:jc w:val="center"/>
              <w:ind w:left="1303"/>
              <w:spacing w:after="0"/>
              <w:rPr>
                <w:sz w:val="20"/>
                <w:szCs w:val="20"/>
                <w:color w:val="auto"/>
              </w:rPr>
            </w:pPr>
            <w:r>
              <w:rPr>
                <w:rFonts w:ascii="Arial" w:cs="Arial" w:eastAsia="Arial" w:hAnsi="Arial"/>
                <w:sz w:val="15"/>
                <w:szCs w:val="15"/>
                <w:b w:val="1"/>
                <w:bCs w:val="1"/>
                <w:color w:val="auto"/>
                <w:w w:val="93"/>
              </w:rPr>
              <w:t>(State or other jurisdiction of</w:t>
            </w: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gridSpan w:val="2"/>
          </w:tcPr>
          <w:p>
            <w:pPr>
              <w:jc w:val="center"/>
              <w:ind w:right="403"/>
              <w:spacing w:after="0"/>
              <w:rPr>
                <w:sz w:val="20"/>
                <w:szCs w:val="20"/>
                <w:color w:val="auto"/>
              </w:rPr>
            </w:pPr>
            <w:r>
              <w:rPr>
                <w:rFonts w:ascii="Arial" w:cs="Arial" w:eastAsia="Arial" w:hAnsi="Arial"/>
                <w:sz w:val="15"/>
                <w:szCs w:val="15"/>
                <w:b w:val="1"/>
                <w:bCs w:val="1"/>
                <w:color w:val="auto"/>
                <w:w w:val="95"/>
              </w:rPr>
              <w:t>(I.R.S. Employer</w:t>
            </w:r>
          </w:p>
        </w:tc>
      </w:tr>
      <w:tr>
        <w:trPr>
          <w:trHeight w:val="198"/>
        </w:trPr>
        <w:tc>
          <w:tcPr>
            <w:tcW w:w="3540" w:type="dxa"/>
            <w:vAlign w:val="bottom"/>
            <w:gridSpan w:val="3"/>
          </w:tcPr>
          <w:p>
            <w:pPr>
              <w:jc w:val="center"/>
              <w:ind w:left="1303"/>
              <w:spacing w:after="0"/>
              <w:rPr>
                <w:sz w:val="20"/>
                <w:szCs w:val="20"/>
                <w:color w:val="auto"/>
              </w:rPr>
            </w:pPr>
            <w:r>
              <w:rPr>
                <w:rFonts w:ascii="Arial" w:cs="Arial" w:eastAsia="Arial" w:hAnsi="Arial"/>
                <w:sz w:val="15"/>
                <w:szCs w:val="15"/>
                <w:b w:val="1"/>
                <w:bCs w:val="1"/>
                <w:color w:val="auto"/>
                <w:w w:val="93"/>
              </w:rPr>
              <w:t>incorporation or organization)</w:t>
            </w:r>
          </w:p>
        </w:tc>
        <w:tc>
          <w:tcPr>
            <w:tcW w:w="3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gridSpan w:val="2"/>
          </w:tcPr>
          <w:p>
            <w:pPr>
              <w:jc w:val="center"/>
              <w:ind w:right="383"/>
              <w:spacing w:after="0"/>
              <w:rPr>
                <w:sz w:val="20"/>
                <w:szCs w:val="20"/>
                <w:color w:val="auto"/>
              </w:rPr>
            </w:pPr>
            <w:r>
              <w:rPr>
                <w:rFonts w:ascii="Arial" w:cs="Arial" w:eastAsia="Arial" w:hAnsi="Arial"/>
                <w:sz w:val="15"/>
                <w:szCs w:val="15"/>
                <w:b w:val="1"/>
                <w:bCs w:val="1"/>
                <w:color w:val="auto"/>
                <w:w w:val="94"/>
              </w:rPr>
              <w:t>Identification No.)</w:t>
            </w:r>
          </w:p>
        </w:tc>
      </w:tr>
      <w:tr>
        <w:trPr>
          <w:trHeight w:val="353"/>
        </w:trPr>
        <w:tc>
          <w:tcPr>
            <w:tcW w:w="3540" w:type="dxa"/>
            <w:vAlign w:val="bottom"/>
            <w:gridSpan w:val="3"/>
          </w:tcPr>
          <w:p>
            <w:pPr>
              <w:jc w:val="center"/>
              <w:ind w:left="1283"/>
              <w:spacing w:after="0"/>
              <w:rPr>
                <w:sz w:val="20"/>
                <w:szCs w:val="20"/>
                <w:color w:val="auto"/>
              </w:rPr>
            </w:pPr>
            <w:r>
              <w:rPr>
                <w:rFonts w:ascii="Arial" w:cs="Arial" w:eastAsia="Arial" w:hAnsi="Arial"/>
                <w:sz w:val="15"/>
                <w:szCs w:val="15"/>
                <w:b w:val="1"/>
                <w:bCs w:val="1"/>
                <w:color w:val="auto"/>
              </w:rPr>
              <w:t>100 MANPOWER PLACE</w:t>
            </w: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4"/>
        </w:trPr>
        <w:tc>
          <w:tcPr>
            <w:tcW w:w="3540" w:type="dxa"/>
            <w:vAlign w:val="bottom"/>
            <w:gridSpan w:val="3"/>
          </w:tcPr>
          <w:p>
            <w:pPr>
              <w:jc w:val="center"/>
              <w:ind w:left="1283"/>
              <w:spacing w:after="0"/>
              <w:rPr>
                <w:sz w:val="20"/>
                <w:szCs w:val="20"/>
                <w:color w:val="auto"/>
              </w:rPr>
            </w:pPr>
            <w:r>
              <w:rPr>
                <w:rFonts w:ascii="Arial" w:cs="Arial" w:eastAsia="Arial" w:hAnsi="Arial"/>
                <w:sz w:val="15"/>
                <w:szCs w:val="15"/>
                <w:b w:val="1"/>
                <w:bCs w:val="1"/>
                <w:color w:val="auto"/>
              </w:rPr>
              <w:t>MILWAUKEE, WISCONSIN</w:t>
            </w: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right"/>
              <w:ind w:right="1003"/>
              <w:spacing w:after="0"/>
              <w:rPr>
                <w:sz w:val="20"/>
                <w:szCs w:val="20"/>
                <w:color w:val="auto"/>
              </w:rPr>
            </w:pPr>
            <w:r>
              <w:rPr>
                <w:rFonts w:ascii="Arial" w:cs="Arial" w:eastAsia="Arial" w:hAnsi="Arial"/>
                <w:sz w:val="15"/>
                <w:szCs w:val="15"/>
                <w:b w:val="1"/>
                <w:bCs w:val="1"/>
                <w:color w:val="auto"/>
              </w:rPr>
              <w:t>53212</w:t>
            </w:r>
          </w:p>
        </w:tc>
      </w:tr>
      <w:tr>
        <w:trPr>
          <w:trHeight w:val="184"/>
        </w:trPr>
        <w:tc>
          <w:tcPr>
            <w:tcW w:w="7380" w:type="dxa"/>
            <w:vAlign w:val="bottom"/>
            <w:gridSpan w:val="5"/>
          </w:tcPr>
          <w:p>
            <w:pPr>
              <w:jc w:val="center"/>
              <w:ind w:right="2403"/>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380" w:type="dxa"/>
            <w:vAlign w:val="bottom"/>
          </w:tcPr>
          <w:p>
            <w:pPr>
              <w:spacing w:after="0"/>
              <w:rPr>
                <w:sz w:val="15"/>
                <w:szCs w:val="15"/>
                <w:color w:val="auto"/>
              </w:rPr>
            </w:pPr>
          </w:p>
        </w:tc>
        <w:tc>
          <w:tcPr>
            <w:tcW w:w="1680" w:type="dxa"/>
            <w:vAlign w:val="bottom"/>
          </w:tcPr>
          <w:p>
            <w:pPr>
              <w:jc w:val="center"/>
              <w:ind w:right="763"/>
              <w:spacing w:after="0"/>
              <w:rPr>
                <w:sz w:val="20"/>
                <w:szCs w:val="20"/>
                <w:color w:val="auto"/>
              </w:rPr>
            </w:pPr>
            <w:r>
              <w:rPr>
                <w:rFonts w:ascii="Arial" w:cs="Arial" w:eastAsia="Arial" w:hAnsi="Arial"/>
                <w:sz w:val="15"/>
                <w:szCs w:val="15"/>
                <w:b w:val="1"/>
                <w:bCs w:val="1"/>
                <w:color w:val="auto"/>
                <w:w w:val="97"/>
              </w:rPr>
              <w:t>(Zip Code)</w:t>
            </w:r>
          </w:p>
        </w:tc>
      </w:tr>
      <w:tr>
        <w:trPr>
          <w:trHeight w:val="198"/>
        </w:trPr>
        <w:tc>
          <w:tcPr>
            <w:tcW w:w="1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40" w:type="dxa"/>
            <w:vAlign w:val="bottom"/>
            <w:gridSpan w:val="4"/>
          </w:tcPr>
          <w:p>
            <w:pPr>
              <w:jc w:val="center"/>
              <w:ind w:right="63"/>
              <w:spacing w:after="0"/>
              <w:rPr>
                <w:sz w:val="20"/>
                <w:szCs w:val="20"/>
                <w:color w:val="auto"/>
              </w:rPr>
            </w:pPr>
            <w:r>
              <w:rPr>
                <w:rFonts w:ascii="Arial" w:cs="Arial" w:eastAsia="Arial" w:hAnsi="Arial"/>
                <w:sz w:val="15"/>
                <w:szCs w:val="15"/>
                <w:b w:val="1"/>
                <w:bCs w:val="1"/>
                <w:color w:val="auto"/>
                <w:w w:val="91"/>
              </w:rPr>
              <w:t>Registrant’s telephone number, including area code: (414) 961-1000</w:t>
            </w:r>
          </w:p>
        </w:tc>
        <w:tc>
          <w:tcPr>
            <w:tcW w:w="1680" w:type="dxa"/>
            <w:vAlign w:val="bottom"/>
          </w:tcPr>
          <w:p>
            <w:pPr>
              <w:spacing w:after="0"/>
              <w:rPr>
                <w:sz w:val="17"/>
                <w:szCs w:val="17"/>
                <w:color w:val="auto"/>
              </w:rPr>
            </w:pPr>
          </w:p>
        </w:tc>
      </w:tr>
      <w:tr>
        <w:trPr>
          <w:trHeight w:val="376"/>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3"/>
          </w:tcPr>
          <w:p>
            <w:pPr>
              <w:jc w:val="center"/>
              <w:ind w:left="143"/>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4"/>
        </w:trPr>
        <w:tc>
          <w:tcPr>
            <w:tcW w:w="1880" w:type="dxa"/>
            <w:vAlign w:val="bottom"/>
          </w:tcPr>
          <w:p>
            <w:pPr>
              <w:spacing w:after="0"/>
              <w:rPr>
                <w:sz w:val="14"/>
                <w:szCs w:val="14"/>
                <w:color w:val="auto"/>
              </w:rPr>
            </w:pPr>
          </w:p>
        </w:tc>
        <w:tc>
          <w:tcPr>
            <w:tcW w:w="1660" w:type="dxa"/>
            <w:vAlign w:val="bottom"/>
            <w:gridSpan w:val="2"/>
          </w:tcPr>
          <w:p>
            <w:pPr>
              <w:jc w:val="center"/>
              <w:ind w:right="443"/>
              <w:spacing w:after="0" w:line="164" w:lineRule="exact"/>
              <w:rPr>
                <w:sz w:val="20"/>
                <w:szCs w:val="20"/>
                <w:color w:val="auto"/>
              </w:rPr>
            </w:pPr>
            <w:r>
              <w:rPr>
                <w:rFonts w:ascii="Arial" w:cs="Arial" w:eastAsia="Arial" w:hAnsi="Arial"/>
                <w:sz w:val="15"/>
                <w:szCs w:val="15"/>
                <w:b w:val="1"/>
                <w:bCs w:val="1"/>
                <w:color w:val="auto"/>
                <w:w w:val="88"/>
              </w:rPr>
              <w:t>Title of each class</w:t>
            </w:r>
          </w:p>
        </w:tc>
        <w:tc>
          <w:tcPr>
            <w:tcW w:w="3360" w:type="dxa"/>
            <w:vAlign w:val="bottom"/>
          </w:tcPr>
          <w:p>
            <w:pPr>
              <w:spacing w:after="0"/>
              <w:rPr>
                <w:sz w:val="14"/>
                <w:szCs w:val="14"/>
                <w:color w:val="auto"/>
              </w:rPr>
            </w:pPr>
          </w:p>
        </w:tc>
        <w:tc>
          <w:tcPr>
            <w:tcW w:w="2540" w:type="dxa"/>
            <w:vAlign w:val="bottom"/>
            <w:gridSpan w:val="3"/>
          </w:tcPr>
          <w:p>
            <w:pPr>
              <w:jc w:val="center"/>
              <w:spacing w:after="0" w:line="164" w:lineRule="exact"/>
              <w:rPr>
                <w:sz w:val="20"/>
                <w:szCs w:val="20"/>
                <w:color w:val="auto"/>
              </w:rPr>
            </w:pPr>
            <w:r>
              <w:rPr>
                <w:rFonts w:ascii="Arial" w:cs="Arial" w:eastAsia="Arial" w:hAnsi="Arial"/>
                <w:sz w:val="15"/>
                <w:szCs w:val="15"/>
                <w:b w:val="1"/>
                <w:bCs w:val="1"/>
                <w:color w:val="auto"/>
                <w:w w:val="90"/>
              </w:rPr>
              <w:t>Name of Exchange on which registered</w:t>
            </w:r>
          </w:p>
        </w:tc>
      </w:tr>
      <w:tr>
        <w:trPr>
          <w:trHeight w:val="20"/>
        </w:trPr>
        <w:tc>
          <w:tcPr>
            <w:tcW w:w="1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gridSpan w:val="3"/>
            <w:shd w:val="clear" w:color="auto" w:fill="000000"/>
          </w:tcPr>
          <w:p>
            <w:pPr>
              <w:spacing w:after="0" w:line="20" w:lineRule="exact"/>
              <w:rPr>
                <w:sz w:val="1"/>
                <w:szCs w:val="1"/>
                <w:color w:val="auto"/>
              </w:rPr>
            </w:pPr>
          </w:p>
        </w:tc>
      </w:tr>
      <w:tr>
        <w:trPr>
          <w:trHeight w:val="184"/>
        </w:trPr>
        <w:tc>
          <w:tcPr>
            <w:tcW w:w="3540" w:type="dxa"/>
            <w:vAlign w:val="bottom"/>
            <w:gridSpan w:val="3"/>
          </w:tcPr>
          <w:p>
            <w:pPr>
              <w:jc w:val="center"/>
              <w:ind w:left="1283"/>
              <w:spacing w:after="0"/>
              <w:rPr>
                <w:sz w:val="20"/>
                <w:szCs w:val="20"/>
                <w:color w:val="auto"/>
              </w:rPr>
            </w:pPr>
            <w:r>
              <w:rPr>
                <w:rFonts w:ascii="Arial" w:cs="Arial" w:eastAsia="Arial" w:hAnsi="Arial"/>
                <w:sz w:val="15"/>
                <w:szCs w:val="15"/>
                <w:b w:val="1"/>
                <w:bCs w:val="1"/>
                <w:color w:val="auto"/>
                <w:w w:val="92"/>
              </w:rPr>
              <w:t>Common Stock, $.01 par value</w:t>
            </w:r>
          </w:p>
        </w:tc>
        <w:tc>
          <w:tcPr>
            <w:tcW w:w="3360" w:type="dxa"/>
            <w:vAlign w:val="bottom"/>
          </w:tcPr>
          <w:p>
            <w:pPr>
              <w:spacing w:after="0"/>
              <w:rPr>
                <w:sz w:val="15"/>
                <w:szCs w:val="15"/>
                <w:color w:val="auto"/>
              </w:rPr>
            </w:pPr>
          </w:p>
        </w:tc>
        <w:tc>
          <w:tcPr>
            <w:tcW w:w="254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New York Stock Exchange</w:t>
            </w:r>
          </w:p>
        </w:tc>
      </w:tr>
      <w:tr>
        <w:trPr>
          <w:trHeight w:val="198"/>
        </w:trPr>
        <w:tc>
          <w:tcPr>
            <w:tcW w:w="1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60" w:type="dxa"/>
            <w:vAlign w:val="bottom"/>
            <w:gridSpan w:val="3"/>
          </w:tcPr>
          <w:p>
            <w:pPr>
              <w:jc w:val="center"/>
              <w:ind w:left="163"/>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0"/>
        </w:trPr>
        <w:tc>
          <w:tcPr>
            <w:tcW w:w="7380" w:type="dxa"/>
            <w:vAlign w:val="bottom"/>
            <w:gridSpan w:val="5"/>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380" w:type="dxa"/>
            <w:vAlign w:val="bottom"/>
          </w:tcPr>
          <w:p>
            <w:pPr>
              <w:spacing w:after="0"/>
              <w:rPr>
                <w:sz w:val="20"/>
                <w:szCs w:val="20"/>
                <w:color w:val="auto"/>
              </w:rPr>
            </w:pPr>
            <w:r>
              <w:rPr>
                <w:rFonts w:ascii="Arial" w:cs="Arial" w:eastAsia="Arial" w:hAnsi="Arial"/>
                <w:sz w:val="15"/>
                <w:szCs w:val="15"/>
                <w:color w:val="auto"/>
                <w:w w:val="95"/>
              </w:rPr>
              <w:t>Yes x</w:t>
            </w:r>
          </w:p>
        </w:tc>
        <w:tc>
          <w:tcPr>
            <w:tcW w:w="168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26"/>
        </w:trPr>
        <w:tc>
          <w:tcPr>
            <w:tcW w:w="7380" w:type="dxa"/>
            <w:vAlign w:val="bottom"/>
            <w:gridSpan w:val="5"/>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380" w:type="dxa"/>
            <w:vAlign w:val="bottom"/>
          </w:tcPr>
          <w:p>
            <w:pPr>
              <w:ind w:left="100"/>
              <w:spacing w:after="0"/>
              <w:rPr>
                <w:sz w:val="20"/>
                <w:szCs w:val="20"/>
                <w:color w:val="auto"/>
              </w:rPr>
            </w:pPr>
            <w:r>
              <w:rPr>
                <w:rFonts w:ascii="Arial" w:cs="Arial" w:eastAsia="Arial" w:hAnsi="Arial"/>
                <w:sz w:val="15"/>
                <w:szCs w:val="15"/>
                <w:color w:val="auto"/>
              </w:rPr>
              <w:t>Yes</w:t>
            </w:r>
          </w:p>
        </w:tc>
        <w:tc>
          <w:tcPr>
            <w:tcW w:w="168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tc>
      </w:tr>
    </w:tbl>
    <w:p>
      <w:pPr>
        <w:ind w:right="140" w:firstLine="414"/>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ind w:right="420" w:firstLine="414"/>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w:t>
      </w:r>
    </w:p>
    <w:tbl>
      <w:tblPr>
        <w:tblLayout w:type="fixed"/>
        <w:tblInd w:w="0" w:type="dxa"/>
        <w:tblCellMar>
          <w:top w:w="0" w:type="dxa"/>
          <w:left w:w="0" w:type="dxa"/>
          <w:bottom w:w="0" w:type="dxa"/>
          <w:right w:w="0" w:type="dxa"/>
        </w:tblCellMar>
      </w:tblPr>
      <w:tr>
        <w:trPr>
          <w:trHeight w:val="165"/>
        </w:trPr>
        <w:tc>
          <w:tcPr>
            <w:tcW w:w="7460" w:type="dxa"/>
            <w:vAlign w:val="bottom"/>
          </w:tcPr>
          <w:p>
            <w:pPr>
              <w:spacing w:after="0" w:line="165" w:lineRule="exact"/>
              <w:rPr>
                <w:sz w:val="20"/>
                <w:szCs w:val="20"/>
                <w:color w:val="auto"/>
              </w:rPr>
            </w:pPr>
            <w:r>
              <w:rPr>
                <w:rFonts w:ascii="Arial" w:cs="Arial" w:eastAsia="Arial" w:hAnsi="Arial"/>
                <w:sz w:val="15"/>
                <w:szCs w:val="15"/>
                <w:color w:val="auto"/>
                <w:w w:val="95"/>
              </w:rPr>
              <w:t>accelerated filer,” “accelerated filer” and “smaller reporting company” in Rule 12b-2 of the Exchange Act. (Check one):</w:t>
            </w:r>
          </w:p>
        </w:tc>
        <w:tc>
          <w:tcPr>
            <w:tcW w:w="3440" w:type="dxa"/>
            <w:vAlign w:val="bottom"/>
          </w:tcPr>
          <w:p>
            <w:pPr>
              <w:ind w:left="60"/>
              <w:spacing w:after="0" w:line="165" w:lineRule="exact"/>
              <w:rPr>
                <w:sz w:val="20"/>
                <w:szCs w:val="20"/>
                <w:color w:val="auto"/>
              </w:rPr>
            </w:pPr>
            <w:r>
              <w:rPr>
                <w:rFonts w:ascii="Arial" w:cs="Arial" w:eastAsia="Arial" w:hAnsi="Arial"/>
                <w:sz w:val="15"/>
                <w:szCs w:val="15"/>
                <w:color w:val="auto"/>
                <w:w w:val="99"/>
              </w:rPr>
              <w:t xml:space="preserve">Large accelerated filer x  Accelerated filer </w:t>
            </w:r>
            <w:r>
              <w:rPr>
                <w:rFonts w:ascii="MS PGothic" w:cs="MS PGothic" w:eastAsia="MS PGothic" w:hAnsi="MS PGothic"/>
                <w:sz w:val="15"/>
                <w:szCs w:val="15"/>
                <w:color w:val="auto"/>
                <w:w w:val="99"/>
              </w:rPr>
              <w:t>☐</w:t>
            </w:r>
            <w:r>
              <w:rPr>
                <w:rFonts w:ascii="Arial" w:cs="Arial" w:eastAsia="Arial" w:hAnsi="Arial"/>
                <w:sz w:val="15"/>
                <w:szCs w:val="15"/>
                <w:color w:val="auto"/>
                <w:w w:val="99"/>
              </w:rPr>
              <w:t xml:space="preserve">  Non-</w:t>
            </w:r>
          </w:p>
        </w:tc>
        <w:tc>
          <w:tcPr>
            <w:tcW w:w="0" w:type="dxa"/>
            <w:vAlign w:val="bottom"/>
          </w:tcPr>
          <w:p>
            <w:pPr>
              <w:spacing w:after="0"/>
              <w:rPr>
                <w:sz w:val="1"/>
                <w:szCs w:val="1"/>
                <w:color w:val="auto"/>
              </w:rPr>
            </w:pPr>
          </w:p>
        </w:tc>
      </w:tr>
      <w:tr>
        <w:trPr>
          <w:trHeight w:val="214"/>
        </w:trPr>
        <w:tc>
          <w:tcPr>
            <w:tcW w:w="7460" w:type="dxa"/>
            <w:vAlign w:val="bottom"/>
          </w:tcPr>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p>
        </w:tc>
        <w:tc>
          <w:tcPr>
            <w:tcW w:w="3440" w:type="dxa"/>
            <w:vAlign w:val="bottom"/>
            <w:vMerge w:val="restart"/>
          </w:tcPr>
          <w:p>
            <w:pPr>
              <w:ind w:left="1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tc>
        <w:tc>
          <w:tcPr>
            <w:tcW w:w="0" w:type="dxa"/>
            <w:vAlign w:val="bottom"/>
          </w:tcPr>
          <w:p>
            <w:pPr>
              <w:spacing w:after="0"/>
              <w:rPr>
                <w:sz w:val="1"/>
                <w:szCs w:val="1"/>
                <w:color w:val="auto"/>
              </w:rPr>
            </w:pPr>
          </w:p>
        </w:tc>
      </w:tr>
      <w:tr>
        <w:trPr>
          <w:trHeight w:val="210"/>
        </w:trPr>
        <w:tc>
          <w:tcPr>
            <w:tcW w:w="7460" w:type="dxa"/>
            <w:vAlign w:val="bottom"/>
          </w:tcPr>
          <w:p>
            <w:pPr>
              <w:ind w:left="400"/>
              <w:spacing w:after="0"/>
              <w:rPr>
                <w:sz w:val="20"/>
                <w:szCs w:val="20"/>
                <w:color w:val="auto"/>
              </w:rPr>
            </w:pPr>
            <w:r>
              <w:rPr>
                <w:rFonts w:ascii="Arial" w:cs="Arial" w:eastAsia="Arial" w:hAnsi="Arial"/>
                <w:sz w:val="15"/>
                <w:szCs w:val="15"/>
                <w:color w:val="auto"/>
                <w:w w:val="93"/>
              </w:rPr>
              <w:t>Indicate by check mark whether the Registrant is a shell company (as defined in Rule 12b-2 of the Exchange Act).</w:t>
            </w: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right="80" w:firstLine="414"/>
        <w:spacing w:after="0" w:line="286" w:lineRule="auto"/>
        <w:rPr>
          <w:sz w:val="20"/>
          <w:szCs w:val="20"/>
          <w:color w:val="auto"/>
        </w:rPr>
      </w:pPr>
      <w:r>
        <w:rPr>
          <w:rFonts w:ascii="Arial" w:cs="Arial" w:eastAsia="Arial" w:hAnsi="Arial"/>
          <w:sz w:val="15"/>
          <w:szCs w:val="15"/>
          <w:color w:val="auto"/>
        </w:rPr>
        <w:t>The aggregate market value of the voting stock held by nonaffiliates of the registrant was $3,317,445,824 as of June 30, 2009. As of February 16, 2010, there were 78,667,931 of the registrant’s shares of common stock outstanding.</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DOCUMENTS INCORPORATED BY REFERENCE</w:t>
      </w:r>
    </w:p>
    <w:p>
      <w:pPr>
        <w:spacing w:after="0" w:line="222" w:lineRule="exact"/>
        <w:rPr>
          <w:sz w:val="24"/>
          <w:szCs w:val="24"/>
          <w:color w:val="auto"/>
        </w:rPr>
      </w:pPr>
    </w:p>
    <w:p>
      <w:pPr>
        <w:ind w:firstLine="414"/>
        <w:spacing w:after="0" w:line="318" w:lineRule="auto"/>
        <w:rPr>
          <w:sz w:val="20"/>
          <w:szCs w:val="20"/>
          <w:color w:val="auto"/>
        </w:rPr>
      </w:pPr>
      <w:r>
        <w:rPr>
          <w:rFonts w:ascii="Arial" w:cs="Arial" w:eastAsia="Arial" w:hAnsi="Arial"/>
          <w:sz w:val="15"/>
          <w:szCs w:val="15"/>
          <w:color w:val="auto"/>
        </w:rPr>
        <w:t>Parts I and II incorporate information by reference from the Annual Report to Shareholders for the fiscal year ended December 31, 2009. Part III is incorporated by reference from the Proxy Statement for the Annual Meeting of Shareholders to be held on April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27265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208"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5"/>
          <w:szCs w:val="15"/>
          <w:b w:val="1"/>
          <w:bCs w:val="1"/>
          <w:color w:val="auto"/>
        </w:rPr>
        <w:t>PART I</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terms “Manpower,” “we,” “our,” “us,” or “the Company” refer to Manpower Inc. or Manpower Inc. and its consolidated subsidiaries, as appropriate in the context.</w:t>
      </w:r>
    </w:p>
    <w:p>
      <w:pPr>
        <w:spacing w:after="0" w:line="214"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Introduction and History</w:t>
      </w:r>
    </w:p>
    <w:p>
      <w:pPr>
        <w:spacing w:after="0" w:line="218" w:lineRule="exact"/>
        <w:rPr>
          <w:sz w:val="20"/>
          <w:szCs w:val="20"/>
          <w:color w:val="auto"/>
        </w:rPr>
      </w:pPr>
    </w:p>
    <w:p>
      <w:pPr>
        <w:ind w:firstLine="414"/>
        <w:spacing w:after="0" w:line="271" w:lineRule="auto"/>
        <w:rPr>
          <w:sz w:val="20"/>
          <w:szCs w:val="20"/>
          <w:color w:val="auto"/>
        </w:rPr>
      </w:pPr>
      <w:r>
        <w:rPr>
          <w:rFonts w:ascii="Arial" w:cs="Arial" w:eastAsia="Arial" w:hAnsi="Arial"/>
          <w:sz w:val="15"/>
          <w:szCs w:val="15"/>
          <w:color w:val="auto"/>
        </w:rPr>
        <w:t>Manpower Inc. is a world leader in the employment services industry. Our global network of nearly 4,000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74" w:lineRule="exact"/>
        <w:rPr>
          <w:sz w:val="20"/>
          <w:szCs w:val="20"/>
          <w:color w:val="auto"/>
        </w:rPr>
      </w:pPr>
    </w:p>
    <w:p>
      <w:pPr>
        <w:ind w:right="40" w:firstLine="414"/>
        <w:spacing w:after="0" w:line="286" w:lineRule="auto"/>
        <w:rPr>
          <w:sz w:val="20"/>
          <w:szCs w:val="20"/>
          <w:color w:val="auto"/>
        </w:rPr>
      </w:pPr>
      <w:r>
        <w:rPr>
          <w:rFonts w:ascii="Arial" w:cs="Arial" w:eastAsia="Arial" w:hAnsi="Arial"/>
          <w:sz w:val="15"/>
          <w:szCs w:val="15"/>
          <w:color w:val="auto"/>
        </w:rPr>
        <w:t>Manpower Inc.’s five major brands – Manpower, Manpower Professional, Elan, Jefferson Wells and Right Management – provide a comprehensive range of services for the entire employment and business cycle including:</w:t>
      </w:r>
    </w:p>
    <w:p>
      <w:pPr>
        <w:spacing w:after="0" w:line="159" w:lineRule="exact"/>
        <w:rPr>
          <w:sz w:val="20"/>
          <w:szCs w:val="20"/>
          <w:color w:val="auto"/>
        </w:rPr>
      </w:pPr>
    </w:p>
    <w:p>
      <w:pPr>
        <w:ind w:left="720" w:hanging="268"/>
        <w:spacing w:after="0" w:line="291"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Permanent, temporary and contract recruitment </w:t>
      </w:r>
      <w:r>
        <w:rPr>
          <w:rFonts w:ascii="Arial" w:cs="Arial" w:eastAsia="Arial" w:hAnsi="Arial"/>
          <w:sz w:val="15"/>
          <w:szCs w:val="15"/>
          <w:color w:val="auto"/>
        </w:rPr>
        <w:t>– We find the best people for all types of jobs and industries at both the staff and professional levels under the Manpower,</w:t>
      </w:r>
      <w:r>
        <w:rPr>
          <w:rFonts w:ascii="Arial" w:cs="Arial" w:eastAsia="Arial" w:hAnsi="Arial"/>
          <w:sz w:val="15"/>
          <w:szCs w:val="15"/>
          <w:b w:val="1"/>
          <w:bCs w:val="1"/>
          <w:color w:val="auto"/>
        </w:rPr>
        <w:t xml:space="preserve"> </w:t>
      </w:r>
      <w:r>
        <w:rPr>
          <w:rFonts w:ascii="Arial" w:cs="Arial" w:eastAsia="Arial" w:hAnsi="Arial"/>
          <w:sz w:val="15"/>
          <w:szCs w:val="15"/>
          <w:color w:val="auto"/>
        </w:rPr>
        <w:t>Manpower Professional and Elan brands.</w:t>
      </w:r>
    </w:p>
    <w:p>
      <w:pPr>
        <w:spacing w:after="0" w:line="156" w:lineRule="exact"/>
        <w:rPr>
          <w:rFonts w:ascii="Arial" w:cs="Arial" w:eastAsia="Arial" w:hAnsi="Arial"/>
          <w:sz w:val="15"/>
          <w:szCs w:val="15"/>
          <w:color w:val="auto"/>
        </w:rPr>
      </w:pPr>
    </w:p>
    <w:p>
      <w:pPr>
        <w:ind w:left="720" w:right="80" w:hanging="268"/>
        <w:spacing w:after="0" w:line="291"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Employee assessment and selection </w:t>
      </w:r>
      <w:r>
        <w:rPr>
          <w:rFonts w:ascii="Arial" w:cs="Arial" w:eastAsia="Arial" w:hAnsi="Arial"/>
          <w:sz w:val="15"/>
          <w:szCs w:val="15"/>
          <w:color w:val="auto"/>
        </w:rPr>
        <w:t>– We provide a wide array of assessments to validate candidate skills and ensure a good fit between the client and the employee, which</w:t>
      </w:r>
      <w:r>
        <w:rPr>
          <w:rFonts w:ascii="Arial" w:cs="Arial" w:eastAsia="Arial" w:hAnsi="Arial"/>
          <w:sz w:val="15"/>
          <w:szCs w:val="15"/>
          <w:b w:val="1"/>
          <w:bCs w:val="1"/>
          <w:color w:val="auto"/>
        </w:rPr>
        <w:t xml:space="preserve"> </w:t>
      </w:r>
      <w:r>
        <w:rPr>
          <w:rFonts w:ascii="Arial" w:cs="Arial" w:eastAsia="Arial" w:hAnsi="Arial"/>
          <w:sz w:val="15"/>
          <w:szCs w:val="15"/>
          <w:color w:val="auto"/>
        </w:rPr>
        <w:t>leads to higher employee retention rates.</w:t>
      </w:r>
    </w:p>
    <w:p>
      <w:pPr>
        <w:spacing w:after="0" w:line="156" w:lineRule="exact"/>
        <w:rPr>
          <w:rFonts w:ascii="Arial" w:cs="Arial" w:eastAsia="Arial" w:hAnsi="Arial"/>
          <w:sz w:val="15"/>
          <w:szCs w:val="15"/>
          <w:color w:val="auto"/>
        </w:rPr>
      </w:pPr>
    </w:p>
    <w:p>
      <w:pPr>
        <w:ind w:left="720" w:right="200" w:hanging="268"/>
        <w:spacing w:after="0" w:line="291"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Training </w:t>
      </w:r>
      <w:r>
        <w:rPr>
          <w:rFonts w:ascii="Arial" w:cs="Arial" w:eastAsia="Arial" w:hAnsi="Arial"/>
          <w:sz w:val="15"/>
          <w:szCs w:val="15"/>
          <w:color w:val="auto"/>
        </w:rPr>
        <w:t>– We offer an extensive choice of training and development solutions that help our employees, associates and clients’ workforces to improve their skills and gain</w:t>
      </w:r>
      <w:r>
        <w:rPr>
          <w:rFonts w:ascii="Arial" w:cs="Arial" w:eastAsia="Arial" w:hAnsi="Arial"/>
          <w:sz w:val="15"/>
          <w:szCs w:val="15"/>
          <w:b w:val="1"/>
          <w:bCs w:val="1"/>
          <w:color w:val="auto"/>
        </w:rPr>
        <w:t xml:space="preserve"> </w:t>
      </w:r>
      <w:r>
        <w:rPr>
          <w:rFonts w:ascii="Arial" w:cs="Arial" w:eastAsia="Arial" w:hAnsi="Arial"/>
          <w:sz w:val="15"/>
          <w:szCs w:val="15"/>
          <w:color w:val="auto"/>
        </w:rPr>
        <w:t>qualifications that will help them to succeed in the ever-changing world of work.</w:t>
      </w:r>
    </w:p>
    <w:p>
      <w:pPr>
        <w:spacing w:after="0" w:line="156" w:lineRule="exact"/>
        <w:rPr>
          <w:rFonts w:ascii="Arial" w:cs="Arial" w:eastAsia="Arial" w:hAnsi="Arial"/>
          <w:sz w:val="15"/>
          <w:szCs w:val="15"/>
          <w:color w:val="auto"/>
        </w:rPr>
      </w:pPr>
    </w:p>
    <w:p>
      <w:pPr>
        <w:ind w:left="720" w:right="120" w:hanging="268"/>
        <w:spacing w:after="0" w:line="273"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Outplacement </w:t>
      </w:r>
      <w:r>
        <w:rPr>
          <w:rFonts w:ascii="Arial" w:cs="Arial" w:eastAsia="Arial" w:hAnsi="Arial"/>
          <w:sz w:val="15"/>
          <w:szCs w:val="15"/>
          <w:color w:val="auto"/>
        </w:rPr>
        <w:t>– Our Right Management brand is the world’s leading outplacement provider, helping our clients to better manage the human side of change by providing a</w:t>
      </w:r>
      <w:r>
        <w:rPr>
          <w:rFonts w:ascii="Arial" w:cs="Arial" w:eastAsia="Arial" w:hAnsi="Arial"/>
          <w:sz w:val="15"/>
          <w:szCs w:val="15"/>
          <w:b w:val="1"/>
          <w:bCs w:val="1"/>
          <w:color w:val="auto"/>
        </w:rPr>
        <w:t xml:space="preserve"> </w:t>
      </w:r>
      <w:r>
        <w:rPr>
          <w:rFonts w:ascii="Arial" w:cs="Arial" w:eastAsia="Arial" w:hAnsi="Arial"/>
          <w:sz w:val="15"/>
          <w:szCs w:val="15"/>
          <w:color w:val="auto"/>
        </w:rPr>
        <w:t>positive way for employees who are transitioning out to make the right choice for the next step in their career. The countercyclical nature of the outplacement industry helps strengthen our portfolio during down economic cycles.</w:t>
      </w:r>
    </w:p>
    <w:p>
      <w:pPr>
        <w:spacing w:after="0" w:line="169" w:lineRule="exact"/>
        <w:rPr>
          <w:rFonts w:ascii="Arial" w:cs="Arial" w:eastAsia="Arial" w:hAnsi="Arial"/>
          <w:sz w:val="15"/>
          <w:szCs w:val="15"/>
          <w:color w:val="auto"/>
        </w:rPr>
      </w:pPr>
    </w:p>
    <w:p>
      <w:pPr>
        <w:ind w:left="720" w:right="200" w:hanging="268"/>
        <w:spacing w:after="0" w:line="267"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Outsourcing </w:t>
      </w:r>
      <w:r>
        <w:rPr>
          <w:rFonts w:ascii="Arial" w:cs="Arial" w:eastAsia="Arial" w:hAnsi="Arial"/>
          <w:sz w:val="15"/>
          <w:szCs w:val="15"/>
          <w:color w:val="auto"/>
        </w:rPr>
        <w:t>– Under Manpower Business Solutions (MBS), we provide clients with outsourcing services related to human resources functions primarily in the areas of</w:t>
      </w:r>
      <w:r>
        <w:rPr>
          <w:rFonts w:ascii="Arial" w:cs="Arial" w:eastAsia="Arial" w:hAnsi="Arial"/>
          <w:sz w:val="15"/>
          <w:szCs w:val="15"/>
          <w:b w:val="1"/>
          <w:bCs w:val="1"/>
          <w:color w:val="auto"/>
        </w:rPr>
        <w:t xml:space="preserve"> </w:t>
      </w:r>
      <w:r>
        <w:rPr>
          <w:rFonts w:ascii="Arial" w:cs="Arial" w:eastAsia="Arial" w:hAnsi="Arial"/>
          <w:sz w:val="15"/>
          <w:szCs w:val="15"/>
          <w:color w:val="auto"/>
        </w:rPr>
        <w:t>large-scale recruiting and workforce-intensive initiatives that are outcome based, thereby sharing in the risk and reward with our clients. Our solutions include: task outsourcing, vendor management, onsite HR services and Recruitment Process Outsourcing (RPO), where we are one of the largest providers of permanent and contingent recruitment in the world.</w:t>
      </w:r>
    </w:p>
    <w:p>
      <w:pPr>
        <w:spacing w:after="0" w:line="174" w:lineRule="exact"/>
        <w:rPr>
          <w:rFonts w:ascii="Arial" w:cs="Arial" w:eastAsia="Arial" w:hAnsi="Arial"/>
          <w:sz w:val="15"/>
          <w:szCs w:val="15"/>
          <w:color w:val="auto"/>
        </w:rPr>
      </w:pPr>
    </w:p>
    <w:p>
      <w:pPr>
        <w:ind w:left="720" w:hanging="268"/>
        <w:spacing w:after="0" w:line="273"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Consulting </w:t>
      </w:r>
      <w:r>
        <w:rPr>
          <w:rFonts w:ascii="Arial" w:cs="Arial" w:eastAsia="Arial" w:hAnsi="Arial"/>
          <w:sz w:val="15"/>
          <w:szCs w:val="15"/>
          <w:color w:val="auto"/>
        </w:rPr>
        <w:t>– We are a leading global provider of integrated consulting solutions across the employment lifecycle. We help clients maximize the return on their human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while assisting individuals to achieve their full potential. Our Right Management brand helps clients attract and assess top talent; develop and grow leaders; and engage and align people with strategy.</w:t>
      </w:r>
    </w:p>
    <w:p>
      <w:pPr>
        <w:spacing w:after="0" w:line="169" w:lineRule="exact"/>
        <w:rPr>
          <w:rFonts w:ascii="Arial" w:cs="Arial" w:eastAsia="Arial" w:hAnsi="Arial"/>
          <w:sz w:val="15"/>
          <w:szCs w:val="15"/>
          <w:color w:val="auto"/>
        </w:rPr>
      </w:pPr>
    </w:p>
    <w:p>
      <w:pPr>
        <w:ind w:left="720" w:right="120" w:hanging="268"/>
        <w:spacing w:after="0" w:line="291"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Professional Services </w:t>
      </w:r>
      <w:r>
        <w:rPr>
          <w:rFonts w:ascii="Arial" w:cs="Arial" w:eastAsia="Arial" w:hAnsi="Arial"/>
          <w:sz w:val="15"/>
          <w:szCs w:val="15"/>
          <w:color w:val="auto"/>
        </w:rPr>
        <w:t>– Our Jefferson Wells brand is a high-value alternative to public accounting firms and other consulting groups, delivering professional services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areas of risk advisory, tax, and finance and accounting.</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This comprehensive and diverse business mix allows us to mitigate the cyclical effects of the national economies in which we operate.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2" w:name="page3"/>
    <w:bookmarkEnd w:id="2"/>
    <w:p>
      <w:pPr>
        <w:ind w:right="20" w:firstLine="414"/>
        <w:spacing w:after="0" w:line="263" w:lineRule="auto"/>
        <w:rPr>
          <w:sz w:val="20"/>
          <w:szCs w:val="20"/>
          <w:color w:val="auto"/>
        </w:rPr>
      </w:pPr>
      <w:r>
        <w:rPr>
          <w:rFonts w:ascii="Arial" w:cs="Arial" w:eastAsia="Arial" w:hAnsi="Arial"/>
          <w:sz w:val="15"/>
          <w:szCs w:val="15"/>
          <w:color w:val="auto"/>
        </w:rPr>
        <w:t>Our leadership position also allows us to be a center for quality employment opportunities for people at all points in their career paths. In 2009, we found permanent and temporary jobs for three million people who work to help our more than 400,000 clients meet their business objectives. Seasoned professionals, skilled laborers, mothers returning to work, elderly persons wanting to supplement pensions and disabled individuals – all turn to the Manpower group of companies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and our predecessors, have been in business since 1948, with shares listed on the New York Stock Exchange since 1967.</w:t>
      </w:r>
    </w:p>
    <w:p>
      <w:pPr>
        <w:spacing w:after="0" w:line="218" w:lineRule="exact"/>
        <w:rPr>
          <w:sz w:val="20"/>
          <w:szCs w:val="20"/>
          <w:color w:val="auto"/>
        </w:rPr>
      </w:pPr>
    </w:p>
    <w:p>
      <w:pPr>
        <w:ind w:right="40" w:firstLine="414"/>
        <w:spacing w:after="0" w:line="299" w:lineRule="auto"/>
        <w:rPr>
          <w:sz w:val="20"/>
          <w:szCs w:val="20"/>
          <w:color w:val="auto"/>
        </w:rPr>
      </w:pPr>
      <w:r>
        <w:rPr>
          <w:rFonts w:ascii="Arial" w:cs="Arial" w:eastAsia="Arial" w:hAnsi="Arial"/>
          <w:sz w:val="14"/>
          <w:szCs w:val="14"/>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57" w:lineRule="exact"/>
        <w:rPr>
          <w:sz w:val="20"/>
          <w:szCs w:val="20"/>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articles of incorporation and bylaws;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Manpower Code of Business Conduct and Ethics;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Corporate Governance Guidelines;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charters of the Audit, Executive Compensation and Nominating and Governance Committees of the Board of Directors;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guidelines for selecting board candidates;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categorical standards for relationships deemed not to impair independence of non-employee directors;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policy on services provided by independent auditors; and</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regular update on corporate social responsibility.</w:t>
      </w:r>
    </w:p>
    <w:p>
      <w:pPr>
        <w:spacing w:after="0" w:line="218"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Documents available on the website are also available in print for any shareholder who requests them. Requests may be made by writing to Mr. Kenneth C. Hunt, Secretary, Manpower Inc., 100 Manpower Place, Milwaukee, Wisconsin 53212. We are not including the information contained on or available through our website as a part of, or incorporating such information by reference into,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Americas</w:t>
      </w:r>
    </w:p>
    <w:p>
      <w:pPr>
        <w:spacing w:after="0" w:line="218" w:lineRule="exact"/>
        <w:rPr>
          <w:sz w:val="20"/>
          <w:szCs w:val="20"/>
          <w:color w:val="auto"/>
        </w:rPr>
      </w:pPr>
    </w:p>
    <w:p>
      <w:pPr>
        <w:ind w:firstLine="414"/>
        <w:spacing w:after="0" w:line="284" w:lineRule="auto"/>
        <w:rPr>
          <w:sz w:val="20"/>
          <w:szCs w:val="20"/>
          <w:color w:val="auto"/>
        </w:rPr>
      </w:pPr>
      <w:r>
        <w:rPr>
          <w:rFonts w:ascii="Arial" w:cs="Arial" w:eastAsia="Arial" w:hAnsi="Arial"/>
          <w:sz w:val="14"/>
          <w:szCs w:val="14"/>
          <w:color w:val="auto"/>
        </w:rPr>
        <w:t>In the Americas, our operations under the Manpower and Manpower Professional brands are carried out through both branch and franchise offices. The total Americas segment had 808 branch and 220 franchise offices. In the U.S., where we earned 62% of the Americas’ revenue, we had 530 branch and 205 stand-alone franchise offices as of December 31, 2009, as well as on-site locations at clients with significant permanent, temporary and contract recruitment requirements. In Mexico and Central America, we had 92 branch offices and in the South American Region, we had 151 branch and 9 franchise offices. We provide a number of central support services to our branches and franchises, which enable us to maintain consistent service quality throughout the region regardless of whether an office is a branch or franchise. In the U.S., we provide client invoicing and payroll processing of our contingent workers for all branch offices and some of our franchise offices through our Milwaukee headquarters.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3" w:name="page4"/>
    <w:bookmarkEnd w:id="3"/>
    <w:p>
      <w:pPr>
        <w:ind w:right="120" w:firstLine="414"/>
        <w:spacing w:after="0" w:line="236" w:lineRule="auto"/>
        <w:rPr>
          <w:sz w:val="20"/>
          <w:szCs w:val="20"/>
          <w:color w:val="auto"/>
        </w:rPr>
      </w:pPr>
      <w:r>
        <w:rPr>
          <w:rFonts w:ascii="Arial" w:cs="Arial" w:eastAsia="Arial" w:hAnsi="Arial"/>
          <w:sz w:val="15"/>
          <w:szCs w:val="15"/>
          <w:color w:val="auto"/>
        </w:rPr>
        <w:t>Our franchise agreements provide the franchisee with the right to use the Manpower</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or Manpower Professional</w:t>
      </w:r>
      <w:r>
        <w:rPr>
          <w:rFonts w:ascii="Arial" w:cs="Arial" w:eastAsia="Arial" w:hAnsi="Arial"/>
          <w:sz w:val="21"/>
          <w:szCs w:val="21"/>
          <w:color w:val="auto"/>
          <w:vertAlign w:val="superscript"/>
        </w:rPr>
        <w:t>®</w:t>
      </w:r>
      <w:r>
        <w:rPr>
          <w:rFonts w:ascii="Arial" w:cs="Arial" w:eastAsia="Arial" w:hAnsi="Arial"/>
          <w:sz w:val="15"/>
          <w:szCs w:val="15"/>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exercise this right and intend to continue to do so in the future if opportunities arise with appropriate prices and terms.</w:t>
      </w:r>
    </w:p>
    <w:p>
      <w:pPr>
        <w:spacing w:after="0" w:line="197" w:lineRule="exact"/>
        <w:rPr>
          <w:sz w:val="20"/>
          <w:szCs w:val="20"/>
          <w:color w:val="auto"/>
        </w:rPr>
      </w:pPr>
    </w:p>
    <w:p>
      <w:pPr>
        <w:ind w:firstLine="414"/>
        <w:spacing w:after="0" w:line="290" w:lineRule="auto"/>
        <w:rPr>
          <w:sz w:val="20"/>
          <w:szCs w:val="20"/>
          <w:color w:val="auto"/>
        </w:rPr>
      </w:pPr>
      <w:r>
        <w:rPr>
          <w:rFonts w:ascii="Arial" w:cs="Arial" w:eastAsia="Arial" w:hAnsi="Arial"/>
          <w:sz w:val="14"/>
          <w:szCs w:val="14"/>
          <w:color w:val="auto"/>
        </w:rPr>
        <w:t>In the Americas, our Manpower operations provide a variety of employment services, including permanent, temporary and contract recruitment, assessment and selection, training, managed service solutions and outsourcing. During 2009 in this segment, approximately 41% of temporary and contract recruitment revenues were derived from placing office staff, 41% from placing industrial staff and 18% from placing professional and technical staff. For our U.S. operations in 2009, approximately 29% of the temporary and contract recruitment revenues were derived from placing office staff, 51% from placing industrial staff and 20% from placing professional and technical staff.</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also conduct business in the Americas under our Jefferson Wells and Right Management brands. These operations are discussed further in the following sections.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France</w:t>
      </w:r>
    </w:p>
    <w:p>
      <w:pPr>
        <w:spacing w:after="0" w:line="218" w:lineRule="exact"/>
        <w:rPr>
          <w:sz w:val="20"/>
          <w:szCs w:val="20"/>
          <w:color w:val="auto"/>
        </w:rPr>
      </w:pPr>
    </w:p>
    <w:p>
      <w:pPr>
        <w:ind w:right="540" w:firstLine="414"/>
        <w:spacing w:after="0" w:line="286" w:lineRule="auto"/>
        <w:rPr>
          <w:sz w:val="20"/>
          <w:szCs w:val="20"/>
          <w:color w:val="auto"/>
        </w:rPr>
      </w:pPr>
      <w:r>
        <w:rPr>
          <w:rFonts w:ascii="Arial" w:cs="Arial" w:eastAsia="Arial" w:hAnsi="Arial"/>
          <w:sz w:val="15"/>
          <w:szCs w:val="15"/>
          <w:color w:val="auto"/>
        </w:rPr>
        <w:t>We are a leading employment service provider in France, operating under the Manpower and Manpower Professional brands. We conduct our operations in France and the surrounding region through 855 branch offices under the name of Manpower and 98 branch offices under the name Supplay.</w:t>
      </w:r>
    </w:p>
    <w:p>
      <w:pPr>
        <w:spacing w:after="0" w:line="163" w:lineRule="exact"/>
        <w:rPr>
          <w:sz w:val="20"/>
          <w:szCs w:val="20"/>
          <w:color w:val="auto"/>
        </w:rPr>
      </w:pPr>
    </w:p>
    <w:p>
      <w:pPr>
        <w:ind w:right="60" w:firstLine="414"/>
        <w:spacing w:after="0" w:line="271" w:lineRule="auto"/>
        <w:rPr>
          <w:sz w:val="20"/>
          <w:szCs w:val="20"/>
          <w:color w:val="auto"/>
        </w:rPr>
      </w:pPr>
      <w:r>
        <w:rPr>
          <w:rFonts w:ascii="Arial" w:cs="Arial" w:eastAsia="Arial" w:hAnsi="Arial"/>
          <w:sz w:val="15"/>
          <w:szCs w:val="15"/>
          <w:color w:val="auto"/>
        </w:rPr>
        <w:t>The employment services market in France calls for a wide range of our services including permanent, temporary and contract recruitment, assessment and selection, and training. The temporary recruitment market is predominately focused on recruitment for industrial positions. In 2009, we derived approximately 62% of our temporary recruitment revenues in France from the supply of industrial staff, 21% from the supply of construction workers and 17% from the supply of office staff.</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also conduct business in France under our Jefferson Wells, Elan and Right Management brands. These operations are discussed further in the following sections.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EMEA (Europe, Middle East and Africa excluding France)</w:t>
      </w:r>
    </w:p>
    <w:p>
      <w:pPr>
        <w:spacing w:after="0" w:line="218" w:lineRule="exact"/>
        <w:rPr>
          <w:sz w:val="20"/>
          <w:szCs w:val="20"/>
          <w:color w:val="auto"/>
        </w:rPr>
      </w:pPr>
    </w:p>
    <w:p>
      <w:pPr>
        <w:ind w:right="120" w:firstLine="414"/>
        <w:spacing w:after="0" w:line="271" w:lineRule="auto"/>
        <w:rPr>
          <w:sz w:val="20"/>
          <w:szCs w:val="20"/>
          <w:color w:val="auto"/>
        </w:rPr>
      </w:pPr>
      <w:r>
        <w:rPr>
          <w:rFonts w:ascii="Arial" w:cs="Arial" w:eastAsia="Arial" w:hAnsi="Arial"/>
          <w:sz w:val="15"/>
          <w:szCs w:val="15"/>
          <w:color w:val="auto"/>
        </w:rPr>
        <w:t>We are a leading provider of permanent, temporary and contract recruitment, assessment and selection, training and outsourcing services throughout Europe, the Middle East and Africa. Our largest operations are in Italy, Germany, the Netherlands, Norway, Spain, Sweden, and the United Kingdom. Collectively, we operate through 1,437 branch offices and 50 franchise offices in this region. Our franchise offices are located in Switzerland, where we own 49% of the franchise.</w:t>
      </w:r>
    </w:p>
    <w:p>
      <w:pPr>
        <w:spacing w:after="0" w:line="174" w:lineRule="exact"/>
        <w:rPr>
          <w:sz w:val="20"/>
          <w:szCs w:val="20"/>
          <w:color w:val="auto"/>
        </w:rPr>
      </w:pPr>
    </w:p>
    <w:p>
      <w:pPr>
        <w:ind w:right="20" w:firstLine="414"/>
        <w:spacing w:after="0" w:line="263" w:lineRule="auto"/>
        <w:rPr>
          <w:sz w:val="20"/>
          <w:szCs w:val="20"/>
          <w:color w:val="auto"/>
        </w:rPr>
      </w:pPr>
      <w:r>
        <w:rPr>
          <w:rFonts w:ascii="Arial" w:cs="Arial" w:eastAsia="Arial" w:hAnsi="Arial"/>
          <w:sz w:val="15"/>
          <w:szCs w:val="15"/>
          <w:color w:val="auto"/>
        </w:rPr>
        <w:t>Manpower Italy, the largest operation in the EMEA segment, comprising 15% of EMEA revenues, is a leading employment services provider. As of December 31, 2009, Manpower Italy conducted operations under the Manpower and Manpower Professional brands through a network of 304 branch offices. It provides a comprehensive line of employment services including permanent, temporary and contract recruitment, assessment and selection, training and outsourcing. In 2009, approximately 5% of our temporary and contract recruitment revenues in Italy were derived from placing office staff, including contract center staff, 63% from placing industrial staff and 32% from placing professional and technical staff.</w:t>
      </w:r>
    </w:p>
    <w:p>
      <w:pPr>
        <w:spacing w:after="0" w:line="181" w:lineRule="exact"/>
        <w:rPr>
          <w:sz w:val="20"/>
          <w:szCs w:val="20"/>
          <w:color w:val="auto"/>
        </w:rPr>
      </w:pPr>
    </w:p>
    <w:p>
      <w:pPr>
        <w:ind w:right="40" w:firstLine="414"/>
        <w:spacing w:after="0" w:line="290" w:lineRule="auto"/>
        <w:rPr>
          <w:sz w:val="20"/>
          <w:szCs w:val="20"/>
          <w:color w:val="auto"/>
        </w:rPr>
      </w:pPr>
      <w:r>
        <w:rPr>
          <w:rFonts w:ascii="Arial" w:cs="Arial" w:eastAsia="Arial" w:hAnsi="Arial"/>
          <w:sz w:val="14"/>
          <w:szCs w:val="14"/>
          <w:color w:val="auto"/>
        </w:rPr>
        <w:t>The second largest operation in this segment is Manpower U.K., comprising 11% of EMEA revenues. Manpower U.K. is a leading provider of employment services in the United Kingdom. As of December 31, 2009, Manpower U.K. conducted operations in the United Kingdom under the Manpower and Manpower Professional brands through a network of 107 branch offices and also provided on-site services to clients who have significant permanent, temporary and contract recruitment requirements. During 2009, approximately 70% of Manpower U.K.’s temporary recruitment revenues were derived from the supply of office staff, 20% from the supply of industrial staff and 10% from the supply of technical staff.</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 w:name="page5"/>
    <w:bookmarkEnd w:id="4"/>
    <w:p>
      <w:pPr>
        <w:jc w:val="both"/>
        <w:ind w:right="140" w:firstLine="414"/>
        <w:spacing w:after="0" w:line="299" w:lineRule="auto"/>
        <w:rPr>
          <w:sz w:val="20"/>
          <w:szCs w:val="20"/>
          <w:color w:val="auto"/>
        </w:rPr>
      </w:pPr>
      <w:r>
        <w:rPr>
          <w:rFonts w:ascii="Arial" w:cs="Arial" w:eastAsia="Arial" w:hAnsi="Arial"/>
          <w:sz w:val="14"/>
          <w:szCs w:val="14"/>
          <w:color w:val="auto"/>
        </w:rPr>
        <w:t>We also own Brook Street Bureau PLC, or Brook Street, which operates through a total of 114 branch offices, separate from the Manpower and Manpower Professional brands in the United Kingdom. Its core business is secretarial, office and light industrial recruitment. Brook Street operates as a local network of branches supported by a national head office and competes primarily with local or regional independents. Brook Street’s revenues are comprised of temporary and contract placements as well as permanent recruitment.</w:t>
      </w:r>
    </w:p>
    <w:p>
      <w:pPr>
        <w:spacing w:after="0" w:line="157" w:lineRule="exact"/>
        <w:rPr>
          <w:sz w:val="20"/>
          <w:szCs w:val="20"/>
          <w:color w:val="auto"/>
        </w:rPr>
      </w:pPr>
    </w:p>
    <w:p>
      <w:pPr>
        <w:ind w:right="140" w:firstLine="414"/>
        <w:spacing w:after="0" w:line="271" w:lineRule="auto"/>
        <w:rPr>
          <w:sz w:val="20"/>
          <w:szCs w:val="20"/>
          <w:color w:val="auto"/>
        </w:rPr>
      </w:pPr>
      <w:r>
        <w:rPr>
          <w:rFonts w:ascii="Arial" w:cs="Arial" w:eastAsia="Arial" w:hAnsi="Arial"/>
          <w:sz w:val="15"/>
          <w:szCs w:val="15"/>
          <w:color w:val="auto"/>
        </w:rPr>
        <w:t>Also included in our EMEA operations is Elan, which is a leading IT and technical recruitment firm. In addition to IT and technical recruitment, Elan provides managed service solutions to clients, which enable them to recruit personnel efficiently and achieve ongoing cost savings. Elan provides services in 16 countries, with the largest operations in the United Kingdom.</w:t>
      </w:r>
    </w:p>
    <w:p>
      <w:pPr>
        <w:spacing w:after="0" w:line="174" w:lineRule="exact"/>
        <w:rPr>
          <w:sz w:val="20"/>
          <w:szCs w:val="20"/>
          <w:color w:val="auto"/>
        </w:rPr>
      </w:pPr>
    </w:p>
    <w:p>
      <w:pPr>
        <w:ind w:right="260" w:firstLine="414"/>
        <w:spacing w:after="0" w:line="286" w:lineRule="auto"/>
        <w:rPr>
          <w:sz w:val="20"/>
          <w:szCs w:val="20"/>
          <w:color w:val="auto"/>
        </w:rPr>
      </w:pPr>
      <w:r>
        <w:rPr>
          <w:rFonts w:ascii="Arial" w:cs="Arial" w:eastAsia="Arial" w:hAnsi="Arial"/>
          <w:sz w:val="15"/>
          <w:szCs w:val="15"/>
          <w:color w:val="auto"/>
        </w:rPr>
        <w:t>During 2009 for our EMEA operations, approximately 31% of temporary and contract recruitment revenues were derived from placing office staff, 33% from placing industrial staff and 36% from placing professional and technical staff.</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also conduct business in EMEA under our Jefferson Wells and Right Management brands. These operations are discussed further in the following sections.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Asia Pacific</w:t>
      </w:r>
    </w:p>
    <w:p>
      <w:pPr>
        <w:spacing w:after="0" w:line="218" w:lineRule="exact"/>
        <w:rPr>
          <w:sz w:val="20"/>
          <w:szCs w:val="20"/>
          <w:color w:val="auto"/>
        </w:rPr>
      </w:pPr>
    </w:p>
    <w:p>
      <w:pPr>
        <w:ind w:right="40" w:firstLine="414"/>
        <w:spacing w:after="0" w:line="290" w:lineRule="auto"/>
        <w:rPr>
          <w:sz w:val="20"/>
          <w:szCs w:val="20"/>
          <w:color w:val="auto"/>
        </w:rPr>
      </w:pPr>
      <w:r>
        <w:rPr>
          <w:rFonts w:ascii="Arial" w:cs="Arial" w:eastAsia="Arial" w:hAnsi="Arial"/>
          <w:sz w:val="14"/>
          <w:szCs w:val="14"/>
          <w:color w:val="auto"/>
        </w:rPr>
        <w:t>We operate under the Manpower and Manpower Professional brands through 202 branch offices in the Asia Pacific Region. The largest of these operations are located in Australia, China, India, Japan, and the Southeast Asia Region, all of which operate through branch offices. Our Asia Pacific operations provide a variety of employment services, including permanent, temporary and contract recruitment, assessment and selection, training and outsourcing. During 2009, approximately 69% of our Asia Pacific temporary and contract recruitment revenues were derived from placing office staff, 9% from placing industrial staff and 22% from placing professional and technical staff.</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also conduct business in Asia Pacific under our Jefferson Wells and Right Management brands. These operations are discussed further in the following sections.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Right Management</w:t>
      </w:r>
    </w:p>
    <w:p>
      <w:pPr>
        <w:spacing w:after="0" w:line="195" w:lineRule="exact"/>
        <w:rPr>
          <w:sz w:val="20"/>
          <w:szCs w:val="20"/>
          <w:color w:val="auto"/>
        </w:rPr>
      </w:pPr>
    </w:p>
    <w:p>
      <w:pPr>
        <w:jc w:val="both"/>
        <w:ind w:firstLine="570"/>
        <w:spacing w:after="0" w:line="266" w:lineRule="auto"/>
        <w:rPr>
          <w:sz w:val="20"/>
          <w:szCs w:val="20"/>
          <w:color w:val="auto"/>
        </w:rPr>
      </w:pPr>
      <w:r>
        <w:rPr>
          <w:rFonts w:ascii="Arial" w:cs="Arial" w:eastAsia="Arial" w:hAnsi="Arial"/>
          <w:sz w:val="15"/>
          <w:szCs w:val="15"/>
          <w:color w:val="auto"/>
        </w:rPr>
        <w:t>Right Management is the talent and career management expert within Manpower and helps clients win by designing and executing workforce solutions that align talent strategy with business strategy. Our expertise spans Talent Assessment, Leader Development, Organizational Effectiveness, Employee Engagement, and Workforce Transition and Outplacement. Right Management has more than 300 service locations in 50 countries. Today we serve 80% of the Fortune 500 and over 70% of the Fortune Global 500 companies by helping them to grow talent, reduce costs, accelerate performance and realize their business goals.</w:t>
      </w:r>
    </w:p>
    <w:p>
      <w:pPr>
        <w:spacing w:after="0" w:line="155" w:lineRule="exact"/>
        <w:rPr>
          <w:sz w:val="20"/>
          <w:szCs w:val="20"/>
          <w:color w:val="auto"/>
        </w:rPr>
      </w:pPr>
    </w:p>
    <w:p>
      <w:pPr>
        <w:jc w:val="both"/>
        <w:ind w:firstLine="658"/>
        <w:spacing w:after="0" w:line="286" w:lineRule="auto"/>
        <w:rPr>
          <w:sz w:val="20"/>
          <w:szCs w:val="20"/>
          <w:color w:val="auto"/>
        </w:rPr>
      </w:pPr>
      <w:r>
        <w:rPr>
          <w:rFonts w:ascii="Arial" w:cs="Arial" w:eastAsia="Arial" w:hAnsi="Arial"/>
          <w:sz w:val="15"/>
          <w:szCs w:val="15"/>
          <w:color w:val="auto"/>
        </w:rPr>
        <w:t>Right Management’s Career Management capability includes Outplacement, Career Decision, Redeployment and Career Development solutions, designed to strategically mobilize and size workforces to meet client needs, while minimizing turnover and maintaining productivity.</w:t>
      </w:r>
    </w:p>
    <w:p>
      <w:pPr>
        <w:spacing w:after="0" w:line="163" w:lineRule="exact"/>
        <w:rPr>
          <w:sz w:val="20"/>
          <w:szCs w:val="20"/>
          <w:color w:val="auto"/>
        </w:rPr>
      </w:pPr>
    </w:p>
    <w:p>
      <w:pPr>
        <w:ind w:right="100" w:firstLine="414"/>
        <w:spacing w:after="0" w:line="263" w:lineRule="auto"/>
        <w:rPr>
          <w:sz w:val="20"/>
          <w:szCs w:val="20"/>
          <w:color w:val="auto"/>
        </w:rPr>
      </w:pPr>
      <w:r>
        <w:rPr>
          <w:rFonts w:ascii="Arial" w:cs="Arial" w:eastAsia="Arial" w:hAnsi="Arial"/>
          <w:sz w:val="15"/>
          <w:szCs w:val="15"/>
          <w:color w:val="auto"/>
        </w:rPr>
        <w:t>Right Management’s Talent Management capability includes: Talent Assessment solutions that provide assessment and actionable feedback on current talent, to forecast for future business needs; Leader Development solutions focused on creating organizational capacity through careful grooming of a client’s most promising leader talent; Organizational Effectiveness solutions that facilitate the integration and alignment of the business strategy with a workable talent management strategy; and Employee Engagement solutions that help organizations identify the levels of engagement present within a given workforce population, set benchmarks by which to evaluate the level of engagement, and analysis to enable managers to understand and leverage the drivers of employee engagement unique to their organizations.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i w:val="1"/>
          <w:iCs w:val="1"/>
          <w:color w:val="auto"/>
        </w:rPr>
        <w:t>Jefferson Wells</w:t>
      </w:r>
    </w:p>
    <w:p>
      <w:pPr>
        <w:spacing w:after="0" w:line="195" w:lineRule="exact"/>
        <w:rPr>
          <w:sz w:val="20"/>
          <w:szCs w:val="20"/>
          <w:color w:val="auto"/>
        </w:rPr>
      </w:pPr>
    </w:p>
    <w:p>
      <w:pPr>
        <w:jc w:val="both"/>
        <w:ind w:right="20" w:firstLine="598"/>
        <w:spacing w:after="0" w:line="331" w:lineRule="auto"/>
        <w:rPr>
          <w:sz w:val="20"/>
          <w:szCs w:val="20"/>
          <w:color w:val="auto"/>
        </w:rPr>
      </w:pPr>
      <w:r>
        <w:rPr>
          <w:rFonts w:ascii="Arial" w:cs="Arial" w:eastAsia="Arial" w:hAnsi="Arial"/>
          <w:sz w:val="13"/>
          <w:szCs w:val="13"/>
          <w:color w:val="auto"/>
        </w:rPr>
        <w:t>Jefferson Wells delivers professional services in the areas of risk advisory, tax, and finance and accounting. Jefferson Wells’ Centers of Expertise offer in-depth expertise for specific processes, industries and technical issues, enabling the company to mobilize a global network of resources and services to address specialized client needs. The company does not perform attestation work, and focuses on client needs to deliver independent, cost-effective results by providing solutions across a wide range of finance-related business functions.</w:t>
      </w:r>
    </w:p>
    <w:p>
      <w:pPr>
        <w:spacing w:after="0" w:line="117" w:lineRule="exact"/>
        <w:rPr>
          <w:sz w:val="20"/>
          <w:szCs w:val="20"/>
          <w:color w:val="auto"/>
        </w:rPr>
      </w:pPr>
    </w:p>
    <w:p>
      <w:pPr>
        <w:jc w:val="both"/>
        <w:ind w:firstLine="601"/>
        <w:spacing w:after="0" w:line="299" w:lineRule="auto"/>
        <w:rPr>
          <w:sz w:val="20"/>
          <w:szCs w:val="20"/>
          <w:color w:val="auto"/>
        </w:rPr>
      </w:pPr>
      <w:r>
        <w:rPr>
          <w:rFonts w:ascii="Arial" w:cs="Arial" w:eastAsia="Arial" w:hAnsi="Arial"/>
          <w:sz w:val="14"/>
          <w:szCs w:val="14"/>
          <w:color w:val="auto"/>
        </w:rPr>
        <w:t>Jefferson Wells employs highly experienced professionals who have significant practical, hands-on experience — often a blend of public accounting and industry experience with relevant professional credentials and accreditations. Jefferson Wells’ professionals have extensive experience in a variety of industries, including: automotive, business services, communications, construction, education, energy and utilities, financial services, government, healthcare, hospitality, insurance, retail, technology and manufacturing.</w:t>
      </w:r>
    </w:p>
    <w:p>
      <w:pPr>
        <w:spacing w:after="0" w:line="134" w:lineRule="exact"/>
        <w:rPr>
          <w:sz w:val="20"/>
          <w:szCs w:val="20"/>
          <w:color w:val="auto"/>
        </w:rPr>
      </w:pPr>
    </w:p>
    <w:p>
      <w:pPr>
        <w:jc w:val="both"/>
        <w:ind w:right="20" w:firstLine="581"/>
        <w:spacing w:after="0" w:line="290" w:lineRule="auto"/>
        <w:rPr>
          <w:sz w:val="20"/>
          <w:szCs w:val="20"/>
          <w:color w:val="auto"/>
        </w:rPr>
      </w:pPr>
      <w:r>
        <w:rPr>
          <w:rFonts w:ascii="Arial" w:cs="Arial" w:eastAsia="Arial" w:hAnsi="Arial"/>
          <w:sz w:val="14"/>
          <w:szCs w:val="14"/>
          <w:color w:val="auto"/>
        </w:rPr>
        <w:t>The company serves clients, including Fortune 500, FTSE 350 and Global 1000 companies. Its mission has always been to provide exceptional service at competitive rates by putting resources into local offices, rather than a centralized, partner-based organization. This allows the company to keep their fees competitive, with experts available locally so travel and lodging expenses are nominal or non-existent. Jefferson Wells has operations in the United States, Canada, the United Kingdom, Germany, the Netherlands, South Africa and Hong Kong through 50 office locations. In partnership with our business alliances, Jefferson Wells delivers services in more than 40 countries and markets worldwide.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Competition</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Introduction</w:t>
      </w:r>
    </w:p>
    <w:p>
      <w:pPr>
        <w:spacing w:after="0" w:line="218" w:lineRule="exact"/>
        <w:rPr>
          <w:sz w:val="20"/>
          <w:szCs w:val="20"/>
          <w:color w:val="auto"/>
        </w:rPr>
      </w:pPr>
    </w:p>
    <w:p>
      <w:pPr>
        <w:ind w:right="300" w:firstLine="414"/>
        <w:spacing w:after="0" w:line="286" w:lineRule="auto"/>
        <w:rPr>
          <w:sz w:val="20"/>
          <w:szCs w:val="20"/>
          <w:color w:val="auto"/>
        </w:rPr>
      </w:pPr>
      <w:r>
        <w:rPr>
          <w:rFonts w:ascii="Arial" w:cs="Arial" w:eastAsia="Arial" w:hAnsi="Arial"/>
          <w:sz w:val="15"/>
          <w:szCs w:val="15"/>
          <w:color w:val="auto"/>
        </w:rPr>
        <w:t>We compete in the employment services industry by offering a complete range of services, including permanent, temporary and contract recruitment, assessment and selection, training, managed service solutions, outsourcing, consulting and professional services.</w:t>
      </w:r>
    </w:p>
    <w:p>
      <w:pPr>
        <w:spacing w:after="0" w:line="163" w:lineRule="exact"/>
        <w:rPr>
          <w:sz w:val="20"/>
          <w:szCs w:val="20"/>
          <w:color w:val="auto"/>
        </w:rPr>
      </w:pPr>
    </w:p>
    <w:p>
      <w:pPr>
        <w:ind w:right="20" w:firstLine="459"/>
        <w:spacing w:after="0" w:line="286" w:lineRule="auto"/>
        <w:rPr>
          <w:sz w:val="20"/>
          <w:szCs w:val="20"/>
          <w:color w:val="auto"/>
        </w:rPr>
      </w:pPr>
      <w:r>
        <w:rPr>
          <w:rFonts w:ascii="Arial" w:cs="Arial" w:eastAsia="Arial" w:hAnsi="Arial"/>
          <w:sz w:val="14"/>
          <w:szCs w:val="14"/>
          <w:color w:val="auto"/>
        </w:rPr>
        <w:t>Our industry is large and fragmented, comprised of thousands of firms employing millions of people and generating billions of U.S. Dollars in annual revenues. It is also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67" w:lineRule="exact"/>
        <w:rPr>
          <w:sz w:val="20"/>
          <w:szCs w:val="20"/>
          <w:color w:val="auto"/>
        </w:rPr>
      </w:pPr>
    </w:p>
    <w:p>
      <w:pPr>
        <w:ind w:right="40" w:firstLine="414"/>
        <w:spacing w:after="0" w:line="266" w:lineRule="auto"/>
        <w:rPr>
          <w:sz w:val="20"/>
          <w:szCs w:val="20"/>
          <w:color w:val="auto"/>
        </w:rPr>
      </w:pPr>
      <w:r>
        <w:rPr>
          <w:rFonts w:ascii="Arial" w:cs="Arial" w:eastAsia="Arial" w:hAnsi="Arial"/>
          <w:sz w:val="15"/>
          <w:szCs w:val="15"/>
          <w:color w:val="auto"/>
        </w:rPr>
        <w:t>Client demand for employment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178" w:lineRule="exact"/>
        <w:rPr>
          <w:sz w:val="20"/>
          <w:szCs w:val="20"/>
          <w:color w:val="auto"/>
        </w:rPr>
      </w:pPr>
    </w:p>
    <w:p>
      <w:pPr>
        <w:ind w:right="80" w:firstLine="414"/>
        <w:spacing w:after="0" w:line="266" w:lineRule="auto"/>
        <w:rPr>
          <w:sz w:val="20"/>
          <w:szCs w:val="20"/>
          <w:color w:val="auto"/>
        </w:rPr>
      </w:pPr>
      <w:r>
        <w:rPr>
          <w:rFonts w:ascii="Arial" w:cs="Arial" w:eastAsia="Arial" w:hAnsi="Arial"/>
          <w:sz w:val="15"/>
          <w:szCs w:val="15"/>
          <w:color w:val="auto"/>
        </w:rPr>
        <w:t>During the last several years, secular trends toward greater workforce flexibility have had a favorable impact on demand for our services in several markets. As companies attempt to increase the variability of their cost base, the contemporary work solutions we provide help them to effectively address the fluctuating demand for their products or services. As the economy recovers, we believe employment services firms will play an increasing role in workforce strategy and talent acquisition due to the deep staff cuts many companies have made during the recession, particularly at large organizations.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6" w:name="page7"/>
    <w:bookmarkEnd w:id="6"/>
    <w:p>
      <w:pPr>
        <w:ind w:right="80" w:firstLine="414"/>
        <w:spacing w:after="0" w:line="263" w:lineRule="auto"/>
        <w:rPr>
          <w:sz w:val="20"/>
          <w:szCs w:val="20"/>
          <w:color w:val="auto"/>
        </w:rPr>
      </w:pPr>
      <w:r>
        <w:rPr>
          <w:rFonts w:ascii="Arial" w:cs="Arial" w:eastAsia="Arial" w:hAnsi="Arial"/>
          <w:sz w:val="15"/>
          <w:szCs w:val="15"/>
          <w:color w:val="auto"/>
        </w:rPr>
        <w:t>Our client mix consists of both small- and medium-size businesses, which are based upon a local or regional relationship with our office network in each market, and large national/multinational client relationships, which comprised approximately 44% of our revenues in 2009.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Recruitment Services Market</w:t>
      </w:r>
    </w:p>
    <w:p>
      <w:pPr>
        <w:spacing w:after="0" w:line="218" w:lineRule="exact"/>
        <w:rPr>
          <w:sz w:val="20"/>
          <w:szCs w:val="20"/>
          <w:color w:val="auto"/>
        </w:rPr>
      </w:pPr>
    </w:p>
    <w:p>
      <w:pPr>
        <w:ind w:right="400" w:firstLine="414"/>
        <w:spacing w:after="0" w:line="286" w:lineRule="auto"/>
        <w:rPr>
          <w:sz w:val="20"/>
          <w:szCs w:val="20"/>
          <w:color w:val="auto"/>
        </w:rPr>
      </w:pPr>
      <w:r>
        <w:rPr>
          <w:rFonts w:ascii="Arial" w:cs="Arial" w:eastAsia="Arial" w:hAnsi="Arial"/>
          <w:sz w:val="15"/>
          <w:szCs w:val="15"/>
          <w:color w:val="auto"/>
        </w:rPr>
        <w:t>Our portfolio of recruitment services includes permanent, temporary and contract recruitment of professionals, as well as administrative and industrial positions. All of these services are provided under the Manpower, Manpower Professional and Elan brands.</w:t>
      </w:r>
    </w:p>
    <w:p>
      <w:pPr>
        <w:spacing w:after="0" w:line="163" w:lineRule="exact"/>
        <w:rPr>
          <w:sz w:val="20"/>
          <w:szCs w:val="20"/>
          <w:color w:val="auto"/>
        </w:rPr>
      </w:pPr>
    </w:p>
    <w:p>
      <w:pPr>
        <w:ind w:right="80" w:firstLine="414"/>
        <w:spacing w:after="0" w:line="266" w:lineRule="auto"/>
        <w:rPr>
          <w:sz w:val="20"/>
          <w:szCs w:val="20"/>
          <w:color w:val="auto"/>
        </w:rPr>
      </w:pPr>
      <w:r>
        <w:rPr>
          <w:rFonts w:ascii="Arial" w:cs="Arial" w:eastAsia="Arial" w:hAnsi="Arial"/>
          <w:sz w:val="15"/>
          <w:szCs w:val="15"/>
          <w:color w:val="auto"/>
        </w:rPr>
        <w:t>We are preparing for the global expansion and acceleration of our Professional Staffing business, particularly in the areas of Information, Communications and Technology (ITC), Engineering, and Finance and Accounting. These high-growth, high-profitability services, delivered primarily under the Manpower Professional brand and Elan, provide the in-demand skills our clients require. Professional Staffing will be a critical revenue stream for us in the future, as we continue to build our brand and attract the talent our clients need as skills shortages rise.</w:t>
      </w:r>
    </w:p>
    <w:p>
      <w:pPr>
        <w:spacing w:after="0" w:line="178" w:lineRule="exact"/>
        <w:rPr>
          <w:sz w:val="20"/>
          <w:szCs w:val="20"/>
          <w:color w:val="auto"/>
        </w:rPr>
      </w:pPr>
    </w:p>
    <w:p>
      <w:pPr>
        <w:ind w:firstLine="414"/>
        <w:spacing w:after="0" w:line="260" w:lineRule="auto"/>
        <w:rPr>
          <w:sz w:val="20"/>
          <w:szCs w:val="20"/>
          <w:color w:val="auto"/>
        </w:rPr>
      </w:pPr>
      <w:r>
        <w:rPr>
          <w:rFonts w:ascii="Arial" w:cs="Arial" w:eastAsia="Arial" w:hAnsi="Arial"/>
          <w:sz w:val="15"/>
          <w:szCs w:val="15"/>
          <w:color w:val="auto"/>
        </w:rPr>
        <w:t>Our recruitment services also include our Recruitment Process Outsourcing (RPO) offering, where we take on the management of customized, large-scale recruiting and workforce productivity initiatives for clients in an exclusive outsourcing contract. Our RPO offering is delivered via Manpower Business Solutions (MBS), a dedicated business unit within the Manpower group of companies that specializes in the delivery of customized employment strategies and outcome-based solutions. Through our RPO offering, MBS manages any part or all of a client's permanent recruiting and hiring processes, from job profiling to on-boarding, globally or in a single location. The Managed Service Program (MSP) and RPO offerings provide specialty expertise in contingent workforce management and broader administrative functions. MSP services include overall program management, reporting and tracking, supplier selection and management and order distribution. Business Process Outsourcing (BPO) services include management of financial and administrative processes, including call center and customer service activities and accounting and payroll. Our proven experience, process and digital and physical network allow us to drive the per hire cost savings down through an end-to-end recruitment process.</w:t>
      </w:r>
    </w:p>
    <w:p>
      <w:pPr>
        <w:spacing w:after="0" w:line="183" w:lineRule="exact"/>
        <w:rPr>
          <w:sz w:val="20"/>
          <w:szCs w:val="20"/>
          <w:color w:val="auto"/>
        </w:rPr>
      </w:pPr>
    </w:p>
    <w:p>
      <w:pPr>
        <w:ind w:right="20" w:firstLine="414"/>
        <w:spacing w:after="0" w:line="271" w:lineRule="auto"/>
        <w:rPr>
          <w:sz w:val="20"/>
          <w:szCs w:val="20"/>
          <w:color w:val="auto"/>
        </w:rPr>
      </w:pPr>
      <w:r>
        <w:rPr>
          <w:rFonts w:ascii="Arial" w:cs="Arial" w:eastAsia="Arial" w:hAnsi="Arial"/>
          <w:sz w:val="15"/>
          <w:szCs w:val="15"/>
          <w:color w:val="auto"/>
        </w:rPr>
        <w:t>The temporary recruitment market throughout the world is large and highly fragmented with more than 15,000 firms competing throughout the world. In most areas, no single company has a dominant share of the temporary and contract recruitment market. In addition to us, the largest publicly owned companies specializing in recruitment services are Adecco, S.A. (Switzerland), Randstad Holding N.V. (Netherlands) and Kelly Services, Inc. (U.S.).</w:t>
      </w:r>
    </w:p>
    <w:p>
      <w:pPr>
        <w:spacing w:after="0" w:line="174" w:lineRule="exact"/>
        <w:rPr>
          <w:sz w:val="20"/>
          <w:szCs w:val="20"/>
          <w:color w:val="auto"/>
        </w:rPr>
      </w:pPr>
    </w:p>
    <w:p>
      <w:pPr>
        <w:ind w:right="460" w:firstLine="414"/>
        <w:spacing w:after="0" w:line="286" w:lineRule="auto"/>
        <w:rPr>
          <w:sz w:val="20"/>
          <w:szCs w:val="20"/>
          <w:color w:val="auto"/>
        </w:rPr>
      </w:pPr>
      <w:r>
        <w:rPr>
          <w:rFonts w:ascii="Arial" w:cs="Arial" w:eastAsia="Arial" w:hAnsi="Arial"/>
          <w:sz w:val="15"/>
          <w:szCs w:val="15"/>
          <w:color w:val="auto"/>
        </w:rPr>
        <w:t>The global RPO market was approximately $1.9 billion in 2009 and is projected to grow to $2.8 billion by 2013. RPO accounts for approximately 4% of the overall Human Resource Outsourcing market.</w:t>
      </w:r>
    </w:p>
    <w:p>
      <w:pPr>
        <w:spacing w:after="0" w:line="140" w:lineRule="exact"/>
        <w:rPr>
          <w:sz w:val="20"/>
          <w:szCs w:val="20"/>
          <w:color w:val="auto"/>
        </w:rPr>
      </w:pPr>
    </w:p>
    <w:p>
      <w:pPr>
        <w:ind w:right="240" w:firstLine="414"/>
        <w:spacing w:after="0" w:line="263" w:lineRule="auto"/>
        <w:rPr>
          <w:sz w:val="20"/>
          <w:szCs w:val="20"/>
          <w:color w:val="auto"/>
        </w:rPr>
      </w:pPr>
      <w:r>
        <w:rPr>
          <w:rFonts w:ascii="Arial" w:cs="Arial" w:eastAsia="Arial" w:hAnsi="Arial"/>
          <w:sz w:val="15"/>
          <w:szCs w:val="15"/>
          <w:color w:val="auto"/>
        </w:rPr>
        <w:t>Historically, in periods of economic prosperity, the number of firms providing recruitment services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 As we projected, due to the difficult economic environment this year, we saw many of our smaller, local competitors struggle, with many national markets consolidating further. In many markets we were able to improve market share and we see further opportunity to do so in the future.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 w:name="page8"/>
    <w:bookmarkEnd w:id="7"/>
    <w:p>
      <w:pPr>
        <w:ind w:right="40" w:firstLine="414"/>
        <w:spacing w:after="0" w:line="290" w:lineRule="auto"/>
        <w:rPr>
          <w:sz w:val="20"/>
          <w:szCs w:val="20"/>
          <w:color w:val="auto"/>
        </w:rPr>
      </w:pPr>
      <w:r>
        <w:rPr>
          <w:rFonts w:ascii="Arial" w:cs="Arial" w:eastAsia="Arial" w:hAnsi="Arial"/>
          <w:sz w:val="14"/>
          <w:szCs w:val="14"/>
          <w:color w:val="auto"/>
        </w:rPr>
        <w:t>Recruitment firms act as intermediaries in matching available permanent, temporary and contract workers to employer assignments. As a result, these firms compete both to recruit and retain a supply of permanent, temporary and contract workers and to attract clients to employ these workers. We recruit permanent, temporary and contract workers through a wide variety of means, including personal referrals,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164" w:lineRule="exact"/>
        <w:rPr>
          <w:sz w:val="20"/>
          <w:szCs w:val="20"/>
          <w:color w:val="auto"/>
        </w:rPr>
      </w:pPr>
    </w:p>
    <w:p>
      <w:pPr>
        <w:ind w:right="40" w:firstLine="414"/>
        <w:spacing w:after="0" w:line="284" w:lineRule="auto"/>
        <w:rPr>
          <w:sz w:val="20"/>
          <w:szCs w:val="20"/>
          <w:color w:val="auto"/>
        </w:rPr>
      </w:pPr>
      <w:r>
        <w:rPr>
          <w:rFonts w:ascii="Arial" w:cs="Arial" w:eastAsia="Arial" w:hAnsi="Arial"/>
          <w:sz w:val="14"/>
          <w:szCs w:val="14"/>
          <w:color w:val="auto"/>
        </w:rPr>
        <w:t>Methods used to market recruitment services to clients vary depending on the client’s need for permanent, temporary and RPO services, the local labor supply, the length of assignment and the number of workers required. Our full range of employment services and multiple brands enable us to cross-market to clients in order to leverage our relationships and expand our services provided, from outplacement services at Right Management to permanent recruitment services at Manpower Professional, to RPO services, etc. We compete by means of quality of service provided, scope of service offered, ability to source the right talent and price. Success in providing high quality recruitment services is a function of the ability to access a supply of available workers, select suitable individuals for a particular assignment and, in some cases, train available workers in skills required for an assignment. For MBS services, success is defined primarily by the ability to perform the recruitment function more effectively and efficiently than the client could perform those functions internally.</w:t>
      </w:r>
    </w:p>
    <w:p>
      <w:pPr>
        <w:spacing w:after="0" w:line="167" w:lineRule="exact"/>
        <w:rPr>
          <w:sz w:val="20"/>
          <w:szCs w:val="20"/>
          <w:color w:val="auto"/>
        </w:rPr>
      </w:pPr>
    </w:p>
    <w:p>
      <w:pPr>
        <w:ind w:right="80" w:firstLine="414"/>
        <w:spacing w:after="0" w:line="266" w:lineRule="auto"/>
        <w:rPr>
          <w:sz w:val="20"/>
          <w:szCs w:val="20"/>
          <w:color w:val="auto"/>
        </w:rPr>
      </w:pPr>
      <w:r>
        <w:rPr>
          <w:rFonts w:ascii="Arial" w:cs="Arial" w:eastAsia="Arial" w:hAnsi="Arial"/>
          <w:sz w:val="15"/>
          <w:szCs w:val="15"/>
          <w:color w:val="auto"/>
        </w:rPr>
        <w:t>An important aspect in the selection of temporary and contract workers for an assignment is the ability of the recruitment firm to identify the skills, knowledge, abilities, and personal characteristics of a temporary worker and match their competencies or capabilities to an employer’s requirements. We have a variety of proprietary programs for identifying and assessing the skill level of our associates, which are used in selecting a particular individual for a specific assignment. We believe that our assessment systems enable us to offer a higher quality service by increasing productivity, decreasing turnover and reducing absenteeism.</w:t>
      </w:r>
    </w:p>
    <w:p>
      <w:pPr>
        <w:spacing w:after="0" w:line="178" w:lineRule="exact"/>
        <w:rPr>
          <w:sz w:val="20"/>
          <w:szCs w:val="20"/>
          <w:color w:val="auto"/>
        </w:rPr>
      </w:pPr>
    </w:p>
    <w:p>
      <w:pPr>
        <w:ind w:right="160" w:firstLine="414"/>
        <w:spacing w:after="0" w:line="242" w:lineRule="auto"/>
        <w:rPr>
          <w:sz w:val="20"/>
          <w:szCs w:val="20"/>
          <w:color w:val="auto"/>
        </w:rPr>
      </w:pPr>
      <w:r>
        <w:rPr>
          <w:rFonts w:ascii="Arial" w:cs="Arial" w:eastAsia="Arial" w:hAnsi="Arial"/>
          <w:sz w:val="15"/>
          <w:szCs w:val="15"/>
          <w:color w:val="auto"/>
        </w:rPr>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through the use of training systems. Our Manpower Direct Training</w:t>
      </w:r>
      <w:r>
        <w:rPr>
          <w:rFonts w:ascii="Arial" w:cs="Arial" w:eastAsia="Arial" w:hAnsi="Arial"/>
          <w:sz w:val="21"/>
          <w:szCs w:val="21"/>
          <w:color w:val="auto"/>
          <w:vertAlign w:val="superscript"/>
        </w:rPr>
        <w:t>SM</w:t>
      </w:r>
      <w:r>
        <w:rPr>
          <w:rFonts w:ascii="Arial" w:cs="Arial" w:eastAsia="Arial" w:hAnsi="Arial"/>
          <w:sz w:val="15"/>
          <w:szCs w:val="15"/>
          <w:color w:val="auto"/>
        </w:rPr>
        <w:t xml:space="preserve"> online university provides over 5,000 hours of online courses that are accessible 24/7 and are free to our employees and associates to help them improve their skills. The courses cover a wide range of subjects in many languages and feature the latest information for a variety of fields, from learning the latest technology in the IT field, to brushing up on business management courses or software programs. This training can also enable students in any profession to further develop their skills, improve their employability and earn higher wages.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Career and Talent Management Consulting Services Market</w:t>
      </w:r>
    </w:p>
    <w:p>
      <w:pPr>
        <w:spacing w:after="0" w:line="218" w:lineRule="exact"/>
        <w:rPr>
          <w:sz w:val="20"/>
          <w:szCs w:val="20"/>
          <w:color w:val="auto"/>
        </w:rPr>
      </w:pPr>
    </w:p>
    <w:p>
      <w:pPr>
        <w:ind w:right="80" w:firstLine="414"/>
        <w:spacing w:after="0" w:line="284" w:lineRule="auto"/>
        <w:rPr>
          <w:sz w:val="20"/>
          <w:szCs w:val="20"/>
          <w:color w:val="auto"/>
        </w:rPr>
      </w:pPr>
      <w:r>
        <w:rPr>
          <w:rFonts w:ascii="Arial" w:cs="Arial" w:eastAsia="Arial" w:hAnsi="Arial"/>
          <w:sz w:val="14"/>
          <w:szCs w:val="14"/>
          <w:color w:val="auto"/>
        </w:rPr>
        <w:t>Our Career and Talent Management consulting services are primarily provided under the Right Management brand. Right Management is the talent and career management expert within Manpower. The organization helps clients win in the changing world of work by designing and executing workforce solutions that align talent strategy with business strategy. Its expertise spans talent assessment, leader development, organizational effectiveness, employee engagement, and workforce transition and outplacement. With offices in over 50 countries, Right Management partners with companies of all sizes. More than 80% of Fortune 500 companies are currently working with Right Management to help them grow talent, reduce costs and accelerate performance. The market for these consulting and outplacement services is highly competitive. In the market for services required by global clients, there are several barriers to entry, such as the global coverage, specialized local knowledge and technology required to provide outstanding services to corporations on a global scale.</w:t>
      </w:r>
    </w:p>
    <w:p>
      <w:pPr>
        <w:spacing w:after="0" w:line="144" w:lineRule="exact"/>
        <w:rPr>
          <w:sz w:val="20"/>
          <w:szCs w:val="20"/>
          <w:color w:val="auto"/>
        </w:rPr>
      </w:pPr>
    </w:p>
    <w:p>
      <w:pPr>
        <w:jc w:val="both"/>
        <w:ind w:firstLine="614"/>
        <w:spacing w:after="0" w:line="263" w:lineRule="auto"/>
        <w:rPr>
          <w:sz w:val="20"/>
          <w:szCs w:val="20"/>
          <w:color w:val="auto"/>
        </w:rPr>
      </w:pPr>
      <w:r>
        <w:rPr>
          <w:rFonts w:ascii="Arial" w:cs="Arial" w:eastAsia="Arial" w:hAnsi="Arial"/>
          <w:sz w:val="15"/>
          <w:szCs w:val="15"/>
          <w:color w:val="auto"/>
        </w:rPr>
        <w:t>Our competitors in the consulting space related to Right Management's core capabilities include major firms that compete in serving the large employer worldwide, such as Mercer, Towers Watson, DDI and Hewitt Associates. Additional significant competition comes from smaller regional and boutique firms in this same space, along with firms in related areas such as management and technology consulting and human resource IT that are starting to compete in portions of the Talent Management space (e.g. Accenture, Kenexa). Public accounting and consulting firms such as PricewaterhouseCoopers and Deloitte &amp; Touche are also competitors in this space, though these firms must provide their consulting services within the constraints of the auditor independence provisions of the Sarbanes-Oxley Act legislation.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8" w:name="page9"/>
    <w:bookmarkEnd w:id="8"/>
    <w:p>
      <w:pPr>
        <w:ind w:right="80" w:firstLine="567"/>
        <w:spacing w:after="0" w:line="260" w:lineRule="auto"/>
        <w:rPr>
          <w:sz w:val="20"/>
          <w:szCs w:val="20"/>
          <w:color w:val="auto"/>
        </w:rPr>
      </w:pPr>
      <w:r>
        <w:rPr>
          <w:rFonts w:ascii="Arial" w:cs="Arial" w:eastAsia="Arial" w:hAnsi="Arial"/>
          <w:sz w:val="15"/>
          <w:szCs w:val="15"/>
          <w:color w:val="auto"/>
        </w:rPr>
        <w:t>Our competitors in the outplacement market include outplacement services firms such as Drake Beam Morin, Lee Hecht Harrison (owned by Adecco) and career service divisions of global employment services firms. Additionally, there are regional firms and numerous smaller boutiques operating in either limited geographic markets or providing limited services. Companies choose to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provides for the well being of employees – not only during their period of employment, but also after their employment ceases. Additionally, when companies experience layoffs, many believe that providing outplacement services projects a positive corporate image and improves morale among the remaining employees. Finally, companies may provide outplacement services to reduce costs by preparing and assisting separated employees to find new employment, thereby diminishing employment-related litigation.</w:t>
      </w:r>
    </w:p>
    <w:p>
      <w:pPr>
        <w:spacing w:after="0" w:line="183" w:lineRule="exact"/>
        <w:rPr>
          <w:sz w:val="20"/>
          <w:szCs w:val="20"/>
          <w:color w:val="auto"/>
        </w:rPr>
      </w:pPr>
    </w:p>
    <w:p>
      <w:pPr>
        <w:ind w:right="40" w:firstLine="414"/>
        <w:spacing w:after="0" w:line="263" w:lineRule="auto"/>
        <w:rPr>
          <w:sz w:val="20"/>
          <w:szCs w:val="20"/>
          <w:color w:val="auto"/>
        </w:rPr>
      </w:pPr>
      <w:r>
        <w:rPr>
          <w:rFonts w:ascii="Arial" w:cs="Arial" w:eastAsia="Arial" w:hAnsi="Arial"/>
          <w:sz w:val="15"/>
          <w:szCs w:val="15"/>
          <w:color w:val="auto"/>
        </w:rPr>
        <w:t>Companies augment their internal human resources professional staff with external consultants for many reasons. First, the growing importance and complexity of employee issues is creating an unprecedented theoretical and technical service expectation on human resources departments. Additionally, human resources departments have continued pressure to contain costs without minimizing the resources available to managers. Finally, companies increasingly choose to outsource non-core functions that can be addressed more effectively by outside professionals. These organizations look to Right Management for thought leadership and best practices on attracting and assessing organizational talent, leadership development and engaging and aligning the workforce.</w:t>
      </w:r>
    </w:p>
    <w:p>
      <w:pPr>
        <w:spacing w:after="0" w:line="181" w:lineRule="exact"/>
        <w:rPr>
          <w:sz w:val="20"/>
          <w:szCs w:val="20"/>
          <w:color w:val="auto"/>
        </w:rPr>
      </w:pPr>
    </w:p>
    <w:p>
      <w:pPr>
        <w:ind w:right="40" w:firstLine="414"/>
        <w:spacing w:after="0" w:line="239" w:lineRule="auto"/>
        <w:rPr>
          <w:sz w:val="20"/>
          <w:szCs w:val="20"/>
          <w:color w:val="auto"/>
        </w:rPr>
      </w:pPr>
      <w:r>
        <w:rPr>
          <w:rFonts w:ascii="Arial" w:cs="Arial" w:eastAsia="Arial" w:hAnsi="Arial"/>
          <w:sz w:val="15"/>
          <w:szCs w:val="15"/>
          <w:color w:val="auto"/>
        </w:rPr>
        <w:t xml:space="preserve">Companies also choose Right Management for the high-tech, high-touch approach of our outplacement services and the range of expertise and solutions within our core capabilities that can be tailored to meet specific organizational and candidate needs. Our technology capabilities are integral to our services, particularly for outplacement. We have made significant investments in technology to augment our core services with online, 24/7 access and support for both clients and candidates. Our solutions include: Right Navigator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RightChoice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RightTrack </w:t>
      </w:r>
      <w:r>
        <w:rPr>
          <w:rFonts w:ascii="Arial" w:cs="Arial" w:eastAsia="Arial" w:hAnsi="Arial"/>
          <w:sz w:val="21"/>
          <w:szCs w:val="21"/>
          <w:color w:val="auto"/>
          <w:vertAlign w:val="superscript"/>
        </w:rPr>
        <w:t>SM</w:t>
      </w:r>
      <w:r>
        <w:rPr>
          <w:rFonts w:ascii="Arial" w:cs="Arial" w:eastAsia="Arial" w:hAnsi="Arial"/>
          <w:sz w:val="15"/>
          <w:szCs w:val="15"/>
          <w:color w:val="auto"/>
        </w:rPr>
        <w:t>, RightEverywhere</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Right Connection </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Right FasTrack </w:t>
      </w:r>
      <w:r>
        <w:rPr>
          <w:rFonts w:ascii="Arial" w:cs="Arial" w:eastAsia="Arial" w:hAnsi="Arial"/>
          <w:sz w:val="21"/>
          <w:szCs w:val="21"/>
          <w:color w:val="auto"/>
          <w:vertAlign w:val="superscript"/>
        </w:rPr>
        <w:t>SM</w:t>
      </w:r>
      <w:r>
        <w:rPr>
          <w:rFonts w:ascii="Arial" w:cs="Arial" w:eastAsia="Arial" w:hAnsi="Arial"/>
          <w:sz w:val="15"/>
          <w:szCs w:val="15"/>
          <w:color w:val="auto"/>
        </w:rPr>
        <w:t xml:space="preserve">, Right Access </w:t>
      </w:r>
      <w:r>
        <w:rPr>
          <w:rFonts w:ascii="Arial" w:cs="Arial" w:eastAsia="Arial" w:hAnsi="Arial"/>
          <w:sz w:val="21"/>
          <w:szCs w:val="21"/>
          <w:color w:val="auto"/>
          <w:vertAlign w:val="superscript"/>
        </w:rPr>
        <w:t>SM</w:t>
      </w:r>
      <w:r>
        <w:rPr>
          <w:rFonts w:ascii="Arial" w:cs="Arial" w:eastAsia="Arial" w:hAnsi="Arial"/>
          <w:sz w:val="15"/>
          <w:szCs w:val="15"/>
          <w:color w:val="auto"/>
        </w:rPr>
        <w:t xml:space="preserve"> , iView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and Wellness and Productivity Management, along with Job Banks and Resume Banks.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Professional Services</w:t>
      </w:r>
    </w:p>
    <w:p>
      <w:pPr>
        <w:spacing w:after="0" w:line="218" w:lineRule="exact"/>
        <w:rPr>
          <w:sz w:val="20"/>
          <w:szCs w:val="20"/>
          <w:color w:val="auto"/>
        </w:rPr>
      </w:pPr>
    </w:p>
    <w:p>
      <w:pPr>
        <w:ind w:right="20" w:firstLine="414"/>
        <w:spacing w:after="0" w:line="271" w:lineRule="auto"/>
        <w:rPr>
          <w:sz w:val="20"/>
          <w:szCs w:val="20"/>
          <w:color w:val="auto"/>
        </w:rPr>
      </w:pPr>
      <w:r>
        <w:rPr>
          <w:rFonts w:ascii="Arial" w:cs="Arial" w:eastAsia="Arial" w:hAnsi="Arial"/>
          <w:sz w:val="15"/>
          <w:szCs w:val="15"/>
          <w:color w:val="auto"/>
        </w:rPr>
        <w:t>Jefferson Wells competes in the professional services industry as a high-value alternative to public accounting firms and other consulting groups. It delivers professional services in the areas of risk advisory, tax, and finance and accounting, focusing on client needs to deliver independent, cost-effective results by providing solutions across a wide range of finance-related business functions.</w:t>
      </w:r>
    </w:p>
    <w:p>
      <w:pPr>
        <w:spacing w:after="0" w:line="174" w:lineRule="exact"/>
        <w:rPr>
          <w:sz w:val="20"/>
          <w:szCs w:val="20"/>
          <w:color w:val="auto"/>
        </w:rPr>
      </w:pPr>
    </w:p>
    <w:p>
      <w:pPr>
        <w:ind w:right="80" w:firstLine="414"/>
        <w:spacing w:after="0" w:line="261" w:lineRule="auto"/>
        <w:rPr>
          <w:sz w:val="20"/>
          <w:szCs w:val="20"/>
          <w:color w:val="auto"/>
        </w:rPr>
      </w:pPr>
      <w:r>
        <w:rPr>
          <w:rFonts w:ascii="Arial" w:cs="Arial" w:eastAsia="Arial" w:hAnsi="Arial"/>
          <w:sz w:val="15"/>
          <w:szCs w:val="15"/>
          <w:color w:val="auto"/>
        </w:rPr>
        <w:t>The professional services industry is highly competitive and comprised of public accounting firms, mid-level consulting firms and specialty consulting boutique firms. The “Big Four” public accounting firms are Deloitte &amp; Touche, Ernst &amp; Young, PricewaterhouseCoopers and KPMG. Competitors in the professional services market include Protiviti, Grant Thornton, Huron Consulting and Resources Global Professionals. Additionally, numerous smaller boutiques either operate in limited geographic markets or provide limited services. While public accounting and consulting firms can be primary competitors, these firms also frequently refer Jefferson Wells to assist clients with engagements where there are conflict-of-interest concerns. Because Jefferson Wells does not perform attestation work, it can provide an objective review of a client’s business processes, thus avoiding potential conflicts of interest.</w:t>
      </w:r>
    </w:p>
    <w:p>
      <w:pPr>
        <w:spacing w:after="0" w:line="161" w:lineRule="exact"/>
        <w:rPr>
          <w:sz w:val="20"/>
          <w:szCs w:val="20"/>
          <w:color w:val="auto"/>
        </w:rPr>
      </w:pPr>
    </w:p>
    <w:p>
      <w:pPr>
        <w:jc w:val="both"/>
        <w:ind w:firstLine="601"/>
        <w:spacing w:after="0" w:line="299" w:lineRule="auto"/>
        <w:rPr>
          <w:sz w:val="20"/>
          <w:szCs w:val="20"/>
          <w:color w:val="auto"/>
        </w:rPr>
      </w:pPr>
      <w:r>
        <w:rPr>
          <w:rFonts w:ascii="Arial" w:cs="Arial" w:eastAsia="Arial" w:hAnsi="Arial"/>
          <w:sz w:val="14"/>
          <w:szCs w:val="14"/>
          <w:color w:val="auto"/>
        </w:rPr>
        <w:t>Jefferson Wells employs highly experienced professionals who have significant practical, hands-on experience — often a blend of public accounting and industry experience with relevant professional credentials and accreditations. Jefferson Wells’ professionals have extensive experience in a variety of industries, including: automotive, business services, communications, construction, education, energy and utilities, financial services, government, healthcare, hospitality, insurance, retail, technology and manufacturing.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9" w:name="page10"/>
    <w:bookmarkEnd w:id="9"/>
    <w:p>
      <w:pPr>
        <w:ind w:firstLine="414"/>
        <w:spacing w:after="0" w:line="286" w:lineRule="auto"/>
        <w:rPr>
          <w:sz w:val="20"/>
          <w:szCs w:val="20"/>
          <w:color w:val="auto"/>
        </w:rPr>
      </w:pPr>
      <w:r>
        <w:rPr>
          <w:rFonts w:ascii="Arial" w:cs="Arial" w:eastAsia="Arial" w:hAnsi="Arial"/>
          <w:sz w:val="14"/>
          <w:szCs w:val="14"/>
          <w:color w:val="auto"/>
        </w:rPr>
        <w:t>In an evolving global marketplace, a variety of market trends affect the professional services industry, primary among them are: increasing demand for highly experienced people, global business expansion with a need for consistent methodology and service delivery, and the high cost of full-time professionals with specialized skills. To meet these demands, Jefferson Wells’ Centers of Expertise offer in-depth expertise for specific processes, industries and technical issues, enabling the company to mobilize a global network of resources and services to address specialized client needs. Its operational model seeks to provide exceptional service at competitive rates by putting resources into local offices, rather than a centralized, partner-based organization. This allows the company to keep its fees competitive, with experts available locally so travel and lodging expenses are nominal or non-existent.</w:t>
      </w:r>
    </w:p>
    <w:p>
      <w:pPr>
        <w:spacing w:after="0" w:line="167" w:lineRule="exact"/>
        <w:rPr>
          <w:sz w:val="20"/>
          <w:szCs w:val="20"/>
          <w:color w:val="auto"/>
        </w:rPr>
      </w:pPr>
    </w:p>
    <w:p>
      <w:pPr>
        <w:ind w:right="200" w:firstLine="414"/>
        <w:spacing w:after="0" w:line="323" w:lineRule="auto"/>
        <w:rPr>
          <w:sz w:val="20"/>
          <w:szCs w:val="20"/>
          <w:color w:val="auto"/>
        </w:rPr>
      </w:pPr>
      <w:r>
        <w:rPr>
          <w:rFonts w:ascii="Arial" w:cs="Arial" w:eastAsia="Arial" w:hAnsi="Arial"/>
          <w:sz w:val="14"/>
          <w:szCs w:val="14"/>
          <w:color w:val="auto"/>
        </w:rPr>
        <w:t>Jefferson Wells serves clients, including Fortune 500, FTSE 350 and Global 1000 companies, via its network of 50 offices in the United States, Canada, England, Germany, The Netherlands, South Africa and Hong Kong. Its services are also delivered in more than 40 countries and markets worldwide through select business alliances.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Regulation</w:t>
      </w:r>
    </w:p>
    <w:p>
      <w:pPr>
        <w:spacing w:after="0" w:line="218" w:lineRule="exact"/>
        <w:rPr>
          <w:sz w:val="20"/>
          <w:szCs w:val="20"/>
          <w:color w:val="auto"/>
        </w:rPr>
      </w:pPr>
    </w:p>
    <w:p>
      <w:pPr>
        <w:ind w:right="440" w:firstLine="414"/>
        <w:spacing w:after="0" w:line="286" w:lineRule="auto"/>
        <w:rPr>
          <w:sz w:val="20"/>
          <w:szCs w:val="20"/>
          <w:color w:val="auto"/>
        </w:rPr>
      </w:pPr>
      <w:r>
        <w:rPr>
          <w:rFonts w:ascii="Arial" w:cs="Arial" w:eastAsia="Arial" w:hAnsi="Arial"/>
          <w:sz w:val="15"/>
          <w:szCs w:val="15"/>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63" w:lineRule="exact"/>
        <w:rPr>
          <w:sz w:val="20"/>
          <w:szCs w:val="20"/>
          <w:color w:val="auto"/>
        </w:rPr>
      </w:pPr>
    </w:p>
    <w:p>
      <w:pPr>
        <w:ind w:left="720" w:hanging="268"/>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regulation of the employer/employee relationship between the firm and its temporary and contract employees;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registration, licensing, record keeping and reporting requirements; and</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5"/>
          <w:szCs w:val="15"/>
          <w:color w:val="auto"/>
        </w:rPr>
        <w:t>substantive limitations on the operations or the use of temporary and contract employees by clients.</w:t>
      </w:r>
    </w:p>
    <w:p>
      <w:pPr>
        <w:spacing w:after="0" w:line="218" w:lineRule="exact"/>
        <w:rPr>
          <w:sz w:val="20"/>
          <w:szCs w:val="20"/>
          <w:color w:val="auto"/>
        </w:rPr>
      </w:pPr>
    </w:p>
    <w:p>
      <w:pPr>
        <w:ind w:right="160" w:firstLine="414"/>
        <w:spacing w:after="0" w:line="299" w:lineRule="auto"/>
        <w:rPr>
          <w:sz w:val="20"/>
          <w:szCs w:val="20"/>
          <w:color w:val="auto"/>
        </w:rPr>
      </w:pPr>
      <w:r>
        <w:rPr>
          <w:rFonts w:ascii="Arial" w:cs="Arial" w:eastAsia="Arial" w:hAnsi="Arial"/>
          <w:sz w:val="14"/>
          <w:szCs w:val="14"/>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57" w:lineRule="exact"/>
        <w:rPr>
          <w:sz w:val="20"/>
          <w:szCs w:val="20"/>
          <w:color w:val="auto"/>
        </w:rPr>
      </w:pPr>
    </w:p>
    <w:p>
      <w:pPr>
        <w:ind w:firstLine="414"/>
        <w:spacing w:after="0" w:line="266" w:lineRule="auto"/>
        <w:rPr>
          <w:sz w:val="20"/>
          <w:szCs w:val="20"/>
          <w:color w:val="auto"/>
        </w:rPr>
      </w:pPr>
      <w:r>
        <w:rPr>
          <w:rFonts w:ascii="Arial" w:cs="Arial" w:eastAsia="Arial" w:hAnsi="Arial"/>
          <w:sz w:val="15"/>
          <w:szCs w:val="15"/>
          <w:color w:val="auto"/>
        </w:rPr>
        <w:t>In many countries, including the United States and the United Kingdom, employment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78" w:lineRule="exact"/>
        <w:rPr>
          <w:sz w:val="20"/>
          <w:szCs w:val="20"/>
          <w:color w:val="auto"/>
        </w:rPr>
      </w:pPr>
    </w:p>
    <w:p>
      <w:pPr>
        <w:jc w:val="both"/>
        <w:ind w:right="60" w:firstLine="414"/>
        <w:spacing w:after="0" w:line="271" w:lineRule="auto"/>
        <w:rPr>
          <w:sz w:val="20"/>
          <w:szCs w:val="20"/>
          <w:color w:val="auto"/>
        </w:rPr>
      </w:pPr>
      <w:r>
        <w:rPr>
          <w:rFonts w:ascii="Arial" w:cs="Arial" w:eastAsia="Arial" w:hAnsi="Arial"/>
          <w:sz w:val="15"/>
          <w:szCs w:val="15"/>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74" w:lineRule="exact"/>
        <w:rPr>
          <w:sz w:val="20"/>
          <w:szCs w:val="20"/>
          <w:color w:val="auto"/>
        </w:rPr>
      </w:pPr>
    </w:p>
    <w:p>
      <w:pPr>
        <w:ind w:right="100" w:firstLine="414"/>
        <w:spacing w:after="0" w:line="263" w:lineRule="auto"/>
        <w:rPr>
          <w:sz w:val="20"/>
          <w:szCs w:val="20"/>
          <w:color w:val="auto"/>
        </w:rPr>
      </w:pPr>
      <w:r>
        <w:rPr>
          <w:rFonts w:ascii="Arial" w:cs="Arial" w:eastAsia="Arial" w:hAnsi="Arial"/>
          <w:sz w:val="15"/>
          <w:szCs w:val="15"/>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 w:name="page11"/>
    <w:bookmarkEnd w:id="10"/>
    <w:p>
      <w:pPr>
        <w:ind w:left="400"/>
        <w:spacing w:after="0"/>
        <w:rPr>
          <w:sz w:val="20"/>
          <w:szCs w:val="20"/>
          <w:color w:val="auto"/>
        </w:rPr>
      </w:pPr>
      <w:r>
        <w:rPr>
          <w:rFonts w:ascii="Arial" w:cs="Arial" w:eastAsia="Arial" w:hAnsi="Arial"/>
          <w:sz w:val="15"/>
          <w:szCs w:val="15"/>
          <w:color w:val="auto"/>
        </w:rPr>
        <w:t>Our outplacement and consulting services generally are not subjected to governmental regulation in the markets in which we operate.</w:t>
      </w:r>
    </w:p>
    <w:p>
      <w:pPr>
        <w:spacing w:after="0" w:line="218" w:lineRule="exact"/>
        <w:rPr>
          <w:sz w:val="20"/>
          <w:szCs w:val="20"/>
          <w:color w:val="auto"/>
        </w:rPr>
      </w:pPr>
    </w:p>
    <w:p>
      <w:pPr>
        <w:ind w:right="100" w:firstLine="414"/>
        <w:spacing w:after="0" w:line="271" w:lineRule="auto"/>
        <w:rPr>
          <w:sz w:val="20"/>
          <w:szCs w:val="20"/>
          <w:color w:val="auto"/>
        </w:rPr>
      </w:pPr>
      <w:r>
        <w:rPr>
          <w:rFonts w:ascii="Arial" w:cs="Arial" w:eastAsia="Arial" w:hAnsi="Arial"/>
          <w:sz w:val="15"/>
          <w:szCs w:val="15"/>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Also see Item 7. “Management’s Discussion and Analysis of Financial Condition and Results of Operations—Legal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Trademarks</w:t>
      </w:r>
    </w:p>
    <w:p>
      <w:pPr>
        <w:spacing w:after="0" w:line="218" w:lineRule="exact"/>
        <w:rPr>
          <w:sz w:val="20"/>
          <w:szCs w:val="20"/>
          <w:color w:val="auto"/>
        </w:rPr>
      </w:pPr>
    </w:p>
    <w:p>
      <w:pPr>
        <w:ind w:firstLine="414"/>
        <w:spacing w:after="0" w:line="259" w:lineRule="auto"/>
        <w:rPr>
          <w:sz w:val="20"/>
          <w:szCs w:val="20"/>
          <w:color w:val="auto"/>
        </w:rPr>
      </w:pPr>
      <w:r>
        <w:rPr>
          <w:rFonts w:ascii="Arial" w:cs="Arial" w:eastAsia="Arial" w:hAnsi="Arial"/>
          <w:sz w:val="14"/>
          <w:szCs w:val="14"/>
          <w:color w:val="auto"/>
        </w:rPr>
        <w:t>We maintain a number of registered trademarks, trade names and service marks in the United States and various other countries. We believe that many of these marks and trade names, including Manpower</w:t>
      </w:r>
      <w:r>
        <w:rPr>
          <w:rFonts w:ascii="Arial" w:cs="Arial" w:eastAsia="Arial" w:hAnsi="Arial"/>
          <w:sz w:val="19"/>
          <w:szCs w:val="19"/>
          <w:color w:val="auto"/>
          <w:vertAlign w:val="superscript"/>
        </w:rPr>
        <w:t>®</w:t>
      </w:r>
      <w:r>
        <w:rPr>
          <w:rFonts w:ascii="Arial" w:cs="Arial" w:eastAsia="Arial" w:hAnsi="Arial"/>
          <w:sz w:val="14"/>
          <w:szCs w:val="14"/>
          <w:color w:val="auto"/>
        </w:rPr>
        <w:t>, Manpower Professional</w:t>
      </w:r>
      <w:r>
        <w:rPr>
          <w:rFonts w:ascii="Arial" w:cs="Arial" w:eastAsia="Arial" w:hAnsi="Arial"/>
          <w:sz w:val="19"/>
          <w:szCs w:val="19"/>
          <w:color w:val="auto"/>
          <w:vertAlign w:val="superscript"/>
        </w:rPr>
        <w:t>®</w:t>
      </w:r>
      <w:r>
        <w:rPr>
          <w:rFonts w:ascii="Arial" w:cs="Arial" w:eastAsia="Arial" w:hAnsi="Arial"/>
          <w:sz w:val="14"/>
          <w:szCs w:val="14"/>
          <w:color w:val="auto"/>
        </w:rPr>
        <w:t>, Right Management Consultants</w:t>
      </w:r>
      <w:r>
        <w:rPr>
          <w:rFonts w:ascii="Arial" w:cs="Arial" w:eastAsia="Arial" w:hAnsi="Arial"/>
          <w:sz w:val="19"/>
          <w:szCs w:val="19"/>
          <w:color w:val="auto"/>
          <w:vertAlign w:val="superscript"/>
        </w:rPr>
        <w:t>®</w:t>
      </w:r>
      <w:r>
        <w:rPr>
          <w:rFonts w:ascii="Arial" w:cs="Arial" w:eastAsia="Arial" w:hAnsi="Arial"/>
          <w:sz w:val="14"/>
          <w:szCs w:val="14"/>
          <w:color w:val="auto"/>
        </w:rPr>
        <w:t>, Jefferson Wells</w:t>
      </w:r>
      <w:r>
        <w:rPr>
          <w:rFonts w:ascii="Arial" w:cs="Arial" w:eastAsia="Arial" w:hAnsi="Arial"/>
          <w:sz w:val="19"/>
          <w:szCs w:val="19"/>
          <w:color w:val="auto"/>
          <w:vertAlign w:val="superscript"/>
        </w:rPr>
        <w:t>®</w:t>
      </w:r>
      <w:r>
        <w:rPr>
          <w:rFonts w:ascii="Arial" w:cs="Arial" w:eastAsia="Arial" w:hAnsi="Arial"/>
          <w:sz w:val="14"/>
          <w:szCs w:val="14"/>
          <w:color w:val="auto"/>
        </w:rPr>
        <w:t>, Brook Street</w:t>
      </w:r>
      <w:r>
        <w:rPr>
          <w:rFonts w:ascii="Arial" w:cs="Arial" w:eastAsia="Arial" w:hAnsi="Arial"/>
          <w:sz w:val="19"/>
          <w:szCs w:val="19"/>
          <w:color w:val="auto"/>
          <w:vertAlign w:val="superscript"/>
        </w:rPr>
        <w:t>®</w:t>
      </w:r>
      <w:r>
        <w:rPr>
          <w:rFonts w:ascii="Arial" w:cs="Arial" w:eastAsia="Arial" w:hAnsi="Arial"/>
          <w:sz w:val="14"/>
          <w:szCs w:val="14"/>
          <w:color w:val="auto"/>
        </w:rPr>
        <w:t>, Elan</w:t>
      </w:r>
      <w:r>
        <w:rPr>
          <w:rFonts w:ascii="Arial" w:cs="Arial" w:eastAsia="Arial" w:hAnsi="Arial"/>
          <w:sz w:val="19"/>
          <w:szCs w:val="19"/>
          <w:color w:val="auto"/>
          <w:vertAlign w:val="superscript"/>
        </w:rPr>
        <w:t>®</w:t>
      </w:r>
      <w:r>
        <w:rPr>
          <w:rFonts w:ascii="Arial" w:cs="Arial" w:eastAsia="Arial" w:hAnsi="Arial"/>
          <w:sz w:val="14"/>
          <w:szCs w:val="14"/>
          <w:color w:val="auto"/>
        </w:rPr>
        <w:t>, Ultraskill</w:t>
      </w:r>
      <w:r>
        <w:rPr>
          <w:rFonts w:ascii="Arial" w:cs="Arial" w:eastAsia="Arial" w:hAnsi="Arial"/>
          <w:sz w:val="19"/>
          <w:szCs w:val="19"/>
          <w:color w:val="auto"/>
          <w:vertAlign w:val="superscript"/>
        </w:rPr>
        <w:t>®</w:t>
      </w:r>
      <w:r>
        <w:rPr>
          <w:rFonts w:ascii="Arial" w:cs="Arial" w:eastAsia="Arial" w:hAnsi="Arial"/>
          <w:sz w:val="14"/>
          <w:szCs w:val="14"/>
          <w:color w:val="auto"/>
        </w:rPr>
        <w:t>, and Skillware</w:t>
      </w:r>
      <w:r>
        <w:rPr>
          <w:rFonts w:ascii="Arial" w:cs="Arial" w:eastAsia="Arial" w:hAnsi="Arial"/>
          <w:sz w:val="19"/>
          <w:szCs w:val="19"/>
          <w:color w:val="auto"/>
          <w:vertAlign w:val="superscript"/>
        </w:rPr>
        <w:t>®</w:t>
      </w:r>
      <w:r>
        <w:rPr>
          <w:rFonts w:ascii="Arial" w:cs="Arial" w:eastAsia="Arial" w:hAnsi="Arial"/>
          <w:sz w:val="14"/>
          <w:szCs w:val="14"/>
          <w:color w:val="auto"/>
        </w:rPr>
        <w:t>,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Employees</w:t>
      </w:r>
    </w:p>
    <w:p>
      <w:pPr>
        <w:spacing w:after="0" w:line="218" w:lineRule="exact"/>
        <w:rPr>
          <w:sz w:val="20"/>
          <w:szCs w:val="20"/>
          <w:color w:val="auto"/>
        </w:rPr>
      </w:pPr>
    </w:p>
    <w:p>
      <w:pPr>
        <w:ind w:right="460" w:firstLine="414"/>
        <w:spacing w:after="0" w:line="286" w:lineRule="auto"/>
        <w:rPr>
          <w:sz w:val="20"/>
          <w:szCs w:val="20"/>
          <w:color w:val="auto"/>
        </w:rPr>
      </w:pPr>
      <w:r>
        <w:rPr>
          <w:rFonts w:ascii="Arial" w:cs="Arial" w:eastAsia="Arial" w:hAnsi="Arial"/>
          <w:sz w:val="15"/>
          <w:szCs w:val="15"/>
          <w:color w:val="auto"/>
        </w:rPr>
        <w:t>We had approximately 28,000 full-time equivalent employees as of December 31, 2009. In addition, we estimate that we recruit on behalf of our clients approximately three million permanent, temporary and contract workers on a worldwide basis each year.</w:t>
      </w:r>
    </w:p>
    <w:p>
      <w:pPr>
        <w:spacing w:after="0" w:line="163" w:lineRule="exact"/>
        <w:rPr>
          <w:sz w:val="20"/>
          <w:szCs w:val="20"/>
          <w:color w:val="auto"/>
        </w:rPr>
      </w:pPr>
    </w:p>
    <w:p>
      <w:pPr>
        <w:ind w:right="140" w:firstLine="414"/>
        <w:spacing w:after="0" w:line="290" w:lineRule="auto"/>
        <w:rPr>
          <w:sz w:val="20"/>
          <w:szCs w:val="20"/>
          <w:color w:val="auto"/>
        </w:rPr>
      </w:pPr>
      <w:r>
        <w:rPr>
          <w:rFonts w:ascii="Arial" w:cs="Arial" w:eastAsia="Arial" w:hAnsi="Arial"/>
          <w:sz w:val="14"/>
          <w:szCs w:val="14"/>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Financial Information about Foreign and Domestic Operations</w:t>
      </w:r>
    </w:p>
    <w:p>
      <w:pPr>
        <w:spacing w:after="0" w:line="218" w:lineRule="exact"/>
        <w:rPr>
          <w:sz w:val="20"/>
          <w:szCs w:val="20"/>
          <w:color w:val="auto"/>
        </w:rPr>
      </w:pPr>
    </w:p>
    <w:p>
      <w:pPr>
        <w:ind w:right="360" w:firstLine="414"/>
        <w:spacing w:after="0" w:line="286" w:lineRule="auto"/>
        <w:rPr>
          <w:sz w:val="20"/>
          <w:szCs w:val="20"/>
          <w:color w:val="auto"/>
        </w:rPr>
      </w:pPr>
      <w:r>
        <w:rPr>
          <w:rFonts w:ascii="Arial" w:cs="Arial" w:eastAsia="Arial" w:hAnsi="Arial"/>
          <w:sz w:val="15"/>
          <w:szCs w:val="15"/>
          <w:color w:val="auto"/>
        </w:rPr>
        <w:t>Note 15 to our consolidated financial statements sets forth the information required for each segment and geographical area for the years ended December 31, 2009, 2008 and 2007. Such note is found in our 2009 Annual Report to Shareholders and is incorporated herein by reference.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 w:name="page12"/>
    <w:bookmarkEnd w:id="11"/>
    <w:p>
      <w:pPr>
        <w:spacing w:after="0"/>
        <w:tabs>
          <w:tab w:leader="none" w:pos="8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FORWARD-LOOKING STATEMENTS</w:t>
      </w:r>
    </w:p>
    <w:p>
      <w:pPr>
        <w:spacing w:after="0" w:line="222" w:lineRule="exact"/>
        <w:rPr>
          <w:sz w:val="20"/>
          <w:szCs w:val="20"/>
          <w:color w:val="auto"/>
        </w:rPr>
      </w:pPr>
    </w:p>
    <w:p>
      <w:pPr>
        <w:ind w:firstLine="414"/>
        <w:spacing w:after="0" w:line="286" w:lineRule="auto"/>
        <w:rPr>
          <w:sz w:val="20"/>
          <w:szCs w:val="20"/>
          <w:color w:val="auto"/>
        </w:rPr>
      </w:pPr>
      <w:r>
        <w:rPr>
          <w:rFonts w:ascii="Arial" w:cs="Arial" w:eastAsia="Arial" w:hAnsi="Arial"/>
          <w:sz w:val="14"/>
          <w:szCs w:val="14"/>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are some of the factors that could cause actual results to differ materially from estimates contained in our forward-looking statements:</w:t>
      </w:r>
    </w:p>
    <w:p>
      <w:pPr>
        <w:spacing w:after="0" w:line="218" w:lineRule="exact"/>
        <w:rPr>
          <w:sz w:val="20"/>
          <w:szCs w:val="20"/>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cost structure of subsidiaries;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management turnover;</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reorganizations;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material changes in the demand from larger clients, including clients with which we have national, multi-national, or sole-supplier arrangements;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availability of workers with the skills required by clients;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increases in the wages paid to our associates;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competitive market pressures, including pricing pressures;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inability to pass along direct cost increases to clients;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demand for our specialized services, including assisting companies in complying with the Sarbanes-Oxley Act legislation, and outplacement services;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251" w:right="299" w:bottom="1440" w:gutter="0" w:footer="0" w:header="0"/>
        </w:sectPr>
      </w:pPr>
    </w:p>
    <w:bookmarkStart w:id="12" w:name="page13"/>
    <w:bookmarkEnd w:id="12"/>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successfully expand into new markets or offer new service lines;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successfully invest in and implement information systems;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unanticipated technological changes, including obsolescence or impairment of information systems;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client attitudes toward the use of staffing services;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government, tax or regulatory policies adverse to the employment services industry;</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general economic conditions in domestic and international markets;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interest rate and exchange rate fluctuations;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difficulties related to acquisitions, including integrating the acquired companies and achieving the expected benefits;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impairments to the carrying value of acquisitions and other investments resulting from poor financial performance or other factors;</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risk factors disclosed below; and</w:t>
      </w:r>
    </w:p>
    <w:p>
      <w:pPr>
        <w:spacing w:after="0" w:line="218" w:lineRule="exact"/>
        <w:rPr>
          <w:rFonts w:ascii="Arial" w:cs="Arial" w:eastAsia="Arial" w:hAnsi="Arial"/>
          <w:sz w:val="15"/>
          <w:szCs w:val="15"/>
          <w:color w:val="auto"/>
        </w:rPr>
      </w:pPr>
    </w:p>
    <w:p>
      <w:pPr>
        <w:ind w:left="720" w:hanging="26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factors that may be disclosed from time to time in our SEC filings or otherwise.</w:t>
      </w:r>
    </w:p>
    <w:p>
      <w:pPr>
        <w:spacing w:after="0" w:line="218" w:lineRule="exact"/>
        <w:rPr>
          <w:sz w:val="20"/>
          <w:szCs w:val="20"/>
          <w:color w:val="auto"/>
        </w:rPr>
      </w:pPr>
    </w:p>
    <w:p>
      <w:pPr>
        <w:ind w:firstLine="414"/>
        <w:spacing w:after="0" w:line="286" w:lineRule="auto"/>
        <w:rPr>
          <w:sz w:val="20"/>
          <w:szCs w:val="20"/>
          <w:color w:val="auto"/>
        </w:rPr>
      </w:pPr>
      <w:r>
        <w:rPr>
          <w:rFonts w:ascii="Arial" w:cs="Arial" w:eastAsia="Arial" w:hAnsi="Arial"/>
          <w:sz w:val="15"/>
          <w:szCs w:val="15"/>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5"/>
          <w:szCs w:val="15"/>
          <w:b w:val="1"/>
          <w:bCs w:val="1"/>
          <w:color w:val="auto"/>
        </w:rPr>
        <w:t>RISK FACTORS</w:t>
      </w:r>
    </w:p>
    <w:p>
      <w:pPr>
        <w:spacing w:after="0" w:line="218" w:lineRule="exact"/>
        <w:rPr>
          <w:sz w:val="20"/>
          <w:szCs w:val="20"/>
          <w:color w:val="auto"/>
        </w:rPr>
      </w:pPr>
    </w:p>
    <w:p>
      <w:pPr>
        <w:ind w:right="280" w:firstLine="414"/>
        <w:spacing w:after="0" w:line="291" w:lineRule="auto"/>
        <w:rPr>
          <w:sz w:val="20"/>
          <w:szCs w:val="20"/>
          <w:color w:val="auto"/>
        </w:rPr>
      </w:pPr>
      <w:r>
        <w:rPr>
          <w:rFonts w:ascii="Arial" w:cs="Arial" w:eastAsia="Arial" w:hAnsi="Arial"/>
          <w:sz w:val="15"/>
          <w:szCs w:val="15"/>
          <w:b w:val="1"/>
          <w:bCs w:val="1"/>
          <w:color w:val="auto"/>
        </w:rPr>
        <w:t>Any significant economic downturn could result in our clients using fewer temporary and contract workers or becoming unable to pay us for our services on a timely basis or at all, which would materially adversely affect our business.</w:t>
      </w:r>
    </w:p>
    <w:p>
      <w:pPr>
        <w:spacing w:after="0" w:line="160" w:lineRule="exact"/>
        <w:rPr>
          <w:sz w:val="20"/>
          <w:szCs w:val="20"/>
          <w:color w:val="auto"/>
        </w:rPr>
      </w:pPr>
    </w:p>
    <w:p>
      <w:pPr>
        <w:jc w:val="both"/>
        <w:ind w:right="360" w:firstLine="414"/>
        <w:spacing w:after="0" w:line="299" w:lineRule="auto"/>
        <w:rPr>
          <w:sz w:val="20"/>
          <w:szCs w:val="20"/>
          <w:color w:val="auto"/>
        </w:rPr>
      </w:pPr>
      <w:r>
        <w:rPr>
          <w:rFonts w:ascii="Arial" w:cs="Arial" w:eastAsia="Arial" w:hAnsi="Arial"/>
          <w:sz w:val="14"/>
          <w:szCs w:val="14"/>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157" w:lineRule="exact"/>
        <w:rPr>
          <w:sz w:val="20"/>
          <w:szCs w:val="20"/>
          <w:color w:val="auto"/>
        </w:rPr>
      </w:pPr>
    </w:p>
    <w:p>
      <w:pPr>
        <w:ind w:right="240" w:firstLine="414"/>
        <w:spacing w:after="0" w:line="271" w:lineRule="auto"/>
        <w:rPr>
          <w:sz w:val="20"/>
          <w:szCs w:val="20"/>
          <w:color w:val="auto"/>
        </w:rPr>
      </w:pPr>
      <w:r>
        <w:rPr>
          <w:rFonts w:ascii="Arial" w:cs="Arial" w:eastAsia="Arial" w:hAnsi="Arial"/>
          <w:sz w:val="15"/>
          <w:szCs w:val="15"/>
          <w:color w:val="auto"/>
        </w:rPr>
        <w:t>In addition, during economic downturns companies may slow the rate at which they pay their vendors or become unable to pay their debts as they become due. If any of our significant clients does not pay amounts owed to us in a timely manner or becomes unable to pay such amounts to us at a time when we have substantial amounts receivable from such client, our cash flow and profitability may suffer.</w:t>
      </w:r>
    </w:p>
    <w:p>
      <w:pPr>
        <w:spacing w:after="0" w:line="170" w:lineRule="exact"/>
        <w:rPr>
          <w:sz w:val="20"/>
          <w:szCs w:val="20"/>
          <w:color w:val="auto"/>
        </w:rPr>
      </w:pPr>
    </w:p>
    <w:p>
      <w:pPr>
        <w:ind w:right="80" w:firstLine="414"/>
        <w:spacing w:after="0" w:line="291" w:lineRule="auto"/>
        <w:rPr>
          <w:sz w:val="20"/>
          <w:szCs w:val="20"/>
          <w:color w:val="auto"/>
        </w:rPr>
      </w:pPr>
      <w:r>
        <w:rPr>
          <w:rFonts w:ascii="Arial" w:cs="Arial" w:eastAsia="Arial" w:hAnsi="Arial"/>
          <w:sz w:val="15"/>
          <w:szCs w:val="15"/>
          <w:b w:val="1"/>
          <w:bCs w:val="1"/>
          <w:color w:val="auto"/>
        </w:rPr>
        <w:t>The worldwide employment services industry is highly competitive with limited barriers to entry, which could limit our ability to maintain or increase our market share or profitability.</w:t>
      </w:r>
    </w:p>
    <w:p>
      <w:pPr>
        <w:spacing w:after="0" w:line="160" w:lineRule="exact"/>
        <w:rPr>
          <w:sz w:val="20"/>
          <w:szCs w:val="20"/>
          <w:color w:val="auto"/>
        </w:rPr>
      </w:pPr>
    </w:p>
    <w:p>
      <w:pPr>
        <w:ind w:right="120" w:firstLine="414"/>
        <w:spacing w:after="0" w:line="290" w:lineRule="auto"/>
        <w:rPr>
          <w:sz w:val="20"/>
          <w:szCs w:val="20"/>
          <w:color w:val="auto"/>
        </w:rPr>
      </w:pPr>
      <w:r>
        <w:rPr>
          <w:rFonts w:ascii="Arial" w:cs="Arial" w:eastAsia="Arial" w:hAnsi="Arial"/>
          <w:sz w:val="14"/>
          <w:szCs w:val="14"/>
          <w:color w:val="auto"/>
        </w:rPr>
        <w:t>The worldwide employment services market is highly competitive with limited barriers to entry, and in recent years has been undergoing significant consolidation. We compete in markets throughout the world with full-service and specialized employment services agencies. Several of our competitors, including Adecco S.A., Randstad Holding N.V. and Kelly Services, Inc., have very substantial marketing and financial resources. Price competition in the staffing industry is intense and pricing pressures from competitors and clients are increasing. We expect that the level of competition will remain high in the future, which could limit our ability to maintain or increase our market share or our profitability.</w:t>
      </w:r>
    </w:p>
    <w:p>
      <w:pPr>
        <w:spacing w:after="0" w:line="160" w:lineRule="exact"/>
        <w:rPr>
          <w:sz w:val="20"/>
          <w:szCs w:val="20"/>
          <w:color w:val="auto"/>
        </w:rPr>
      </w:pPr>
    </w:p>
    <w:p>
      <w:pPr>
        <w:ind w:firstLine="414"/>
        <w:spacing w:after="0" w:line="291" w:lineRule="auto"/>
        <w:rPr>
          <w:sz w:val="20"/>
          <w:szCs w:val="20"/>
          <w:color w:val="auto"/>
        </w:rPr>
      </w:pPr>
      <w:r>
        <w:rPr>
          <w:rFonts w:ascii="Arial" w:cs="Arial" w:eastAsia="Arial" w:hAnsi="Arial"/>
          <w:sz w:val="15"/>
          <w:szCs w:val="15"/>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0" w:lineRule="exact"/>
        <w:rPr>
          <w:sz w:val="20"/>
          <w:szCs w:val="20"/>
          <w:color w:val="auto"/>
        </w:rPr>
      </w:pPr>
    </w:p>
    <w:p>
      <w:pPr>
        <w:ind w:right="180" w:firstLine="414"/>
        <w:spacing w:after="0" w:line="266" w:lineRule="auto"/>
        <w:rPr>
          <w:sz w:val="20"/>
          <w:szCs w:val="20"/>
          <w:color w:val="auto"/>
        </w:rPr>
      </w:pPr>
      <w:r>
        <w:rPr>
          <w:rFonts w:ascii="Arial" w:cs="Arial" w:eastAsia="Arial" w:hAnsi="Arial"/>
          <w:sz w:val="15"/>
          <w:szCs w:val="15"/>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after assignment termination. The countries in which we operate may, among other things:</w:t>
      </w:r>
    </w:p>
    <w:p>
      <w:pPr>
        <w:spacing w:after="0" w:line="155" w:lineRule="exact"/>
        <w:rPr>
          <w:sz w:val="20"/>
          <w:szCs w:val="20"/>
          <w:color w:val="auto"/>
        </w:rPr>
      </w:pPr>
    </w:p>
    <w:p>
      <w:pPr>
        <w:ind w:left="760" w:hanging="377"/>
        <w:spacing w:after="0"/>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create additional regulations that prohibit or restrict the types of employment services that we currently provide;</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require new or additional benefits be paid to our associates;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require us to obtain additional licensing to provide employment services; or</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increase taxes, such as sales or value-added taxes, payable by the providers of temporary and contract recruitment centers.</w:t>
      </w:r>
    </w:p>
    <w:p>
      <w:pPr>
        <w:spacing w:after="0" w:line="218" w:lineRule="exact"/>
        <w:rPr>
          <w:sz w:val="20"/>
          <w:szCs w:val="20"/>
          <w:color w:val="auto"/>
        </w:rPr>
      </w:pPr>
    </w:p>
    <w:p>
      <w:pPr>
        <w:ind w:right="20" w:firstLine="414"/>
        <w:spacing w:after="0" w:line="286" w:lineRule="auto"/>
        <w:rPr>
          <w:sz w:val="20"/>
          <w:szCs w:val="20"/>
          <w:color w:val="auto"/>
        </w:rPr>
      </w:pPr>
      <w:r>
        <w:rPr>
          <w:rFonts w:ascii="Arial" w:cs="Arial" w:eastAsia="Arial" w:hAnsi="Arial"/>
          <w:sz w:val="15"/>
          <w:szCs w:val="15"/>
          <w:color w:val="auto"/>
        </w:rPr>
        <w:t>Any future regulations may have a material adverse effect on our financial condition, results of operations and liquidity because they may make it more difficult or expensive for us to continue to provide employment services.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Our acquisition strategy may have a material adverse effect on our business due to unexpected or underestimated costs.</w:t>
      </w:r>
    </w:p>
    <w:p>
      <w:pPr>
        <w:spacing w:after="0" w:line="222" w:lineRule="exact"/>
        <w:rPr>
          <w:sz w:val="20"/>
          <w:szCs w:val="20"/>
          <w:color w:val="auto"/>
        </w:rPr>
      </w:pPr>
    </w:p>
    <w:p>
      <w:pPr>
        <w:ind w:right="280" w:firstLine="414"/>
        <w:spacing w:after="0" w:line="286" w:lineRule="auto"/>
        <w:rPr>
          <w:sz w:val="20"/>
          <w:szCs w:val="20"/>
          <w:color w:val="auto"/>
        </w:rPr>
      </w:pPr>
      <w:r>
        <w:rPr>
          <w:rFonts w:ascii="Arial" w:cs="Arial" w:eastAsia="Arial" w:hAnsi="Arial"/>
          <w:sz w:val="15"/>
          <w:szCs w:val="15"/>
          <w:color w:val="auto"/>
        </w:rPr>
        <w:t>From time to time, we acquire and invest in companies throughout the world, including franchises. The total cash consideration paid for acquisitions, net of cash acquired, was $21.6 million and $242.0 million in 2009 and 2008,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458" w:right="219" w:bottom="1440" w:gutter="0" w:footer="0" w:header="0"/>
        </w:sectPr>
      </w:pPr>
    </w:p>
    <w:bookmarkStart w:id="14" w:name="page15"/>
    <w:bookmarkEnd w:id="14"/>
    <w:p>
      <w:pPr>
        <w:ind w:left="400"/>
        <w:spacing w:after="0"/>
        <w:rPr>
          <w:sz w:val="20"/>
          <w:szCs w:val="20"/>
          <w:color w:val="auto"/>
        </w:rPr>
      </w:pPr>
      <w:r>
        <w:rPr>
          <w:rFonts w:ascii="Arial" w:cs="Arial" w:eastAsia="Arial" w:hAnsi="Arial"/>
          <w:sz w:val="14"/>
          <w:szCs w:val="14"/>
          <w:color w:val="auto"/>
        </w:rPr>
        <w:t>In February 2010, we entered into an agreement to acquire COMSYS IT Partners, Inc. (NASDAQ: CITP), a leading professional staffing firm. The agreement has been approved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by the boards of directors of both companies. Subject to the terms of the agreement, the value of the consideration for each outstanding share of COMSYS common stock would be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$17.65, for a total enterprise value of $431.0 million, including net debt retired by us at closing. The consideration is expected to be approximately 50% Manpower common stock and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approximately 50% cash, unless we elect to pay all cash. The acquisition is expected to close in the second quarter of 2010.</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may make additional acquisitions in the future. Our acquisition strategy involves significant risks, including:</w:t>
      </w:r>
    </w:p>
    <w:p>
      <w:pPr>
        <w:spacing w:after="0" w:line="195" w:lineRule="exact"/>
        <w:rPr>
          <w:sz w:val="20"/>
          <w:szCs w:val="20"/>
          <w:color w:val="auto"/>
        </w:rPr>
      </w:pPr>
    </w:p>
    <w:p>
      <w:pPr>
        <w:ind w:left="760" w:hanging="377"/>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difficulties in the assimilation of the operations, services and corporate culture of acquired companies;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over-valuation by us of acquired companies;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insufficient indemnification from the selling parties for legal liabilities incurred by the acquired companies prior to the acquisitions; and</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diversion of management’s attention from other business concerns.</w:t>
      </w:r>
    </w:p>
    <w:p>
      <w:pPr>
        <w:spacing w:after="0" w:line="218" w:lineRule="exact"/>
        <w:rPr>
          <w:sz w:val="20"/>
          <w:szCs w:val="20"/>
          <w:color w:val="auto"/>
        </w:rPr>
      </w:pPr>
    </w:p>
    <w:p>
      <w:pPr>
        <w:ind w:firstLine="414"/>
        <w:spacing w:after="0" w:line="263" w:lineRule="auto"/>
        <w:rPr>
          <w:sz w:val="20"/>
          <w:szCs w:val="20"/>
          <w:color w:val="auto"/>
        </w:rPr>
      </w:pPr>
      <w:r>
        <w:rPr>
          <w:rFonts w:ascii="Arial" w:cs="Arial" w:eastAsia="Arial" w:hAnsi="Arial"/>
          <w:sz w:val="15"/>
          <w:szCs w:val="15"/>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we recorded a goodwill and intangible asset impairment charge of $61.0 million in 2009 and $163.1 million in 2008 related to our acquisitions of Jefferson Wells and Right Management, respectively.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Intense competition may limit our ability to attract, train and retain the qualified personnel necessary for us to meet our clients’ staffing needs.</w:t>
      </w:r>
    </w:p>
    <w:p>
      <w:pPr>
        <w:spacing w:after="0" w:line="222" w:lineRule="exact"/>
        <w:rPr>
          <w:sz w:val="20"/>
          <w:szCs w:val="20"/>
          <w:color w:val="auto"/>
        </w:rPr>
      </w:pPr>
    </w:p>
    <w:p>
      <w:pPr>
        <w:ind w:firstLine="414"/>
        <w:spacing w:after="0" w:line="260" w:lineRule="auto"/>
        <w:rPr>
          <w:sz w:val="20"/>
          <w:szCs w:val="20"/>
          <w:color w:val="auto"/>
        </w:rPr>
      </w:pPr>
      <w:r>
        <w:rPr>
          <w:rFonts w:ascii="Arial" w:cs="Arial" w:eastAsia="Arial" w:hAnsi="Arial"/>
          <w:sz w:val="15"/>
          <w:szCs w:val="15"/>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15" w:name="page16"/>
    <w:bookmarkEnd w:id="15"/>
    <w:p>
      <w:pPr>
        <w:ind w:right="380" w:firstLine="414"/>
        <w:spacing w:after="0" w:line="291" w:lineRule="auto"/>
        <w:rPr>
          <w:sz w:val="20"/>
          <w:szCs w:val="20"/>
          <w:color w:val="auto"/>
        </w:rPr>
      </w:pPr>
      <w:r>
        <w:rPr>
          <w:rFonts w:ascii="Arial" w:cs="Arial" w:eastAsia="Arial" w:hAnsi="Arial"/>
          <w:sz w:val="15"/>
          <w:szCs w:val="15"/>
          <w:b w:val="1"/>
          <w:bCs w:val="1"/>
          <w:color w:val="auto"/>
        </w:rPr>
        <w:t>We may be exposed to employment-related claims and costs from clients or third parties that could materially adversely affect our business, financial condition and results of operations.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are in the business of employing people and placing them in the workplaces of other businesses. Risks relating to these activities include:</w:t>
      </w:r>
    </w:p>
    <w:p>
      <w:pPr>
        <w:spacing w:after="0" w:line="195" w:lineRule="exact"/>
        <w:rPr>
          <w:sz w:val="20"/>
          <w:szCs w:val="20"/>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claims arising out of the actions or inactions of our associates, including matters for which we may have indemnified a client;</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claims by our associates of discrimination or harassment directed at them, including claims relating to actions of our clients;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claims related to the employment of illegal aliens or unlicensed personnel;</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payment of workers’ compensation claims and other similar claims;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violations of wage and hour requirements;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retroactive entitlement to employee benefits;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errors and omissions of our associates, particularly in the case of professionals, such as accountants; and</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claims by our clients relating to our associates’ misuse of clients’ proprietary information, misappropriation of funds, other criminal activity or torts or other similar claims.</w:t>
      </w:r>
    </w:p>
    <w:p>
      <w:pPr>
        <w:spacing w:after="0" w:line="230" w:lineRule="exact"/>
        <w:rPr>
          <w:sz w:val="20"/>
          <w:szCs w:val="20"/>
          <w:color w:val="auto"/>
        </w:rPr>
      </w:pPr>
    </w:p>
    <w:p>
      <w:pPr>
        <w:ind w:right="180" w:firstLine="414"/>
        <w:spacing w:after="0" w:line="323" w:lineRule="auto"/>
        <w:rPr>
          <w:sz w:val="20"/>
          <w:szCs w:val="20"/>
          <w:color w:val="auto"/>
        </w:rPr>
      </w:pPr>
      <w:r>
        <w:rPr>
          <w:rFonts w:ascii="Arial" w:cs="Arial" w:eastAsia="Arial" w:hAnsi="Arial"/>
          <w:sz w:val="14"/>
          <w:szCs w:val="14"/>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be certain we will not experience these problems in the future.</w:t>
      </w:r>
    </w:p>
    <w:p>
      <w:pPr>
        <w:spacing w:after="0" w:line="141" w:lineRule="exact"/>
        <w:rPr>
          <w:sz w:val="20"/>
          <w:szCs w:val="20"/>
          <w:color w:val="auto"/>
        </w:rPr>
      </w:pPr>
    </w:p>
    <w:p>
      <w:pPr>
        <w:ind w:firstLine="414"/>
        <w:spacing w:after="0" w:line="266" w:lineRule="auto"/>
        <w:rPr>
          <w:sz w:val="20"/>
          <w:szCs w:val="20"/>
          <w:color w:val="auto"/>
        </w:rPr>
      </w:pPr>
      <w:r>
        <w:rPr>
          <w:rFonts w:ascii="Arial" w:cs="Arial" w:eastAsia="Arial" w:hAnsi="Arial"/>
          <w:sz w:val="15"/>
          <w:szCs w:val="15"/>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If we lose our key personnel, then our business may suffer.</w:t>
      </w:r>
    </w:p>
    <w:p>
      <w:pPr>
        <w:spacing w:after="0" w:line="222" w:lineRule="exact"/>
        <w:rPr>
          <w:sz w:val="20"/>
          <w:szCs w:val="20"/>
          <w:color w:val="auto"/>
        </w:rPr>
      </w:pPr>
    </w:p>
    <w:p>
      <w:pPr>
        <w:ind w:right="20" w:firstLine="414"/>
        <w:spacing w:after="0" w:line="261" w:lineRule="auto"/>
        <w:rPr>
          <w:sz w:val="20"/>
          <w:szCs w:val="20"/>
          <w:color w:val="auto"/>
        </w:rPr>
      </w:pPr>
      <w:r>
        <w:rPr>
          <w:rFonts w:ascii="Arial" w:cs="Arial" w:eastAsia="Arial" w:hAnsi="Arial"/>
          <w:sz w:val="15"/>
          <w:szCs w:val="15"/>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client relationships and otherwise operate our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6" w:name="page17"/>
    <w:bookmarkEnd w:id="16"/>
    <w:p>
      <w:pPr>
        <w:ind w:left="400"/>
        <w:spacing w:after="0"/>
        <w:rPr>
          <w:sz w:val="20"/>
          <w:szCs w:val="20"/>
          <w:color w:val="auto"/>
        </w:rPr>
      </w:pPr>
      <w:r>
        <w:rPr>
          <w:rFonts w:ascii="Arial" w:cs="Arial" w:eastAsia="Arial" w:hAnsi="Arial"/>
          <w:sz w:val="15"/>
          <w:szCs w:val="15"/>
          <w:b w:val="1"/>
          <w:bCs w:val="1"/>
          <w:color w:val="auto"/>
        </w:rPr>
        <w:t>Foreign currency fluctuations may have a material adverse effect on our operating results.</w:t>
      </w:r>
    </w:p>
    <w:p>
      <w:pPr>
        <w:spacing w:after="0" w:line="222" w:lineRule="exact"/>
        <w:rPr>
          <w:sz w:val="20"/>
          <w:szCs w:val="20"/>
          <w:color w:val="auto"/>
        </w:rPr>
      </w:pPr>
    </w:p>
    <w:p>
      <w:pPr>
        <w:ind w:right="80" w:firstLine="414"/>
        <w:spacing w:after="0" w:line="260" w:lineRule="auto"/>
        <w:rPr>
          <w:sz w:val="20"/>
          <w:szCs w:val="20"/>
          <w:color w:val="auto"/>
        </w:rPr>
      </w:pPr>
      <w:r>
        <w:rPr>
          <w:rFonts w:ascii="Arial" w:cs="Arial" w:eastAsia="Arial" w:hAnsi="Arial"/>
          <w:sz w:val="15"/>
          <w:szCs w:val="15"/>
          <w:color w:val="auto"/>
        </w:rPr>
        <w:t>We conduct our operations in 82 countries and territories and the results of our local operations are reported in the applicable foreign currencies and then translated into U.S. Dollars at the applicable foreign currency exchange rates for inclusion in our consolidated financial statements. During 2009, approximately 87% of our revenues were generated outside of the United States, the majority of which were generated in Europe. Furthermore, approximately $756.9 million of our outstanding indebtedness as of December 31, 2009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82" w:lineRule="exact"/>
        <w:rPr>
          <w:sz w:val="20"/>
          <w:szCs w:val="20"/>
          <w:color w:val="auto"/>
        </w:rPr>
      </w:pPr>
    </w:p>
    <w:p>
      <w:pPr>
        <w:ind w:right="120" w:firstLine="414"/>
        <w:spacing w:after="0" w:line="291" w:lineRule="auto"/>
        <w:rPr>
          <w:sz w:val="20"/>
          <w:szCs w:val="20"/>
          <w:color w:val="auto"/>
        </w:rPr>
      </w:pPr>
      <w:r>
        <w:rPr>
          <w:rFonts w:ascii="Arial" w:cs="Arial" w:eastAsia="Arial" w:hAnsi="Arial"/>
          <w:sz w:val="15"/>
          <w:szCs w:val="15"/>
          <w:b w:val="1"/>
          <w:bCs w:val="1"/>
          <w:color w:val="auto"/>
        </w:rPr>
        <w:t>As of December 31, 2009 and 2008, we had $757.3 million and $952.9 million of total debt, respectively. This level of debt could adversely affect our operating flexibility and put us at a competitive disadvantage.</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level of debt and the limitations imposed on us by our credit agreements could have important consequences for investors, including the following:</w:t>
      </w:r>
    </w:p>
    <w:p>
      <w:pPr>
        <w:spacing w:after="0" w:line="195" w:lineRule="exact"/>
        <w:rPr>
          <w:sz w:val="20"/>
          <w:szCs w:val="20"/>
          <w:color w:val="auto"/>
        </w:rPr>
      </w:pPr>
    </w:p>
    <w:p>
      <w:pPr>
        <w:ind w:left="760" w:hanging="377"/>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will have to use a portion of our cash flow from operations for debt service rather than for our operations;</w:t>
      </w:r>
    </w:p>
    <w:p>
      <w:pPr>
        <w:spacing w:after="0" w:line="218" w:lineRule="exact"/>
        <w:rPr>
          <w:rFonts w:ascii="Arial" w:cs="Arial" w:eastAsia="Arial" w:hAnsi="Arial"/>
          <w:sz w:val="15"/>
          <w:szCs w:val="15"/>
          <w:color w:val="auto"/>
        </w:rPr>
      </w:pPr>
    </w:p>
    <w:p>
      <w:pPr>
        <w:ind w:left="760" w:right="600" w:hanging="377"/>
        <w:spacing w:after="0" w:line="286" w:lineRule="auto"/>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may not be able to obtain additional debt financing for future working capital, capital expenditures or other corporate purposes or may have to pay more for such financing;</w:t>
      </w:r>
    </w:p>
    <w:p>
      <w:pPr>
        <w:spacing w:after="0" w:line="163" w:lineRule="exact"/>
        <w:rPr>
          <w:rFonts w:ascii="Arial" w:cs="Arial" w:eastAsia="Arial" w:hAnsi="Arial"/>
          <w:sz w:val="15"/>
          <w:szCs w:val="15"/>
          <w:color w:val="auto"/>
        </w:rPr>
      </w:pPr>
    </w:p>
    <w:p>
      <w:pPr>
        <w:ind w:left="760" w:hanging="377"/>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some or all of the debt under our current or future revolving credit facilities may be at a variable interest rate, making us more vulnerable to increases in interest rates;</w:t>
      </w:r>
    </w:p>
    <w:p>
      <w:pPr>
        <w:spacing w:after="0" w:line="229" w:lineRule="exact"/>
        <w:rPr>
          <w:rFonts w:ascii="Arial" w:cs="Arial" w:eastAsia="Arial" w:hAnsi="Arial"/>
          <w:sz w:val="14"/>
          <w:szCs w:val="14"/>
          <w:color w:val="auto"/>
        </w:rPr>
      </w:pPr>
    </w:p>
    <w:p>
      <w:pPr>
        <w:ind w:left="760" w:hanging="377"/>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could be less able to take advantage of significant business opportunities, such as acquisition opportunities, and to react to changes in market or industry conditions;</w:t>
      </w:r>
    </w:p>
    <w:p>
      <w:pPr>
        <w:spacing w:after="0" w:line="229" w:lineRule="exact"/>
        <w:rPr>
          <w:rFonts w:ascii="Arial" w:cs="Arial" w:eastAsia="Arial" w:hAnsi="Arial"/>
          <w:sz w:val="14"/>
          <w:szCs w:val="14"/>
          <w:color w:val="auto"/>
        </w:rPr>
      </w:pPr>
    </w:p>
    <w:p>
      <w:pPr>
        <w:ind w:left="760" w:hanging="377"/>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will be more vulnerable to general adverse economic and industry conditions; and</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may be disadvantaged compared to competitors with less leverage.</w:t>
      </w:r>
    </w:p>
    <w:p>
      <w:pPr>
        <w:spacing w:after="0" w:line="218" w:lineRule="exact"/>
        <w:rPr>
          <w:sz w:val="20"/>
          <w:szCs w:val="20"/>
          <w:color w:val="auto"/>
        </w:rPr>
      </w:pPr>
    </w:p>
    <w:p>
      <w:pPr>
        <w:ind w:right="140" w:firstLine="414"/>
        <w:spacing w:after="0" w:line="286" w:lineRule="auto"/>
        <w:rPr>
          <w:sz w:val="20"/>
          <w:szCs w:val="20"/>
          <w:color w:val="auto"/>
        </w:rPr>
      </w:pPr>
      <w:r>
        <w:rPr>
          <w:rFonts w:ascii="Arial" w:cs="Arial" w:eastAsia="Arial" w:hAnsi="Arial"/>
          <w:sz w:val="15"/>
          <w:szCs w:val="15"/>
          <w:color w:val="auto"/>
        </w:rPr>
        <w:t>The terms of our revolving credit facility permit additional borrowings, subject to certain conditions. If new debt is added to our current debt levels, the related risks we now face could intensify.</w:t>
      </w:r>
    </w:p>
    <w:p>
      <w:pPr>
        <w:spacing w:after="0" w:line="163" w:lineRule="exact"/>
        <w:rPr>
          <w:sz w:val="20"/>
          <w:szCs w:val="20"/>
          <w:color w:val="auto"/>
        </w:rPr>
      </w:pPr>
    </w:p>
    <w:p>
      <w:pPr>
        <w:ind w:firstLine="414"/>
        <w:spacing w:after="0" w:line="261" w:lineRule="auto"/>
        <w:rPr>
          <w:sz w:val="20"/>
          <w:szCs w:val="20"/>
          <w:color w:val="auto"/>
        </w:rPr>
      </w:pPr>
      <w:r>
        <w:rPr>
          <w:rFonts w:ascii="Arial" w:cs="Arial" w:eastAsia="Arial" w:hAnsi="Arial"/>
          <w:sz w:val="15"/>
          <w:szCs w:val="15"/>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7" w:name="page18"/>
    <w:bookmarkEnd w:id="17"/>
    <w:p>
      <w:pPr>
        <w:ind w:left="400"/>
        <w:spacing w:after="0"/>
        <w:rPr>
          <w:sz w:val="20"/>
          <w:szCs w:val="20"/>
          <w:color w:val="auto"/>
        </w:rPr>
      </w:pPr>
      <w:r>
        <w:rPr>
          <w:rFonts w:ascii="Arial" w:cs="Arial" w:eastAsia="Arial" w:hAnsi="Arial"/>
          <w:sz w:val="15"/>
          <w:szCs w:val="15"/>
          <w:b w:val="1"/>
          <w:bCs w:val="1"/>
          <w:color w:val="auto"/>
        </w:rPr>
        <w:t>Our failure to comply with restrictive covenants under our revolving credit facilities and other debt instruments could trigger prepayment obligations.</w:t>
      </w:r>
    </w:p>
    <w:p>
      <w:pPr>
        <w:spacing w:after="0" w:line="222" w:lineRule="exact"/>
        <w:rPr>
          <w:sz w:val="20"/>
          <w:szCs w:val="20"/>
          <w:color w:val="auto"/>
        </w:rPr>
      </w:pPr>
    </w:p>
    <w:p>
      <w:pPr>
        <w:ind w:right="100" w:firstLine="414"/>
        <w:spacing w:after="0" w:line="271" w:lineRule="auto"/>
        <w:rPr>
          <w:sz w:val="20"/>
          <w:szCs w:val="20"/>
          <w:color w:val="auto"/>
        </w:rPr>
      </w:pPr>
      <w:r>
        <w:rPr>
          <w:rFonts w:ascii="Arial" w:cs="Arial" w:eastAsia="Arial" w:hAnsi="Arial"/>
          <w:sz w:val="15"/>
          <w:szCs w:val="15"/>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The lenders under our and our subsidiaries’ credit facilities may be unwilling or unable to extend credit to us on acceptable terms or at all.</w:t>
      </w:r>
    </w:p>
    <w:p>
      <w:pPr>
        <w:spacing w:after="0" w:line="222" w:lineRule="exact"/>
        <w:rPr>
          <w:sz w:val="20"/>
          <w:szCs w:val="20"/>
          <w:color w:val="auto"/>
        </w:rPr>
      </w:pPr>
    </w:p>
    <w:p>
      <w:pPr>
        <w:ind w:right="20" w:firstLine="414"/>
        <w:spacing w:after="0" w:line="266" w:lineRule="auto"/>
        <w:rPr>
          <w:sz w:val="20"/>
          <w:szCs w:val="20"/>
          <w:color w:val="auto"/>
        </w:rPr>
      </w:pPr>
      <w:r>
        <w:rPr>
          <w:rFonts w:ascii="Arial" w:cs="Arial" w:eastAsia="Arial" w:hAnsi="Arial"/>
          <w:sz w:val="15"/>
          <w:szCs w:val="15"/>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178" w:lineRule="exact"/>
        <w:rPr>
          <w:sz w:val="20"/>
          <w:szCs w:val="20"/>
          <w:color w:val="auto"/>
        </w:rPr>
      </w:pPr>
    </w:p>
    <w:p>
      <w:pPr>
        <w:ind w:right="200" w:firstLine="414"/>
        <w:spacing w:after="0" w:line="271" w:lineRule="auto"/>
        <w:rPr>
          <w:sz w:val="20"/>
          <w:szCs w:val="20"/>
          <w:color w:val="auto"/>
        </w:rPr>
      </w:pPr>
      <w:r>
        <w:rPr>
          <w:rFonts w:ascii="Arial" w:cs="Arial" w:eastAsia="Arial" w:hAnsi="Arial"/>
          <w:sz w:val="15"/>
          <w:szCs w:val="15"/>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170" w:lineRule="exact"/>
        <w:rPr>
          <w:sz w:val="20"/>
          <w:szCs w:val="20"/>
          <w:color w:val="auto"/>
        </w:rPr>
      </w:pPr>
    </w:p>
    <w:p>
      <w:pPr>
        <w:ind w:firstLine="414"/>
        <w:spacing w:after="0" w:line="291" w:lineRule="auto"/>
        <w:rPr>
          <w:sz w:val="20"/>
          <w:szCs w:val="20"/>
          <w:color w:val="auto"/>
        </w:rPr>
      </w:pPr>
      <w:r>
        <w:rPr>
          <w:rFonts w:ascii="Arial" w:cs="Arial" w:eastAsia="Arial" w:hAnsi="Arial"/>
          <w:sz w:val="15"/>
          <w:szCs w:val="15"/>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60" w:lineRule="exact"/>
        <w:rPr>
          <w:sz w:val="20"/>
          <w:szCs w:val="20"/>
          <w:color w:val="auto"/>
        </w:rPr>
      </w:pPr>
    </w:p>
    <w:p>
      <w:pPr>
        <w:ind w:right="80" w:firstLine="414"/>
        <w:spacing w:after="0" w:line="263" w:lineRule="auto"/>
        <w:rPr>
          <w:sz w:val="20"/>
          <w:szCs w:val="20"/>
          <w:color w:val="auto"/>
        </w:rPr>
      </w:pPr>
      <w:r>
        <w:rPr>
          <w:rFonts w:ascii="Arial" w:cs="Arial" w:eastAsia="Arial" w:hAnsi="Arial"/>
          <w:sz w:val="15"/>
          <w:szCs w:val="15"/>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We are exposed to counterparty risk in our hedging arrangements.</w:t>
      </w:r>
    </w:p>
    <w:p>
      <w:pPr>
        <w:spacing w:after="0" w:line="222" w:lineRule="exact"/>
        <w:rPr>
          <w:sz w:val="20"/>
          <w:szCs w:val="20"/>
          <w:color w:val="auto"/>
        </w:rPr>
      </w:pPr>
    </w:p>
    <w:p>
      <w:pPr>
        <w:ind w:right="100" w:firstLine="414"/>
        <w:spacing w:after="0" w:line="286" w:lineRule="auto"/>
        <w:rPr>
          <w:sz w:val="20"/>
          <w:szCs w:val="20"/>
          <w:color w:val="auto"/>
        </w:rPr>
      </w:pPr>
      <w:r>
        <w:rPr>
          <w:rFonts w:ascii="Arial" w:cs="Arial" w:eastAsia="Arial" w:hAnsi="Arial"/>
          <w:sz w:val="14"/>
          <w:szCs w:val="14"/>
          <w:color w:val="auto"/>
        </w:rPr>
        <w:t>From time to time we enter into arrangements with other parties to hedge our exposure to fluctuations in currency and interest rates, including forward contracts and swap agreements. A number of financial institutions similar to those that serve as counterparties to our hedging arrangements have been adversely affected by the global credit crisis and in some cases have been unable to fulfill their debts and other obligations. If any of the counterparties to our hedging arrangements become unable to fulfill their obligations to us, we may lose the financial benefits of these arrangements. The fair value of our derivative financial instruments related to foreign currency forward exchange contracts reflected in our consolidated balance sheets as of December 31, 2009 were assets of $0.4 million and liabilities of $0.9 million. We had no swap agreements outstanding as of December 31, 2009.</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Our inability to secure letters of credit on acceptable terms may substantially increase our cost of doing business in various countries.</w:t>
      </w:r>
    </w:p>
    <w:p>
      <w:pPr>
        <w:spacing w:after="0" w:line="222" w:lineRule="exact"/>
        <w:rPr>
          <w:sz w:val="20"/>
          <w:szCs w:val="20"/>
          <w:color w:val="auto"/>
        </w:rPr>
      </w:pPr>
    </w:p>
    <w:p>
      <w:pPr>
        <w:ind w:right="20" w:firstLine="414"/>
        <w:spacing w:after="0" w:line="266" w:lineRule="auto"/>
        <w:rPr>
          <w:sz w:val="20"/>
          <w:szCs w:val="20"/>
          <w:color w:val="auto"/>
        </w:rPr>
      </w:pPr>
      <w:r>
        <w:rPr>
          <w:rFonts w:ascii="Arial" w:cs="Arial" w:eastAsia="Arial" w:hAnsi="Arial"/>
          <w:sz w:val="15"/>
          <w:szCs w:val="15"/>
          <w:color w:val="auto"/>
        </w:rPr>
        <w:t>In a number of countries in which we conduct business we are obligated to provide guarantees or letters of credit to secure licenses, lease space or for insurance coverage. We typically receive these guarantees and letters of credits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8" w:name="page19"/>
    <w:bookmarkEnd w:id="18"/>
    <w:p>
      <w:pPr>
        <w:ind w:left="400"/>
        <w:spacing w:after="0"/>
        <w:rPr>
          <w:sz w:val="20"/>
          <w:szCs w:val="20"/>
          <w:color w:val="auto"/>
        </w:rPr>
      </w:pPr>
      <w:r>
        <w:rPr>
          <w:rFonts w:ascii="Arial" w:cs="Arial" w:eastAsia="Arial" w:hAnsi="Arial"/>
          <w:sz w:val="15"/>
          <w:szCs w:val="15"/>
          <w:b w:val="1"/>
          <w:bCs w:val="1"/>
          <w:color w:val="auto"/>
        </w:rPr>
        <w:t>The price of our common stock may fluctuate significantly, which may result in losses for investors.</w:t>
      </w:r>
    </w:p>
    <w:p>
      <w:pPr>
        <w:spacing w:after="0" w:line="222" w:lineRule="exact"/>
        <w:rPr>
          <w:sz w:val="20"/>
          <w:szCs w:val="20"/>
          <w:color w:val="auto"/>
        </w:rPr>
      </w:pPr>
    </w:p>
    <w:p>
      <w:pPr>
        <w:ind w:right="200" w:firstLine="414"/>
        <w:spacing w:after="0" w:line="271" w:lineRule="auto"/>
        <w:rPr>
          <w:sz w:val="20"/>
          <w:szCs w:val="20"/>
          <w:color w:val="auto"/>
        </w:rPr>
      </w:pPr>
      <w:r>
        <w:rPr>
          <w:rFonts w:ascii="Arial" w:cs="Arial" w:eastAsia="Arial" w:hAnsi="Arial"/>
          <w:sz w:val="15"/>
          <w:szCs w:val="15"/>
          <w:color w:val="auto"/>
        </w:rPr>
        <w:t>The market price for our common stock has been and may continue to be volatile. For example, during 2009, the prices of our common stock as reported on the New York Stock Exchange ranged from a high of $61.48 to a low of $23.75. Our stock price can fluctuate as a result of a variety of factors, including factors listed in these “Risk Factors” and others, many of which are beyond our control. These factors include:</w:t>
      </w:r>
    </w:p>
    <w:p>
      <w:pPr>
        <w:spacing w:after="0" w:line="151" w:lineRule="exact"/>
        <w:rPr>
          <w:sz w:val="20"/>
          <w:szCs w:val="20"/>
          <w:color w:val="auto"/>
        </w:rPr>
      </w:pPr>
    </w:p>
    <w:p>
      <w:pPr>
        <w:ind w:left="760" w:hanging="377"/>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actual or anticipated variations in our quarterly operating results;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announcement of new services by us or our competitors;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announcements relating to strategic relationships or acquisitions;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financial estimates or other statements by securities analysts; and</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general economic conditions such as the current credit environment.</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Because of this volatility, we may fail to meet the expectations of our shareholders or of securities analysts, and our stock price could decline as a result.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Wisconsin law and our articles of incorporation and bylaws contain provisions that could make the takeover of our company more difficult.</w:t>
      </w:r>
    </w:p>
    <w:p>
      <w:pPr>
        <w:spacing w:after="0" w:line="222" w:lineRule="exact"/>
        <w:rPr>
          <w:sz w:val="20"/>
          <w:szCs w:val="20"/>
          <w:color w:val="auto"/>
        </w:rPr>
      </w:pPr>
    </w:p>
    <w:p>
      <w:pPr>
        <w:ind w:firstLine="414"/>
        <w:spacing w:after="0" w:line="286" w:lineRule="auto"/>
        <w:rPr>
          <w:sz w:val="20"/>
          <w:szCs w:val="20"/>
          <w:color w:val="auto"/>
        </w:rPr>
      </w:pPr>
      <w:r>
        <w:rPr>
          <w:rFonts w:ascii="Arial" w:cs="Arial" w:eastAsia="Arial" w:hAnsi="Arial"/>
          <w:sz w:val="15"/>
          <w:szCs w:val="15"/>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40" w:lineRule="exact"/>
        <w:rPr>
          <w:sz w:val="20"/>
          <w:szCs w:val="20"/>
          <w:color w:val="auto"/>
        </w:rPr>
      </w:pPr>
    </w:p>
    <w:p>
      <w:pPr>
        <w:ind w:left="760" w:hanging="377"/>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providing for a classified board of directors with staggered, three-year terms;</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permitting removal of directors only for cause;</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providing that vacancies on the board of directors will be filled by the remaining directors then in office; and</w:t>
      </w:r>
    </w:p>
    <w:p>
      <w:pPr>
        <w:spacing w:after="0" w:line="218" w:lineRule="exact"/>
        <w:rPr>
          <w:rFonts w:ascii="Arial" w:cs="Arial" w:eastAsia="Arial" w:hAnsi="Arial"/>
          <w:sz w:val="15"/>
          <w:szCs w:val="15"/>
          <w:color w:val="auto"/>
        </w:rPr>
      </w:pPr>
    </w:p>
    <w:p>
      <w:pPr>
        <w:ind w:left="760" w:hanging="377"/>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requiring advance notice for shareholder proposals and director nominees.</w:t>
      </w:r>
    </w:p>
    <w:p>
      <w:pPr>
        <w:spacing w:after="0" w:line="218" w:lineRule="exact"/>
        <w:rPr>
          <w:sz w:val="20"/>
          <w:szCs w:val="20"/>
          <w:color w:val="auto"/>
        </w:rPr>
      </w:pPr>
    </w:p>
    <w:p>
      <w:pPr>
        <w:ind w:right="60" w:firstLine="414"/>
        <w:spacing w:after="0" w:line="290" w:lineRule="auto"/>
        <w:rPr>
          <w:sz w:val="20"/>
          <w:szCs w:val="20"/>
          <w:color w:val="auto"/>
        </w:rPr>
      </w:pPr>
      <w:r>
        <w:rPr>
          <w:rFonts w:ascii="Arial" w:cs="Arial" w:eastAsia="Arial" w:hAnsi="Arial"/>
          <w:sz w:val="14"/>
          <w:szCs w:val="14"/>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9" w:name="page20"/>
    <w:bookmarkEnd w:id="19"/>
    <w:p>
      <w:pPr>
        <w:ind w:left="560"/>
        <w:spacing w:after="0"/>
        <w:rPr>
          <w:sz w:val="20"/>
          <w:szCs w:val="20"/>
          <w:color w:val="auto"/>
        </w:rPr>
      </w:pPr>
      <w:r>
        <w:rPr>
          <w:rFonts w:ascii="Arial" w:cs="Arial" w:eastAsia="Arial" w:hAnsi="Arial"/>
          <w:sz w:val="15"/>
          <w:szCs w:val="15"/>
          <w:b w:val="1"/>
          <w:bCs w:val="1"/>
          <w:color w:val="auto"/>
        </w:rPr>
        <w:t>Improper disclosure of employee and client data could result in liability and harm our reputation.</w:t>
      </w:r>
    </w:p>
    <w:p>
      <w:pPr>
        <w:spacing w:after="0" w:line="222" w:lineRule="exact"/>
        <w:rPr>
          <w:sz w:val="20"/>
          <w:szCs w:val="20"/>
          <w:color w:val="auto"/>
        </w:rPr>
      </w:pPr>
    </w:p>
    <w:p>
      <w:pPr>
        <w:ind w:right="100" w:firstLine="414"/>
        <w:spacing w:after="0" w:line="260" w:lineRule="auto"/>
        <w:rPr>
          <w:sz w:val="20"/>
          <w:szCs w:val="20"/>
          <w:color w:val="auto"/>
        </w:rPr>
      </w:pPr>
      <w:r>
        <w:rPr>
          <w:rFonts w:ascii="Arial" w:cs="Arial" w:eastAsia="Arial" w:hAnsi="Arial"/>
          <w:sz w:val="15"/>
          <w:szCs w:val="15"/>
          <w:color w:val="auto"/>
        </w:rPr>
        <w:t>Our business involves the use, storage and transmission of information about our employees, our clients and employees of our clients. We and our third party service providers have established policies and procedures to help protect the security and privacy of this information. It is possible that our security controls over personal and other data and other practices we and our third party service providers follow may not prevent the improper access to or disclosure of personally identifiable or otherwise confidential information. Such disclosure could harm our reputation and subject us to liability under our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Outsourcing certain aspects of our business could result in disruption and increased costs.</w:t>
      </w:r>
    </w:p>
    <w:p>
      <w:pPr>
        <w:spacing w:after="0" w:line="222" w:lineRule="exact"/>
        <w:rPr>
          <w:sz w:val="20"/>
          <w:szCs w:val="20"/>
          <w:color w:val="auto"/>
        </w:rPr>
      </w:pPr>
    </w:p>
    <w:p>
      <w:pPr>
        <w:ind w:firstLine="414"/>
        <w:spacing w:after="0" w:line="284" w:lineRule="auto"/>
        <w:rPr>
          <w:sz w:val="20"/>
          <w:szCs w:val="20"/>
          <w:color w:val="auto"/>
        </w:rPr>
      </w:pPr>
      <w:r>
        <w:rPr>
          <w:rFonts w:ascii="Arial" w:cs="Arial" w:eastAsia="Arial" w:hAnsi="Arial"/>
          <w:sz w:val="14"/>
          <w:szCs w:val="14"/>
          <w:color w:val="auto"/>
        </w:rPr>
        <w:t>We have outsourced certain aspects of our business to third party vendors that subject us to risks, including disruptions in our business and increased costs. For example, we have engaged third parties to host and manage certain aspects of our data center information and technology infrastructure and to provide certain back office support in several countries. Accordingly, we are subject to the risks associated with the vendor’s ability to provide these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these services is more than expected, or if the vendor or we are unable to adequately protect our data and information is lost, or our ability to deliver our services is interrupted, then our business and results of operations may be negatively impacted.</w:t>
      </w:r>
    </w:p>
    <w:p>
      <w:pPr>
        <w:spacing w:after="0" w:line="163"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Not applicable.</w:t>
      </w:r>
    </w:p>
    <w:p>
      <w:pPr>
        <w:spacing w:after="0" w:line="214"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222" w:lineRule="exact"/>
        <w:rPr>
          <w:sz w:val="20"/>
          <w:szCs w:val="20"/>
          <w:color w:val="auto"/>
        </w:rPr>
      </w:pPr>
    </w:p>
    <w:p>
      <w:pPr>
        <w:ind w:right="140" w:firstLine="414"/>
        <w:spacing w:after="0" w:line="286" w:lineRule="auto"/>
        <w:rPr>
          <w:sz w:val="20"/>
          <w:szCs w:val="20"/>
          <w:color w:val="auto"/>
        </w:rPr>
      </w:pPr>
      <w:r>
        <w:rPr>
          <w:rFonts w:ascii="Arial" w:cs="Arial" w:eastAsia="Arial" w:hAnsi="Arial"/>
          <w:sz w:val="15"/>
          <w:szCs w:val="15"/>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59"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are involved in litigation of a routine nature and various legal matters, which are being defended and handled in the ordinary course of business.</w:t>
      </w:r>
    </w:p>
    <w:p>
      <w:pPr>
        <w:spacing w:after="0" w:line="218" w:lineRule="exact"/>
        <w:rPr>
          <w:sz w:val="20"/>
          <w:szCs w:val="20"/>
          <w:color w:val="auto"/>
        </w:rPr>
      </w:pPr>
    </w:p>
    <w:p>
      <w:pPr>
        <w:ind w:right="480" w:firstLine="414"/>
        <w:spacing w:after="0" w:line="286" w:lineRule="auto"/>
        <w:rPr>
          <w:sz w:val="20"/>
          <w:szCs w:val="20"/>
          <w:color w:val="auto"/>
        </w:rPr>
      </w:pPr>
      <w:r>
        <w:rPr>
          <w:rFonts w:ascii="Arial" w:cs="Arial" w:eastAsia="Arial" w:hAnsi="Arial"/>
          <w:sz w:val="15"/>
          <w:szCs w:val="15"/>
          <w:color w:val="auto"/>
        </w:rPr>
        <w:t>The information required by this Item is set forth in our Annual Report to Shareholders for the fiscal year ended December 31, 2009, under the heading “Significant Matters Affecting Results of Operations” (pages 36 to 39), which information is hereby incorporated herein by reference.</w:t>
      </w:r>
    </w:p>
    <w:p>
      <w:pPr>
        <w:spacing w:after="0" w:line="159"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Submission of Matters to a Vote of Security Holders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Not applicable.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9920" w:type="dxa"/>
            <w:vAlign w:val="bottom"/>
          </w:tcPr>
          <w:p>
            <w:pPr>
              <w:jc w:val="center"/>
              <w:ind w:right="1443"/>
              <w:spacing w:after="0"/>
              <w:rPr>
                <w:sz w:val="20"/>
                <w:szCs w:val="20"/>
                <w:color w:val="auto"/>
              </w:rPr>
            </w:pPr>
            <w:r>
              <w:rPr>
                <w:rFonts w:ascii="Arial" w:cs="Arial" w:eastAsia="Arial" w:hAnsi="Arial"/>
                <w:sz w:val="15"/>
                <w:szCs w:val="15"/>
                <w:b w:val="1"/>
                <w:bCs w:val="1"/>
                <w:color w:val="auto"/>
              </w:rPr>
              <w:t>EXECUTIVE OFFICERS OF MANPOWER</w:t>
            </w:r>
          </w:p>
        </w:tc>
      </w:tr>
      <w:tr>
        <w:trPr>
          <w:trHeight w:val="184"/>
        </w:trPr>
        <w:tc>
          <w:tcPr>
            <w:tcW w:w="1520" w:type="dxa"/>
            <w:vAlign w:val="bottom"/>
          </w:tcPr>
          <w:p>
            <w:pPr>
              <w:spacing w:after="0"/>
              <w:rPr>
                <w:sz w:val="15"/>
                <w:szCs w:val="15"/>
                <w:color w:val="auto"/>
              </w:rPr>
            </w:pPr>
          </w:p>
        </w:tc>
        <w:tc>
          <w:tcPr>
            <w:tcW w:w="9920" w:type="dxa"/>
            <w:vAlign w:val="bottom"/>
          </w:tcPr>
          <w:p>
            <w:pPr>
              <w:jc w:val="center"/>
              <w:ind w:right="1443"/>
              <w:spacing w:after="0"/>
              <w:rPr>
                <w:sz w:val="20"/>
                <w:szCs w:val="20"/>
                <w:color w:val="auto"/>
              </w:rPr>
            </w:pPr>
            <w:r>
              <w:rPr>
                <w:rFonts w:ascii="Arial" w:cs="Arial" w:eastAsia="Arial" w:hAnsi="Arial"/>
                <w:sz w:val="15"/>
                <w:szCs w:val="15"/>
                <w:b w:val="1"/>
                <w:bCs w:val="1"/>
                <w:color w:val="auto"/>
                <w:w w:val="93"/>
              </w:rPr>
              <w:t>(as of February 16, 2010)</w:t>
            </w:r>
          </w:p>
        </w:tc>
      </w:tr>
      <w:tr>
        <w:trPr>
          <w:trHeight w:val="188"/>
        </w:trPr>
        <w:tc>
          <w:tcPr>
            <w:tcW w:w="1520" w:type="dxa"/>
            <w:vAlign w:val="bottom"/>
          </w:tcPr>
          <w:p>
            <w:pPr>
              <w:spacing w:after="0"/>
              <w:rPr>
                <w:sz w:val="20"/>
                <w:szCs w:val="20"/>
                <w:color w:val="auto"/>
              </w:rPr>
            </w:pPr>
            <w:r>
              <w:rPr>
                <w:rFonts w:ascii="Arial" w:cs="Arial" w:eastAsia="Arial" w:hAnsi="Arial"/>
                <w:sz w:val="15"/>
                <w:szCs w:val="15"/>
                <w:b w:val="1"/>
                <w:bCs w:val="1"/>
                <w:color w:val="auto"/>
              </w:rPr>
              <w:t>Name of Officer</w:t>
            </w:r>
          </w:p>
        </w:tc>
        <w:tc>
          <w:tcPr>
            <w:tcW w:w="9920" w:type="dxa"/>
            <w:vAlign w:val="bottom"/>
          </w:tcPr>
          <w:p>
            <w:pPr>
              <w:ind w:left="120"/>
              <w:spacing w:after="0"/>
              <w:rPr>
                <w:sz w:val="20"/>
                <w:szCs w:val="20"/>
                <w:color w:val="auto"/>
              </w:rPr>
            </w:pPr>
            <w:r>
              <w:rPr>
                <w:rFonts w:ascii="Arial" w:cs="Arial" w:eastAsia="Arial" w:hAnsi="Arial"/>
                <w:sz w:val="15"/>
                <w:szCs w:val="15"/>
                <w:b w:val="1"/>
                <w:bCs w:val="1"/>
                <w:color w:val="auto"/>
              </w:rPr>
              <w:t>Office</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Jeffrey A. Joerres</w:t>
            </w:r>
          </w:p>
        </w:tc>
        <w:tc>
          <w:tcPr>
            <w:tcW w:w="9920" w:type="dxa"/>
            <w:vAlign w:val="bottom"/>
          </w:tcPr>
          <w:p>
            <w:pPr>
              <w:ind w:left="120"/>
              <w:spacing w:after="0"/>
              <w:rPr>
                <w:sz w:val="20"/>
                <w:szCs w:val="20"/>
                <w:color w:val="auto"/>
              </w:rPr>
            </w:pPr>
            <w:r>
              <w:rPr>
                <w:rFonts w:ascii="Arial" w:cs="Arial" w:eastAsia="Arial" w:hAnsi="Arial"/>
                <w:sz w:val="15"/>
                <w:szCs w:val="15"/>
                <w:color w:val="auto"/>
                <w:w w:val="98"/>
              </w:rPr>
              <w:t>Chairman of Manpower since May 2001, and President and Chief Executive Officer of Manpower since April 1999. Senior Vice President – European</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50</w:t>
            </w:r>
          </w:p>
        </w:tc>
        <w:tc>
          <w:tcPr>
            <w:tcW w:w="9920" w:type="dxa"/>
            <w:vAlign w:val="bottom"/>
          </w:tcPr>
          <w:p>
            <w:pPr>
              <w:ind w:left="120"/>
              <w:spacing w:after="0"/>
              <w:rPr>
                <w:sz w:val="20"/>
                <w:szCs w:val="20"/>
                <w:color w:val="auto"/>
              </w:rPr>
            </w:pPr>
            <w:r>
              <w:rPr>
                <w:rFonts w:ascii="Arial" w:cs="Arial" w:eastAsia="Arial" w:hAnsi="Arial"/>
                <w:sz w:val="15"/>
                <w:szCs w:val="15"/>
                <w:color w:val="auto"/>
                <w:w w:val="99"/>
              </w:rPr>
              <w:t>Operations and Marketing and Major Account Development of Manpower from July 1998 to April 1999. A director of Artisan Funds, Inc. and Johnson</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Controls, Inc. A director of Manpower for more than five years. An employee of Manpower since July 1993.</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w w:val="99"/>
              </w:rPr>
              <w:t>Michael J. Van Handel</w:t>
            </w:r>
          </w:p>
        </w:tc>
        <w:tc>
          <w:tcPr>
            <w:tcW w:w="9920" w:type="dxa"/>
            <w:vAlign w:val="bottom"/>
          </w:tcPr>
          <w:p>
            <w:pPr>
              <w:ind w:left="120"/>
              <w:spacing w:after="0"/>
              <w:rPr>
                <w:sz w:val="20"/>
                <w:szCs w:val="20"/>
                <w:color w:val="auto"/>
              </w:rPr>
            </w:pPr>
            <w:r>
              <w:rPr>
                <w:rFonts w:ascii="Arial" w:cs="Arial" w:eastAsia="Arial" w:hAnsi="Arial"/>
                <w:sz w:val="15"/>
                <w:szCs w:val="15"/>
                <w:color w:val="auto"/>
                <w:w w:val="98"/>
              </w:rPr>
              <w:t>Executive Vice President, Chief Financial Officer of Manpower since January 2008. Executive Vice President, Chief Financial Officer and Secretary of</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50</w:t>
            </w:r>
          </w:p>
        </w:tc>
        <w:tc>
          <w:tcPr>
            <w:tcW w:w="9920" w:type="dxa"/>
            <w:vAlign w:val="bottom"/>
          </w:tcPr>
          <w:p>
            <w:pPr>
              <w:ind w:left="120"/>
              <w:spacing w:after="0"/>
              <w:rPr>
                <w:sz w:val="20"/>
                <w:szCs w:val="20"/>
                <w:color w:val="auto"/>
              </w:rPr>
            </w:pPr>
            <w:r>
              <w:rPr>
                <w:rFonts w:ascii="Arial" w:cs="Arial" w:eastAsia="Arial" w:hAnsi="Arial"/>
                <w:sz w:val="15"/>
                <w:szCs w:val="15"/>
                <w:color w:val="auto"/>
                <w:w w:val="97"/>
              </w:rPr>
              <w:t>Manpower from April 2002 to January 2008. Senior Vice President, Chief Financial Officer and Secretary of Manpower from August 1999 to April 2002.</w:t>
            </w:r>
          </w:p>
        </w:tc>
      </w:tr>
      <w:tr>
        <w:trPr>
          <w:trHeight w:val="184"/>
        </w:trPr>
        <w:tc>
          <w:tcPr>
            <w:tcW w:w="1520" w:type="dxa"/>
            <w:vAlign w:val="bottom"/>
          </w:tcPr>
          <w:p>
            <w:pPr>
              <w:spacing w:after="0"/>
              <w:rPr>
                <w:sz w:val="15"/>
                <w:szCs w:val="15"/>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w w:val="95"/>
              </w:rPr>
              <w:t>Senior Vice President, Chief Financial Officer, Treasurer and Secretary of Manpower from July 1998 to August 1999. An employee of Manpower since May</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1989.</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Barbara J. Beck</w:t>
            </w:r>
          </w:p>
        </w:tc>
        <w:tc>
          <w:tcPr>
            <w:tcW w:w="9920" w:type="dxa"/>
            <w:vAlign w:val="bottom"/>
          </w:tcPr>
          <w:p>
            <w:pPr>
              <w:ind w:left="120"/>
              <w:spacing w:after="0"/>
              <w:rPr>
                <w:sz w:val="20"/>
                <w:szCs w:val="20"/>
                <w:color w:val="auto"/>
              </w:rPr>
            </w:pPr>
            <w:r>
              <w:rPr>
                <w:rFonts w:ascii="Arial" w:cs="Arial" w:eastAsia="Arial" w:hAnsi="Arial"/>
                <w:sz w:val="15"/>
                <w:szCs w:val="15"/>
                <w:color w:val="auto"/>
                <w:w w:val="97"/>
              </w:rPr>
              <w:t>Executive Vice President of Manpower, President – Europe, Middle East and Africa since January 2006. A director of Ecolab Inc. since February 2008.</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49</w:t>
            </w:r>
          </w:p>
        </w:tc>
        <w:tc>
          <w:tcPr>
            <w:tcW w:w="9920" w:type="dxa"/>
            <w:vAlign w:val="bottom"/>
          </w:tcPr>
          <w:p>
            <w:pPr>
              <w:ind w:left="120"/>
              <w:spacing w:after="0"/>
              <w:rPr>
                <w:sz w:val="20"/>
                <w:szCs w:val="20"/>
                <w:color w:val="auto"/>
              </w:rPr>
            </w:pPr>
            <w:r>
              <w:rPr>
                <w:rFonts w:ascii="Arial" w:cs="Arial" w:eastAsia="Arial" w:hAnsi="Arial"/>
                <w:sz w:val="15"/>
                <w:szCs w:val="15"/>
                <w:color w:val="auto"/>
                <w:w w:val="93"/>
              </w:rPr>
              <w:t>Executive Vice President of Manpower – United States and Canadian Operations from January 2002 to December 2005. Independent consultant from August</w:t>
            </w:r>
          </w:p>
        </w:tc>
      </w:tr>
      <w:tr>
        <w:trPr>
          <w:trHeight w:val="184"/>
        </w:trPr>
        <w:tc>
          <w:tcPr>
            <w:tcW w:w="1520" w:type="dxa"/>
            <w:vAlign w:val="bottom"/>
          </w:tcPr>
          <w:p>
            <w:pPr>
              <w:spacing w:after="0"/>
              <w:rPr>
                <w:sz w:val="15"/>
                <w:szCs w:val="15"/>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w w:val="96"/>
              </w:rPr>
              <w:t>2000 to January 2002. Area Vice President and General Manager of United States – West for Sprint Corporation from February 1996 to August 2000. An</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employee of Manpower since January 2002.</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Jonas Prising</w:t>
            </w:r>
          </w:p>
        </w:tc>
        <w:tc>
          <w:tcPr>
            <w:tcW w:w="9920" w:type="dxa"/>
            <w:vAlign w:val="bottom"/>
          </w:tcPr>
          <w:p>
            <w:pPr>
              <w:ind w:left="120"/>
              <w:spacing w:after="0"/>
              <w:rPr>
                <w:sz w:val="20"/>
                <w:szCs w:val="20"/>
                <w:color w:val="auto"/>
              </w:rPr>
            </w:pPr>
            <w:r>
              <w:rPr>
                <w:rFonts w:ascii="Arial" w:cs="Arial" w:eastAsia="Arial" w:hAnsi="Arial"/>
                <w:sz w:val="15"/>
                <w:szCs w:val="15"/>
                <w:color w:val="auto"/>
                <w:w w:val="96"/>
              </w:rPr>
              <w:t>Executive Vice President of Manpower, President – The Americas of Manpower since January 2009. Executive Vice President of Manpower, President –</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44</w:t>
            </w:r>
          </w:p>
        </w:tc>
        <w:tc>
          <w:tcPr>
            <w:tcW w:w="9920" w:type="dxa"/>
            <w:vAlign w:val="bottom"/>
          </w:tcPr>
          <w:p>
            <w:pPr>
              <w:ind w:left="120"/>
              <w:spacing w:after="0"/>
              <w:rPr>
                <w:sz w:val="20"/>
                <w:szCs w:val="20"/>
                <w:color w:val="auto"/>
              </w:rPr>
            </w:pPr>
            <w:r>
              <w:rPr>
                <w:rFonts w:ascii="Arial" w:cs="Arial" w:eastAsia="Arial" w:hAnsi="Arial"/>
                <w:sz w:val="15"/>
                <w:szCs w:val="15"/>
                <w:color w:val="auto"/>
                <w:w w:val="96"/>
              </w:rPr>
              <w:t>United States and Canadian Operations from January 2006 to December 2008. Managing Director of Manpower Italy from July 2002 to December 2005.</w:t>
            </w:r>
          </w:p>
        </w:tc>
      </w:tr>
      <w:tr>
        <w:trPr>
          <w:trHeight w:val="184"/>
        </w:trPr>
        <w:tc>
          <w:tcPr>
            <w:tcW w:w="1520" w:type="dxa"/>
            <w:vAlign w:val="bottom"/>
          </w:tcPr>
          <w:p>
            <w:pPr>
              <w:spacing w:after="0"/>
              <w:rPr>
                <w:sz w:val="15"/>
                <w:szCs w:val="15"/>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w w:val="95"/>
              </w:rPr>
              <w:t>Director of Manpower Global Accounts – EMEA from June 1999 to June 2002. Prior to joining Manpower, held multiple international management positions</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with Electrolux from 1989 to May 1999. An employee of Manpower since June 1999.</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Owen J. Sullivan</w:t>
            </w:r>
          </w:p>
        </w:tc>
        <w:tc>
          <w:tcPr>
            <w:tcW w:w="9920" w:type="dxa"/>
            <w:vAlign w:val="bottom"/>
          </w:tcPr>
          <w:p>
            <w:pPr>
              <w:ind w:left="120"/>
              <w:spacing w:after="0"/>
              <w:rPr>
                <w:sz w:val="20"/>
                <w:szCs w:val="20"/>
                <w:color w:val="auto"/>
              </w:rPr>
            </w:pPr>
            <w:r>
              <w:rPr>
                <w:rFonts w:ascii="Arial" w:cs="Arial" w:eastAsia="Arial" w:hAnsi="Arial"/>
                <w:sz w:val="15"/>
                <w:szCs w:val="15"/>
                <w:color w:val="auto"/>
                <w:w w:val="93"/>
              </w:rPr>
              <w:t>Executive Vice President of Manpower, and Chief Executive Officer of Right Management and Jefferson Wells since January 2005. Chief Executive Officer of</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52</w:t>
            </w:r>
          </w:p>
        </w:tc>
        <w:tc>
          <w:tcPr>
            <w:tcW w:w="9920" w:type="dxa"/>
            <w:vAlign w:val="bottom"/>
          </w:tcPr>
          <w:p>
            <w:pPr>
              <w:ind w:left="120"/>
              <w:spacing w:after="0"/>
              <w:rPr>
                <w:sz w:val="20"/>
                <w:szCs w:val="20"/>
                <w:color w:val="auto"/>
              </w:rPr>
            </w:pPr>
            <w:r>
              <w:rPr>
                <w:rFonts w:ascii="Arial" w:cs="Arial" w:eastAsia="Arial" w:hAnsi="Arial"/>
                <w:sz w:val="15"/>
                <w:szCs w:val="15"/>
                <w:color w:val="auto"/>
                <w:w w:val="95"/>
              </w:rPr>
              <w:t>Jefferson Wells International, Inc. from April 2003 to January 2005. Independent consultant from 2002 to 2003. President of the Financial Services Group –</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Metavante Corporation from 1999 to 2003. An employee of Manpower since April 2003.</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Francoise Gri</w:t>
            </w:r>
          </w:p>
        </w:tc>
        <w:tc>
          <w:tcPr>
            <w:tcW w:w="9920" w:type="dxa"/>
            <w:vAlign w:val="bottom"/>
          </w:tcPr>
          <w:p>
            <w:pPr>
              <w:ind w:left="120"/>
              <w:spacing w:after="0"/>
              <w:rPr>
                <w:sz w:val="20"/>
                <w:szCs w:val="20"/>
                <w:color w:val="auto"/>
              </w:rPr>
            </w:pPr>
            <w:r>
              <w:rPr>
                <w:rFonts w:ascii="Arial" w:cs="Arial" w:eastAsia="Arial" w:hAnsi="Arial"/>
                <w:sz w:val="15"/>
                <w:szCs w:val="15"/>
                <w:color w:val="auto"/>
                <w:w w:val="93"/>
              </w:rPr>
              <w:t>Executive Vice President of Manpower, President – France since February 2007. Prior to joining Manpower, held various leadership roles with IBM from 1981</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52</w:t>
            </w:r>
          </w:p>
        </w:tc>
        <w:tc>
          <w:tcPr>
            <w:tcW w:w="9920" w:type="dxa"/>
            <w:vAlign w:val="bottom"/>
          </w:tcPr>
          <w:p>
            <w:pPr>
              <w:ind w:left="120"/>
              <w:spacing w:after="0"/>
              <w:rPr>
                <w:sz w:val="20"/>
                <w:szCs w:val="20"/>
                <w:color w:val="auto"/>
              </w:rPr>
            </w:pPr>
            <w:r>
              <w:rPr>
                <w:rFonts w:ascii="Arial" w:cs="Arial" w:eastAsia="Arial" w:hAnsi="Arial"/>
                <w:sz w:val="15"/>
                <w:szCs w:val="15"/>
                <w:color w:val="auto"/>
                <w:w w:val="97"/>
              </w:rPr>
              <w:t>to February 2007 including: regional general manager of France, Belgium and Luxembourg; vice president of marketing and channels software for IBM</w:t>
            </w:r>
          </w:p>
        </w:tc>
      </w:tr>
      <w:tr>
        <w:trPr>
          <w:trHeight w:val="184"/>
        </w:trPr>
        <w:tc>
          <w:tcPr>
            <w:tcW w:w="1520" w:type="dxa"/>
            <w:vAlign w:val="bottom"/>
          </w:tcPr>
          <w:p>
            <w:pPr>
              <w:spacing w:after="0"/>
              <w:rPr>
                <w:sz w:val="15"/>
                <w:szCs w:val="15"/>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EMEA; and executive of</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e-business solutions for IBM EMEA. An employee of Manpower since February 2007.</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Darryl Green</w:t>
            </w:r>
          </w:p>
        </w:tc>
        <w:tc>
          <w:tcPr>
            <w:tcW w:w="9920" w:type="dxa"/>
            <w:vAlign w:val="bottom"/>
          </w:tcPr>
          <w:p>
            <w:pPr>
              <w:ind w:left="120"/>
              <w:spacing w:after="0"/>
              <w:rPr>
                <w:sz w:val="20"/>
                <w:szCs w:val="20"/>
                <w:color w:val="auto"/>
              </w:rPr>
            </w:pPr>
            <w:r>
              <w:rPr>
                <w:rFonts w:ascii="Arial" w:cs="Arial" w:eastAsia="Arial" w:hAnsi="Arial"/>
                <w:sz w:val="15"/>
                <w:szCs w:val="15"/>
                <w:color w:val="auto"/>
                <w:w w:val="96"/>
              </w:rPr>
              <w:t>Executive Vice President of Manpower, President –Asia-Pacific and Middle East Operations since January 2009. Executive Vice President of Manpower,</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49</w:t>
            </w:r>
          </w:p>
        </w:tc>
        <w:tc>
          <w:tcPr>
            <w:tcW w:w="9920" w:type="dxa"/>
            <w:vAlign w:val="bottom"/>
          </w:tcPr>
          <w:p>
            <w:pPr>
              <w:ind w:left="120"/>
              <w:spacing w:after="0"/>
              <w:rPr>
                <w:sz w:val="20"/>
                <w:szCs w:val="20"/>
                <w:color w:val="auto"/>
              </w:rPr>
            </w:pPr>
            <w:r>
              <w:rPr>
                <w:rFonts w:ascii="Arial" w:cs="Arial" w:eastAsia="Arial" w:hAnsi="Arial"/>
                <w:sz w:val="15"/>
                <w:szCs w:val="15"/>
                <w:color w:val="auto"/>
                <w:w w:val="94"/>
              </w:rPr>
              <w:t>President – Asia-Pacific Operations from May 2007 to December 2008. Prior to joining Manpower, served as CEO of Tata Teleservices. Previously, CEO of</w:t>
            </w:r>
          </w:p>
        </w:tc>
      </w:tr>
      <w:tr>
        <w:trPr>
          <w:trHeight w:val="184"/>
        </w:trPr>
        <w:tc>
          <w:tcPr>
            <w:tcW w:w="1520" w:type="dxa"/>
            <w:vAlign w:val="bottom"/>
          </w:tcPr>
          <w:p>
            <w:pPr>
              <w:spacing w:after="0"/>
              <w:rPr>
                <w:sz w:val="15"/>
                <w:szCs w:val="15"/>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w w:val="96"/>
              </w:rPr>
              <w:t>Vodafone Japan, a publicly listed mobile services provider. From 1989 to 1998, held various management positions within AT&amp;T, including three years as</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President and CEO of its Japanese operations. An employee of Manpower since May 2007.</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Mara E. Swan</w:t>
            </w:r>
          </w:p>
        </w:tc>
        <w:tc>
          <w:tcPr>
            <w:tcW w:w="9920" w:type="dxa"/>
            <w:vAlign w:val="bottom"/>
          </w:tcPr>
          <w:p>
            <w:pPr>
              <w:ind w:left="120"/>
              <w:spacing w:after="0"/>
              <w:rPr>
                <w:sz w:val="20"/>
                <w:szCs w:val="20"/>
                <w:color w:val="auto"/>
              </w:rPr>
            </w:pPr>
            <w:r>
              <w:rPr>
                <w:rFonts w:ascii="Arial" w:cs="Arial" w:eastAsia="Arial" w:hAnsi="Arial"/>
                <w:sz w:val="15"/>
                <w:szCs w:val="15"/>
                <w:color w:val="auto"/>
                <w:w w:val="93"/>
              </w:rPr>
              <w:t>Executive Vice President - Global Strategy and Talent since January 2009. Senior Vice President of Global Human Resources from August 2005 to December</w:t>
            </w:r>
          </w:p>
        </w:tc>
      </w:tr>
      <w:tr>
        <w:trPr>
          <w:trHeight w:val="184"/>
        </w:trPr>
        <w:tc>
          <w:tcPr>
            <w:tcW w:w="1520" w:type="dxa"/>
            <w:vAlign w:val="bottom"/>
          </w:tcPr>
          <w:p>
            <w:pPr>
              <w:spacing w:after="0"/>
              <w:rPr>
                <w:sz w:val="20"/>
                <w:szCs w:val="20"/>
                <w:color w:val="auto"/>
              </w:rPr>
            </w:pPr>
            <w:r>
              <w:rPr>
                <w:rFonts w:ascii="Arial" w:cs="Arial" w:eastAsia="Arial" w:hAnsi="Arial"/>
                <w:sz w:val="15"/>
                <w:szCs w:val="15"/>
                <w:color w:val="auto"/>
              </w:rPr>
              <w:t>Age 50</w:t>
            </w:r>
          </w:p>
        </w:tc>
        <w:tc>
          <w:tcPr>
            <w:tcW w:w="9920" w:type="dxa"/>
            <w:vAlign w:val="bottom"/>
          </w:tcPr>
          <w:p>
            <w:pPr>
              <w:ind w:left="120"/>
              <w:spacing w:after="0"/>
              <w:rPr>
                <w:sz w:val="20"/>
                <w:szCs w:val="20"/>
                <w:color w:val="auto"/>
              </w:rPr>
            </w:pPr>
            <w:r>
              <w:rPr>
                <w:rFonts w:ascii="Arial" w:cs="Arial" w:eastAsia="Arial" w:hAnsi="Arial"/>
                <w:sz w:val="15"/>
                <w:szCs w:val="15"/>
                <w:color w:val="auto"/>
                <w:w w:val="96"/>
              </w:rPr>
              <w:t>2008. Prior to Manpower, served as Chief People Officer for the Molson Coors Brewing Company for its global operations. Previously, Human Resources</w:t>
            </w:r>
          </w:p>
        </w:tc>
      </w:tr>
      <w:tr>
        <w:trPr>
          <w:trHeight w:val="194"/>
        </w:trPr>
        <w:tc>
          <w:tcPr>
            <w:tcW w:w="1520" w:type="dxa"/>
            <w:vAlign w:val="bottom"/>
          </w:tcPr>
          <w:p>
            <w:pPr>
              <w:spacing w:after="0"/>
              <w:rPr>
                <w:sz w:val="16"/>
                <w:szCs w:val="16"/>
                <w:color w:val="auto"/>
              </w:rPr>
            </w:pPr>
          </w:p>
        </w:tc>
        <w:tc>
          <w:tcPr>
            <w:tcW w:w="9920" w:type="dxa"/>
            <w:vAlign w:val="bottom"/>
          </w:tcPr>
          <w:p>
            <w:pPr>
              <w:ind w:left="120"/>
              <w:spacing w:after="0"/>
              <w:rPr>
                <w:sz w:val="20"/>
                <w:szCs w:val="20"/>
                <w:color w:val="auto"/>
              </w:rPr>
            </w:pPr>
            <w:r>
              <w:rPr>
                <w:rFonts w:ascii="Arial" w:cs="Arial" w:eastAsia="Arial" w:hAnsi="Arial"/>
                <w:sz w:val="15"/>
                <w:szCs w:val="15"/>
                <w:color w:val="auto"/>
              </w:rPr>
              <w:t>Manager for Miller Brewing Company. An employee of Manpower since August 2005.</w:t>
            </w:r>
          </w:p>
        </w:tc>
      </w:tr>
      <w:tr>
        <w:trPr>
          <w:trHeight w:val="357"/>
        </w:trPr>
        <w:tc>
          <w:tcPr>
            <w:tcW w:w="1520" w:type="dxa"/>
            <w:vAlign w:val="bottom"/>
          </w:tcPr>
          <w:p>
            <w:pPr>
              <w:spacing w:after="0"/>
              <w:rPr>
                <w:sz w:val="20"/>
                <w:szCs w:val="20"/>
                <w:color w:val="auto"/>
              </w:rPr>
            </w:pPr>
            <w:r>
              <w:rPr>
                <w:rFonts w:ascii="Arial" w:cs="Arial" w:eastAsia="Arial" w:hAnsi="Arial"/>
                <w:sz w:val="15"/>
                <w:szCs w:val="15"/>
                <w:color w:val="auto"/>
              </w:rPr>
              <w:t>Kenneth C. Hunt</w:t>
            </w:r>
          </w:p>
        </w:tc>
        <w:tc>
          <w:tcPr>
            <w:tcW w:w="9920" w:type="dxa"/>
            <w:vAlign w:val="bottom"/>
          </w:tcPr>
          <w:p>
            <w:pPr>
              <w:ind w:left="120"/>
              <w:spacing w:after="0"/>
              <w:rPr>
                <w:sz w:val="20"/>
                <w:szCs w:val="20"/>
                <w:color w:val="auto"/>
              </w:rPr>
            </w:pPr>
            <w:r>
              <w:rPr>
                <w:rFonts w:ascii="Arial" w:cs="Arial" w:eastAsia="Arial" w:hAnsi="Arial"/>
                <w:sz w:val="15"/>
                <w:szCs w:val="15"/>
                <w:color w:val="auto"/>
                <w:w w:val="98"/>
              </w:rPr>
              <w:t>Senior Vice President, General Counsel and Secretary of Manpower since January 2008. Prior to joining Manpower, a shareholder with the law firm of</w:t>
            </w:r>
          </w:p>
        </w:tc>
      </w:tr>
      <w:tr>
        <w:trPr>
          <w:trHeight w:val="194"/>
        </w:trPr>
        <w:tc>
          <w:tcPr>
            <w:tcW w:w="1520" w:type="dxa"/>
            <w:vAlign w:val="bottom"/>
          </w:tcPr>
          <w:p>
            <w:pPr>
              <w:spacing w:after="0"/>
              <w:rPr>
                <w:sz w:val="20"/>
                <w:szCs w:val="20"/>
                <w:color w:val="auto"/>
              </w:rPr>
            </w:pPr>
            <w:r>
              <w:rPr>
                <w:rFonts w:ascii="Arial" w:cs="Arial" w:eastAsia="Arial" w:hAnsi="Arial"/>
                <w:sz w:val="15"/>
                <w:szCs w:val="15"/>
                <w:color w:val="auto"/>
              </w:rPr>
              <w:t>Age 60</w:t>
            </w:r>
          </w:p>
        </w:tc>
        <w:tc>
          <w:tcPr>
            <w:tcW w:w="9920" w:type="dxa"/>
            <w:vAlign w:val="bottom"/>
          </w:tcPr>
          <w:p>
            <w:pPr>
              <w:ind w:left="120"/>
              <w:spacing w:after="0"/>
              <w:rPr>
                <w:sz w:val="20"/>
                <w:szCs w:val="20"/>
                <w:color w:val="auto"/>
              </w:rPr>
            </w:pPr>
            <w:r>
              <w:rPr>
                <w:rFonts w:ascii="Arial" w:cs="Arial" w:eastAsia="Arial" w:hAnsi="Arial"/>
                <w:sz w:val="15"/>
                <w:szCs w:val="15"/>
                <w:color w:val="auto"/>
              </w:rPr>
              <w:t>Godfrey &amp; Kahn, S.C. from 1981 to 2007. An employee of Manpower since January 2008.</w:t>
            </w:r>
          </w:p>
        </w:tc>
      </w:tr>
      <w:tr>
        <w:trPr>
          <w:trHeight w:val="517"/>
        </w:trPr>
        <w:tc>
          <w:tcPr>
            <w:tcW w:w="1520" w:type="dxa"/>
            <w:vAlign w:val="bottom"/>
          </w:tcPr>
          <w:p>
            <w:pPr>
              <w:spacing w:after="0"/>
              <w:rPr>
                <w:sz w:val="24"/>
                <w:szCs w:val="24"/>
                <w:color w:val="auto"/>
              </w:rPr>
            </w:pPr>
          </w:p>
        </w:tc>
        <w:tc>
          <w:tcPr>
            <w:tcW w:w="9920" w:type="dxa"/>
            <w:vAlign w:val="bottom"/>
          </w:tcPr>
          <w:p>
            <w:pPr>
              <w:jc w:val="center"/>
              <w:ind w:right="1443"/>
              <w:spacing w:after="0"/>
              <w:rPr>
                <w:sz w:val="20"/>
                <w:szCs w:val="20"/>
                <w:color w:val="auto"/>
              </w:rPr>
            </w:pPr>
            <w:r>
              <w:rPr>
                <w:rFonts w:ascii="Arial" w:cs="Arial" w:eastAsia="Arial" w:hAnsi="Arial"/>
                <w:sz w:val="15"/>
                <w:szCs w:val="15"/>
                <w:color w:val="auto"/>
                <w:w w:val="95"/>
              </w:rPr>
              <w:t>21</w:t>
            </w:r>
          </w:p>
        </w:tc>
      </w:tr>
      <w:tr>
        <w:trPr>
          <w:trHeight w:val="99"/>
        </w:trPr>
        <w:tc>
          <w:tcPr>
            <w:tcW w:w="1520" w:type="dxa"/>
            <w:vAlign w:val="bottom"/>
            <w:tcBorders>
              <w:bottom w:val="single" w:sz="8" w:color="808080"/>
            </w:tcBorders>
          </w:tcPr>
          <w:p>
            <w:pPr>
              <w:spacing w:after="0"/>
              <w:rPr>
                <w:sz w:val="8"/>
                <w:szCs w:val="8"/>
                <w:color w:val="auto"/>
              </w:rPr>
            </w:pPr>
          </w:p>
        </w:tc>
        <w:tc>
          <w:tcPr>
            <w:tcW w:w="99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t>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Audit Committee Approval of Audit-Related and Non-Audit Services</w:t>
      </w:r>
    </w:p>
    <w:p>
      <w:pPr>
        <w:spacing w:after="0" w:line="218" w:lineRule="exact"/>
        <w:rPr>
          <w:sz w:val="20"/>
          <w:szCs w:val="20"/>
          <w:color w:val="auto"/>
        </w:rPr>
      </w:pPr>
    </w:p>
    <w:p>
      <w:pPr>
        <w:ind w:left="400" w:right="20"/>
        <w:spacing w:after="0" w:line="286" w:lineRule="auto"/>
        <w:rPr>
          <w:sz w:val="20"/>
          <w:szCs w:val="20"/>
          <w:color w:val="auto"/>
        </w:rPr>
      </w:pPr>
      <w:r>
        <w:rPr>
          <w:rFonts w:ascii="Arial" w:cs="Arial" w:eastAsia="Arial" w:hAnsi="Arial"/>
          <w:sz w:val="15"/>
          <w:szCs w:val="15"/>
          <w:color w:val="auto"/>
        </w:rPr>
        <w:t>The Audit Committee of our Board of Directors has approved the following audit-related and non-audit services performed or to be performed for us by our independent registered public accounting firm, Deloitte &amp; Touche LLP, in 2009:</w:t>
      </w:r>
    </w:p>
    <w:p>
      <w:pPr>
        <w:spacing w:after="0" w:line="163" w:lineRule="exact"/>
        <w:rPr>
          <w:sz w:val="20"/>
          <w:szCs w:val="20"/>
          <w:color w:val="auto"/>
        </w:rPr>
      </w:pPr>
    </w:p>
    <w:p>
      <w:pPr>
        <w:ind w:left="400" w:hanging="241"/>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preparation and/or review of tax returns, including sales and use tax, excise tax, income tax, local tax, property tax, and value-added tax;</w:t>
      </w:r>
    </w:p>
    <w:p>
      <w:pPr>
        <w:spacing w:after="0" w:line="218" w:lineRule="exact"/>
        <w:rPr>
          <w:rFonts w:ascii="Arial" w:cs="Arial" w:eastAsia="Arial" w:hAnsi="Arial"/>
          <w:sz w:val="15"/>
          <w:szCs w:val="15"/>
          <w:color w:val="auto"/>
        </w:rPr>
      </w:pPr>
    </w:p>
    <w:p>
      <w:pPr>
        <w:ind w:left="400" w:hanging="250"/>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consultation regarding appropriate handling of items on tax returns, required disclosures, elections and filing positions available to us;</w:t>
      </w:r>
    </w:p>
    <w:p>
      <w:pPr>
        <w:spacing w:after="0" w:line="218" w:lineRule="exact"/>
        <w:rPr>
          <w:rFonts w:ascii="Arial" w:cs="Arial" w:eastAsia="Arial" w:hAnsi="Arial"/>
          <w:sz w:val="15"/>
          <w:szCs w:val="15"/>
          <w:color w:val="auto"/>
        </w:rPr>
      </w:pPr>
    </w:p>
    <w:p>
      <w:pPr>
        <w:ind w:left="400" w:hanging="241"/>
        <w:spacing w:after="0" w:line="323" w:lineRule="auto"/>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141" w:lineRule="exact"/>
        <w:rPr>
          <w:rFonts w:ascii="Arial" w:cs="Arial" w:eastAsia="Arial" w:hAnsi="Arial"/>
          <w:sz w:val="14"/>
          <w:szCs w:val="14"/>
          <w:color w:val="auto"/>
        </w:rPr>
      </w:pPr>
    </w:p>
    <w:p>
      <w:pPr>
        <w:ind w:left="400" w:hanging="250"/>
        <w:spacing w:after="0" w:line="286"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63" w:lineRule="exact"/>
        <w:rPr>
          <w:rFonts w:ascii="Arial" w:cs="Arial" w:eastAsia="Arial" w:hAnsi="Arial"/>
          <w:sz w:val="15"/>
          <w:szCs w:val="15"/>
          <w:color w:val="auto"/>
        </w:rPr>
      </w:pPr>
    </w:p>
    <w:p>
      <w:pPr>
        <w:ind w:left="400" w:hanging="241"/>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consultation on various projects;</w:t>
      </w:r>
    </w:p>
    <w:p>
      <w:pPr>
        <w:spacing w:after="0" w:line="218" w:lineRule="exact"/>
        <w:rPr>
          <w:rFonts w:ascii="Arial" w:cs="Arial" w:eastAsia="Arial" w:hAnsi="Arial"/>
          <w:sz w:val="15"/>
          <w:szCs w:val="15"/>
          <w:color w:val="auto"/>
        </w:rPr>
      </w:pPr>
    </w:p>
    <w:p>
      <w:pPr>
        <w:ind w:left="400" w:hanging="224"/>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advice regarding tax issues relating to our internal reorganizations;</w:t>
      </w:r>
    </w:p>
    <w:p>
      <w:pPr>
        <w:spacing w:after="0" w:line="218" w:lineRule="exact"/>
        <w:rPr>
          <w:rFonts w:ascii="Arial" w:cs="Arial" w:eastAsia="Arial" w:hAnsi="Arial"/>
          <w:sz w:val="15"/>
          <w:szCs w:val="15"/>
          <w:color w:val="auto"/>
        </w:rPr>
      </w:pPr>
    </w:p>
    <w:p>
      <w:pPr>
        <w:ind w:left="400" w:hanging="250"/>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assistance with due diligence work;</w:t>
      </w:r>
    </w:p>
    <w:p>
      <w:pPr>
        <w:spacing w:after="0" w:line="218" w:lineRule="exact"/>
        <w:rPr>
          <w:rFonts w:ascii="Arial" w:cs="Arial" w:eastAsia="Arial" w:hAnsi="Arial"/>
          <w:sz w:val="15"/>
          <w:szCs w:val="15"/>
          <w:color w:val="auto"/>
        </w:rPr>
      </w:pPr>
    </w:p>
    <w:p>
      <w:pPr>
        <w:ind w:left="400" w:hanging="250"/>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assistance with SEC comment letters;</w:t>
      </w:r>
    </w:p>
    <w:p>
      <w:pPr>
        <w:spacing w:after="0" w:line="218" w:lineRule="exact"/>
        <w:rPr>
          <w:rFonts w:ascii="Arial" w:cs="Arial" w:eastAsia="Arial" w:hAnsi="Arial"/>
          <w:sz w:val="15"/>
          <w:szCs w:val="15"/>
          <w:color w:val="auto"/>
        </w:rPr>
      </w:pPr>
    </w:p>
    <w:p>
      <w:pPr>
        <w:ind w:left="400" w:hanging="215"/>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training for our internal audit and tax staffs;</w:t>
      </w:r>
    </w:p>
    <w:p>
      <w:pPr>
        <w:spacing w:after="0" w:line="218" w:lineRule="exact"/>
        <w:rPr>
          <w:rFonts w:ascii="Arial" w:cs="Arial" w:eastAsia="Arial" w:hAnsi="Arial"/>
          <w:sz w:val="15"/>
          <w:szCs w:val="15"/>
          <w:color w:val="auto"/>
        </w:rPr>
      </w:pPr>
    </w:p>
    <w:p>
      <w:pPr>
        <w:ind w:left="400" w:hanging="215"/>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of our quarterly financial statements; and</w:t>
      </w:r>
    </w:p>
    <w:p>
      <w:pPr>
        <w:spacing w:after="0" w:line="218" w:lineRule="exact"/>
        <w:rPr>
          <w:rFonts w:ascii="Arial" w:cs="Arial" w:eastAsia="Arial" w:hAnsi="Arial"/>
          <w:sz w:val="15"/>
          <w:szCs w:val="15"/>
          <w:color w:val="auto"/>
        </w:rPr>
      </w:pPr>
    </w:p>
    <w:p>
      <w:pPr>
        <w:ind w:left="400" w:hanging="250"/>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assistance relating to reporting under and compliance with the federal securities laws and the rules and regulations promulgated thereunder, including the issuance of a consent.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22" w:name="page23"/>
    <w:bookmarkEnd w:id="22"/>
    <w:p>
      <w:pPr>
        <w:jc w:val="center"/>
        <w:ind w:right="-7"/>
        <w:spacing w:after="0"/>
        <w:rPr>
          <w:sz w:val="20"/>
          <w:szCs w:val="20"/>
          <w:color w:val="auto"/>
        </w:rPr>
      </w:pPr>
      <w:r>
        <w:rPr>
          <w:rFonts w:ascii="Arial" w:cs="Arial" w:eastAsia="Arial" w:hAnsi="Arial"/>
          <w:sz w:val="15"/>
          <w:szCs w:val="15"/>
          <w:b w:val="1"/>
          <w:bCs w:val="1"/>
          <w:color w:val="auto"/>
        </w:rPr>
        <w:t>PART II</w:t>
      </w:r>
    </w:p>
    <w:p>
      <w:pPr>
        <w:spacing w:after="0" w:line="218" w:lineRule="exact"/>
        <w:rPr>
          <w:sz w:val="20"/>
          <w:szCs w:val="20"/>
          <w:color w:val="auto"/>
        </w:rPr>
      </w:pPr>
    </w:p>
    <w:p>
      <w:pPr>
        <w:ind w:left="8"/>
        <w:spacing w:after="0"/>
        <w:tabs>
          <w:tab w:leader="none" w:pos="948"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Shareholder Matters and Issuer Purchases of Equity Securities</w:t>
      </w:r>
    </w:p>
    <w:p>
      <w:pPr>
        <w:spacing w:after="0" w:line="222" w:lineRule="exact"/>
        <w:rPr>
          <w:sz w:val="20"/>
          <w:szCs w:val="20"/>
          <w:color w:val="auto"/>
        </w:rPr>
      </w:pPr>
    </w:p>
    <w:p>
      <w:pPr>
        <w:ind w:left="8" w:right="280" w:firstLine="414"/>
        <w:spacing w:after="0" w:line="266" w:lineRule="auto"/>
        <w:rPr>
          <w:sz w:val="20"/>
          <w:szCs w:val="20"/>
          <w:color w:val="auto"/>
        </w:rPr>
      </w:pPr>
      <w:r>
        <w:rPr>
          <w:rFonts w:ascii="Arial" w:cs="Arial" w:eastAsia="Arial" w:hAnsi="Arial"/>
          <w:sz w:val="15"/>
          <w:szCs w:val="15"/>
          <w:color w:val="auto"/>
        </w:rPr>
        <w:t>In August 2007, the Board of Directors authorized the repurchase of 5.0 million shares of our common stock, not to exceed a total purchase price of $400.0 million. The authorization permitted share repurchases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during the fourth quarter of 2009.</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506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ind w:right="231"/>
              <w:spacing w:after="0"/>
              <w:rPr>
                <w:sz w:val="20"/>
                <w:szCs w:val="20"/>
                <w:color w:val="auto"/>
              </w:rPr>
            </w:pPr>
            <w:r>
              <w:rPr>
                <w:rFonts w:ascii="Arial" w:cs="Arial" w:eastAsia="Arial" w:hAnsi="Arial"/>
                <w:sz w:val="12"/>
                <w:szCs w:val="12"/>
                <w:b w:val="1"/>
                <w:bCs w:val="1"/>
                <w:color w:val="auto"/>
                <w:w w:val="92"/>
              </w:rPr>
              <w:t>Average</w:t>
            </w:r>
          </w:p>
        </w:tc>
        <w:tc>
          <w:tcPr>
            <w:tcW w:w="24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Total number of</w:t>
            </w:r>
          </w:p>
        </w:tc>
        <w:tc>
          <w:tcPr>
            <w:tcW w:w="26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Approximate</w:t>
            </w: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Total number of</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7"/>
              </w:rPr>
              <w:t>shares purchased</w:t>
            </w:r>
          </w:p>
        </w:tc>
        <w:tc>
          <w:tcPr>
            <w:tcW w:w="260" w:type="dxa"/>
            <w:vAlign w:val="bottom"/>
          </w:tcPr>
          <w:p>
            <w:pPr>
              <w:spacing w:after="0"/>
              <w:rPr>
                <w:sz w:val="10"/>
                <w:szCs w:val="10"/>
                <w:color w:val="auto"/>
              </w:rPr>
            </w:pPr>
          </w:p>
        </w:tc>
        <w:tc>
          <w:tcPr>
            <w:tcW w:w="15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9"/>
              </w:rPr>
              <w:t>number of shares</w:t>
            </w: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center"/>
              <w:ind w:right="231"/>
              <w:spacing w:after="0" w:line="126" w:lineRule="exact"/>
              <w:rPr>
                <w:sz w:val="20"/>
                <w:szCs w:val="20"/>
                <w:color w:val="auto"/>
              </w:rPr>
            </w:pPr>
            <w:r>
              <w:rPr>
                <w:rFonts w:ascii="Arial" w:cs="Arial" w:eastAsia="Arial" w:hAnsi="Arial"/>
                <w:sz w:val="12"/>
                <w:szCs w:val="12"/>
                <w:b w:val="1"/>
                <w:bCs w:val="1"/>
                <w:color w:val="auto"/>
                <w:w w:val="91"/>
              </w:rPr>
              <w:t>price paid</w:t>
            </w:r>
          </w:p>
        </w:tc>
        <w:tc>
          <w:tcPr>
            <w:tcW w:w="24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1"/>
              </w:rPr>
              <w:t>as part of publicly</w:t>
            </w:r>
          </w:p>
        </w:tc>
        <w:tc>
          <w:tcPr>
            <w:tcW w:w="260" w:type="dxa"/>
            <w:vAlign w:val="bottom"/>
          </w:tcPr>
          <w:p>
            <w:pPr>
              <w:spacing w:after="0"/>
              <w:rPr>
                <w:sz w:val="10"/>
                <w:szCs w:val="10"/>
                <w:color w:val="auto"/>
              </w:rPr>
            </w:pPr>
          </w:p>
        </w:tc>
        <w:tc>
          <w:tcPr>
            <w:tcW w:w="15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3"/>
              </w:rPr>
              <w:t>that may yet be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shares purchased</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31"/>
              <w:spacing w:after="0"/>
              <w:rPr>
                <w:sz w:val="20"/>
                <w:szCs w:val="20"/>
                <w:color w:val="auto"/>
              </w:rPr>
            </w:pPr>
            <w:r>
              <w:rPr>
                <w:rFonts w:ascii="Arial" w:cs="Arial" w:eastAsia="Arial" w:hAnsi="Arial"/>
                <w:sz w:val="12"/>
                <w:szCs w:val="12"/>
                <w:b w:val="1"/>
                <w:bCs w:val="1"/>
                <w:color w:val="auto"/>
                <w:w w:val="88"/>
              </w:rPr>
              <w:t>per share</w:t>
            </w:r>
          </w:p>
        </w:tc>
        <w:tc>
          <w:tcPr>
            <w:tcW w:w="24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announced plan</w:t>
            </w:r>
          </w:p>
        </w:tc>
        <w:tc>
          <w:tcPr>
            <w:tcW w:w="260" w:type="dxa"/>
            <w:vAlign w:val="bottom"/>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purchased</w:t>
            </w:r>
          </w:p>
        </w:tc>
        <w:tc>
          <w:tcPr>
            <w:tcW w:w="0" w:type="dxa"/>
            <w:vAlign w:val="bottom"/>
          </w:tcPr>
          <w:p>
            <w:pPr>
              <w:spacing w:after="0"/>
              <w:rPr>
                <w:sz w:val="1"/>
                <w:szCs w:val="1"/>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October 1 - 31, 2009</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5"/>
                <w:szCs w:val="15"/>
                <w:color w:val="auto"/>
              </w:rPr>
              <w:t>-</w:t>
            </w:r>
          </w:p>
        </w:tc>
        <w:tc>
          <w:tcPr>
            <w:tcW w:w="1720" w:type="dxa"/>
            <w:vAlign w:val="bottom"/>
            <w:gridSpan w:val="2"/>
            <w:shd w:val="clear" w:color="auto" w:fill="CCEEFF"/>
          </w:tcPr>
          <w:p>
            <w:pPr>
              <w:jc w:val="right"/>
              <w:ind w:right="679"/>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center"/>
              <w:ind w:left="183"/>
              <w:spacing w:after="0"/>
              <w:rPr>
                <w:sz w:val="20"/>
                <w:szCs w:val="20"/>
                <w:color w:val="auto"/>
              </w:rPr>
            </w:pPr>
            <w:r>
              <w:rPr>
                <w:rFonts w:ascii="Arial" w:cs="Arial" w:eastAsia="Arial" w:hAnsi="Arial"/>
                <w:sz w:val="15"/>
                <w:szCs w:val="15"/>
                <w:color w:val="auto"/>
                <w:w w:val="92"/>
              </w:rPr>
              <w:t>1,026,490</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November 1 - 30, 2009</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11"/>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ind w:right="679"/>
              <w:spacing w:after="0"/>
              <w:rPr>
                <w:sz w:val="20"/>
                <w:szCs w:val="20"/>
                <w:color w:val="auto"/>
              </w:rPr>
            </w:pPr>
            <w:r>
              <w:rPr>
                <w:rFonts w:ascii="Arial" w:cs="Arial" w:eastAsia="Arial" w:hAnsi="Arial"/>
                <w:sz w:val="15"/>
                <w:szCs w:val="15"/>
                <w:color w:val="auto"/>
              </w:rPr>
              <w:t>-</w:t>
            </w:r>
          </w:p>
        </w:tc>
        <w:tc>
          <w:tcPr>
            <w:tcW w:w="1760" w:type="dxa"/>
            <w:vAlign w:val="bottom"/>
            <w:gridSpan w:val="2"/>
          </w:tcPr>
          <w:p>
            <w:pPr>
              <w:jc w:val="center"/>
              <w:ind w:left="183"/>
              <w:spacing w:after="0"/>
              <w:rPr>
                <w:sz w:val="20"/>
                <w:szCs w:val="20"/>
                <w:color w:val="auto"/>
              </w:rPr>
            </w:pPr>
            <w:r>
              <w:rPr>
                <w:rFonts w:ascii="Arial" w:cs="Arial" w:eastAsia="Arial" w:hAnsi="Arial"/>
                <w:sz w:val="15"/>
                <w:szCs w:val="15"/>
                <w:color w:val="auto"/>
                <w:w w:val="92"/>
              </w:rPr>
              <w:t>1,026,490</w:t>
            </w:r>
          </w:p>
        </w:tc>
        <w:tc>
          <w:tcPr>
            <w:tcW w:w="0" w:type="dxa"/>
            <w:vAlign w:val="bottom"/>
          </w:tcPr>
          <w:p>
            <w:pPr>
              <w:spacing w:after="0"/>
              <w:rPr>
                <w:sz w:val="1"/>
                <w:szCs w:val="1"/>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December 1 - 31, 2009</w:t>
            </w:r>
          </w:p>
        </w:tc>
        <w:tc>
          <w:tcPr>
            <w:tcW w:w="1580" w:type="dxa"/>
            <w:vAlign w:val="bottom"/>
            <w:shd w:val="clear" w:color="auto" w:fill="CCEEFF"/>
          </w:tcPr>
          <w:p>
            <w:pPr>
              <w:jc w:val="center"/>
              <w:spacing w:after="0" w:line="184" w:lineRule="exact"/>
              <w:rPr>
                <w:sz w:val="20"/>
                <w:szCs w:val="20"/>
                <w:color w:val="auto"/>
              </w:rPr>
            </w:pPr>
            <w:r>
              <w:rPr>
                <w:rFonts w:ascii="Arial" w:cs="Arial" w:eastAsia="Arial" w:hAnsi="Arial"/>
                <w:sz w:val="21"/>
                <w:szCs w:val="21"/>
                <w:color w:val="auto"/>
                <w:w w:val="98"/>
                <w:vertAlign w:val="subscript"/>
              </w:rPr>
              <w:t>221</w:t>
            </w:r>
            <w:r>
              <w:rPr>
                <w:rFonts w:ascii="Arial" w:cs="Arial" w:eastAsia="Arial" w:hAnsi="Arial"/>
                <w:sz w:val="9"/>
                <w:szCs w:val="9"/>
                <w:color w:val="auto"/>
                <w:w w:val="98"/>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1"/>
              <w:spacing w:after="0"/>
              <w:rPr>
                <w:sz w:val="20"/>
                <w:szCs w:val="20"/>
                <w:color w:val="auto"/>
              </w:rPr>
            </w:pPr>
            <w:r>
              <w:rPr>
                <w:rFonts w:ascii="Arial" w:cs="Arial" w:eastAsia="Arial" w:hAnsi="Arial"/>
                <w:sz w:val="15"/>
                <w:szCs w:val="15"/>
                <w:color w:val="auto"/>
              </w:rPr>
              <w:t>-</w:t>
            </w:r>
          </w:p>
        </w:tc>
        <w:tc>
          <w:tcPr>
            <w:tcW w:w="1720" w:type="dxa"/>
            <w:vAlign w:val="bottom"/>
            <w:gridSpan w:val="2"/>
            <w:shd w:val="clear" w:color="auto" w:fill="CCEEFF"/>
          </w:tcPr>
          <w:p>
            <w:pPr>
              <w:jc w:val="center"/>
              <w:ind w:left="183"/>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219"/>
              <w:spacing w:after="0" w:line="184" w:lineRule="exact"/>
              <w:rPr>
                <w:sz w:val="20"/>
                <w:szCs w:val="20"/>
                <w:color w:val="auto"/>
              </w:rPr>
            </w:pPr>
            <w:r>
              <w:rPr>
                <w:rFonts w:ascii="Arial" w:cs="Arial" w:eastAsia="Arial" w:hAnsi="Arial"/>
                <w:sz w:val="15"/>
                <w:szCs w:val="15"/>
                <w:color w:val="auto"/>
              </w:rPr>
              <w:t>1,026,490</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Shares of restricted stock delivered by a director to Manpower, upon vesting, to satisfy tax withholding requirements.</w:t>
      </w:r>
    </w:p>
    <w:p>
      <w:pPr>
        <w:spacing w:after="0" w:line="21" w:lineRule="exact"/>
        <w:rPr>
          <w:rFonts w:ascii="Arial" w:cs="Arial" w:eastAsia="Arial" w:hAnsi="Arial"/>
          <w:sz w:val="15"/>
          <w:szCs w:val="15"/>
          <w:color w:val="auto"/>
        </w:rPr>
      </w:pPr>
    </w:p>
    <w:p>
      <w:pPr>
        <w:ind w:left="208" w:hanging="208"/>
        <w:spacing w:after="0"/>
        <w:tabs>
          <w:tab w:leader="none" w:pos="208"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Not to exceed a total purchase price of $182.1 million.</w:t>
      </w:r>
    </w:p>
    <w:p>
      <w:pPr>
        <w:spacing w:after="0" w:line="208" w:lineRule="exact"/>
        <w:rPr>
          <w:sz w:val="20"/>
          <w:szCs w:val="20"/>
          <w:color w:val="auto"/>
        </w:rPr>
      </w:pPr>
    </w:p>
    <w:p>
      <w:pPr>
        <w:ind w:left="8" w:right="300" w:firstLine="414"/>
        <w:spacing w:after="0" w:line="271" w:lineRule="auto"/>
        <w:rPr>
          <w:sz w:val="20"/>
          <w:szCs w:val="20"/>
          <w:color w:val="auto"/>
        </w:rPr>
      </w:pPr>
      <w:r>
        <w:rPr>
          <w:rFonts w:ascii="Arial" w:cs="Arial" w:eastAsia="Arial" w:hAnsi="Arial"/>
          <w:sz w:val="15"/>
          <w:szCs w:val="15"/>
          <w:color w:val="auto"/>
        </w:rPr>
        <w:t>The remaining information required by this Item is set forth in our Annual Report to Shareholders for the fiscal year ended December 31, 2009, under the heading “Note 16 - Quarterly Data” (page 75) and “Corporate Information” (page 78) and in our Proxy Statement for the Annual Meeting of Shareholders to be held on April 27, 2010, under the caption “Equity Compensation Plan Information”, which information is hereby incorporated herein by reference.</w:t>
      </w:r>
    </w:p>
    <w:p>
      <w:pPr>
        <w:spacing w:after="0" w:line="170" w:lineRule="exact"/>
        <w:rPr>
          <w:sz w:val="20"/>
          <w:szCs w:val="20"/>
          <w:color w:val="auto"/>
        </w:rPr>
      </w:pPr>
    </w:p>
    <w:p>
      <w:pPr>
        <w:ind w:left="8"/>
        <w:spacing w:after="0"/>
        <w:tabs>
          <w:tab w:leader="none" w:pos="948"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222" w:lineRule="exact"/>
        <w:rPr>
          <w:sz w:val="20"/>
          <w:szCs w:val="20"/>
          <w:color w:val="auto"/>
        </w:rPr>
      </w:pPr>
    </w:p>
    <w:p>
      <w:pPr>
        <w:ind w:left="8" w:right="140" w:firstLine="414"/>
        <w:spacing w:after="0" w:line="286" w:lineRule="auto"/>
        <w:rPr>
          <w:sz w:val="20"/>
          <w:szCs w:val="20"/>
          <w:color w:val="auto"/>
        </w:rPr>
      </w:pPr>
      <w:r>
        <w:rPr>
          <w:rFonts w:ascii="Arial" w:cs="Arial" w:eastAsia="Arial" w:hAnsi="Arial"/>
          <w:sz w:val="15"/>
          <w:szCs w:val="15"/>
          <w:color w:val="auto"/>
        </w:rPr>
        <w:t>The information required by this Item is set forth in our Annual Report to Shareholders for the fiscal year ended December 31, 2009, under the heading “Selected Financial Data” (page 76), which information is hereby incorporated herein by reference.</w:t>
      </w:r>
    </w:p>
    <w:p>
      <w:pPr>
        <w:spacing w:after="0" w:line="37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251" w:right="219" w:bottom="1440" w:gutter="0" w:footer="0" w:header="0"/>
        </w:sectPr>
      </w:pPr>
    </w:p>
    <w:bookmarkStart w:id="23" w:name="page24"/>
    <w:bookmarkEnd w:id="23"/>
    <w:p>
      <w:pPr>
        <w:spacing w:after="0"/>
        <w:tabs>
          <w:tab w:leader="none" w:pos="94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22" w:lineRule="exact"/>
        <w:rPr>
          <w:sz w:val="20"/>
          <w:szCs w:val="20"/>
          <w:color w:val="auto"/>
        </w:rPr>
      </w:pPr>
    </w:p>
    <w:p>
      <w:pPr>
        <w:ind w:right="560" w:firstLine="414"/>
        <w:spacing w:after="0" w:line="323"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2009, under the headings “Management’s Discussion and Analysis of Financial Condition and Results of Operations” (pages 17 to 39), which information is hereby incorporated herein by reference.</w:t>
      </w:r>
    </w:p>
    <w:p>
      <w:pPr>
        <w:spacing w:after="0" w:line="137"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22" w:lineRule="exact"/>
        <w:rPr>
          <w:sz w:val="20"/>
          <w:szCs w:val="20"/>
          <w:color w:val="auto"/>
        </w:rPr>
      </w:pPr>
    </w:p>
    <w:p>
      <w:pPr>
        <w:ind w:right="340" w:firstLine="414"/>
        <w:spacing w:after="0" w:line="286" w:lineRule="auto"/>
        <w:rPr>
          <w:sz w:val="20"/>
          <w:szCs w:val="20"/>
          <w:color w:val="auto"/>
        </w:rPr>
      </w:pPr>
      <w:r>
        <w:rPr>
          <w:rFonts w:ascii="Arial" w:cs="Arial" w:eastAsia="Arial" w:hAnsi="Arial"/>
          <w:sz w:val="15"/>
          <w:szCs w:val="15"/>
          <w:color w:val="auto"/>
        </w:rPr>
        <w:t>The information required by this Item is set forth in our Annual Report to Shareholders for the fiscal year ended December 31, 2009, under the heading “Significant Matters Affecting Results of Operations” (pages 36 to 39), which information is hereby incorporated herein by reference.</w:t>
      </w:r>
    </w:p>
    <w:p>
      <w:pPr>
        <w:spacing w:after="0" w:line="159"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222" w:lineRule="exact"/>
        <w:rPr>
          <w:sz w:val="20"/>
          <w:szCs w:val="20"/>
          <w:color w:val="auto"/>
        </w:rPr>
      </w:pPr>
    </w:p>
    <w:p>
      <w:pPr>
        <w:ind w:right="120" w:firstLine="414"/>
        <w:spacing w:after="0" w:line="286" w:lineRule="auto"/>
        <w:rPr>
          <w:sz w:val="20"/>
          <w:szCs w:val="20"/>
          <w:color w:val="auto"/>
        </w:rPr>
      </w:pPr>
      <w:r>
        <w:rPr>
          <w:rFonts w:ascii="Arial" w:cs="Arial" w:eastAsia="Arial" w:hAnsi="Arial"/>
          <w:sz w:val="15"/>
          <w:szCs w:val="15"/>
          <w:color w:val="auto"/>
        </w:rPr>
        <w:t>The information required by this Item is set forth in the financial statements and the notes thereto (pages 42 to 75) contained in our Annual Report to Shareholders for the fiscal year ended December 31, 2009, which information is hereby incorporated herein by reference.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Disclosure Controls and Procedures</w:t>
      </w:r>
    </w:p>
    <w:p>
      <w:pPr>
        <w:spacing w:after="0" w:line="222" w:lineRule="exact"/>
        <w:rPr>
          <w:sz w:val="20"/>
          <w:szCs w:val="20"/>
          <w:color w:val="auto"/>
        </w:rPr>
      </w:pPr>
    </w:p>
    <w:p>
      <w:pPr>
        <w:ind w:firstLine="414"/>
        <w:spacing w:after="0" w:line="281" w:lineRule="auto"/>
        <w:rPr>
          <w:sz w:val="20"/>
          <w:szCs w:val="20"/>
          <w:color w:val="auto"/>
        </w:rPr>
      </w:pPr>
      <w:r>
        <w:rPr>
          <w:rFonts w:ascii="Arial" w:cs="Arial" w:eastAsia="Arial" w:hAnsi="Arial"/>
          <w:sz w:val="14"/>
          <w:szCs w:val="14"/>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Control over Financial Reporting</w:t>
      </w:r>
    </w:p>
    <w:p>
      <w:pPr>
        <w:spacing w:after="0" w:line="222" w:lineRule="exact"/>
        <w:rPr>
          <w:sz w:val="20"/>
          <w:szCs w:val="20"/>
          <w:color w:val="auto"/>
        </w:rPr>
      </w:pPr>
    </w:p>
    <w:p>
      <w:pPr>
        <w:ind w:right="60" w:firstLine="414"/>
        <w:spacing w:after="0" w:line="331" w:lineRule="auto"/>
        <w:rPr>
          <w:sz w:val="20"/>
          <w:szCs w:val="20"/>
          <w:color w:val="auto"/>
        </w:rPr>
      </w:pPr>
      <w:r>
        <w:rPr>
          <w:rFonts w:ascii="Arial" w:cs="Arial" w:eastAsia="Arial" w:hAnsi="Arial"/>
          <w:sz w:val="13"/>
          <w:szCs w:val="13"/>
          <w:color w:val="auto"/>
        </w:rPr>
        <w:t>The Management Report on Internal Control Over Financial Reporting is set forth on page 39 in our Annual Report to Shareholders for the fiscal year ended December 31, 2009 which information is hereby incorporated herein by reference. The Independent Registered Public Accounting Firm’s report with respect to the effectiveness of internal control over financial reporting is included on pages 41 of our Annual Report to Shareholders for the year ended December 31, 2009 which information is hereby incorporated herein by reference.</w:t>
      </w:r>
    </w:p>
    <w:p>
      <w:pPr>
        <w:spacing w:after="0" w:line="140" w:lineRule="exact"/>
        <w:rPr>
          <w:sz w:val="20"/>
          <w:szCs w:val="20"/>
          <w:color w:val="auto"/>
        </w:rPr>
      </w:pPr>
    </w:p>
    <w:p>
      <w:pPr>
        <w:ind w:right="220" w:firstLine="414"/>
        <w:spacing w:after="0" w:line="286" w:lineRule="auto"/>
        <w:rPr>
          <w:sz w:val="20"/>
          <w:szCs w:val="20"/>
          <w:color w:val="auto"/>
        </w:rPr>
      </w:pPr>
      <w:r>
        <w:rPr>
          <w:rFonts w:ascii="Arial" w:cs="Arial" w:eastAsia="Arial" w:hAnsi="Arial"/>
          <w:sz w:val="15"/>
          <w:szCs w:val="15"/>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332" w:right="3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5"/>
          <w:szCs w:val="15"/>
          <w:b w:val="1"/>
          <w:bCs w:val="1"/>
          <w:color w:val="auto"/>
        </w:rPr>
        <w:t>PART III</w:t>
      </w:r>
    </w:p>
    <w:p>
      <w:pPr>
        <w:spacing w:after="0" w:line="21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3"/>
          <w:szCs w:val="13"/>
          <w:b w:val="1"/>
          <w:bCs w:val="1"/>
          <w:color w:val="auto"/>
        </w:rPr>
        <w:t>Directors and Executive Officers of the Registrant</w:t>
      </w:r>
    </w:p>
    <w:p>
      <w:pPr>
        <w:spacing w:after="0" w:line="222" w:lineRule="exact"/>
        <w:rPr>
          <w:sz w:val="20"/>
          <w:szCs w:val="20"/>
          <w:color w:val="auto"/>
        </w:rPr>
      </w:pPr>
    </w:p>
    <w:p>
      <w:pPr>
        <w:ind w:left="780" w:hanging="420"/>
        <w:spacing w:after="0"/>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Executive Officers. Reference is made to “Executive Officers of Manpower” in Part I after Item 4.</w:t>
      </w:r>
    </w:p>
    <w:p>
      <w:pPr>
        <w:spacing w:after="0" w:line="218" w:lineRule="exact"/>
        <w:rPr>
          <w:rFonts w:ascii="Arial" w:cs="Arial" w:eastAsia="Arial" w:hAnsi="Arial"/>
          <w:sz w:val="15"/>
          <w:szCs w:val="15"/>
          <w:color w:val="auto"/>
        </w:rPr>
      </w:pPr>
    </w:p>
    <w:p>
      <w:pPr>
        <w:ind w:left="780" w:right="140" w:hanging="420"/>
        <w:spacing w:after="0" w:line="286"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Directors. The information required by this Item is set forth in our Proxy Statement for the Annual Meeting of Shareholders to be held on April 27, 2010 under the caption “Election of Directors,” which information is hereby incorporated herein by reference.</w:t>
      </w:r>
    </w:p>
    <w:p>
      <w:pPr>
        <w:spacing w:after="0" w:line="163" w:lineRule="exact"/>
        <w:rPr>
          <w:rFonts w:ascii="Arial" w:cs="Arial" w:eastAsia="Arial" w:hAnsi="Arial"/>
          <w:sz w:val="15"/>
          <w:szCs w:val="15"/>
          <w:color w:val="auto"/>
        </w:rPr>
      </w:pPr>
    </w:p>
    <w:p>
      <w:pPr>
        <w:ind w:left="780" w:hanging="420"/>
        <w:spacing w:after="0" w:line="286"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163" w:lineRule="exact"/>
        <w:rPr>
          <w:rFonts w:ascii="Arial" w:cs="Arial" w:eastAsia="Arial" w:hAnsi="Arial"/>
          <w:sz w:val="15"/>
          <w:szCs w:val="15"/>
          <w:color w:val="auto"/>
        </w:rPr>
      </w:pPr>
    </w:p>
    <w:p>
      <w:pPr>
        <w:ind w:left="780" w:right="140" w:hanging="420"/>
        <w:spacing w:after="0" w:line="286"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Audit Committee. The information required by this Item is set forth in our Proxy Statement for the Annual Meeting of Shareholders to be held on April 27, 2010 under the caption “Meetings and Committees of the Board,” which information is hereby incorporated herein by reference.</w:t>
      </w:r>
    </w:p>
    <w:p>
      <w:pPr>
        <w:spacing w:after="0" w:line="163" w:lineRule="exact"/>
        <w:rPr>
          <w:rFonts w:ascii="Arial" w:cs="Arial" w:eastAsia="Arial" w:hAnsi="Arial"/>
          <w:sz w:val="15"/>
          <w:szCs w:val="15"/>
          <w:color w:val="auto"/>
        </w:rPr>
      </w:pPr>
    </w:p>
    <w:p>
      <w:pPr>
        <w:ind w:left="780" w:hanging="420"/>
        <w:spacing w:after="0" w:line="286"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Section 16 Compliance. The information required by this Item is set forth in our Proxy Statement for the Annual Meeting of Shareholders to be held on April 27, 2010 under the caption “Section 16(a) Beneficial Ownership Reporting Compliance,” which information is hereby incorporated herein by reference.</w:t>
      </w:r>
    </w:p>
    <w:p>
      <w:pPr>
        <w:spacing w:after="0" w:line="163" w:lineRule="exact"/>
        <w:rPr>
          <w:rFonts w:ascii="Arial" w:cs="Arial" w:eastAsia="Arial" w:hAnsi="Arial"/>
          <w:sz w:val="15"/>
          <w:szCs w:val="15"/>
          <w:color w:val="auto"/>
        </w:rPr>
      </w:pPr>
    </w:p>
    <w:p>
      <w:pPr>
        <w:ind w:left="780" w:right="160" w:hanging="420"/>
        <w:spacing w:after="0" w:line="286"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222" w:lineRule="exact"/>
        <w:rPr>
          <w:sz w:val="20"/>
          <w:szCs w:val="20"/>
          <w:color w:val="auto"/>
        </w:rPr>
      </w:pPr>
    </w:p>
    <w:p>
      <w:pPr>
        <w:ind w:right="140" w:firstLine="414"/>
        <w:spacing w:after="0" w:line="271" w:lineRule="auto"/>
        <w:rPr>
          <w:sz w:val="20"/>
          <w:szCs w:val="20"/>
          <w:color w:val="auto"/>
        </w:rPr>
      </w:pPr>
      <w:r>
        <w:rPr>
          <w:rFonts w:ascii="Arial" w:cs="Arial" w:eastAsia="Arial" w:hAnsi="Arial"/>
          <w:sz w:val="15"/>
          <w:szCs w:val="15"/>
          <w:color w:val="auto"/>
        </w:rPr>
        <w:t>The information required by this Item is set forth in our Proxy Statement for the Annual Meeting of Shareholders to be held on April 27, 2010,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251" w:right="279" w:bottom="1440" w:gutter="0" w:footer="0" w:header="0"/>
        </w:sectPr>
      </w:pPr>
    </w:p>
    <w:bookmarkStart w:id="25" w:name="page26"/>
    <w:bookmarkEnd w:id="25"/>
    <w:p>
      <w:pPr>
        <w:spacing w:after="0"/>
        <w:tabs>
          <w:tab w:leader="none" w:pos="78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Shareholder Matters</w:t>
      </w:r>
    </w:p>
    <w:p>
      <w:pPr>
        <w:spacing w:after="0" w:line="222" w:lineRule="exact"/>
        <w:rPr>
          <w:sz w:val="20"/>
          <w:szCs w:val="20"/>
          <w:color w:val="auto"/>
        </w:rPr>
      </w:pPr>
    </w:p>
    <w:p>
      <w:pPr>
        <w:ind w:right="540" w:firstLine="414"/>
        <w:spacing w:after="0" w:line="271" w:lineRule="auto"/>
        <w:rPr>
          <w:sz w:val="20"/>
          <w:szCs w:val="20"/>
          <w:color w:val="auto"/>
        </w:rPr>
      </w:pPr>
      <w:r>
        <w:rPr>
          <w:rFonts w:ascii="Arial" w:cs="Arial" w:eastAsia="Arial" w:hAnsi="Arial"/>
          <w:sz w:val="15"/>
          <w:szCs w:val="15"/>
          <w:color w:val="auto"/>
        </w:rPr>
        <w:t>The information required by this Item is set forth in our Proxy Statement for the Annual Meeting of Shareholders to be held on April 27, 2010,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222" w:lineRule="exact"/>
        <w:rPr>
          <w:sz w:val="20"/>
          <w:szCs w:val="20"/>
          <w:color w:val="auto"/>
        </w:rPr>
      </w:pPr>
    </w:p>
    <w:p>
      <w:pPr>
        <w:ind w:right="220" w:firstLine="414"/>
        <w:spacing w:after="0" w:line="286" w:lineRule="auto"/>
        <w:rPr>
          <w:sz w:val="20"/>
          <w:szCs w:val="20"/>
          <w:color w:val="auto"/>
        </w:rPr>
      </w:pPr>
      <w:r>
        <w:rPr>
          <w:rFonts w:ascii="Arial" w:cs="Arial" w:eastAsia="Arial" w:hAnsi="Arial"/>
          <w:sz w:val="15"/>
          <w:szCs w:val="15"/>
          <w:color w:val="auto"/>
        </w:rPr>
        <w:t>The information required by this Item is set forth in our Proxy Statement for the Annual Meeting of Shareholders to be held on April 27, 2010, under the caption “Meetings and Committees of the Board,” which information is hereby incorporated herein by reference.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Accountant Fees and Services</w:t>
      </w:r>
    </w:p>
    <w:p>
      <w:pPr>
        <w:spacing w:after="0" w:line="222" w:lineRule="exact"/>
        <w:rPr>
          <w:sz w:val="20"/>
          <w:szCs w:val="20"/>
          <w:color w:val="auto"/>
        </w:rPr>
      </w:pPr>
    </w:p>
    <w:p>
      <w:pPr>
        <w:ind w:firstLine="414"/>
        <w:spacing w:after="0" w:line="286" w:lineRule="auto"/>
        <w:rPr>
          <w:sz w:val="20"/>
          <w:szCs w:val="20"/>
          <w:color w:val="auto"/>
        </w:rPr>
      </w:pPr>
      <w:r>
        <w:rPr>
          <w:rFonts w:ascii="Arial" w:cs="Arial" w:eastAsia="Arial" w:hAnsi="Arial"/>
          <w:sz w:val="15"/>
          <w:szCs w:val="15"/>
          <w:color w:val="auto"/>
        </w:rPr>
        <w:t>The information required by this Item is set forth in our Proxy Statement for the Annual Meeting of Shareholders to be held on April 27, 2010, under the caption “Audit Committee Report,” which information is hereby incorporated herein by reference.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8"/>
        </w:trPr>
        <w:tc>
          <w:tcPr>
            <w:tcW w:w="540" w:type="dxa"/>
            <w:vAlign w:val="bottom"/>
          </w:tcPr>
          <w:p>
            <w:pPr>
              <w:spacing w:after="0"/>
              <w:rPr>
                <w:sz w:val="17"/>
                <w:szCs w:val="17"/>
                <w:color w:val="auto"/>
              </w:rPr>
            </w:pPr>
          </w:p>
        </w:tc>
        <w:tc>
          <w:tcPr>
            <w:tcW w:w="7660" w:type="dxa"/>
            <w:vAlign w:val="bottom"/>
          </w:tcPr>
          <w:p>
            <w:pPr>
              <w:ind w:left="4860"/>
              <w:spacing w:after="0"/>
              <w:rPr>
                <w:sz w:val="20"/>
                <w:szCs w:val="20"/>
                <w:color w:val="auto"/>
              </w:rPr>
            </w:pPr>
            <w:r>
              <w:rPr>
                <w:rFonts w:ascii="Arial" w:cs="Arial" w:eastAsia="Arial" w:hAnsi="Arial"/>
                <w:sz w:val="15"/>
                <w:szCs w:val="15"/>
                <w:b w:val="1"/>
                <w:bCs w:val="1"/>
                <w:color w:val="auto"/>
              </w:rPr>
              <w:t>PART IV</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540" w:type="dxa"/>
            <w:vAlign w:val="bottom"/>
          </w:tcPr>
          <w:p>
            <w:pPr>
              <w:spacing w:after="0"/>
              <w:rPr>
                <w:sz w:val="20"/>
                <w:szCs w:val="20"/>
                <w:color w:val="auto"/>
              </w:rPr>
            </w:pPr>
            <w:r>
              <w:rPr>
                <w:rFonts w:ascii="Arial" w:cs="Arial" w:eastAsia="Arial" w:hAnsi="Arial"/>
                <w:sz w:val="15"/>
                <w:szCs w:val="15"/>
                <w:b w:val="1"/>
                <w:bCs w:val="1"/>
                <w:color w:val="auto"/>
                <w:w w:val="93"/>
              </w:rPr>
              <w:t>Item 15.</w:t>
            </w:r>
          </w:p>
        </w:tc>
        <w:tc>
          <w:tcPr>
            <w:tcW w:w="7660" w:type="dxa"/>
            <w:vAlign w:val="bottom"/>
          </w:tcPr>
          <w:p>
            <w:pPr>
              <w:ind w:left="260"/>
              <w:spacing w:after="0"/>
              <w:rPr>
                <w:sz w:val="20"/>
                <w:szCs w:val="20"/>
                <w:color w:val="auto"/>
              </w:rPr>
            </w:pPr>
            <w:r>
              <w:rPr>
                <w:rFonts w:ascii="Arial" w:cs="Arial" w:eastAsia="Arial" w:hAnsi="Arial"/>
                <w:sz w:val="15"/>
                <w:szCs w:val="15"/>
                <w:b w:val="1"/>
                <w:bCs w:val="1"/>
                <w:color w:val="auto"/>
              </w:rPr>
              <w:t>Exhibits and Financial Statement Schedules.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0" w:type="dxa"/>
            <w:vAlign w:val="bottom"/>
            <w:gridSpan w:val="2"/>
          </w:tcPr>
          <w:p>
            <w:pPr>
              <w:ind w:left="40"/>
              <w:spacing w:after="0"/>
              <w:rPr>
                <w:sz w:val="20"/>
                <w:szCs w:val="20"/>
                <w:color w:val="auto"/>
              </w:rPr>
            </w:pPr>
            <w:r>
              <w:rPr>
                <w:rFonts w:ascii="Arial" w:cs="Arial" w:eastAsia="Arial" w:hAnsi="Arial"/>
                <w:sz w:val="15"/>
                <w:szCs w:val="15"/>
                <w:color w:val="auto"/>
              </w:rPr>
              <w:t>(a)(1) Financial Statements.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60" w:type="dxa"/>
            <w:vAlign w:val="bottom"/>
          </w:tcPr>
          <w:p>
            <w:pPr>
              <w:jc w:val="center"/>
              <w:ind w:left="923"/>
              <w:spacing w:after="0"/>
              <w:rPr>
                <w:sz w:val="20"/>
                <w:szCs w:val="20"/>
                <w:color w:val="auto"/>
              </w:rPr>
            </w:pPr>
            <w:r>
              <w:rPr>
                <w:rFonts w:ascii="Arial" w:cs="Arial" w:eastAsia="Arial" w:hAnsi="Arial"/>
                <w:sz w:val="15"/>
                <w:szCs w:val="15"/>
                <w:b w:val="1"/>
                <w:bCs w:val="1"/>
                <w:color w:val="auto"/>
                <w:w w:val="92"/>
              </w:rPr>
              <w:t>Page Number(s)</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260" w:type="dxa"/>
            <w:vAlign w:val="bottom"/>
          </w:tcPr>
          <w:p>
            <w:pPr>
              <w:jc w:val="center"/>
              <w:ind w:left="903"/>
              <w:spacing w:after="0"/>
              <w:rPr>
                <w:sz w:val="20"/>
                <w:szCs w:val="20"/>
                <w:color w:val="auto"/>
              </w:rPr>
            </w:pPr>
            <w:r>
              <w:rPr>
                <w:rFonts w:ascii="Arial" w:cs="Arial" w:eastAsia="Arial" w:hAnsi="Arial"/>
                <w:sz w:val="15"/>
                <w:szCs w:val="15"/>
                <w:b w:val="1"/>
                <w:bCs w:val="1"/>
                <w:color w:val="auto"/>
                <w:w w:val="94"/>
              </w:rPr>
              <w:t>in Annual Reportto</w:t>
            </w:r>
          </w:p>
        </w:tc>
        <w:tc>
          <w:tcPr>
            <w:tcW w:w="0" w:type="dxa"/>
            <w:vAlign w:val="bottom"/>
          </w:tcPr>
          <w:p>
            <w:pPr>
              <w:spacing w:after="0"/>
              <w:rPr>
                <w:sz w:val="1"/>
                <w:szCs w:val="1"/>
                <w:color w:val="auto"/>
              </w:rPr>
            </w:pPr>
          </w:p>
        </w:tc>
      </w:tr>
      <w:tr>
        <w:trPr>
          <w:trHeight w:val="198"/>
        </w:trPr>
        <w:tc>
          <w:tcPr>
            <w:tcW w:w="8200" w:type="dxa"/>
            <w:vAlign w:val="bottom"/>
            <w:gridSpan w:val="2"/>
            <w:vMerge w:val="restart"/>
          </w:tcPr>
          <w:p>
            <w:pPr>
              <w:spacing w:after="0"/>
              <w:rPr>
                <w:sz w:val="20"/>
                <w:szCs w:val="20"/>
                <w:color w:val="auto"/>
              </w:rPr>
            </w:pPr>
            <w:r>
              <w:rPr>
                <w:rFonts w:ascii="Arial" w:cs="Arial" w:eastAsia="Arial" w:hAnsi="Arial"/>
                <w:sz w:val="15"/>
                <w:szCs w:val="15"/>
                <w:color w:val="auto"/>
              </w:rPr>
              <w:t>Consolidated Financial Statements (data incorporated by reference from the attached Annual Report to Shareholders):</w:t>
            </w:r>
          </w:p>
        </w:tc>
        <w:tc>
          <w:tcPr>
            <w:tcW w:w="2260" w:type="dxa"/>
            <w:vAlign w:val="bottom"/>
          </w:tcPr>
          <w:p>
            <w:pPr>
              <w:jc w:val="center"/>
              <w:ind w:left="903"/>
              <w:spacing w:after="0"/>
              <w:rPr>
                <w:sz w:val="20"/>
                <w:szCs w:val="20"/>
                <w:color w:val="auto"/>
              </w:rPr>
            </w:pPr>
            <w:r>
              <w:rPr>
                <w:rFonts w:ascii="Arial" w:cs="Arial" w:eastAsia="Arial" w:hAnsi="Arial"/>
                <w:sz w:val="15"/>
                <w:szCs w:val="15"/>
                <w:b w:val="1"/>
                <w:bCs w:val="1"/>
                <w:color w:val="auto"/>
                <w:w w:val="91"/>
              </w:rPr>
              <w:t>Shareholders</w:t>
            </w:r>
          </w:p>
        </w:tc>
        <w:tc>
          <w:tcPr>
            <w:tcW w:w="0" w:type="dxa"/>
            <w:vAlign w:val="bottom"/>
          </w:tcPr>
          <w:p>
            <w:pPr>
              <w:spacing w:after="0"/>
              <w:rPr>
                <w:sz w:val="1"/>
                <w:szCs w:val="1"/>
                <w:color w:val="auto"/>
              </w:rPr>
            </w:pPr>
          </w:p>
        </w:tc>
      </w:tr>
      <w:tr>
        <w:trPr>
          <w:trHeight w:val="184"/>
        </w:trPr>
        <w:tc>
          <w:tcPr>
            <w:tcW w:w="8200" w:type="dxa"/>
            <w:vAlign w:val="bottom"/>
            <w:gridSpan w:val="2"/>
            <w:vMerge w:val="continue"/>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54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5"/>
                <w:szCs w:val="15"/>
                <w:color w:val="auto"/>
              </w:rPr>
              <w:t>Reports of Independent Registered Public Accounting Firm</w:t>
            </w:r>
          </w:p>
        </w:tc>
        <w:tc>
          <w:tcPr>
            <w:tcW w:w="226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Consolidated Statements of Operations for the years ended December 31, 2009, 2008 and 2007</w:t>
            </w:r>
          </w:p>
        </w:tc>
        <w:tc>
          <w:tcPr>
            <w:tcW w:w="226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Consolidated Balance Sheets as of December 31, 2009 and 2008</w:t>
            </w:r>
          </w:p>
        </w:tc>
        <w:tc>
          <w:tcPr>
            <w:tcW w:w="226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Consolidated Statements of Cash Flows for the years ended December 31, 2009, 2008 and 2007</w:t>
            </w:r>
          </w:p>
        </w:tc>
        <w:tc>
          <w:tcPr>
            <w:tcW w:w="226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5"/>
                <w:szCs w:val="15"/>
                <w:color w:val="auto"/>
              </w:rPr>
              <w:t>Consolidated Statements of Shareholders’ Equity for the years ended December 31, 2009, 2008 and 2007</w:t>
            </w:r>
          </w:p>
        </w:tc>
        <w:tc>
          <w:tcPr>
            <w:tcW w:w="22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Notes to Consolidated Financial Statements</w:t>
            </w:r>
          </w:p>
        </w:tc>
        <w:tc>
          <w:tcPr>
            <w:tcW w:w="226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ind w:left="10300"/>
        <w:spacing w:after="0"/>
        <w:rPr>
          <w:sz w:val="20"/>
          <w:szCs w:val="20"/>
          <w:color w:val="auto"/>
        </w:rPr>
      </w:pPr>
      <w:r>
        <w:rPr>
          <w:rFonts w:ascii="Arial" w:cs="Arial" w:eastAsia="Arial" w:hAnsi="Arial"/>
          <w:sz w:val="15"/>
          <w:szCs w:val="15"/>
          <w:color w:val="auto"/>
        </w:rPr>
        <w:t>75</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(a)(2) Financial Statement Schedule.</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Report of Independent Registered Public Accounting Firm on Financial Statement Schedule</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SCHEDULE II—Valuation and Qualifying Accounts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(a)(3) Exhibits.</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See (c) below.</w:t>
      </w:r>
    </w:p>
    <w:p>
      <w:pPr>
        <w:spacing w:after="0" w:line="218" w:lineRule="exact"/>
        <w:rPr>
          <w:sz w:val="20"/>
          <w:szCs w:val="20"/>
          <w:color w:val="auto"/>
        </w:rPr>
      </w:pPr>
    </w:p>
    <w:p>
      <w:pPr>
        <w:ind w:firstLine="605"/>
        <w:spacing w:after="0" w:line="323" w:lineRule="auto"/>
        <w:rPr>
          <w:sz w:val="20"/>
          <w:szCs w:val="20"/>
          <w:color w:val="auto"/>
        </w:rPr>
      </w:pPr>
      <w:r>
        <w:rPr>
          <w:rFonts w:ascii="Arial" w:cs="Arial" w:eastAsia="Arial" w:hAnsi="Arial"/>
          <w:sz w:val="14"/>
          <w:szCs w:val="14"/>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251" w:right="319" w:bottom="1440" w:gutter="0" w:footer="0" w:header="0"/>
        </w:sectPr>
      </w:pPr>
    </w:p>
    <w:bookmarkStart w:id="27" w:name="page28"/>
    <w:bookmarkEnd w:id="27"/>
    <w:p>
      <w:pPr>
        <w:ind w:left="740"/>
        <w:spacing w:after="0"/>
        <w:rPr>
          <w:sz w:val="20"/>
          <w:szCs w:val="20"/>
          <w:color w:val="auto"/>
        </w:rPr>
      </w:pPr>
      <w:r>
        <w:rPr>
          <w:rFonts w:ascii="Arial" w:cs="Arial" w:eastAsia="Arial" w:hAnsi="Arial"/>
          <w:sz w:val="15"/>
          <w:szCs w:val="15"/>
          <w:color w:val="auto"/>
        </w:rPr>
        <w:t>(c) Exhibits.</w:t>
      </w:r>
    </w:p>
    <w:p>
      <w:pPr>
        <w:spacing w:after="0" w:line="195"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4"/>
          <w:szCs w:val="14"/>
          <w:color w:val="auto"/>
        </w:rPr>
        <w:t>Articles of Incorporation of Manpower Inc. incorporated by reference to Annex C of the Prospectus, which is contained in Amendment No. 1 to Form S-4 (Registration No. 33-</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38684).</w:t>
      </w:r>
    </w:p>
    <w:p>
      <w:pPr>
        <w:spacing w:after="0" w:line="185" w:lineRule="exact"/>
        <w:rPr>
          <w:sz w:val="20"/>
          <w:szCs w:val="20"/>
          <w:color w:val="auto"/>
        </w:rPr>
      </w:pPr>
    </w:p>
    <w:p>
      <w:pPr>
        <w:ind w:left="640" w:right="20" w:hanging="566"/>
        <w:spacing w:after="0" w:line="286" w:lineRule="auto"/>
        <w:tabs>
          <w:tab w:leader="none" w:pos="62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Amendment of Amended and Restated Articles of Incorporation of Manpower Inc., incorporated by reference to the Company’s Quarterly Report on Form 10-Q for the quarter ended June 30, 2001.</w:t>
      </w:r>
    </w:p>
    <w:p>
      <w:pPr>
        <w:spacing w:after="0" w:line="14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color w:val="auto"/>
        </w:rPr>
        <w:t>Amended and Restated By-laws of Manpower Inc., incorporated by reference to the Company’s Current Report on Form 8-K dated April 28, 2009.</w:t>
      </w:r>
    </w:p>
    <w:p>
      <w:pPr>
        <w:spacing w:after="0" w:line="195" w:lineRule="exact"/>
        <w:rPr>
          <w:sz w:val="20"/>
          <w:szCs w:val="20"/>
          <w:color w:val="auto"/>
        </w:rPr>
      </w:pPr>
    </w:p>
    <w:p>
      <w:pPr>
        <w:ind w:left="640" w:right="20" w:hanging="566"/>
        <w:spacing w:after="0" w:line="271" w:lineRule="auto"/>
        <w:tabs>
          <w:tab w:leader="none" w:pos="62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5"/>
          <w:szCs w:val="15"/>
          <w:color w:val="auto"/>
        </w:rPr>
        <w:t>Fiscal and Paying Agency Agreement between Manpower Inc. and Citibank, N.A. as Fiscal Agent, Principal Paying Agent, Registrar and Transfer Agent and Citibank International PLC as Irish Paying Agent, dated as of June 1, 2005 (including the forms of Rule 144A Global Note and Regulation S Global Note, attached thereto as Exhibits A and B, respectively), incorporated by reference to the Company’s Quarterly Report on Form 10-Q for the quarter ended June 30, 2005.</w:t>
      </w:r>
    </w:p>
    <w:p>
      <w:pPr>
        <w:spacing w:after="0" w:line="151" w:lineRule="exact"/>
        <w:rPr>
          <w:sz w:val="20"/>
          <w:szCs w:val="20"/>
          <w:color w:val="auto"/>
        </w:rPr>
      </w:pPr>
    </w:p>
    <w:p>
      <w:pPr>
        <w:ind w:left="640" w:right="240" w:hanging="566"/>
        <w:spacing w:after="0" w:line="271" w:lineRule="auto"/>
        <w:tabs>
          <w:tab w:leader="none" w:pos="62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Fiscal and Paying Agency Agreement between Manpower Inc. and Citibank, N.A. as Fiscal Agent, Principal Paying Agent, Registrar and Transfer Agent and Citibank International PLC as Irish Paying Agent, dated as of June 14, 2006 (including the form of Note attached thereto as Schedule 1), incorporated by reference to the Company’s Quarterly Report on Form 10-Q for the quarter ended June 30, 2006.</w:t>
      </w:r>
    </w:p>
    <w:p>
      <w:pPr>
        <w:spacing w:after="0" w:line="151" w:lineRule="exact"/>
        <w:rPr>
          <w:sz w:val="20"/>
          <w:szCs w:val="20"/>
          <w:color w:val="auto"/>
        </w:rPr>
      </w:pPr>
    </w:p>
    <w:p>
      <w:pPr>
        <w:ind w:left="640" w:right="140" w:hanging="642"/>
        <w:spacing w:after="0" w:line="286" w:lineRule="auto"/>
        <w:tabs>
          <w:tab w:leader="none" w:pos="6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Amended and Restated Manpower Inc. Senior Management Performance-Based Deferred Compensation Plan, incorporated by reference to the Company’s Annual Report on Form 10-K for the year ended December 31, 2005. **</w:t>
      </w:r>
    </w:p>
    <w:p>
      <w:pPr>
        <w:spacing w:after="0" w:line="140" w:lineRule="exact"/>
        <w:rPr>
          <w:sz w:val="20"/>
          <w:szCs w:val="20"/>
          <w:color w:val="auto"/>
        </w:rPr>
      </w:pPr>
    </w:p>
    <w:p>
      <w:pPr>
        <w:ind w:left="640" w:right="280" w:hanging="642"/>
        <w:spacing w:after="0" w:line="286" w:lineRule="auto"/>
        <w:tabs>
          <w:tab w:leader="none" w:pos="620" w:val="left"/>
        </w:tabs>
        <w:rPr>
          <w:sz w:val="20"/>
          <w:szCs w:val="20"/>
          <w:color w:val="auto"/>
        </w:rPr>
      </w:pPr>
      <w:r>
        <w:rPr>
          <w:rFonts w:ascii="Arial" w:cs="Arial" w:eastAsia="Arial" w:hAnsi="Arial"/>
          <w:sz w:val="15"/>
          <w:szCs w:val="15"/>
          <w:color w:val="auto"/>
        </w:rPr>
        <w:t>10.2(a)</w:t>
        <w:tab/>
        <w:t>Five-Year Credit Agreement dated as of October 8, 2004 among Manpower Inc., the initial lenders named therein, Citibank N.A., Wachovia Bank, BNP Paribas, Bank One N.A., and The Royal Bank of Scotland, incorporated by reference to the Company’s Current Report on Form 8-K dated October 14, 2004.</w:t>
      </w:r>
    </w:p>
    <w:p>
      <w:pPr>
        <w:spacing w:after="0" w:line="140" w:lineRule="exact"/>
        <w:rPr>
          <w:sz w:val="20"/>
          <w:szCs w:val="20"/>
          <w:color w:val="auto"/>
        </w:rPr>
      </w:pPr>
    </w:p>
    <w:p>
      <w:pPr>
        <w:ind w:left="640" w:right="300" w:hanging="642"/>
        <w:spacing w:after="0" w:line="286" w:lineRule="auto"/>
        <w:tabs>
          <w:tab w:leader="none" w:pos="620" w:val="left"/>
        </w:tabs>
        <w:rPr>
          <w:sz w:val="20"/>
          <w:szCs w:val="20"/>
          <w:color w:val="auto"/>
        </w:rPr>
      </w:pPr>
      <w:r>
        <w:rPr>
          <w:rFonts w:ascii="Arial" w:cs="Arial" w:eastAsia="Arial" w:hAnsi="Arial"/>
          <w:sz w:val="15"/>
          <w:szCs w:val="15"/>
          <w:color w:val="auto"/>
        </w:rPr>
        <w:t>10.2(b)</w:t>
        <w:tab/>
        <w:t>Amendment to Five-Year Credit Agreement dated as of March 14, 2005, incorporated by reference to the Company’s Quarterly Report on Form 10-Q for the quarter ended March 31, 2005.</w:t>
      </w:r>
    </w:p>
    <w:p>
      <w:pPr>
        <w:spacing w:after="0" w:line="140" w:lineRule="exact"/>
        <w:rPr>
          <w:sz w:val="20"/>
          <w:szCs w:val="20"/>
          <w:color w:val="auto"/>
        </w:rPr>
      </w:pPr>
    </w:p>
    <w:p>
      <w:pPr>
        <w:ind w:left="640" w:right="200" w:hanging="642"/>
        <w:spacing w:after="0" w:line="286" w:lineRule="auto"/>
        <w:tabs>
          <w:tab w:leader="none" w:pos="620" w:val="left"/>
        </w:tabs>
        <w:rPr>
          <w:sz w:val="20"/>
          <w:szCs w:val="20"/>
          <w:color w:val="auto"/>
        </w:rPr>
      </w:pPr>
      <w:r>
        <w:rPr>
          <w:rFonts w:ascii="Arial" w:cs="Arial" w:eastAsia="Arial" w:hAnsi="Arial"/>
          <w:sz w:val="15"/>
          <w:szCs w:val="15"/>
          <w:color w:val="auto"/>
        </w:rPr>
        <w:t>10.2(c)</w:t>
        <w:tab/>
        <w:t>Amendment No. 2 to the Credit Agreement dated as of January 10, 2006, incorporated by reference to the Company’s Annual Report on Form 10-K for the fiscal year ended December 31, 2005.</w:t>
      </w:r>
    </w:p>
    <w:p>
      <w:pPr>
        <w:spacing w:after="0" w:line="140" w:lineRule="exact"/>
        <w:rPr>
          <w:sz w:val="20"/>
          <w:szCs w:val="20"/>
          <w:color w:val="auto"/>
        </w:rPr>
      </w:pPr>
    </w:p>
    <w:p>
      <w:pPr>
        <w:ind w:left="640" w:right="20" w:hanging="642"/>
        <w:spacing w:after="0" w:line="286" w:lineRule="auto"/>
        <w:tabs>
          <w:tab w:leader="none" w:pos="620" w:val="left"/>
        </w:tabs>
        <w:rPr>
          <w:sz w:val="20"/>
          <w:szCs w:val="20"/>
          <w:color w:val="auto"/>
        </w:rPr>
      </w:pPr>
      <w:r>
        <w:rPr>
          <w:rFonts w:ascii="Arial" w:cs="Arial" w:eastAsia="Arial" w:hAnsi="Arial"/>
          <w:sz w:val="15"/>
          <w:szCs w:val="15"/>
          <w:color w:val="auto"/>
        </w:rPr>
        <w:t>10.2(d)</w:t>
        <w:tab/>
        <w:t>Amendment No. 3 to the Credit Agreement dated as of November 16, 2007, incorporated by reference to the Company’s Annual Report on Form 10-K for the fiscal year ended December 31, 2007.</w:t>
      </w:r>
    </w:p>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10.2(e)</w:t>
      </w:r>
      <w:r>
        <w:rPr>
          <w:sz w:val="20"/>
          <w:szCs w:val="20"/>
          <w:color w:val="auto"/>
        </w:rPr>
        <w:tab/>
      </w:r>
      <w:r>
        <w:rPr>
          <w:rFonts w:ascii="Arial" w:cs="Arial" w:eastAsia="Arial" w:hAnsi="Arial"/>
          <w:sz w:val="13"/>
          <w:szCs w:val="13"/>
          <w:color w:val="auto"/>
        </w:rPr>
        <w:t>Amendment No. 4 to the Credit Agreement dated as of October 16, 2009, incorporated by reference to the Company’s Current Report on Form 8-K dated October 16, 2009.</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3"/>
          <w:szCs w:val="13"/>
          <w:color w:val="auto"/>
        </w:rPr>
        <w:t>Amended and Restated Manpower 1991 Executive Stock Option and Restricted Stock Plan, incorporated by reference to Form 10-Q of Manpower Inc. dated September 30,</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1996. **</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3"/>
          <w:szCs w:val="13"/>
          <w:color w:val="auto"/>
        </w:rPr>
        <w:t>Manpower Savings Related Share Option Scheme, incorporated by reference to Amendment No. 1 to the Company’s Registration Statement on Form S-4 (Registration No. 33-</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38684). **</w:t>
      </w:r>
    </w:p>
    <w:p>
      <w:pPr>
        <w:spacing w:after="0" w:line="185" w:lineRule="exact"/>
        <w:rPr>
          <w:sz w:val="20"/>
          <w:szCs w:val="20"/>
          <w:color w:val="auto"/>
        </w:rPr>
      </w:pPr>
    </w:p>
    <w:p>
      <w:pPr>
        <w:ind w:left="640" w:hanging="642"/>
        <w:spacing w:after="0" w:line="286" w:lineRule="auto"/>
        <w:tabs>
          <w:tab w:leader="none" w:pos="620" w:val="left"/>
        </w:tabs>
        <w:rPr>
          <w:sz w:val="20"/>
          <w:szCs w:val="20"/>
          <w:color w:val="auto"/>
        </w:rPr>
      </w:pPr>
      <w:r>
        <w:rPr>
          <w:rFonts w:ascii="Arial" w:cs="Arial" w:eastAsia="Arial" w:hAnsi="Arial"/>
          <w:sz w:val="15"/>
          <w:szCs w:val="15"/>
          <w:color w:val="auto"/>
        </w:rPr>
        <w:t>10.5</w:t>
      </w:r>
      <w:r>
        <w:rPr>
          <w:sz w:val="20"/>
          <w:szCs w:val="20"/>
          <w:color w:val="auto"/>
        </w:rPr>
        <w:tab/>
      </w:r>
      <w:r>
        <w:rPr>
          <w:rFonts w:ascii="Arial" w:cs="Arial" w:eastAsia="Arial" w:hAnsi="Arial"/>
          <w:sz w:val="15"/>
          <w:szCs w:val="15"/>
          <w:color w:val="auto"/>
        </w:rPr>
        <w:t>Manpower 1990 Employee Stock Purchase Plan (Amended and Restated effective April 26, 2005), incorporated by reference to the Company’s Quarterly Report on Form 10-Q for the quarter ended March 31, 2005.</w:t>
      </w:r>
    </w:p>
    <w:p>
      <w:pPr>
        <w:spacing w:after="0" w:line="140" w:lineRule="exact"/>
        <w:rPr>
          <w:sz w:val="20"/>
          <w:szCs w:val="20"/>
          <w:color w:val="auto"/>
        </w:rPr>
      </w:pPr>
    </w:p>
    <w:p>
      <w:pPr>
        <w:ind w:left="640" w:right="20" w:hanging="642"/>
        <w:spacing w:after="0" w:line="286" w:lineRule="auto"/>
        <w:tabs>
          <w:tab w:leader="none" w:pos="62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5"/>
          <w:szCs w:val="15"/>
          <w:color w:val="auto"/>
        </w:rPr>
        <w:t>Manpower Retirement Plan, as amended and restated effective as of March 1, 1989, incorporated by reference to Form 10-K of Manpower PLC, SEC File No. 0-9890, filed for the fiscal year ended October 31, 1989. **</w:t>
      </w:r>
    </w:p>
    <w:p>
      <w:pPr>
        <w:spacing w:after="0" w:line="140" w:lineRule="exact"/>
        <w:rPr>
          <w:sz w:val="20"/>
          <w:szCs w:val="20"/>
          <w:color w:val="auto"/>
        </w:rPr>
      </w:pPr>
    </w:p>
    <w:p>
      <w:pPr>
        <w:ind w:left="640" w:right="300" w:hanging="642"/>
        <w:spacing w:after="0" w:line="286" w:lineRule="auto"/>
        <w:tabs>
          <w:tab w:leader="none" w:pos="620" w:val="left"/>
        </w:tabs>
        <w:rPr>
          <w:sz w:val="20"/>
          <w:szCs w:val="20"/>
          <w:color w:val="auto"/>
        </w:rPr>
      </w:pPr>
      <w:r>
        <w:rPr>
          <w:rFonts w:ascii="Arial" w:cs="Arial" w:eastAsia="Arial" w:hAnsi="Arial"/>
          <w:sz w:val="15"/>
          <w:szCs w:val="15"/>
          <w:color w:val="auto"/>
        </w:rPr>
        <w:t>10.7</w:t>
      </w:r>
      <w:r>
        <w:rPr>
          <w:sz w:val="20"/>
          <w:szCs w:val="20"/>
          <w:color w:val="auto"/>
        </w:rPr>
        <w:tab/>
      </w:r>
      <w:r>
        <w:rPr>
          <w:rFonts w:ascii="Arial" w:cs="Arial" w:eastAsia="Arial" w:hAnsi="Arial"/>
          <w:sz w:val="15"/>
          <w:szCs w:val="15"/>
          <w:color w:val="auto"/>
        </w:rPr>
        <w:t>1994 Executive Stock Option and Restricted Stock Plan of Manpower Inc. (Amended and Restated October 29, 2002), incorporated by reference to the Company’s Annual Report on Form 10-K for the fiscal year ended December 31, 2002. **</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Arial" w:cs="Arial" w:eastAsia="Arial" w:hAnsi="Arial"/>
                <w:sz w:val="15"/>
                <w:szCs w:val="15"/>
                <w:color w:val="auto"/>
              </w:rPr>
              <w:t>10.8</w:t>
            </w:r>
          </w:p>
        </w:tc>
        <w:tc>
          <w:tcPr>
            <w:tcW w:w="10840" w:type="dxa"/>
            <w:vAlign w:val="bottom"/>
          </w:tcPr>
          <w:p>
            <w:pPr>
              <w:ind w:left="80"/>
              <w:spacing w:after="0"/>
              <w:rPr>
                <w:sz w:val="20"/>
                <w:szCs w:val="20"/>
                <w:color w:val="auto"/>
              </w:rPr>
            </w:pPr>
            <w:r>
              <w:rPr>
                <w:rFonts w:ascii="Arial" w:cs="Arial" w:eastAsia="Arial" w:hAnsi="Arial"/>
                <w:sz w:val="15"/>
                <w:szCs w:val="15"/>
                <w:color w:val="auto"/>
                <w:w w:val="94"/>
              </w:rPr>
              <w:t>Manpower Inc. 2007 Corporate Senior Management Incentive Plan dated as of May 2, 2007, incorporated by reference to the Company’s Current Report on Form 8-K dated</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May 2,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10.9(a)</w:t>
            </w:r>
          </w:p>
        </w:tc>
        <w:tc>
          <w:tcPr>
            <w:tcW w:w="10840" w:type="dxa"/>
            <w:vAlign w:val="bottom"/>
          </w:tcPr>
          <w:p>
            <w:pPr>
              <w:ind w:left="80"/>
              <w:spacing w:after="0"/>
              <w:rPr>
                <w:sz w:val="20"/>
                <w:szCs w:val="20"/>
                <w:color w:val="auto"/>
              </w:rPr>
            </w:pPr>
            <w:r>
              <w:rPr>
                <w:rFonts w:ascii="Arial" w:cs="Arial" w:eastAsia="Arial" w:hAnsi="Arial"/>
                <w:sz w:val="15"/>
                <w:szCs w:val="15"/>
                <w:color w:val="auto"/>
                <w:w w:val="94"/>
              </w:rPr>
              <w:t>Employment Agreement between Jeffrey A. Joerres and Manpower Inc. dated as of February 20, 2008, incorporated by reference to the Company’s Annual Report on Form</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10-K for the fiscal 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10.9(b)</w:t>
            </w:r>
          </w:p>
        </w:tc>
        <w:tc>
          <w:tcPr>
            <w:tcW w:w="10840" w:type="dxa"/>
            <w:vAlign w:val="bottom"/>
          </w:tcPr>
          <w:p>
            <w:pPr>
              <w:ind w:left="80"/>
              <w:spacing w:after="0"/>
              <w:rPr>
                <w:sz w:val="20"/>
                <w:szCs w:val="20"/>
                <w:color w:val="auto"/>
              </w:rPr>
            </w:pPr>
            <w:r>
              <w:rPr>
                <w:rFonts w:ascii="Arial" w:cs="Arial" w:eastAsia="Arial" w:hAnsi="Arial"/>
                <w:sz w:val="15"/>
                <w:szCs w:val="15"/>
                <w:color w:val="auto"/>
                <w:w w:val="92"/>
              </w:rPr>
              <w:t>Severance Agreement between Jeffrey A. Joerres and Manpower Inc. dated as of February 20, 2008, incorporated by reference to the Company’s Annual Report on Form 10-K</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for the fiscal 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10.10(a)</w:t>
            </w:r>
          </w:p>
        </w:tc>
        <w:tc>
          <w:tcPr>
            <w:tcW w:w="10840" w:type="dxa"/>
            <w:vAlign w:val="bottom"/>
          </w:tcPr>
          <w:p>
            <w:pPr>
              <w:ind w:left="80"/>
              <w:spacing w:after="0"/>
              <w:rPr>
                <w:sz w:val="20"/>
                <w:szCs w:val="20"/>
                <w:color w:val="auto"/>
              </w:rPr>
            </w:pPr>
            <w:r>
              <w:rPr>
                <w:rFonts w:ascii="Arial" w:cs="Arial" w:eastAsia="Arial" w:hAnsi="Arial"/>
                <w:sz w:val="15"/>
                <w:szCs w:val="15"/>
                <w:color w:val="auto"/>
                <w:w w:val="94"/>
              </w:rPr>
              <w:t>Employment Agreement between Michael J. Van Handel and Manpower Inc. dated as of February 20, 2008, incorporated by reference to the Company’s Annual Report on</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Form 10-K for the fiscal 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10.10(b)</w:t>
            </w:r>
          </w:p>
        </w:tc>
        <w:tc>
          <w:tcPr>
            <w:tcW w:w="10840" w:type="dxa"/>
            <w:vAlign w:val="bottom"/>
          </w:tcPr>
          <w:p>
            <w:pPr>
              <w:ind w:left="80"/>
              <w:spacing w:after="0"/>
              <w:rPr>
                <w:sz w:val="20"/>
                <w:szCs w:val="20"/>
                <w:color w:val="auto"/>
              </w:rPr>
            </w:pPr>
            <w:r>
              <w:rPr>
                <w:rFonts w:ascii="Arial" w:cs="Arial" w:eastAsia="Arial" w:hAnsi="Arial"/>
                <w:sz w:val="15"/>
                <w:szCs w:val="15"/>
                <w:color w:val="auto"/>
                <w:w w:val="92"/>
              </w:rPr>
              <w:t>Severance Agreement between Michael J. Van Handel and Manpower Inc. dated as of February 20, 2008, incorporated by reference to the Company’s Annual Report on Form</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10-K for the fiscal 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10.11(a)</w:t>
            </w:r>
          </w:p>
        </w:tc>
        <w:tc>
          <w:tcPr>
            <w:tcW w:w="10840" w:type="dxa"/>
            <w:vAlign w:val="bottom"/>
          </w:tcPr>
          <w:p>
            <w:pPr>
              <w:ind w:left="80"/>
              <w:spacing w:after="0"/>
              <w:rPr>
                <w:sz w:val="20"/>
                <w:szCs w:val="20"/>
                <w:color w:val="auto"/>
              </w:rPr>
            </w:pPr>
            <w:r>
              <w:rPr>
                <w:rFonts w:ascii="Arial" w:cs="Arial" w:eastAsia="Arial" w:hAnsi="Arial"/>
                <w:sz w:val="15"/>
                <w:szCs w:val="15"/>
                <w:color w:val="auto"/>
                <w:w w:val="96"/>
              </w:rPr>
              <w:t>Assignment Agreement by and among Manpower Inc., Manpower Holdings Limited and Barbara Beck dated as of December 20, 2005, incorporated by reference to the</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Company’s Current Report on Form 8-K dated December 20, 2005. **</w:t>
            </w:r>
          </w:p>
        </w:tc>
        <w:tc>
          <w:tcPr>
            <w:tcW w:w="0" w:type="dxa"/>
            <w:vAlign w:val="bottom"/>
          </w:tcPr>
          <w:p>
            <w:pPr>
              <w:spacing w:after="0"/>
              <w:rPr>
                <w:sz w:val="1"/>
                <w:szCs w:val="1"/>
                <w:color w:val="auto"/>
              </w:rPr>
            </w:pPr>
          </w:p>
        </w:tc>
      </w:tr>
      <w:tr>
        <w:trPr>
          <w:trHeight w:val="357"/>
        </w:trPr>
        <w:tc>
          <w:tcPr>
            <w:tcW w:w="600" w:type="dxa"/>
            <w:vAlign w:val="bottom"/>
            <w:vMerge w:val="restart"/>
          </w:tcPr>
          <w:p>
            <w:pPr>
              <w:spacing w:after="0"/>
              <w:rPr>
                <w:sz w:val="20"/>
                <w:szCs w:val="20"/>
                <w:color w:val="auto"/>
              </w:rPr>
            </w:pPr>
            <w:r>
              <w:rPr>
                <w:rFonts w:ascii="Arial" w:cs="Arial" w:eastAsia="Arial" w:hAnsi="Arial"/>
                <w:sz w:val="15"/>
                <w:szCs w:val="15"/>
                <w:color w:val="auto"/>
              </w:rPr>
              <w:t>10.11(b)</w:t>
            </w:r>
          </w:p>
        </w:tc>
        <w:tc>
          <w:tcPr>
            <w:tcW w:w="10840" w:type="dxa"/>
            <w:vAlign w:val="bottom"/>
          </w:tcPr>
          <w:p>
            <w:pPr>
              <w:ind w:left="80"/>
              <w:spacing w:after="0"/>
              <w:rPr>
                <w:sz w:val="20"/>
                <w:szCs w:val="20"/>
                <w:color w:val="auto"/>
              </w:rPr>
            </w:pPr>
            <w:r>
              <w:rPr>
                <w:rFonts w:ascii="Arial" w:cs="Arial" w:eastAsia="Arial" w:hAnsi="Arial"/>
                <w:sz w:val="15"/>
                <w:szCs w:val="15"/>
                <w:color w:val="auto"/>
                <w:w w:val="97"/>
              </w:rPr>
              <w:t>Letter Agreement by and among Manpower Inc., Manpower Holdings Limited and Barbara Beck dated as of April 1, 2008, incorporated by reference to the Company’s</w:t>
            </w:r>
          </w:p>
        </w:tc>
        <w:tc>
          <w:tcPr>
            <w:tcW w:w="0" w:type="dxa"/>
            <w:vAlign w:val="bottom"/>
          </w:tcPr>
          <w:p>
            <w:pPr>
              <w:spacing w:after="0"/>
              <w:rPr>
                <w:sz w:val="1"/>
                <w:szCs w:val="1"/>
                <w:color w:val="auto"/>
              </w:rPr>
            </w:pPr>
          </w:p>
        </w:tc>
      </w:tr>
      <w:tr>
        <w:trPr>
          <w:trHeight w:val="103"/>
        </w:trPr>
        <w:tc>
          <w:tcPr>
            <w:tcW w:w="600" w:type="dxa"/>
            <w:vAlign w:val="bottom"/>
            <w:vMerge w:val="continue"/>
          </w:tcPr>
          <w:p>
            <w:pPr>
              <w:spacing w:after="0"/>
              <w:rPr>
                <w:sz w:val="8"/>
                <w:szCs w:val="8"/>
                <w:color w:val="auto"/>
              </w:rPr>
            </w:pPr>
          </w:p>
        </w:tc>
        <w:tc>
          <w:tcPr>
            <w:tcW w:w="10840" w:type="dxa"/>
            <w:vAlign w:val="bottom"/>
            <w:vMerge w:val="restart"/>
          </w:tcPr>
          <w:p>
            <w:pPr>
              <w:ind w:left="80"/>
              <w:spacing w:after="0"/>
              <w:rPr>
                <w:sz w:val="20"/>
                <w:szCs w:val="20"/>
                <w:color w:val="auto"/>
              </w:rPr>
            </w:pPr>
            <w:r>
              <w:rPr>
                <w:rFonts w:ascii="Arial" w:cs="Arial" w:eastAsia="Arial" w:hAnsi="Arial"/>
                <w:sz w:val="15"/>
                <w:szCs w:val="15"/>
                <w:color w:val="auto"/>
              </w:rPr>
              <w:t>Annual Report on Form 10-K for the fiscal year ended December 31, 2008. **</w:t>
            </w:r>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10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10.12(a)</w:t>
            </w:r>
          </w:p>
        </w:tc>
        <w:tc>
          <w:tcPr>
            <w:tcW w:w="10840" w:type="dxa"/>
            <w:vAlign w:val="bottom"/>
          </w:tcPr>
          <w:p>
            <w:pPr>
              <w:ind w:left="80"/>
              <w:spacing w:after="0"/>
              <w:rPr>
                <w:sz w:val="20"/>
                <w:szCs w:val="20"/>
                <w:color w:val="auto"/>
              </w:rPr>
            </w:pPr>
            <w:r>
              <w:rPr>
                <w:rFonts w:ascii="Arial" w:cs="Arial" w:eastAsia="Arial" w:hAnsi="Arial"/>
                <w:sz w:val="15"/>
                <w:szCs w:val="15"/>
                <w:color w:val="auto"/>
                <w:w w:val="92"/>
              </w:rPr>
              <w:t>Amended and Restated Assignment Agreement by and among Manpower Inc. and Jonas Prising dated as of December 29, 2008, incorporated by reference to the Company’s</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Current Report on Form 8-K dated December 29, 2008.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10.12(b)</w:t>
            </w:r>
          </w:p>
        </w:tc>
        <w:tc>
          <w:tcPr>
            <w:tcW w:w="10840" w:type="dxa"/>
            <w:vAlign w:val="bottom"/>
          </w:tcPr>
          <w:p>
            <w:pPr>
              <w:ind w:left="80"/>
              <w:spacing w:after="0"/>
              <w:rPr>
                <w:sz w:val="20"/>
                <w:szCs w:val="20"/>
                <w:color w:val="auto"/>
              </w:rPr>
            </w:pPr>
            <w:r>
              <w:rPr>
                <w:rFonts w:ascii="Arial" w:cs="Arial" w:eastAsia="Arial" w:hAnsi="Arial"/>
                <w:sz w:val="15"/>
                <w:szCs w:val="15"/>
                <w:color w:val="auto"/>
                <w:w w:val="93"/>
              </w:rPr>
              <w:t>Employment Agreement between Francoise Gri and Manpower Inc. dated as of February 15, 2007, incorporated by reference to the Company’s Annual Report on Form 10-K</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for the fiscal 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10.12(c)</w:t>
            </w:r>
          </w:p>
        </w:tc>
        <w:tc>
          <w:tcPr>
            <w:tcW w:w="10840" w:type="dxa"/>
            <w:vAlign w:val="bottom"/>
          </w:tcPr>
          <w:p>
            <w:pPr>
              <w:ind w:left="80"/>
              <w:spacing w:after="0"/>
              <w:rPr>
                <w:sz w:val="20"/>
                <w:szCs w:val="20"/>
                <w:color w:val="auto"/>
              </w:rPr>
            </w:pPr>
            <w:r>
              <w:rPr>
                <w:rFonts w:ascii="Arial" w:cs="Arial" w:eastAsia="Arial" w:hAnsi="Arial"/>
                <w:sz w:val="15"/>
                <w:szCs w:val="15"/>
                <w:color w:val="auto"/>
                <w:w w:val="93"/>
              </w:rPr>
              <w:t>Letter Agreement between Darryl Green and Manpower Inc. dated as of April 4, 2007, incorporated by reference to the Company’s Annual Report on Form 10-K for the fiscal</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10.13(a)</w:t>
            </w:r>
          </w:p>
        </w:tc>
        <w:tc>
          <w:tcPr>
            <w:tcW w:w="10840" w:type="dxa"/>
            <w:vAlign w:val="bottom"/>
          </w:tcPr>
          <w:p>
            <w:pPr>
              <w:ind w:left="80"/>
              <w:spacing w:after="0"/>
              <w:rPr>
                <w:sz w:val="20"/>
                <w:szCs w:val="20"/>
                <w:color w:val="auto"/>
              </w:rPr>
            </w:pPr>
            <w:r>
              <w:rPr>
                <w:rFonts w:ascii="Arial" w:cs="Arial" w:eastAsia="Arial" w:hAnsi="Arial"/>
                <w:sz w:val="15"/>
                <w:szCs w:val="15"/>
                <w:color w:val="auto"/>
                <w:w w:val="94"/>
              </w:rPr>
              <w:t>Terms and Conditions Regarding the Grant of Awards to Non-Employee Directors under the 2003 Equity Incentive Plan of Manpower Inc. (Amended and Restated Effective</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January 1, 2006), incorporated by reference to the Company’s Current Report on Form 8-K dated December 19, 2005.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10.13(b)</w:t>
            </w:r>
          </w:p>
        </w:tc>
        <w:tc>
          <w:tcPr>
            <w:tcW w:w="10840" w:type="dxa"/>
            <w:vAlign w:val="bottom"/>
          </w:tcPr>
          <w:p>
            <w:pPr>
              <w:ind w:left="80"/>
              <w:spacing w:after="0"/>
              <w:rPr>
                <w:sz w:val="20"/>
                <w:szCs w:val="20"/>
                <w:color w:val="auto"/>
              </w:rPr>
            </w:pPr>
            <w:r>
              <w:rPr>
                <w:rFonts w:ascii="Arial" w:cs="Arial" w:eastAsia="Arial" w:hAnsi="Arial"/>
                <w:sz w:val="15"/>
                <w:szCs w:val="15"/>
                <w:color w:val="auto"/>
                <w:w w:val="94"/>
              </w:rPr>
              <w:t>Terms and Conditions Regarding the Grant of Awards to Non-Employee Directors under the 2003 Equity Incentive Plan of Manpower Inc. (Amended and Restated Effective</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January 1, 2008), incorporated by reference to the Company’s Annual Report on Form 10-K for the fiscal year ended December 31, 2007.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10.13(c)</w:t>
            </w:r>
          </w:p>
        </w:tc>
        <w:tc>
          <w:tcPr>
            <w:tcW w:w="10840" w:type="dxa"/>
            <w:vAlign w:val="bottom"/>
          </w:tcPr>
          <w:p>
            <w:pPr>
              <w:ind w:left="80"/>
              <w:spacing w:after="0"/>
              <w:rPr>
                <w:sz w:val="20"/>
                <w:szCs w:val="20"/>
                <w:color w:val="auto"/>
              </w:rPr>
            </w:pPr>
            <w:r>
              <w:rPr>
                <w:rFonts w:ascii="Arial" w:cs="Arial" w:eastAsia="Arial" w:hAnsi="Arial"/>
                <w:sz w:val="15"/>
                <w:szCs w:val="15"/>
                <w:color w:val="auto"/>
                <w:w w:val="97"/>
              </w:rPr>
              <w:t>Manpower Inc. Compensation for Non-Employee Directors (Effective January 1, 2006), incorporated by reference to the Company’s Current Report on Form 8-K dated</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December 19, 2005.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10.13(d)</w:t>
            </w:r>
          </w:p>
        </w:tc>
        <w:tc>
          <w:tcPr>
            <w:tcW w:w="10840" w:type="dxa"/>
            <w:vAlign w:val="bottom"/>
          </w:tcPr>
          <w:p>
            <w:pPr>
              <w:ind w:left="80"/>
              <w:spacing w:after="0"/>
              <w:rPr>
                <w:sz w:val="20"/>
                <w:szCs w:val="20"/>
                <w:color w:val="auto"/>
              </w:rPr>
            </w:pPr>
            <w:r>
              <w:rPr>
                <w:rFonts w:ascii="Arial" w:cs="Arial" w:eastAsia="Arial" w:hAnsi="Arial"/>
                <w:sz w:val="15"/>
                <w:szCs w:val="15"/>
                <w:color w:val="auto"/>
                <w:w w:val="92"/>
              </w:rPr>
              <w:t>Amended and Restated Severance Agreement between Barbara Beck and Manpower Inc. dated as of November 10, 2009, incorporated by reference to the Company’s Current</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Report on Form 8-K dated November 10, 2009.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10.13(e)</w:t>
            </w:r>
          </w:p>
        </w:tc>
        <w:tc>
          <w:tcPr>
            <w:tcW w:w="10840" w:type="dxa"/>
            <w:vAlign w:val="bottom"/>
          </w:tcPr>
          <w:p>
            <w:pPr>
              <w:ind w:left="80"/>
              <w:spacing w:after="0"/>
              <w:rPr>
                <w:sz w:val="20"/>
                <w:szCs w:val="20"/>
                <w:color w:val="auto"/>
              </w:rPr>
            </w:pPr>
            <w:r>
              <w:rPr>
                <w:rFonts w:ascii="Arial" w:cs="Arial" w:eastAsia="Arial" w:hAnsi="Arial"/>
                <w:sz w:val="15"/>
                <w:szCs w:val="15"/>
                <w:color w:val="auto"/>
                <w:w w:val="92"/>
              </w:rPr>
              <w:t>Amended and Restated Severance Agreement between Jonas Prising and Manpower Inc. dated as of November 10, 2009, incorporated by reference to the Company’s Current</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Report on Form 8-K dated November 10, 2009. **</w:t>
            </w:r>
          </w:p>
        </w:tc>
        <w:tc>
          <w:tcPr>
            <w:tcW w:w="0" w:type="dxa"/>
            <w:vAlign w:val="bottom"/>
          </w:tcPr>
          <w:p>
            <w:pPr>
              <w:spacing w:after="0"/>
              <w:rPr>
                <w:sz w:val="1"/>
                <w:szCs w:val="1"/>
                <w:color w:val="auto"/>
              </w:rPr>
            </w:pPr>
          </w:p>
        </w:tc>
      </w:tr>
      <w:tr>
        <w:trPr>
          <w:trHeight w:val="357"/>
        </w:trPr>
        <w:tc>
          <w:tcPr>
            <w:tcW w:w="600" w:type="dxa"/>
            <w:vAlign w:val="bottom"/>
          </w:tcPr>
          <w:p>
            <w:pPr>
              <w:spacing w:after="0"/>
              <w:rPr>
                <w:sz w:val="20"/>
                <w:szCs w:val="20"/>
                <w:color w:val="auto"/>
              </w:rPr>
            </w:pPr>
            <w:r>
              <w:rPr>
                <w:rFonts w:ascii="Arial" w:cs="Arial" w:eastAsia="Arial" w:hAnsi="Arial"/>
                <w:sz w:val="15"/>
                <w:szCs w:val="15"/>
                <w:color w:val="auto"/>
              </w:rPr>
              <w:t>10.13(f)</w:t>
            </w:r>
          </w:p>
        </w:tc>
        <w:tc>
          <w:tcPr>
            <w:tcW w:w="10840" w:type="dxa"/>
            <w:vAlign w:val="bottom"/>
          </w:tcPr>
          <w:p>
            <w:pPr>
              <w:ind w:left="80"/>
              <w:spacing w:after="0"/>
              <w:rPr>
                <w:sz w:val="20"/>
                <w:szCs w:val="20"/>
                <w:color w:val="auto"/>
              </w:rPr>
            </w:pPr>
            <w:r>
              <w:rPr>
                <w:rFonts w:ascii="Arial" w:cs="Arial" w:eastAsia="Arial" w:hAnsi="Arial"/>
                <w:sz w:val="15"/>
                <w:szCs w:val="15"/>
                <w:color w:val="auto"/>
                <w:w w:val="94"/>
              </w:rPr>
              <w:t>Amended and Restated Severance Agreement between Owen J. Sullivan and Manpower Inc. dated as of November 10, 2009, incorporated by reference to the Company’s</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0840" w:type="dxa"/>
            <w:vAlign w:val="bottom"/>
          </w:tcPr>
          <w:p>
            <w:pPr>
              <w:ind w:left="80"/>
              <w:spacing w:after="0"/>
              <w:rPr>
                <w:sz w:val="20"/>
                <w:szCs w:val="20"/>
                <w:color w:val="auto"/>
              </w:rPr>
            </w:pPr>
            <w:r>
              <w:rPr>
                <w:rFonts w:ascii="Arial" w:cs="Arial" w:eastAsia="Arial" w:hAnsi="Arial"/>
                <w:sz w:val="15"/>
                <w:szCs w:val="15"/>
                <w:color w:val="auto"/>
              </w:rPr>
              <w:t>Current Report on Form 8-K dated November 10, 2009. **</w:t>
            </w:r>
          </w:p>
        </w:tc>
        <w:tc>
          <w:tcPr>
            <w:tcW w:w="0" w:type="dxa"/>
            <w:vAlign w:val="bottom"/>
          </w:tcPr>
          <w:p>
            <w:pPr>
              <w:spacing w:after="0"/>
              <w:rPr>
                <w:sz w:val="1"/>
                <w:szCs w:val="1"/>
                <w:color w:val="auto"/>
              </w:rPr>
            </w:pPr>
          </w:p>
        </w:tc>
      </w:tr>
      <w:tr>
        <w:trPr>
          <w:trHeight w:val="34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86"/>
        </w:trPr>
        <w:tc>
          <w:tcPr>
            <w:tcW w:w="600" w:type="dxa"/>
            <w:vAlign w:val="bottom"/>
            <w:tcBorders>
              <w:bottom w:val="single" w:sz="8" w:color="808080"/>
            </w:tcBorders>
          </w:tcPr>
          <w:p>
            <w:pPr>
              <w:spacing w:after="0"/>
              <w:rPr>
                <w:sz w:val="7"/>
                <w:szCs w:val="7"/>
                <w:color w:val="auto"/>
              </w:rPr>
            </w:pPr>
          </w:p>
        </w:tc>
        <w:tc>
          <w:tcPr>
            <w:tcW w:w="10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-12700</wp:posOffset>
            </wp:positionV>
            <wp:extent cx="127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29" w:name="page30"/>
    <w:bookmarkEnd w:id="29"/>
    <w:p>
      <w:pPr>
        <w:ind w:left="688" w:right="140" w:hanging="688"/>
        <w:spacing w:after="0" w:line="286" w:lineRule="auto"/>
        <w:tabs>
          <w:tab w:leader="none" w:pos="668" w:val="left"/>
        </w:tabs>
        <w:rPr>
          <w:sz w:val="20"/>
          <w:szCs w:val="20"/>
          <w:color w:val="auto"/>
        </w:rPr>
      </w:pPr>
      <w:r>
        <w:rPr>
          <w:rFonts w:ascii="Arial" w:cs="Arial" w:eastAsia="Arial" w:hAnsi="Arial"/>
          <w:sz w:val="15"/>
          <w:szCs w:val="15"/>
          <w:color w:val="auto"/>
        </w:rPr>
        <w:t>10.13(g)</w:t>
        <w:tab/>
        <w:t>Amended and Restated Severance Agreement between Mara Swan and Manpower Inc. dated as of November 10, 2009, incorporated by reference to the Company’s Current Report on Form 8-K dated November 10, 2009. **</w:t>
      </w:r>
    </w:p>
    <w:p>
      <w:pPr>
        <w:spacing w:after="0" w:line="140" w:lineRule="exact"/>
        <w:rPr>
          <w:sz w:val="20"/>
          <w:szCs w:val="20"/>
          <w:color w:val="auto"/>
        </w:rPr>
      </w:pPr>
    </w:p>
    <w:p>
      <w:pPr>
        <w:ind w:left="688" w:right="360" w:hanging="688"/>
        <w:spacing w:after="0" w:line="286" w:lineRule="auto"/>
        <w:tabs>
          <w:tab w:leader="none" w:pos="668" w:val="left"/>
        </w:tabs>
        <w:rPr>
          <w:sz w:val="20"/>
          <w:szCs w:val="20"/>
          <w:color w:val="auto"/>
        </w:rPr>
      </w:pPr>
      <w:r>
        <w:rPr>
          <w:rFonts w:ascii="Arial" w:cs="Arial" w:eastAsia="Arial" w:hAnsi="Arial"/>
          <w:sz w:val="15"/>
          <w:szCs w:val="15"/>
          <w:color w:val="auto"/>
        </w:rPr>
        <w:t>10.13(h)</w:t>
        <w:tab/>
        <w:t>Amended and Restated Severance Agreement dated November 10, 2008 between Manpower Inc. and Darryl Green, incorporated by reference to the Company’s Current Report on Form 8-K dated December 3, 2008. **</w:t>
      </w:r>
    </w:p>
    <w:p>
      <w:pPr>
        <w:spacing w:after="0" w:line="140" w:lineRule="exact"/>
        <w:rPr>
          <w:sz w:val="20"/>
          <w:szCs w:val="20"/>
          <w:color w:val="auto"/>
        </w:rPr>
      </w:pPr>
    </w:p>
    <w:p>
      <w:pPr>
        <w:ind w:left="688" w:right="80" w:hanging="688"/>
        <w:spacing w:after="0" w:line="286" w:lineRule="auto"/>
        <w:tabs>
          <w:tab w:leader="none" w:pos="668" w:val="left"/>
        </w:tabs>
        <w:rPr>
          <w:sz w:val="20"/>
          <w:szCs w:val="20"/>
          <w:color w:val="auto"/>
        </w:rPr>
      </w:pPr>
      <w:r>
        <w:rPr>
          <w:rFonts w:ascii="Arial" w:cs="Arial" w:eastAsia="Arial" w:hAnsi="Arial"/>
          <w:sz w:val="15"/>
          <w:szCs w:val="15"/>
          <w:color w:val="auto"/>
        </w:rPr>
        <w:t>10.13(i)</w:t>
        <w:tab/>
        <w:t>Severance Agreement dated February 15, 2007 between Manpower Inc. and Francoise Gri, incorporated by reference to the Company’s Annual Report on Form 10-K for the fiscal year ended December 31, 2007. **</w:t>
      </w:r>
    </w:p>
    <w:p>
      <w:pPr>
        <w:spacing w:after="0" w:line="140" w:lineRule="exact"/>
        <w:rPr>
          <w:sz w:val="20"/>
          <w:szCs w:val="20"/>
          <w:color w:val="auto"/>
        </w:rPr>
      </w:pPr>
    </w:p>
    <w:p>
      <w:pPr>
        <w:ind w:left="688" w:right="40" w:hanging="688"/>
        <w:spacing w:after="0" w:line="286" w:lineRule="auto"/>
        <w:tabs>
          <w:tab w:leader="none" w:pos="668" w:val="left"/>
        </w:tabs>
        <w:rPr>
          <w:sz w:val="20"/>
          <w:szCs w:val="20"/>
          <w:color w:val="auto"/>
        </w:rPr>
      </w:pPr>
      <w:r>
        <w:rPr>
          <w:rFonts w:ascii="Arial" w:cs="Arial" w:eastAsia="Arial" w:hAnsi="Arial"/>
          <w:sz w:val="15"/>
          <w:szCs w:val="15"/>
          <w:color w:val="auto"/>
        </w:rPr>
        <w:t>10.13(j)</w:t>
        <w:tab/>
        <w:t>Severance Agreement dated December 31, 2007 between Manpower Inc. and Kenneth C. Hunt, incorporated by reference to the Company’s Annual Report on Form 10-K for the fiscal year ended December 31, 2007. **</w:t>
      </w:r>
    </w:p>
    <w:p>
      <w:pPr>
        <w:spacing w:after="0" w:line="140" w:lineRule="exact"/>
        <w:rPr>
          <w:sz w:val="20"/>
          <w:szCs w:val="20"/>
          <w:color w:val="auto"/>
        </w:rPr>
      </w:pPr>
    </w:p>
    <w:p>
      <w:pPr>
        <w:ind w:left="688" w:right="20" w:hanging="688"/>
        <w:spacing w:after="0" w:line="286" w:lineRule="auto"/>
        <w:tabs>
          <w:tab w:leader="none" w:pos="668" w:val="left"/>
        </w:tabs>
        <w:rPr>
          <w:sz w:val="20"/>
          <w:szCs w:val="20"/>
          <w:color w:val="auto"/>
        </w:rPr>
      </w:pPr>
      <w:r>
        <w:rPr>
          <w:rFonts w:ascii="Arial" w:cs="Arial" w:eastAsia="Arial" w:hAnsi="Arial"/>
          <w:sz w:val="15"/>
          <w:szCs w:val="15"/>
          <w:color w:val="auto"/>
        </w:rPr>
        <w:t>10.13(k)</w:t>
        <w:tab/>
        <w:t>2003 Equity Incentive Plan of Manpower Inc. (Amended and Restated Effective April 28, 2009), incorporated by reference to the Company’s Registration Statement on Form S-8 dated September 4, 2009. **</w:t>
      </w:r>
    </w:p>
    <w:p>
      <w:pPr>
        <w:spacing w:after="0" w:line="140"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10.13(l)</w:t>
      </w:r>
      <w:r>
        <w:rPr>
          <w:sz w:val="20"/>
          <w:szCs w:val="20"/>
          <w:color w:val="auto"/>
        </w:rPr>
        <w:tab/>
      </w:r>
      <w:r>
        <w:rPr>
          <w:rFonts w:ascii="Arial" w:cs="Arial" w:eastAsia="Arial" w:hAnsi="Arial"/>
          <w:sz w:val="14"/>
          <w:szCs w:val="14"/>
          <w:color w:val="auto"/>
        </w:rPr>
        <w:t>Form of Indemnification Agreement, incorporated by reference to the Company’s Current Report on Form 8-K dated October 31, 2006.</w:t>
      </w:r>
    </w:p>
    <w:p>
      <w:pPr>
        <w:spacing w:after="0" w:line="195"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10.14(a)</w:t>
      </w:r>
      <w:r>
        <w:rPr>
          <w:sz w:val="20"/>
          <w:szCs w:val="20"/>
          <w:color w:val="auto"/>
        </w:rPr>
        <w:tab/>
      </w:r>
      <w:r>
        <w:rPr>
          <w:rFonts w:ascii="Arial" w:cs="Arial" w:eastAsia="Arial" w:hAnsi="Arial"/>
          <w:sz w:val="14"/>
          <w:szCs w:val="14"/>
          <w:color w:val="auto"/>
        </w:rPr>
        <w:t>Form of Nonstatutory Stock Option Agreement, incorporated by reference to the Company’s Annual Report on Form 10-K for the fiscal year ended December 31, 2007. **</w:t>
      </w:r>
    </w:p>
    <w:p>
      <w:pPr>
        <w:spacing w:after="0" w:line="195"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10.14(b)</w:t>
      </w:r>
      <w:r>
        <w:rPr>
          <w:sz w:val="20"/>
          <w:szCs w:val="20"/>
          <w:color w:val="auto"/>
        </w:rPr>
        <w:tab/>
      </w:r>
      <w:r>
        <w:rPr>
          <w:rFonts w:ascii="Arial" w:cs="Arial" w:eastAsia="Arial" w:hAnsi="Arial"/>
          <w:sz w:val="13"/>
          <w:szCs w:val="13"/>
          <w:color w:val="auto"/>
        </w:rPr>
        <w:t>Form of Performance Share Unit Agreement, incorporated by reference to the Company’s Annual Report on Form 10-K for the fiscal year ended December 31, 2007. **</w:t>
      </w:r>
    </w:p>
    <w:p>
      <w:pPr>
        <w:spacing w:after="0" w:line="195"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10.14(c)</w:t>
      </w:r>
      <w:r>
        <w:rPr>
          <w:sz w:val="20"/>
          <w:szCs w:val="20"/>
          <w:color w:val="auto"/>
        </w:rPr>
        <w:tab/>
      </w:r>
      <w:r>
        <w:rPr>
          <w:rFonts w:ascii="Arial" w:cs="Arial" w:eastAsia="Arial" w:hAnsi="Arial"/>
          <w:sz w:val="14"/>
          <w:szCs w:val="14"/>
          <w:color w:val="auto"/>
        </w:rPr>
        <w:t>Form of Restricted Stock Agreement (CEO Form), incorporated by reference to the Company’s Annual Report on Form 10-K for the fiscal year ended December 31, 2007. **</w:t>
      </w:r>
    </w:p>
    <w:p>
      <w:pPr>
        <w:spacing w:after="0" w:line="195"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10.14(d)</w:t>
      </w:r>
      <w:r>
        <w:rPr>
          <w:sz w:val="20"/>
          <w:szCs w:val="20"/>
          <w:color w:val="auto"/>
        </w:rPr>
        <w:tab/>
      </w:r>
      <w:r>
        <w:rPr>
          <w:rFonts w:ascii="Arial" w:cs="Arial" w:eastAsia="Arial" w:hAnsi="Arial"/>
          <w:sz w:val="14"/>
          <w:szCs w:val="14"/>
          <w:color w:val="auto"/>
        </w:rPr>
        <w:t>Form of Restricted Stock Unit Agreement, incorporated by reference to the Company’s Quarterly Report on Form 10-Q for the quarter ended March 31, 2009. **</w:t>
      </w:r>
    </w:p>
    <w:p>
      <w:pPr>
        <w:spacing w:after="0" w:line="195"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10.14(e)</w:t>
      </w:r>
      <w:r>
        <w:rPr>
          <w:sz w:val="20"/>
          <w:szCs w:val="20"/>
          <w:color w:val="auto"/>
        </w:rPr>
        <w:tab/>
      </w:r>
      <w:r>
        <w:rPr>
          <w:rFonts w:ascii="Arial" w:cs="Arial" w:eastAsia="Arial" w:hAnsi="Arial"/>
          <w:sz w:val="13"/>
          <w:szCs w:val="13"/>
          <w:color w:val="auto"/>
        </w:rPr>
        <w:t>Form of Career Share Unit Agreement, incorporated by reference to the Company’s Quarterly Report on Form 10-Q for the quarter ended March 31, 2009. **</w:t>
      </w:r>
    </w:p>
    <w:p>
      <w:pPr>
        <w:spacing w:after="0" w:line="195"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3"/>
          <w:szCs w:val="13"/>
          <w:color w:val="auto"/>
        </w:rPr>
        <w:t>Statement Regarding Computation of Ratio of Earnings to Fixed Charges.</w:t>
      </w:r>
    </w:p>
    <w:p>
      <w:pPr>
        <w:spacing w:after="0" w:line="195" w:lineRule="exact"/>
        <w:rPr>
          <w:sz w:val="20"/>
          <w:szCs w:val="20"/>
          <w:color w:val="auto"/>
        </w:rPr>
      </w:pPr>
    </w:p>
    <w:p>
      <w:pPr>
        <w:ind w:left="688" w:right="60" w:hanging="688"/>
        <w:spacing w:after="0" w:line="286" w:lineRule="auto"/>
        <w:tabs>
          <w:tab w:leader="none" w:pos="688" w:val="left"/>
        </w:tabs>
        <w:numPr>
          <w:ilvl w:val="0"/>
          <w:numId w:val="16"/>
        </w:numPr>
        <w:rPr>
          <w:rFonts w:ascii="Arial" w:cs="Arial" w:eastAsia="Arial" w:hAnsi="Arial"/>
          <w:sz w:val="15"/>
          <w:szCs w:val="15"/>
          <w:color w:val="auto"/>
        </w:rPr>
      </w:pPr>
      <w:r>
        <w:rPr>
          <w:rFonts w:ascii="Arial" w:cs="Arial" w:eastAsia="Arial" w:hAnsi="Arial"/>
          <w:sz w:val="15"/>
          <w:szCs w:val="15"/>
          <w:color w:val="auto"/>
        </w:rPr>
        <w:t>2009 Annual Report to Shareholders. Pursuant to Item 601(b)(13) of Regulation S-K, the portions of the Annual Report incorporated by reference in this Form 10-K are filed as an exhibit hereto.</w:t>
      </w:r>
    </w:p>
    <w:p>
      <w:pPr>
        <w:spacing w:after="0" w:line="140" w:lineRule="exact"/>
        <w:rPr>
          <w:rFonts w:ascii="Arial" w:cs="Arial" w:eastAsia="Arial" w:hAnsi="Arial"/>
          <w:sz w:val="15"/>
          <w:szCs w:val="15"/>
          <w:color w:val="auto"/>
        </w:rPr>
      </w:pPr>
    </w:p>
    <w:p>
      <w:pPr>
        <w:ind w:left="688" w:right="220" w:hanging="688"/>
        <w:spacing w:after="0" w:line="286" w:lineRule="auto"/>
        <w:tabs>
          <w:tab w:leader="none" w:pos="688"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Manpower Inc. Code of Business Conduct and Ethics (Amended and Restated Effective December 9, 2003) incorporated by reference to the Company’s Annual Report on Form 10-K for the year ended December 31, 2003.</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94"/>
        </w:trPr>
        <w:tc>
          <w:tcPr>
            <w:tcW w:w="480" w:type="dxa"/>
            <w:vAlign w:val="bottom"/>
          </w:tcPr>
          <w:p>
            <w:pPr>
              <w:spacing w:after="0"/>
              <w:rPr>
                <w:sz w:val="20"/>
                <w:szCs w:val="20"/>
                <w:color w:val="auto"/>
              </w:rPr>
            </w:pPr>
            <w:r>
              <w:rPr>
                <w:rFonts w:ascii="Arial" w:cs="Arial" w:eastAsia="Arial" w:hAnsi="Arial"/>
                <w:sz w:val="15"/>
                <w:szCs w:val="15"/>
                <w:color w:val="auto"/>
              </w:rPr>
              <w:t>21</w:t>
            </w:r>
          </w:p>
        </w:tc>
        <w:tc>
          <w:tcPr>
            <w:tcW w:w="10280" w:type="dxa"/>
            <w:vAlign w:val="bottom"/>
          </w:tcPr>
          <w:p>
            <w:pPr>
              <w:ind w:left="200"/>
              <w:spacing w:after="0"/>
              <w:rPr>
                <w:sz w:val="20"/>
                <w:szCs w:val="20"/>
                <w:color w:val="auto"/>
              </w:rPr>
            </w:pPr>
            <w:r>
              <w:rPr>
                <w:rFonts w:ascii="Arial" w:cs="Arial" w:eastAsia="Arial" w:hAnsi="Arial"/>
                <w:sz w:val="15"/>
                <w:szCs w:val="15"/>
                <w:color w:val="auto"/>
              </w:rPr>
              <w:t>Subsidiaries of Manpower Inc.</w:t>
            </w:r>
          </w:p>
        </w:tc>
      </w:tr>
      <w:tr>
        <w:trPr>
          <w:trHeight w:val="368"/>
        </w:trPr>
        <w:tc>
          <w:tcPr>
            <w:tcW w:w="480" w:type="dxa"/>
            <w:vAlign w:val="bottom"/>
          </w:tcPr>
          <w:p>
            <w:pPr>
              <w:spacing w:after="0"/>
              <w:rPr>
                <w:sz w:val="20"/>
                <w:szCs w:val="20"/>
                <w:color w:val="auto"/>
              </w:rPr>
            </w:pPr>
            <w:r>
              <w:rPr>
                <w:rFonts w:ascii="Arial" w:cs="Arial" w:eastAsia="Arial" w:hAnsi="Arial"/>
                <w:sz w:val="15"/>
                <w:szCs w:val="15"/>
                <w:color w:val="auto"/>
              </w:rPr>
              <w:t>23.1</w:t>
            </w:r>
          </w:p>
        </w:tc>
        <w:tc>
          <w:tcPr>
            <w:tcW w:w="10280" w:type="dxa"/>
            <w:vAlign w:val="bottom"/>
          </w:tcPr>
          <w:p>
            <w:pPr>
              <w:ind w:left="200"/>
              <w:spacing w:after="0"/>
              <w:rPr>
                <w:sz w:val="20"/>
                <w:szCs w:val="20"/>
                <w:color w:val="auto"/>
              </w:rPr>
            </w:pPr>
            <w:r>
              <w:rPr>
                <w:rFonts w:ascii="Arial" w:cs="Arial" w:eastAsia="Arial" w:hAnsi="Arial"/>
                <w:sz w:val="15"/>
                <w:szCs w:val="15"/>
                <w:color w:val="auto"/>
              </w:rPr>
              <w:t>Consent of Deloitte &amp; Touche LLP.</w:t>
            </w:r>
          </w:p>
        </w:tc>
      </w:tr>
      <w:tr>
        <w:trPr>
          <w:trHeight w:val="368"/>
        </w:trPr>
        <w:tc>
          <w:tcPr>
            <w:tcW w:w="480" w:type="dxa"/>
            <w:vAlign w:val="bottom"/>
          </w:tcPr>
          <w:p>
            <w:pPr>
              <w:spacing w:after="0"/>
              <w:rPr>
                <w:sz w:val="20"/>
                <w:szCs w:val="20"/>
                <w:color w:val="auto"/>
              </w:rPr>
            </w:pPr>
            <w:r>
              <w:rPr>
                <w:rFonts w:ascii="Arial" w:cs="Arial" w:eastAsia="Arial" w:hAnsi="Arial"/>
                <w:sz w:val="15"/>
                <w:szCs w:val="15"/>
                <w:color w:val="auto"/>
              </w:rPr>
              <w:t>24</w:t>
            </w:r>
          </w:p>
        </w:tc>
        <w:tc>
          <w:tcPr>
            <w:tcW w:w="10280" w:type="dxa"/>
            <w:vAlign w:val="bottom"/>
          </w:tcPr>
          <w:p>
            <w:pPr>
              <w:ind w:left="200"/>
              <w:spacing w:after="0"/>
              <w:rPr>
                <w:sz w:val="20"/>
                <w:szCs w:val="20"/>
                <w:color w:val="auto"/>
              </w:rPr>
            </w:pPr>
            <w:r>
              <w:rPr>
                <w:rFonts w:ascii="Arial" w:cs="Arial" w:eastAsia="Arial" w:hAnsi="Arial"/>
                <w:sz w:val="15"/>
                <w:szCs w:val="15"/>
                <w:color w:val="auto"/>
              </w:rPr>
              <w:t>Powers of Attorney.</w:t>
            </w:r>
          </w:p>
        </w:tc>
      </w:tr>
      <w:tr>
        <w:trPr>
          <w:trHeight w:val="368"/>
        </w:trPr>
        <w:tc>
          <w:tcPr>
            <w:tcW w:w="480" w:type="dxa"/>
            <w:vAlign w:val="bottom"/>
          </w:tcPr>
          <w:p>
            <w:pPr>
              <w:spacing w:after="0"/>
              <w:rPr>
                <w:sz w:val="20"/>
                <w:szCs w:val="20"/>
                <w:color w:val="auto"/>
              </w:rPr>
            </w:pPr>
            <w:r>
              <w:rPr>
                <w:rFonts w:ascii="Arial" w:cs="Arial" w:eastAsia="Arial" w:hAnsi="Arial"/>
                <w:sz w:val="15"/>
                <w:szCs w:val="15"/>
                <w:color w:val="auto"/>
              </w:rPr>
              <w:t>31.1</w:t>
            </w:r>
          </w:p>
        </w:tc>
        <w:tc>
          <w:tcPr>
            <w:tcW w:w="10280" w:type="dxa"/>
            <w:vAlign w:val="bottom"/>
          </w:tcPr>
          <w:p>
            <w:pPr>
              <w:ind w:left="200"/>
              <w:spacing w:after="0"/>
              <w:rPr>
                <w:sz w:val="20"/>
                <w:szCs w:val="20"/>
                <w:color w:val="auto"/>
              </w:rPr>
            </w:pPr>
            <w:r>
              <w:rPr>
                <w:rFonts w:ascii="Arial" w:cs="Arial" w:eastAsia="Arial" w:hAnsi="Arial"/>
                <w:sz w:val="15"/>
                <w:szCs w:val="15"/>
                <w:color w:val="auto"/>
              </w:rPr>
              <w:t>Certification of Jeffrey A. Joerres, Chairman and Chief Executive Officer, pursuant to Section 13a-14(a) of the Securities Exchange Act of 1934.</w:t>
            </w:r>
          </w:p>
        </w:tc>
      </w:tr>
      <w:tr>
        <w:trPr>
          <w:trHeight w:val="368"/>
        </w:trPr>
        <w:tc>
          <w:tcPr>
            <w:tcW w:w="480" w:type="dxa"/>
            <w:vAlign w:val="bottom"/>
          </w:tcPr>
          <w:p>
            <w:pPr>
              <w:spacing w:after="0"/>
              <w:rPr>
                <w:sz w:val="20"/>
                <w:szCs w:val="20"/>
                <w:color w:val="auto"/>
              </w:rPr>
            </w:pPr>
            <w:r>
              <w:rPr>
                <w:rFonts w:ascii="Arial" w:cs="Arial" w:eastAsia="Arial" w:hAnsi="Arial"/>
                <w:sz w:val="15"/>
                <w:szCs w:val="15"/>
                <w:color w:val="auto"/>
              </w:rPr>
              <w:t>31.2</w:t>
            </w:r>
          </w:p>
        </w:tc>
        <w:tc>
          <w:tcPr>
            <w:tcW w:w="10280" w:type="dxa"/>
            <w:vAlign w:val="bottom"/>
          </w:tcPr>
          <w:p>
            <w:pPr>
              <w:ind w:left="200"/>
              <w:spacing w:after="0"/>
              <w:rPr>
                <w:sz w:val="20"/>
                <w:szCs w:val="20"/>
                <w:color w:val="auto"/>
              </w:rPr>
            </w:pPr>
            <w:r>
              <w:rPr>
                <w:rFonts w:ascii="Arial" w:cs="Arial" w:eastAsia="Arial" w:hAnsi="Arial"/>
                <w:sz w:val="15"/>
                <w:szCs w:val="15"/>
                <w:color w:val="auto"/>
                <w:w w:val="93"/>
              </w:rPr>
              <w:t>Certification of Michael J. Van Handel, Executive Vice President and Chief Financial Officer, pursuant to Section 13a-14(a) of the Securities Exchange Act of 1934.</w:t>
            </w:r>
          </w:p>
        </w:tc>
      </w:tr>
      <w:tr>
        <w:trPr>
          <w:trHeight w:val="368"/>
        </w:trPr>
        <w:tc>
          <w:tcPr>
            <w:tcW w:w="480" w:type="dxa"/>
            <w:vAlign w:val="bottom"/>
          </w:tcPr>
          <w:p>
            <w:pPr>
              <w:spacing w:after="0"/>
              <w:rPr>
                <w:sz w:val="20"/>
                <w:szCs w:val="20"/>
                <w:color w:val="auto"/>
              </w:rPr>
            </w:pPr>
            <w:r>
              <w:rPr>
                <w:rFonts w:ascii="Arial" w:cs="Arial" w:eastAsia="Arial" w:hAnsi="Arial"/>
                <w:sz w:val="15"/>
                <w:szCs w:val="15"/>
                <w:color w:val="auto"/>
              </w:rPr>
              <w:t>32.1</w:t>
            </w:r>
          </w:p>
        </w:tc>
        <w:tc>
          <w:tcPr>
            <w:tcW w:w="10280" w:type="dxa"/>
            <w:vAlign w:val="bottom"/>
          </w:tcPr>
          <w:p>
            <w:pPr>
              <w:ind w:left="200"/>
              <w:spacing w:after="0"/>
              <w:rPr>
                <w:sz w:val="20"/>
                <w:szCs w:val="20"/>
                <w:color w:val="auto"/>
              </w:rPr>
            </w:pPr>
            <w:r>
              <w:rPr>
                <w:rFonts w:ascii="Arial" w:cs="Arial" w:eastAsia="Arial" w:hAnsi="Arial"/>
                <w:sz w:val="15"/>
                <w:szCs w:val="15"/>
                <w:color w:val="auto"/>
              </w:rPr>
              <w:t>Statement of Jeffrey A. Joerres, Chairman and Chief Executive Officer, pursuant to 18 U.S.C. ss. 1350.</w:t>
            </w:r>
          </w:p>
        </w:tc>
      </w:tr>
      <w:tr>
        <w:trPr>
          <w:trHeight w:val="368"/>
        </w:trPr>
        <w:tc>
          <w:tcPr>
            <w:tcW w:w="480" w:type="dxa"/>
            <w:vAlign w:val="bottom"/>
          </w:tcPr>
          <w:p>
            <w:pPr>
              <w:spacing w:after="0"/>
              <w:rPr>
                <w:sz w:val="20"/>
                <w:szCs w:val="20"/>
                <w:color w:val="auto"/>
              </w:rPr>
            </w:pPr>
            <w:r>
              <w:rPr>
                <w:rFonts w:ascii="Arial" w:cs="Arial" w:eastAsia="Arial" w:hAnsi="Arial"/>
                <w:sz w:val="15"/>
                <w:szCs w:val="15"/>
                <w:color w:val="auto"/>
              </w:rPr>
              <w:t>32.2</w:t>
            </w:r>
          </w:p>
        </w:tc>
        <w:tc>
          <w:tcPr>
            <w:tcW w:w="10280" w:type="dxa"/>
            <w:vAlign w:val="bottom"/>
          </w:tcPr>
          <w:p>
            <w:pPr>
              <w:ind w:left="200"/>
              <w:spacing w:after="0"/>
              <w:rPr>
                <w:sz w:val="20"/>
                <w:szCs w:val="20"/>
                <w:color w:val="auto"/>
              </w:rPr>
            </w:pPr>
            <w:r>
              <w:rPr>
                <w:rFonts w:ascii="Arial" w:cs="Arial" w:eastAsia="Arial" w:hAnsi="Arial"/>
                <w:sz w:val="15"/>
                <w:szCs w:val="15"/>
                <w:color w:val="auto"/>
              </w:rPr>
              <w:t>Statement of Michael J. Van Handel, Executive Vice President and Chief Financial Officer, pursuant to 18 U.S.C. ss. 1350.</w:t>
            </w:r>
          </w:p>
        </w:tc>
      </w:tr>
    </w:tbl>
    <w:p>
      <w:pPr>
        <w:ind w:left="348" w:hanging="348"/>
        <w:spacing w:after="0"/>
        <w:tabs>
          <w:tab w:leader="none" w:pos="3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Management contract or compensatory arrangement.</w:t>
      </w:r>
    </w:p>
    <w:p>
      <w:pPr>
        <w:spacing w:after="0" w:line="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29" w:right="279" w:bottom="1440" w:gutter="0" w:footer="0" w:header="0"/>
        </w:sectPr>
      </w:pPr>
    </w:p>
    <w:bookmarkStart w:id="30" w:name="page31"/>
    <w:bookmarkEnd w:id="30"/>
    <w:p>
      <w:pPr>
        <w:jc w:val="center"/>
        <w:ind w:right="-7"/>
        <w:spacing w:after="0"/>
        <w:rPr>
          <w:sz w:val="20"/>
          <w:szCs w:val="20"/>
          <w:color w:val="auto"/>
        </w:rPr>
      </w:pPr>
      <w:r>
        <w:rPr>
          <w:rFonts w:ascii="Arial" w:cs="Arial" w:eastAsia="Arial" w:hAnsi="Arial"/>
          <w:sz w:val="15"/>
          <w:szCs w:val="15"/>
          <w:b w:val="1"/>
          <w:bCs w:val="1"/>
          <w:color w:val="auto"/>
        </w:rPr>
        <w:t>SIGNATURES</w:t>
      </w:r>
    </w:p>
    <w:p>
      <w:pPr>
        <w:spacing w:after="0" w:line="222" w:lineRule="exact"/>
        <w:rPr>
          <w:sz w:val="20"/>
          <w:szCs w:val="20"/>
          <w:color w:val="auto"/>
        </w:rPr>
      </w:pPr>
    </w:p>
    <w:p>
      <w:pPr>
        <w:ind w:left="8" w:right="20" w:firstLine="414"/>
        <w:spacing w:after="0" w:line="286"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6988"/>
        <w:spacing w:after="0"/>
        <w:rPr>
          <w:sz w:val="20"/>
          <w:szCs w:val="20"/>
          <w:color w:val="auto"/>
        </w:rPr>
      </w:pPr>
      <w:r>
        <w:rPr>
          <w:rFonts w:ascii="Arial" w:cs="Arial" w:eastAsia="Arial" w:hAnsi="Arial"/>
          <w:sz w:val="15"/>
          <w:szCs w:val="15"/>
          <w:color w:val="auto"/>
        </w:rPr>
        <w:t>MANPOWER INC.</w:t>
      </w:r>
    </w:p>
    <w:p>
      <w:pPr>
        <w:spacing w:after="0" w:line="195" w:lineRule="exact"/>
        <w:rPr>
          <w:sz w:val="20"/>
          <w:szCs w:val="20"/>
          <w:color w:val="auto"/>
        </w:rPr>
      </w:pPr>
    </w:p>
    <w:p>
      <w:pPr>
        <w:ind w:left="6988"/>
        <w:spacing w:after="0"/>
        <w:tabs>
          <w:tab w:leader="none" w:pos="7468"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13970</wp:posOffset>
            </wp:positionV>
            <wp:extent cx="188214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2140" cy="14605"/>
                    </a:xfrm>
                    <a:prstGeom prst="rect">
                      <a:avLst/>
                    </a:prstGeom>
                    <a:noFill/>
                  </pic:spPr>
                </pic:pic>
              </a:graphicData>
            </a:graphic>
          </wp:anchor>
        </w:drawing>
      </w:r>
    </w:p>
    <w:p>
      <w:pPr>
        <w:spacing w:after="0" w:line="14" w:lineRule="exact"/>
        <w:rPr>
          <w:sz w:val="20"/>
          <w:szCs w:val="20"/>
          <w:color w:val="auto"/>
        </w:rPr>
      </w:pPr>
    </w:p>
    <w:p>
      <w:pPr>
        <w:ind w:left="7448"/>
        <w:spacing w:after="0"/>
        <w:rPr>
          <w:sz w:val="20"/>
          <w:szCs w:val="20"/>
          <w:color w:val="auto"/>
        </w:rPr>
      </w:pPr>
      <w:r>
        <w:rPr>
          <w:rFonts w:ascii="Arial" w:cs="Arial" w:eastAsia="Arial" w:hAnsi="Arial"/>
          <w:sz w:val="15"/>
          <w:szCs w:val="15"/>
          <w:color w:val="auto"/>
        </w:rPr>
        <w:t>Jeffrey A. Joerres</w:t>
      </w:r>
    </w:p>
    <w:p>
      <w:pPr>
        <w:spacing w:after="0" w:line="12" w:lineRule="exact"/>
        <w:rPr>
          <w:sz w:val="20"/>
          <w:szCs w:val="20"/>
          <w:color w:val="auto"/>
        </w:rPr>
      </w:pPr>
    </w:p>
    <w:p>
      <w:pPr>
        <w:ind w:left="7448"/>
        <w:spacing w:after="0"/>
        <w:rPr>
          <w:sz w:val="20"/>
          <w:szCs w:val="20"/>
          <w:color w:val="auto"/>
        </w:rPr>
      </w:pPr>
      <w:r>
        <w:rPr>
          <w:rFonts w:ascii="Arial" w:cs="Arial" w:eastAsia="Arial" w:hAnsi="Arial"/>
          <w:sz w:val="15"/>
          <w:szCs w:val="15"/>
          <w:color w:val="auto"/>
        </w:rPr>
        <w:t>Chairman, President and Chief Executive</w:t>
      </w:r>
    </w:p>
    <w:p>
      <w:pPr>
        <w:ind w:left="7448"/>
        <w:spacing w:after="0"/>
        <w:rPr>
          <w:sz w:val="20"/>
          <w:szCs w:val="20"/>
          <w:color w:val="auto"/>
        </w:rPr>
      </w:pPr>
      <w:r>
        <w:rPr>
          <w:rFonts w:ascii="Arial" w:cs="Arial" w:eastAsia="Arial" w:hAnsi="Arial"/>
          <w:sz w:val="15"/>
          <w:szCs w:val="15"/>
          <w:color w:val="auto"/>
        </w:rPr>
        <w:t>Officer</w:t>
      </w:r>
    </w:p>
    <w:p>
      <w:pPr>
        <w:spacing w:after="0" w:line="172" w:lineRule="exact"/>
        <w:rPr>
          <w:sz w:val="20"/>
          <w:szCs w:val="20"/>
          <w:color w:val="auto"/>
        </w:rPr>
      </w:pPr>
    </w:p>
    <w:p>
      <w:pPr>
        <w:ind w:left="6988"/>
        <w:spacing w:after="0"/>
        <w:tabs>
          <w:tab w:leader="none" w:pos="7428"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3"/>
          <w:szCs w:val="13"/>
          <w:color w:val="auto"/>
        </w:rPr>
        <w:t>February 19, 2010</w:t>
      </w:r>
    </w:p>
    <w:p>
      <w:pPr>
        <w:spacing w:after="0" w:line="218" w:lineRule="exact"/>
        <w:rPr>
          <w:sz w:val="20"/>
          <w:szCs w:val="20"/>
          <w:color w:val="auto"/>
        </w:rPr>
      </w:pPr>
    </w:p>
    <w:p>
      <w:pPr>
        <w:ind w:left="8" w:right="240" w:firstLine="414"/>
        <w:spacing w:after="0" w:line="270"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8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228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3"/>
                <w:szCs w:val="13"/>
                <w:color w:val="auto"/>
              </w:rPr>
            </w:pPr>
          </w:p>
        </w:tc>
        <w:tc>
          <w:tcPr>
            <w:tcW w:w="6180" w:type="dxa"/>
            <w:vAlign w:val="bottom"/>
            <w:tcBorders>
              <w:bottom w:val="single" w:sz="8" w:color="auto"/>
            </w:tcBorders>
          </w:tcPr>
          <w:p>
            <w:pPr>
              <w:ind w:left="304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27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Date</w:t>
            </w:r>
          </w:p>
        </w:tc>
      </w:tr>
      <w:tr>
        <w:trPr>
          <w:trHeight w:val="359"/>
        </w:trPr>
        <w:tc>
          <w:tcPr>
            <w:tcW w:w="2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Jeffrey A. Joerres</w:t>
            </w:r>
          </w:p>
        </w:tc>
        <w:tc>
          <w:tcPr>
            <w:tcW w:w="6300" w:type="dxa"/>
            <w:vAlign w:val="bottom"/>
            <w:gridSpan w:val="2"/>
          </w:tcPr>
          <w:p>
            <w:pPr>
              <w:ind w:left="120"/>
              <w:spacing w:after="0"/>
              <w:rPr>
                <w:sz w:val="20"/>
                <w:szCs w:val="20"/>
                <w:color w:val="auto"/>
              </w:rPr>
            </w:pPr>
            <w:r>
              <w:rPr>
                <w:rFonts w:ascii="Arial" w:cs="Arial" w:eastAsia="Arial" w:hAnsi="Arial"/>
                <w:sz w:val="15"/>
                <w:szCs w:val="15"/>
                <w:color w:val="auto"/>
              </w:rPr>
              <w:t>Chairman, President, Chief Executive Officer and a Director (Principal Executive Officer)</w:t>
            </w:r>
          </w:p>
        </w:tc>
        <w:tc>
          <w:tcPr>
            <w:tcW w:w="100" w:type="dxa"/>
            <w:vAlign w:val="bottom"/>
          </w:tcPr>
          <w:p>
            <w:pPr>
              <w:spacing w:after="0"/>
              <w:rPr>
                <w:sz w:val="24"/>
                <w:szCs w:val="24"/>
                <w:color w:val="auto"/>
              </w:rPr>
            </w:pPr>
          </w:p>
        </w:tc>
        <w:tc>
          <w:tcPr>
            <w:tcW w:w="2760" w:type="dxa"/>
            <w:vAlign w:val="bottom"/>
          </w:tcPr>
          <w:p>
            <w:pPr>
              <w:ind w:left="140"/>
              <w:spacing w:after="0"/>
              <w:rPr>
                <w:sz w:val="20"/>
                <w:szCs w:val="20"/>
                <w:color w:val="auto"/>
              </w:rPr>
            </w:pPr>
            <w:r>
              <w:rPr>
                <w:rFonts w:ascii="Arial" w:cs="Arial" w:eastAsia="Arial" w:hAnsi="Arial"/>
                <w:sz w:val="15"/>
                <w:szCs w:val="15"/>
                <w:color w:val="auto"/>
              </w:rPr>
              <w:t>February 19, 2010</w:t>
            </w:r>
          </w:p>
        </w:tc>
      </w:tr>
      <w:tr>
        <w:trPr>
          <w:trHeight w:val="194"/>
        </w:trPr>
        <w:tc>
          <w:tcPr>
            <w:tcW w:w="2280" w:type="dxa"/>
            <w:vAlign w:val="bottom"/>
          </w:tcPr>
          <w:p>
            <w:pPr>
              <w:spacing w:after="0"/>
              <w:rPr>
                <w:sz w:val="20"/>
                <w:szCs w:val="20"/>
                <w:color w:val="auto"/>
              </w:rPr>
            </w:pPr>
            <w:r>
              <w:rPr>
                <w:rFonts w:ascii="Arial" w:cs="Arial" w:eastAsia="Arial" w:hAnsi="Arial"/>
                <w:sz w:val="15"/>
                <w:szCs w:val="15"/>
                <w:color w:val="auto"/>
              </w:rPr>
              <w:t>Jeffrey A. Joerres</w:t>
            </w: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335"/>
        </w:trPr>
        <w:tc>
          <w:tcPr>
            <w:tcW w:w="2280" w:type="dxa"/>
            <w:vAlign w:val="bottom"/>
          </w:tcPr>
          <w:p>
            <w:pPr>
              <w:spacing w:after="0"/>
              <w:rPr>
                <w:sz w:val="20"/>
                <w:szCs w:val="20"/>
                <w:color w:val="auto"/>
              </w:rPr>
            </w:pPr>
            <w:r>
              <w:rPr>
                <w:rFonts w:ascii="Arial" w:cs="Arial" w:eastAsia="Arial" w:hAnsi="Arial"/>
                <w:sz w:val="15"/>
                <w:szCs w:val="15"/>
                <w:color w:val="auto"/>
              </w:rPr>
              <w:t>/s/ Michael J. Van Handel</w:t>
            </w:r>
          </w:p>
        </w:tc>
        <w:tc>
          <w:tcPr>
            <w:tcW w:w="6300" w:type="dxa"/>
            <w:vAlign w:val="bottom"/>
            <w:gridSpan w:val="2"/>
          </w:tcPr>
          <w:p>
            <w:pPr>
              <w:ind w:left="120"/>
              <w:spacing w:after="0"/>
              <w:rPr>
                <w:sz w:val="20"/>
                <w:szCs w:val="20"/>
                <w:color w:val="auto"/>
              </w:rPr>
            </w:pPr>
            <w:r>
              <w:rPr>
                <w:rFonts w:ascii="Arial" w:cs="Arial" w:eastAsia="Arial" w:hAnsi="Arial"/>
                <w:sz w:val="15"/>
                <w:szCs w:val="15"/>
                <w:color w:val="auto"/>
                <w:w w:val="99"/>
              </w:rPr>
              <w:t>Executive Vice President and Chief Financial Officer (Principal Financial Officer and Principal</w:t>
            </w:r>
          </w:p>
        </w:tc>
        <w:tc>
          <w:tcPr>
            <w:tcW w:w="100" w:type="dxa"/>
            <w:vAlign w:val="bottom"/>
          </w:tcPr>
          <w:p>
            <w:pPr>
              <w:spacing w:after="0"/>
              <w:rPr>
                <w:sz w:val="24"/>
                <w:szCs w:val="24"/>
                <w:color w:val="auto"/>
              </w:rPr>
            </w:pPr>
          </w:p>
        </w:tc>
        <w:tc>
          <w:tcPr>
            <w:tcW w:w="2760" w:type="dxa"/>
            <w:vAlign w:val="bottom"/>
          </w:tcPr>
          <w:p>
            <w:pPr>
              <w:ind w:left="140"/>
              <w:spacing w:after="0"/>
              <w:rPr>
                <w:sz w:val="20"/>
                <w:szCs w:val="20"/>
                <w:color w:val="auto"/>
              </w:rPr>
            </w:pPr>
            <w:r>
              <w:rPr>
                <w:rFonts w:ascii="Arial" w:cs="Arial" w:eastAsia="Arial" w:hAnsi="Arial"/>
                <w:sz w:val="15"/>
                <w:szCs w:val="15"/>
                <w:color w:val="auto"/>
              </w:rPr>
              <w:t>February 19, 2010</w:t>
            </w:r>
          </w:p>
        </w:tc>
      </w:tr>
      <w:tr>
        <w:trPr>
          <w:trHeight w:val="163"/>
        </w:trPr>
        <w:tc>
          <w:tcPr>
            <w:tcW w:w="2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ind w:left="280"/>
              <w:spacing w:after="0" w:line="160" w:lineRule="exact"/>
              <w:rPr>
                <w:sz w:val="20"/>
                <w:szCs w:val="20"/>
                <w:color w:val="auto"/>
              </w:rPr>
            </w:pPr>
            <w:r>
              <w:rPr>
                <w:rFonts w:ascii="Arial" w:cs="Arial" w:eastAsia="Arial" w:hAnsi="Arial"/>
                <w:sz w:val="15"/>
                <w:szCs w:val="15"/>
                <w:color w:val="auto"/>
              </w:rPr>
              <w:t>Accounting Officer)</w:t>
            </w: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94"/>
        </w:trPr>
        <w:tc>
          <w:tcPr>
            <w:tcW w:w="2280" w:type="dxa"/>
            <w:vAlign w:val="bottom"/>
          </w:tcPr>
          <w:p>
            <w:pPr>
              <w:spacing w:after="0"/>
              <w:rPr>
                <w:sz w:val="20"/>
                <w:szCs w:val="20"/>
                <w:color w:val="auto"/>
              </w:rPr>
            </w:pPr>
            <w:r>
              <w:rPr>
                <w:rFonts w:ascii="Arial" w:cs="Arial" w:eastAsia="Arial" w:hAnsi="Arial"/>
                <w:sz w:val="15"/>
                <w:szCs w:val="15"/>
                <w:color w:val="auto"/>
              </w:rPr>
              <w:t>Michael J. Van Handel</w:t>
            </w: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131" w:lineRule="exact"/>
        <w:rPr>
          <w:sz w:val="20"/>
          <w:szCs w:val="20"/>
          <w:color w:val="auto"/>
        </w:rPr>
      </w:pPr>
    </w:p>
    <w:p>
      <w:pPr>
        <w:jc w:val="both"/>
        <w:ind w:left="8"/>
        <w:spacing w:after="0" w:line="235" w:lineRule="auto"/>
        <w:rPr>
          <w:sz w:val="20"/>
          <w:szCs w:val="20"/>
          <w:color w:val="auto"/>
        </w:rPr>
      </w:pPr>
      <w:r>
        <w:rPr>
          <w:rFonts w:ascii="Arial" w:cs="Arial" w:eastAsia="Arial" w:hAnsi="Arial"/>
          <w:sz w:val="18"/>
          <w:szCs w:val="18"/>
          <w:color w:val="auto"/>
        </w:rPr>
        <w:t>Directors: J. Thomas Bouchard, Marc J. Bolland, Gina R. Boswell, Cari M. Dominguez, Jack M. Greenberg, Terry A. Hueneke, Roberto Mendoza, Ulice Payne, Jr., John R. Walter and Edward J. Zore</w:t>
      </w:r>
    </w:p>
    <w:p>
      <w:pPr>
        <w:spacing w:after="0" w:line="132" w:lineRule="exact"/>
        <w:rPr>
          <w:sz w:val="20"/>
          <w:szCs w:val="20"/>
          <w:color w:val="auto"/>
        </w:rPr>
      </w:pPr>
    </w:p>
    <w:p>
      <w:pPr>
        <w:ind w:left="8128"/>
        <w:spacing w:after="0"/>
        <w:rPr>
          <w:sz w:val="20"/>
          <w:szCs w:val="20"/>
          <w:color w:val="auto"/>
        </w:rPr>
      </w:pPr>
      <w:r>
        <w:rPr>
          <w:rFonts w:ascii="Arial" w:cs="Arial" w:eastAsia="Arial" w:hAnsi="Arial"/>
          <w:sz w:val="15"/>
          <w:szCs w:val="15"/>
          <w:color w:val="auto"/>
        </w:rPr>
        <w:t>February 19, 2010</w:t>
      </w:r>
    </w:p>
    <w:p>
      <w:pPr>
        <w:spacing w:after="0" w:line="195" w:lineRule="exact"/>
        <w:rPr>
          <w:sz w:val="20"/>
          <w:szCs w:val="20"/>
          <w:color w:val="auto"/>
        </w:rPr>
      </w:pPr>
    </w:p>
    <w:p>
      <w:pPr>
        <w:ind w:left="48"/>
        <w:spacing w:after="0"/>
        <w:tabs>
          <w:tab w:leader="none" w:pos="448" w:val="left"/>
        </w:tabs>
        <w:rPr>
          <w:sz w:val="20"/>
          <w:szCs w:val="20"/>
          <w:color w:val="auto"/>
        </w:rPr>
      </w:pPr>
      <w:r>
        <w:rPr>
          <w:rFonts w:ascii="Arial" w:cs="Arial" w:eastAsia="Arial" w:hAnsi="Arial"/>
          <w:sz w:val="15"/>
          <w:szCs w:val="15"/>
          <w:color w:val="auto"/>
        </w:rPr>
        <w:t>By:</w:t>
        <w:tab/>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6350</wp:posOffset>
            </wp:positionV>
            <wp:extent cx="182435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4355" cy="14605"/>
                    </a:xfrm>
                    <a:prstGeom prst="rect">
                      <a:avLst/>
                    </a:prstGeom>
                    <a:noFill/>
                  </pic:spPr>
                </pic:pic>
              </a:graphicData>
            </a:graphic>
          </wp:anchor>
        </w:drawing>
      </w:r>
    </w:p>
    <w:p>
      <w:pPr>
        <w:spacing w:after="0" w:line="3" w:lineRule="exact"/>
        <w:rPr>
          <w:sz w:val="20"/>
          <w:szCs w:val="20"/>
          <w:color w:val="auto"/>
        </w:rPr>
      </w:pPr>
    </w:p>
    <w:p>
      <w:pPr>
        <w:ind w:left="468"/>
        <w:spacing w:after="0"/>
        <w:rPr>
          <w:sz w:val="20"/>
          <w:szCs w:val="20"/>
          <w:color w:val="auto"/>
        </w:rPr>
      </w:pPr>
      <w:r>
        <w:rPr>
          <w:rFonts w:ascii="Arial" w:cs="Arial" w:eastAsia="Arial" w:hAnsi="Arial"/>
          <w:sz w:val="15"/>
          <w:szCs w:val="15"/>
          <w:color w:val="auto"/>
        </w:rPr>
        <w:t>Kenneth Hunt</w:t>
      </w:r>
    </w:p>
    <w:p>
      <w:pPr>
        <w:spacing w:after="0" w:line="22" w:lineRule="exact"/>
        <w:rPr>
          <w:sz w:val="20"/>
          <w:szCs w:val="20"/>
          <w:color w:val="auto"/>
        </w:rPr>
      </w:pPr>
    </w:p>
    <w:p>
      <w:pPr>
        <w:ind w:left="468"/>
        <w:spacing w:after="0"/>
        <w:rPr>
          <w:sz w:val="20"/>
          <w:szCs w:val="20"/>
          <w:color w:val="auto"/>
        </w:rPr>
      </w:pPr>
      <w:r>
        <w:rPr>
          <w:rFonts w:ascii="Arial" w:cs="Arial" w:eastAsia="Arial" w:hAnsi="Arial"/>
          <w:sz w:val="15"/>
          <w:szCs w:val="15"/>
          <w:color w:val="auto"/>
        </w:rPr>
        <w:t>Attorney-In-Fact*</w:t>
      </w:r>
    </w:p>
    <w:p>
      <w:pPr>
        <w:spacing w:after="0" w:line="208" w:lineRule="exact"/>
        <w:rPr>
          <w:sz w:val="20"/>
          <w:szCs w:val="20"/>
          <w:color w:val="auto"/>
        </w:rPr>
      </w:pPr>
    </w:p>
    <w:p>
      <w:pPr>
        <w:ind w:left="408" w:hanging="408"/>
        <w:spacing w:after="0"/>
        <w:tabs>
          <w:tab w:leader="none" w:pos="408" w:val="left"/>
        </w:tabs>
        <w:numPr>
          <w:ilvl w:val="0"/>
          <w:numId w:val="18"/>
        </w:numPr>
        <w:rPr>
          <w:rFonts w:ascii="Arial" w:cs="Arial" w:eastAsia="Arial" w:hAnsi="Arial"/>
          <w:sz w:val="15"/>
          <w:szCs w:val="15"/>
          <w:color w:val="auto"/>
        </w:rPr>
      </w:pPr>
      <w:r>
        <w:rPr>
          <w:rFonts w:ascii="Arial" w:cs="Arial" w:eastAsia="Arial" w:hAnsi="Arial"/>
          <w:sz w:val="15"/>
          <w:szCs w:val="15"/>
          <w:color w:val="auto"/>
        </w:rPr>
        <w:t>Pursuant to authority granted by powers of attorney, copies of which are filed herewith.</w:t>
      </w:r>
    </w:p>
    <w:p>
      <w:pPr>
        <w:spacing w:after="0" w:line="200" w:lineRule="exact"/>
        <w:rPr>
          <w:rFonts w:ascii="Arial" w:cs="Arial" w:eastAsia="Arial" w:hAnsi="Arial"/>
          <w:sz w:val="15"/>
          <w:szCs w:val="15"/>
          <w:color w:val="auto"/>
        </w:rPr>
      </w:pPr>
    </w:p>
    <w:p>
      <w:pPr>
        <w:spacing w:after="0" w:line="316" w:lineRule="exact"/>
        <w:rPr>
          <w:rFonts w:ascii="Arial" w:cs="Arial" w:eastAsia="Arial" w:hAnsi="Arial"/>
          <w:sz w:val="15"/>
          <w:szCs w:val="15"/>
          <w:color w:val="auto"/>
        </w:rPr>
      </w:pPr>
    </w:p>
    <w:p>
      <w:pPr>
        <w:ind w:left="5648"/>
        <w:spacing w:after="0"/>
        <w:rPr>
          <w:rFonts w:ascii="Arial" w:cs="Arial" w:eastAsia="Arial" w:hAnsi="Arial"/>
          <w:sz w:val="15"/>
          <w:szCs w:val="15"/>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332" w:right="219" w:bottom="1440" w:gutter="0" w:footer="0" w:header="0"/>
        </w:sectPr>
      </w:pPr>
    </w:p>
    <w:bookmarkStart w:id="31" w:name="page32"/>
    <w:bookmarkEnd w:id="31"/>
    <w:p>
      <w:pPr>
        <w:ind w:left="310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Manpower Inc.:</w:t>
      </w:r>
    </w:p>
    <w:p>
      <w:pPr>
        <w:spacing w:after="0" w:line="21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have audited the consolidated financial statements of Manpower Inc. and subsidiaries (the "Company") as of December 31, 2009 and 2008, and for each of the three years in the period ended December 31, 2009, and the Company's internal control over financial reporting as of December 31, 2009, and have issued our reports thereon dated February 19, 2010; such consolidated financial statements and reports are included in the 2009 Annual Report to Shareholders and are incorporated herein by reference.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February 19, 2010</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Milwaukee, Wisconsin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470" w:right="339" w:bottom="1440" w:gutter="0" w:footer="0" w:header="0"/>
        </w:sectPr>
      </w:pPr>
    </w:p>
    <w:bookmarkStart w:id="32" w:name="page33"/>
    <w:bookmarkEnd w:id="32"/>
    <w:p>
      <w:pPr>
        <w:ind w:left="3540"/>
        <w:spacing w:after="0"/>
        <w:rPr>
          <w:sz w:val="20"/>
          <w:szCs w:val="20"/>
          <w:color w:val="auto"/>
        </w:rPr>
      </w:pPr>
      <w:r>
        <w:rPr>
          <w:rFonts w:ascii="Arial" w:cs="Arial" w:eastAsia="Arial" w:hAnsi="Arial"/>
          <w:sz w:val="15"/>
          <w:szCs w:val="15"/>
          <w:b w:val="1"/>
          <w:bCs w:val="1"/>
          <w:color w:val="auto"/>
        </w:rPr>
        <w:t>SCHEDULE II - VALUATION AND QUALIFYING ACCOUNTS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2009, 2008 and 2007, in millions: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Allowance for Doubtful Accounts: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Balance at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5"/>
              </w:rPr>
              <w:t>Provisions</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Beginning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Charged to</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Translation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5"/>
                <w:szCs w:val="15"/>
                <w:b w:val="1"/>
                <w:bCs w:val="1"/>
                <w:color w:val="auto"/>
              </w:rPr>
              <w:t>Reclassifications and</w:t>
            </w:r>
          </w:p>
        </w:tc>
        <w:tc>
          <w:tcPr>
            <w:tcW w:w="2340" w:type="dxa"/>
            <w:vAlign w:val="bottom"/>
            <w:gridSpan w:val="3"/>
          </w:tcPr>
          <w:p>
            <w:pPr>
              <w:jc w:val="center"/>
              <w:ind w:right="1100"/>
              <w:spacing w:after="0"/>
              <w:rPr>
                <w:sz w:val="20"/>
                <w:szCs w:val="20"/>
                <w:color w:val="auto"/>
              </w:rPr>
            </w:pPr>
            <w:r>
              <w:rPr>
                <w:rFonts w:ascii="Arial" w:cs="Arial" w:eastAsia="Arial" w:hAnsi="Arial"/>
                <w:sz w:val="15"/>
                <w:szCs w:val="15"/>
                <w:b w:val="1"/>
                <w:bCs w:val="1"/>
                <w:color w:val="auto"/>
                <w:w w:val="92"/>
              </w:rPr>
              <w:t>Balance at End of</w:t>
            </w:r>
          </w:p>
        </w:tc>
      </w:tr>
      <w:tr>
        <w:trPr>
          <w:trHeight w:val="190"/>
        </w:trPr>
        <w:tc>
          <w:tcPr>
            <w:tcW w:w="1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4"/>
              </w:rPr>
              <w:t>of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0"/>
              </w:rPr>
              <w:t>Earnings</w:t>
            </w:r>
          </w:p>
        </w:tc>
        <w:tc>
          <w:tcPr>
            <w:tcW w:w="200" w:type="dxa"/>
            <w:vAlign w:val="bottom"/>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6"/>
              </w:rPr>
              <w:t>Write- Offs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4"/>
              </w:rPr>
              <w:t>Adjustments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Other</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w w:val="92"/>
              </w:rPr>
              <w:t>Year</w:t>
            </w:r>
          </w:p>
        </w:tc>
        <w:tc>
          <w:tcPr>
            <w:tcW w:w="1120" w:type="dxa"/>
            <w:vAlign w:val="bottom"/>
          </w:tcPr>
          <w:p>
            <w:pPr>
              <w:spacing w:after="0"/>
              <w:rPr>
                <w:sz w:val="16"/>
                <w:szCs w:val="16"/>
                <w:color w:val="auto"/>
              </w:rPr>
            </w:pPr>
          </w:p>
        </w:tc>
      </w:tr>
      <w:tr>
        <w:trPr>
          <w:trHeight w:val="368"/>
        </w:trPr>
        <w:tc>
          <w:tcPr>
            <w:tcW w:w="18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2009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27.8</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208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118.3</w:t>
            </w:r>
          </w:p>
        </w:tc>
      </w:tr>
      <w:tr>
        <w:trPr>
          <w:trHeight w:val="184"/>
        </w:trPr>
        <w:tc>
          <w:tcPr>
            <w:tcW w:w="1880" w:type="dxa"/>
            <w:vAlign w:val="bottom"/>
          </w:tcPr>
          <w:p>
            <w:pPr>
              <w:jc w:val="right"/>
              <w:ind w:right="103"/>
              <w:spacing w:after="0"/>
              <w:rPr>
                <w:sz w:val="20"/>
                <w:szCs w:val="20"/>
                <w:color w:val="auto"/>
              </w:rPr>
            </w:pPr>
            <w:r>
              <w:rPr>
                <w:rFonts w:ascii="Arial" w:cs="Arial" w:eastAsia="Arial" w:hAnsi="Arial"/>
                <w:sz w:val="15"/>
                <w:szCs w:val="15"/>
                <w:color w:val="auto"/>
              </w:rPr>
              <w:t>2008</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123.1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23.4</w:t>
            </w:r>
          </w:p>
        </w:tc>
        <w:tc>
          <w:tcPr>
            <w:tcW w:w="2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5"/>
                <w:szCs w:val="15"/>
                <w:color w:val="auto"/>
              </w:rPr>
              <w:t>3.6</w:t>
            </w:r>
          </w:p>
        </w:tc>
        <w:tc>
          <w:tcPr>
            <w:tcW w:w="260" w:type="dxa"/>
            <w:vAlign w:val="bottom"/>
          </w:tcPr>
          <w:p>
            <w:pPr>
              <w:spacing w:after="0"/>
              <w:rPr>
                <w:sz w:val="15"/>
                <w:szCs w:val="15"/>
                <w:color w:val="auto"/>
              </w:rPr>
            </w:pPr>
          </w:p>
        </w:tc>
        <w:tc>
          <w:tcPr>
            <w:tcW w:w="2080" w:type="dxa"/>
            <w:vAlign w:val="bottom"/>
            <w:gridSpan w:val="2"/>
          </w:tcPr>
          <w:p>
            <w:pPr>
              <w:jc w:val="right"/>
              <w:ind w:right="1120"/>
              <w:spacing w:after="0"/>
              <w:rPr>
                <w:sz w:val="20"/>
                <w:szCs w:val="20"/>
                <w:color w:val="auto"/>
              </w:rPr>
            </w:pPr>
            <w:r>
              <w:rPr>
                <w:rFonts w:ascii="Arial" w:cs="Arial" w:eastAsia="Arial" w:hAnsi="Arial"/>
                <w:sz w:val="15"/>
                <w:szCs w:val="15"/>
                <w:color w:val="auto"/>
              </w:rPr>
              <w:t>118.5</w:t>
            </w:r>
          </w:p>
        </w:tc>
      </w:tr>
      <w:tr>
        <w:trPr>
          <w:trHeight w:val="184"/>
        </w:trPr>
        <w:tc>
          <w:tcPr>
            <w:tcW w:w="18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2007</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21.8</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w:t>
            </w:r>
          </w:p>
        </w:tc>
        <w:tc>
          <w:tcPr>
            <w:tcW w:w="2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123.1</w:t>
            </w:r>
          </w:p>
        </w:tc>
      </w:tr>
      <w:tr>
        <w:trPr>
          <w:trHeight w:val="735"/>
        </w:trPr>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33</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40"/>
          </w:cols>
          <w:pgMar w:left="240" w:top="458" w:right="21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w w:val="93"/>
              </w:rPr>
              <w:t>Exhibit 12.1</w:t>
            </w:r>
          </w:p>
        </w:tc>
      </w:tr>
      <w:tr>
        <w:trPr>
          <w:trHeight w:val="319"/>
        </w:trPr>
        <w:tc>
          <w:tcPr>
            <w:tcW w:w="3860" w:type="dxa"/>
            <w:vAlign w:val="bottom"/>
          </w:tcPr>
          <w:p>
            <w:pPr>
              <w:spacing w:after="0"/>
              <w:rPr>
                <w:sz w:val="24"/>
                <w:szCs w:val="24"/>
                <w:color w:val="auto"/>
              </w:rPr>
            </w:pPr>
          </w:p>
        </w:tc>
        <w:tc>
          <w:tcPr>
            <w:tcW w:w="3700" w:type="dxa"/>
            <w:vAlign w:val="bottom"/>
            <w:gridSpan w:val="8"/>
          </w:tcPr>
          <w:p>
            <w:pPr>
              <w:jc w:val="center"/>
              <w:spacing w:after="0"/>
              <w:rPr>
                <w:sz w:val="20"/>
                <w:szCs w:val="20"/>
                <w:color w:val="auto"/>
              </w:rPr>
            </w:pPr>
            <w:r>
              <w:rPr>
                <w:rFonts w:ascii="Arial" w:cs="Arial" w:eastAsia="Arial" w:hAnsi="Arial"/>
                <w:sz w:val="15"/>
                <w:szCs w:val="15"/>
                <w:b w:val="1"/>
                <w:bCs w:val="1"/>
                <w:color w:val="auto"/>
              </w:rPr>
              <w:t>STATEMENT REGARDING COMPUTATION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3860" w:type="dxa"/>
            <w:vAlign w:val="bottom"/>
          </w:tcPr>
          <w:p>
            <w:pPr>
              <w:spacing w:after="0"/>
              <w:rPr>
                <w:sz w:val="17"/>
                <w:szCs w:val="17"/>
                <w:color w:val="auto"/>
              </w:rPr>
            </w:pPr>
          </w:p>
        </w:tc>
        <w:tc>
          <w:tcPr>
            <w:tcW w:w="3700" w:type="dxa"/>
            <w:vAlign w:val="bottom"/>
            <w:gridSpan w:val="8"/>
          </w:tcPr>
          <w:p>
            <w:pPr>
              <w:jc w:val="center"/>
              <w:spacing w:after="0"/>
              <w:rPr>
                <w:sz w:val="20"/>
                <w:szCs w:val="20"/>
                <w:color w:val="auto"/>
              </w:rPr>
            </w:pPr>
            <w:r>
              <w:rPr>
                <w:rFonts w:ascii="Arial" w:cs="Arial" w:eastAsia="Arial" w:hAnsi="Arial"/>
                <w:sz w:val="15"/>
                <w:szCs w:val="15"/>
                <w:b w:val="1"/>
                <w:bCs w:val="1"/>
                <w:color w:val="auto"/>
              </w:rPr>
              <w:t>OF RATIO OF EARNINGS TO FIXED CHARGES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23"/>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5"/>
                <w:szCs w:val="15"/>
                <w:color w:val="auto"/>
                <w:w w:val="99"/>
              </w:rPr>
              <w:t>MANPOWER INC.</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3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left="223"/>
              <w:spacing w:after="0"/>
              <w:rPr>
                <w:sz w:val="20"/>
                <w:szCs w:val="20"/>
                <w:color w:val="auto"/>
              </w:rPr>
            </w:pPr>
            <w:r>
              <w:rPr>
                <w:rFonts w:ascii="Arial" w:cs="Arial" w:eastAsia="Arial" w:hAnsi="Arial"/>
                <w:sz w:val="15"/>
                <w:szCs w:val="15"/>
                <w:color w:val="auto"/>
              </w:rPr>
              <w:t>(in millions)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74"/>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2005</w:t>
            </w:r>
          </w:p>
        </w:tc>
        <w:tc>
          <w:tcPr>
            <w:tcW w:w="40" w:type="dxa"/>
            <w:vAlign w:val="bottom"/>
          </w:tcPr>
          <w:p>
            <w:pPr>
              <w:spacing w:after="0"/>
              <w:rPr>
                <w:sz w:val="24"/>
                <w:szCs w:val="24"/>
                <w:color w:val="auto"/>
              </w:rPr>
            </w:pPr>
          </w:p>
        </w:tc>
      </w:tr>
      <w:tr>
        <w:trPr>
          <w:trHeight w:val="175"/>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Earnings:</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4"/>
        </w:trPr>
        <w:tc>
          <w:tcPr>
            <w:tcW w:w="3860" w:type="dxa"/>
            <w:vAlign w:val="bottom"/>
          </w:tcPr>
          <w:p>
            <w:pPr>
              <w:ind w:left="180"/>
              <w:spacing w:after="0"/>
              <w:rPr>
                <w:sz w:val="20"/>
                <w:szCs w:val="20"/>
                <w:color w:val="auto"/>
              </w:rPr>
            </w:pPr>
            <w:r>
              <w:rPr>
                <w:rFonts w:ascii="Arial" w:cs="Arial" w:eastAsia="Arial" w:hAnsi="Arial"/>
                <w:sz w:val="15"/>
                <w:szCs w:val="15"/>
                <w:color w:val="auto"/>
                <w:w w:val="96"/>
              </w:rPr>
              <w:t>Earnings before income taxes from continuing operations</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(22.9)</w:t>
            </w: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442.6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777.0</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481.9</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387.0</w:t>
            </w:r>
          </w:p>
        </w:tc>
      </w:tr>
      <w:tr>
        <w:trPr>
          <w:trHeight w:val="18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Fixed charges</w:t>
            </w:r>
          </w:p>
        </w:tc>
        <w:tc>
          <w:tcPr>
            <w:tcW w:w="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183.9</w:t>
            </w: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200.9</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4"/>
        </w:trPr>
        <w:tc>
          <w:tcPr>
            <w:tcW w:w="38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161.0</w:t>
            </w: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643.5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962.2</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644.7</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540.2</w:t>
            </w:r>
          </w:p>
        </w:tc>
      </w:tr>
      <w:tr>
        <w:trPr>
          <w:trHeight w:val="20"/>
        </w:trPr>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4"/>
        </w:trPr>
        <w:tc>
          <w:tcPr>
            <w:tcW w:w="3860" w:type="dxa"/>
            <w:vAlign w:val="bottom"/>
          </w:tcPr>
          <w:p>
            <w:pPr>
              <w:ind w:left="180"/>
              <w:spacing w:after="0"/>
              <w:rPr>
                <w:sz w:val="20"/>
                <w:szCs w:val="20"/>
                <w:color w:val="auto"/>
              </w:rPr>
            </w:pPr>
            <w:r>
              <w:rPr>
                <w:rFonts w:ascii="Arial" w:cs="Arial" w:eastAsia="Arial" w:hAnsi="Arial"/>
                <w:sz w:val="15"/>
                <w:szCs w:val="15"/>
                <w:color w:val="auto"/>
              </w:rPr>
              <w:t>Interest (expensed or capitalized)</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61.7</w:t>
            </w: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64.2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65.0</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54.1</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46.7</w:t>
            </w:r>
          </w:p>
        </w:tc>
      </w:tr>
      <w:tr>
        <w:trPr>
          <w:trHeight w:val="18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Estimated interest portion of rent expense</w:t>
            </w:r>
          </w:p>
        </w:tc>
        <w:tc>
          <w:tcPr>
            <w:tcW w:w="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136.7</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4"/>
        </w:trPr>
        <w:tc>
          <w:tcPr>
            <w:tcW w:w="38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183.9</w:t>
            </w: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200.9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185.2</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162.8</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153.2</w:t>
            </w:r>
          </w:p>
        </w:tc>
      </w:tr>
      <w:tr>
        <w:trPr>
          <w:trHeight w:val="20"/>
        </w:trPr>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Ratio of earnings to fixed charges</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w:t>
            </w:r>
          </w:p>
        </w:tc>
      </w:tr>
    </w:tbl>
    <w:p>
      <w:pPr>
        <w:spacing w:after="0" w:line="376" w:lineRule="exact"/>
        <w:rPr>
          <w:sz w:val="20"/>
          <w:szCs w:val="20"/>
          <w:color w:val="auto"/>
        </w:rPr>
      </w:pPr>
    </w:p>
    <w:p>
      <w:pPr>
        <w:ind w:left="620" w:right="240" w:hanging="619"/>
        <w:spacing w:after="0" w:line="270" w:lineRule="auto"/>
        <w:tabs>
          <w:tab w:leader="none" w:pos="600" w:val="left"/>
        </w:tabs>
        <w:rPr>
          <w:sz w:val="20"/>
          <w:szCs w:val="20"/>
          <w:color w:val="auto"/>
        </w:rPr>
      </w:pPr>
      <w:r>
        <w:rPr>
          <w:rFonts w:ascii="Arial" w:cs="Arial" w:eastAsia="Arial" w:hAnsi="Arial"/>
          <w:sz w:val="15"/>
          <w:szCs w:val="15"/>
          <w:b w:val="1"/>
          <w:bCs w:val="1"/>
          <w:color w:val="auto"/>
        </w:rPr>
        <w:t>Note:</w:t>
      </w:r>
      <w:r>
        <w:rPr>
          <w:sz w:val="20"/>
          <w:szCs w:val="20"/>
          <w:color w:val="auto"/>
        </w:rPr>
        <w:tab/>
      </w:r>
      <w:r>
        <w:rPr>
          <w:rFonts w:ascii="Arial" w:cs="Arial" w:eastAsia="Arial" w:hAnsi="Arial"/>
          <w:sz w:val="15"/>
          <w:szCs w:val="15"/>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40"/>
          </w:cols>
          <w:pgMar w:left="240" w:top="125" w:right="219" w:bottom="1440" w:gutter="0" w:footer="0" w:header="0"/>
        </w:sectPr>
      </w:pPr>
    </w:p>
    <w:bookmarkStart w:id="34" w:name="page35"/>
    <w:bookmarkEnd w:id="34"/>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6785" cy="768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768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9064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26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9801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260" cy="9801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10377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260" cy="10377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1040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260" cy="1040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9516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260" cy="9516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70"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7260" cy="8976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260" cy="8976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21"/>
          <w:szCs w:val="21"/>
          <w:color w:val="939598"/>
        </w:rPr>
        <w:t>Dear Manpower Investor:</w:t>
      </w:r>
    </w:p>
    <w:p>
      <w:pPr>
        <w:spacing w:after="0" w:line="21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2008, we interviewed 10 million people and placed 4 million people into jobs. In 2009, by comparison, we interviewed 11 million people and placed 3 million people into jobs. We felt first-hand what the world was experiencing. In a nutshell – it was a tough year.</w:t>
      </w:r>
    </w:p>
    <w:p>
      <w:pPr>
        <w:spacing w:after="0" w:line="194" w:lineRule="exact"/>
        <w:rPr>
          <w:sz w:val="20"/>
          <w:szCs w:val="20"/>
          <w:color w:val="auto"/>
        </w:rPr>
      </w:pPr>
    </w:p>
    <w:p>
      <w:pPr>
        <w:jc w:val="both"/>
        <w:spacing w:after="0" w:line="218" w:lineRule="auto"/>
        <w:rPr>
          <w:sz w:val="20"/>
          <w:szCs w:val="20"/>
          <w:color w:val="auto"/>
        </w:rPr>
      </w:pPr>
      <w:r>
        <w:rPr>
          <w:rFonts w:ascii="Arial" w:cs="Arial" w:eastAsia="Arial" w:hAnsi="Arial"/>
          <w:sz w:val="15"/>
          <w:szCs w:val="15"/>
          <w:color w:val="auto"/>
        </w:rPr>
        <w:t>Accordingly, we experienced some of the most rapid drops in revenue in the history of our company; partially offsetting that was the increase of revenue generated by our Right Management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business, through which we assisted over 225,000 people transition into new careers. Many of these were what we call “Industry Migrants,” people who were faced with the challenge of moving from one industry to another, learning new skills and adapting to new industry cultures.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No surprise, it was also a difficult time for almost all of our clients. There was a tremendous amount of pressure to reduce costs, focus the workforce and redefine how work gets done. Finding ways to do more with less was the theme. So we faced the challenge, developed solutions, and in doing so we improved our brand and improved our company.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This recession was different than previous downturns. Clearly, the labor market was profoundly affected, as we saw the most severe and protracted drop in employment in U.S. history, and in many cases on a worldwide basis. It will take longer to emerge and it will force many industries to restructure permanently. We are at the inflection point. Now, we have a unique opportunity to leverage our expertise to help get the world back to work. Many companies are struggling to create or improve their workforce strategy. Employers can now only afford to hire as demand for their product or service presents itself. Companies are grappling with new challenges, creating an unprecedented need for on-demand talent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4217035" cy="1473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17035" cy="147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 </w:t>
      </w:r>
      <w:r>
        <w:rPr>
          <w:rFonts w:ascii="Arial" w:cs="Arial" w:eastAsia="Arial" w:hAnsi="Arial"/>
          <w:sz w:val="14"/>
          <w:szCs w:val="14"/>
          <w:color w:val="auto"/>
        </w:rPr>
        <w:t>Manpower 2009 Annual Report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939598"/>
        </w:rPr>
        <w:t>Shareholder's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36" w:right="219" w:bottom="1440" w:gutter="0" w:footer="0" w:header="0"/>
        </w:sectPr>
      </w:pPr>
    </w:p>
    <w:bookmarkStart w:id="42" w:name="page43"/>
    <w:bookmarkEnd w:id="42"/>
    <w:p>
      <w:pPr>
        <w:jc w:val="both"/>
        <w:spacing w:after="0" w:line="241" w:lineRule="auto"/>
        <w:rPr>
          <w:sz w:val="20"/>
          <w:szCs w:val="20"/>
          <w:color w:val="auto"/>
        </w:rPr>
      </w:pPr>
      <w:r>
        <w:rPr>
          <w:rFonts w:ascii="Arial" w:cs="Arial" w:eastAsia="Arial" w:hAnsi="Arial"/>
          <w:sz w:val="15"/>
          <w:szCs w:val="15"/>
          <w:color w:val="auto"/>
        </w:rPr>
        <w:t>The difficulty in the labor market is clearly evident in our numbers. Our revenue for 2009 was $16 billion, down 26% and our net loss was $9 million, down from earnings of $206 million in 2008. Our net earnings, excluding non-recurring items, was $86 million. Our operating cash flow continued to be strong, at $414 million, ending the year with $1 billion of cash. We moved quickly and appropriately to reduce our expense base by 15%, but never at the price of endangering our position in a market or our ability to recover with speed. Our geographic footprint, which we are committed to, remained intact, with 87% of our revenue generated from outside the U.S. Our Right Management team did an outstanding job as they guided companies in transitioning people out of their businesses. Our revenues in Right Management improved by 24% to $559 million, and our operating earnings finished the year at $113 million.</w:t>
      </w:r>
    </w:p>
    <w:p>
      <w:pPr>
        <w:spacing w:after="0" w:line="202"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Our strong financial position and resolve for our strategic direction prevented us from so-called strategy drift. Yet, we remained agile to adjust our execution based on the environment, accelerating programs and initiatives appropriately and stopping those that were irrelevant as a result of the velocity of the downturn. We enter this recovery stronger. Our agility and ability to adjust quickly will prove to be a major advantage as we move into 2010 and beyond.</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Robust times are ahead for us. The trends in our industry are powerful, in mature markets as well as the emerging markets. In the mature markets, we are hearing from our clients that they are going to need to have a more flexible approach to their workforce. They are uncertain of their ability to attract the talent they need, so they will rely on us. And then, of course, there are those markets in Europe and Asia that are emerging, where the penetration of our services is currently low, but will no doubt grow. We see both of these as massive opportunities as we move into the next phase of this recovery. We may not see the upside immediately, as we believe 2010 will have a slow start. But, we are confident that as we look to 2011 and 2012 these secular trends will be robust. So will we see a “less jobs recovery?” Sure we will. But it is a trend that holds promise for us because companies will remain cautious </w:t>
      </w:r>
      <w:r>
        <w:rPr>
          <w:rFonts w:ascii="Arial" w:cs="Arial" w:eastAsia="Arial" w:hAnsi="Arial"/>
          <w:sz w:val="15"/>
          <w:szCs w:val="15"/>
          <w:b w:val="1"/>
          <w:bCs w:val="1"/>
          <w:color w:val="auto"/>
        </w:rPr>
        <w:t>t</w:t>
      </w:r>
      <w:r>
        <w:rPr>
          <w:rFonts w:ascii="Arial" w:cs="Arial" w:eastAsia="Arial" w:hAnsi="Arial"/>
          <w:sz w:val="15"/>
          <w:szCs w:val="15"/>
          <w:color w:val="auto"/>
        </w:rPr>
        <w:t>o hire permanently in sluggish demand, yet their need for talent will increa</w:t>
      </w:r>
      <w:r>
        <w:rPr>
          <w:rFonts w:ascii="Arial" w:cs="Arial" w:eastAsia="Arial" w:hAnsi="Arial"/>
          <w:sz w:val="15"/>
          <w:szCs w:val="15"/>
          <w:b w:val="1"/>
          <w:bCs w:val="1"/>
          <w:color w:val="auto"/>
        </w:rPr>
        <w:t>s</w:t>
      </w:r>
      <w:r>
        <w:rPr>
          <w:rFonts w:ascii="Arial" w:cs="Arial" w:eastAsia="Arial" w:hAnsi="Arial"/>
          <w:sz w:val="15"/>
          <w:szCs w:val="15"/>
          <w:color w:val="auto"/>
        </w:rPr>
        <w:t>e, and we provide the bridge to get the world back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2888615</wp:posOffset>
            </wp:positionV>
            <wp:extent cx="7287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260" cy="41910"/>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125730</wp:posOffset>
            </wp:positionV>
            <wp:extent cx="4895850" cy="2312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95850" cy="231267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3" w:name="page44"/>
    <w:bookmarkEnd w:id="43"/>
    <w:p>
      <w:pPr>
        <w:jc w:val="both"/>
        <w:spacing w:after="0" w:line="228" w:lineRule="auto"/>
        <w:rPr>
          <w:sz w:val="20"/>
          <w:szCs w:val="20"/>
          <w:color w:val="auto"/>
        </w:rPr>
      </w:pPr>
      <w:r>
        <w:rPr>
          <w:rFonts w:ascii="Arial" w:cs="Arial" w:eastAsia="Arial" w:hAnsi="Arial"/>
          <w:sz w:val="15"/>
          <w:szCs w:val="15"/>
          <w:color w:val="auto"/>
        </w:rPr>
        <w:t>We are approaching this period of time with confidence. This is based on the team that we have assembled and the strategic priorities that we have established to take advantage of what the market presents. We have much to be proud of. In 2009, we proved to the world that our innovation, geographic presence and major initiatives are best in class. For example, MyPath, the world’s first social</w:t>
      </w:r>
      <w:r>
        <w:rPr>
          <w:rFonts w:ascii="Arial" w:cs="Arial" w:eastAsia="Arial" w:hAnsi="Arial"/>
          <w:sz w:val="20"/>
          <w:szCs w:val="20"/>
          <w:color w:val="auto"/>
          <w:vertAlign w:val="superscript"/>
        </w:rPr>
        <w:t>™</w:t>
      </w:r>
      <w:r>
        <w:rPr>
          <w:rFonts w:ascii="Arial" w:cs="Arial" w:eastAsia="Arial" w:hAnsi="Arial"/>
          <w:sz w:val="15"/>
          <w:szCs w:val="15"/>
          <w:color w:val="auto"/>
        </w:rPr>
        <w:t xml:space="preserve"> network dedicated to improving individual skills and the advancement of careers in the professional areas of IT, engineering and finance was extremely well-received. We believe that our brand and knowledge will be the trusted source as individuals come to grips with the challenges of living, learning and working. Through a word-of-mouth approach only, we have attracted over 170,000 unique visitors. In January 2010, we publicly launched MyPath at the World Economic Forum Annual Meeting in Davos, and have seen a significant pick up in visitors since then.</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rolled out the second version of our Branch and Candidate Experience initiative to further embed the Candidate Experience mindsets. We trained our team to efficiently, yet very effectively, provide the best experience for our candidates and associates, which will ensure that we deliver the best match for our clients. It was also this training that helped our field offices set the right tone and have the right conversations with our increasing number of candidates amidst the limited availability of job openings.</w:t>
      </w:r>
    </w:p>
    <w:p>
      <w:pPr>
        <w:spacing w:after="0" w:line="192"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We also expanded our Manpower Business Solutions</w:t>
      </w:r>
      <w:r>
        <w:rPr>
          <w:rFonts w:ascii="Arial" w:cs="Arial" w:eastAsia="Arial" w:hAnsi="Arial"/>
          <w:sz w:val="20"/>
          <w:szCs w:val="20"/>
          <w:color w:val="auto"/>
          <w:vertAlign w:val="superscript"/>
        </w:rPr>
        <w:t>™</w:t>
      </w:r>
      <w:r>
        <w:rPr>
          <w:rFonts w:ascii="Arial" w:cs="Arial" w:eastAsia="Arial" w:hAnsi="Arial"/>
          <w:sz w:val="15"/>
          <w:szCs w:val="15"/>
          <w:color w:val="auto"/>
        </w:rPr>
        <w:t xml:space="preserve"> (MBS) in 2009. We added resources in areas that we believe will be the first movers in the recovery. We invested in MBS, particularly Recruitment Process Outsourcing (RPO). Not only did we expand in our capabilities, we’ve also greatly expanded our book of business to the point where we are now the world’s leader, on a global basis, in the RPO area. We see this trend continuing and we are confident that we are well-positioned in the global market from a brand and capability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3932555" cy="1459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32555" cy="145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8 </w:t>
      </w:r>
      <w:r>
        <w:rPr>
          <w:rFonts w:ascii="Arial" w:cs="Arial" w:eastAsia="Arial" w:hAnsi="Arial"/>
          <w:sz w:val="14"/>
          <w:szCs w:val="14"/>
          <w:color w:val="auto"/>
        </w:rPr>
        <w:t>Manpower 2009 Annual Report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939598"/>
        </w:rPr>
        <w:t>Shareholder's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4" w:name="page45"/>
    <w:bookmarkEnd w:id="44"/>
    <w:p>
      <w:pPr>
        <w:jc w:val="both"/>
        <w:spacing w:after="0" w:line="242" w:lineRule="auto"/>
        <w:rPr>
          <w:sz w:val="20"/>
          <w:szCs w:val="20"/>
          <w:color w:val="auto"/>
        </w:rPr>
      </w:pPr>
      <w:r>
        <w:rPr>
          <w:rFonts w:ascii="Arial" w:cs="Arial" w:eastAsia="Arial" w:hAnsi="Arial"/>
          <w:sz w:val="15"/>
          <w:szCs w:val="15"/>
          <w:color w:val="auto"/>
        </w:rPr>
        <w:t>Our Right Management business is stronger than ever before. No doubt, 2009 was the “cyclical” time for Right Management to move to center stage, as companies downsized their workforce. As a result, hundreds of thousands of people entered our Right Management doors to find out more about themselves and find new careers. We used this opportunity to not only strengthen our Right Management brand, but reposition it closer to Manpower and invest in our Talent Management practice. It worked, as the number of coaching and assessment assignments in Right Management reached record levels. We have positioned ourselves well, as these services are in high demand during a recovery.</w:t>
      </w:r>
    </w:p>
    <w:p>
      <w:pPr>
        <w:spacing w:after="0" w:line="199"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Our continual positioning and enhancement of our brand, and the relevant services that we are offering to our clients and prospects are anchored in what we know and what we research. We have a large role in redefining work. The increased velocity of change is happening every day in the way work is performed all over the world. We have identified these changes in four World of Work megatrends. We didn’t stumble upon these trends; in fact, we intensely researched them with on-the-ground expertise and with an intense curiosity with our clients and candidates.</w:t>
      </w:r>
    </w:p>
    <w:p>
      <w:pPr>
        <w:spacing w:after="0" w:line="185" w:lineRule="exact"/>
        <w:rPr>
          <w:sz w:val="20"/>
          <w:szCs w:val="20"/>
          <w:color w:val="auto"/>
        </w:rPr>
      </w:pPr>
    </w:p>
    <w:p>
      <w:pPr>
        <w:jc w:val="both"/>
        <w:ind w:left="380"/>
        <w:spacing w:after="0" w:line="255" w:lineRule="auto"/>
        <w:rPr>
          <w:sz w:val="20"/>
          <w:szCs w:val="20"/>
          <w:color w:val="auto"/>
        </w:rPr>
      </w:pPr>
      <w:r>
        <w:rPr>
          <w:rFonts w:ascii="Arial" w:cs="Arial" w:eastAsia="Arial" w:hAnsi="Arial"/>
          <w:sz w:val="15"/>
          <w:szCs w:val="15"/>
          <w:i w:val="1"/>
          <w:iCs w:val="1"/>
          <w:color w:val="auto"/>
        </w:rPr>
        <w:t xml:space="preserve">The Demographics and Talent Mismatch </w:t>
      </w:r>
      <w:r>
        <w:rPr>
          <w:rFonts w:ascii="Arial" w:cs="Arial" w:eastAsia="Arial" w:hAnsi="Arial"/>
          <w:sz w:val="15"/>
          <w:szCs w:val="15"/>
          <w:color w:val="auto"/>
        </w:rPr>
        <w:t>is the conundrum that both individuals and companies are feeling right now. As the working age population declines and</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are looking for talent, they’re looking for talent in a much more specific way, yet individuals are also being more selective when they can, or are feeling out of touch with what companies are looking for. This is happening on a global basis.</w:t>
      </w:r>
    </w:p>
    <w:p>
      <w:pPr>
        <w:spacing w:after="0" w:line="174" w:lineRule="exact"/>
        <w:rPr>
          <w:sz w:val="20"/>
          <w:szCs w:val="20"/>
          <w:color w:val="auto"/>
        </w:rPr>
      </w:pPr>
    </w:p>
    <w:p>
      <w:pPr>
        <w:jc w:val="both"/>
        <w:ind w:left="380" w:right="20"/>
        <w:spacing w:after="0" w:line="271" w:lineRule="auto"/>
        <w:rPr>
          <w:sz w:val="20"/>
          <w:szCs w:val="20"/>
          <w:color w:val="auto"/>
        </w:rPr>
      </w:pPr>
      <w:r>
        <w:rPr>
          <w:rFonts w:ascii="Arial" w:cs="Arial" w:eastAsia="Arial" w:hAnsi="Arial"/>
          <w:sz w:val="15"/>
          <w:szCs w:val="15"/>
          <w:i w:val="1"/>
          <w:iCs w:val="1"/>
          <w:color w:val="auto"/>
        </w:rPr>
        <w:t xml:space="preserve">Individual Choice </w:t>
      </w:r>
      <w:r>
        <w:rPr>
          <w:rFonts w:ascii="Arial" w:cs="Arial" w:eastAsia="Arial" w:hAnsi="Arial"/>
          <w:sz w:val="15"/>
          <w:szCs w:val="15"/>
          <w:color w:val="auto"/>
        </w:rPr>
        <w:t>is creeping in wherever possible. Individuals are exercising their clout as they realize in some cases they have the skills that are in most demand,</w:t>
      </w:r>
      <w:r>
        <w:rPr>
          <w:rFonts w:ascii="Arial" w:cs="Arial" w:eastAsia="Arial" w:hAnsi="Arial"/>
          <w:sz w:val="15"/>
          <w:szCs w:val="15"/>
          <w:i w:val="1"/>
          <w:iCs w:val="1"/>
          <w:color w:val="auto"/>
        </w:rPr>
        <w:t xml:space="preserve"> </w:t>
      </w:r>
      <w:r>
        <w:rPr>
          <w:rFonts w:ascii="Arial" w:cs="Arial" w:eastAsia="Arial" w:hAnsi="Arial"/>
          <w:sz w:val="15"/>
          <w:szCs w:val="15"/>
          <w:color w:val="auto"/>
        </w:rPr>
        <w:t>which in turn is requiring companies to think differently about how they attract, retain and stay relevant to an ever select group of 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87260" cy="255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260" cy="25565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5" w:name="page46"/>
    <w:bookmarkEnd w:id="45"/>
    <w:p>
      <w:pPr>
        <w:ind w:left="380"/>
        <w:spacing w:after="0" w:line="271" w:lineRule="auto"/>
        <w:rPr>
          <w:sz w:val="20"/>
          <w:szCs w:val="20"/>
          <w:color w:val="auto"/>
        </w:rPr>
      </w:pPr>
      <w:r>
        <w:rPr>
          <w:rFonts w:ascii="Arial" w:cs="Arial" w:eastAsia="Arial" w:hAnsi="Arial"/>
          <w:sz w:val="15"/>
          <w:szCs w:val="15"/>
          <w:i w:val="1"/>
          <w:iCs w:val="1"/>
          <w:color w:val="auto"/>
        </w:rPr>
        <w:t xml:space="preserve">Rising Customer Sophistication </w:t>
      </w:r>
      <w:r>
        <w:rPr>
          <w:rFonts w:ascii="Arial" w:cs="Arial" w:eastAsia="Arial" w:hAnsi="Arial"/>
          <w:sz w:val="15"/>
          <w:szCs w:val="15"/>
          <w:color w:val="auto"/>
        </w:rPr>
        <w:t>is happening across the board. The transparency and velocity of information exchange throughout the entire value chain is creating</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and tension at every level within that chain.</w:t>
      </w:r>
    </w:p>
    <w:p>
      <w:pPr>
        <w:spacing w:after="0" w:line="162" w:lineRule="exact"/>
        <w:rPr>
          <w:sz w:val="20"/>
          <w:szCs w:val="20"/>
          <w:color w:val="auto"/>
        </w:rPr>
      </w:pPr>
    </w:p>
    <w:p>
      <w:pPr>
        <w:ind w:left="380"/>
        <w:spacing w:after="0" w:line="271" w:lineRule="auto"/>
        <w:rPr>
          <w:sz w:val="20"/>
          <w:szCs w:val="20"/>
          <w:color w:val="auto"/>
        </w:rPr>
      </w:pPr>
      <w:r>
        <w:rPr>
          <w:rFonts w:ascii="Arial" w:cs="Arial" w:eastAsia="Arial" w:hAnsi="Arial"/>
          <w:sz w:val="15"/>
          <w:szCs w:val="15"/>
          <w:i w:val="1"/>
          <w:iCs w:val="1"/>
          <w:color w:val="auto"/>
        </w:rPr>
        <w:t xml:space="preserve">Technological Revolutions </w:t>
      </w:r>
      <w:r>
        <w:rPr>
          <w:rFonts w:ascii="Arial" w:cs="Arial" w:eastAsia="Arial" w:hAnsi="Arial"/>
          <w:sz w:val="15"/>
          <w:szCs w:val="15"/>
          <w:color w:val="auto"/>
        </w:rPr>
        <w:t>are at the heart of almost all of this. The ability to have the power to change where and when and how we work, enabling the 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individuals to be more agile and innovative is what is happening on a daily basis and what you have seen so far is only the tip of the iceberg.</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These World of Work trends are foundational. They’re foundational to how we act, where we invest and where we focus our thought leadership. They are drivers of secular growth at the core of our business as well as in the specialty areas and outcome-based solutions. It is our grasp of these trends and our talent aligned to these trends that give us the confidence that we are addressing our clients and candidates with real solutions – solutions that are practical, adaptable and flexible.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are aggressive with the execution of our strategy, which is an outside-in approach, focusing on services that deliver value to our clients and candidates that address this ever-changing World of Work. We continue to grow our capabilities organically and, where appropriate, acquire companies that give us an acceleration and catalytic affect when using our capital, brand and geographic footprint.</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strategy is clear. Over the next three years, we will leverage our strengths, global footprint and brand to aggressively expand our specialty staffing and new sectors and services. Regardless of what the economy does, we are confident that we will move forward at a pace greater than our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121285</wp:posOffset>
            </wp:positionV>
            <wp:extent cx="6172835" cy="2211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835"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10 </w:t>
      </w:r>
      <w:r>
        <w:rPr>
          <w:rFonts w:ascii="Arial" w:cs="Arial" w:eastAsia="Arial" w:hAnsi="Arial"/>
          <w:sz w:val="14"/>
          <w:szCs w:val="14"/>
          <w:color w:val="auto"/>
        </w:rPr>
        <w:t>Manpower 2009 Annual Report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939598"/>
        </w:rPr>
        <w:t>Shareholder's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6" w:name="page47"/>
    <w:bookmarkEnd w:id="46"/>
    <w:p>
      <w:pPr>
        <w:jc w:val="both"/>
        <w:spacing w:after="0" w:line="249" w:lineRule="auto"/>
        <w:rPr>
          <w:sz w:val="20"/>
          <w:szCs w:val="20"/>
          <w:color w:val="auto"/>
        </w:rPr>
      </w:pPr>
      <w:r>
        <w:rPr>
          <w:rFonts w:ascii="Arial" w:cs="Arial" w:eastAsia="Arial" w:hAnsi="Arial"/>
          <w:sz w:val="15"/>
          <w:szCs w:val="15"/>
          <w:color w:val="auto"/>
        </w:rPr>
        <w:t>We will address the World of Work trends head on and position ourselves in a way that delivers value to our clients and candidates. We will execute on a daily basis, as well as further our four strategic priorities: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4D8ABE"/>
        </w:rPr>
        <w:t xml:space="preserve">The Manpower Experience </w:t>
      </w:r>
      <w:r>
        <w:rPr>
          <w:rFonts w:ascii="Arial" w:cs="Arial" w:eastAsia="Arial" w:hAnsi="Arial"/>
          <w:sz w:val="15"/>
          <w:szCs w:val="15"/>
          <w:color w:val="000000"/>
        </w:rPr>
        <w:t>does define our brand. It is not only what we do, but it’s how we do it. This is what our clients who have been with us for years tell us makes the</w:t>
      </w:r>
      <w:r>
        <w:rPr>
          <w:rFonts w:ascii="Arial" w:cs="Arial" w:eastAsia="Arial" w:hAnsi="Arial"/>
          <w:sz w:val="15"/>
          <w:szCs w:val="15"/>
          <w:color w:val="4D8ABE"/>
        </w:rPr>
        <w:t xml:space="preserve"> </w:t>
      </w:r>
      <w:r>
        <w:rPr>
          <w:rFonts w:ascii="Arial" w:cs="Arial" w:eastAsia="Arial" w:hAnsi="Arial"/>
          <w:sz w:val="15"/>
          <w:szCs w:val="15"/>
          <w:color w:val="000000"/>
        </w:rPr>
        <w:t>difference. We are now codifying and ensuring this experience is felt from the first moment there is an encounter with a Manpower company. Providing this “best of experience” for our candidates and clients will deliver value, bode well for our brand and deliver higher profitability.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We will leverage much of this Manpower Experience in what we are doing in </w:t>
      </w:r>
      <w:r>
        <w:rPr>
          <w:rFonts w:ascii="Arial" w:cs="Arial" w:eastAsia="Arial" w:hAnsi="Arial"/>
          <w:sz w:val="15"/>
          <w:szCs w:val="15"/>
          <w:color w:val="E9830E"/>
        </w:rPr>
        <w:t>Professional Staffing and Specialty Services.</w:t>
      </w:r>
      <w:r>
        <w:rPr>
          <w:rFonts w:ascii="Arial" w:cs="Arial" w:eastAsia="Arial" w:hAnsi="Arial"/>
          <w:sz w:val="15"/>
          <w:szCs w:val="15"/>
          <w:color w:val="auto"/>
        </w:rPr>
        <w:t xml:space="preserve"> Several years ago, we made the decision to broaden our range of services beyond our core staffing. We have been very successful and now we are going to move faster. We will leverage our global footprint and the full range of services to balance our mix of business, turn up the volume on our higher margin specialty businesses and grow our professional staffing business. 2010 will be critical for us to deploy go-to-market strategies in this area. Recently, we announced that we will acquire one of the largest IT staffing providers in the U.S., bringing our specialty business and professional staffing business to account for over 20% of our overall revenues and one third of our gross margin. We are able to marry our organic success with an acquisition, in this case, to significantly enhance our ability to help our clients win.</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A backbone to all of this will be our </w:t>
      </w:r>
      <w:r>
        <w:rPr>
          <w:rFonts w:ascii="Arial" w:cs="Arial" w:eastAsia="Arial" w:hAnsi="Arial"/>
          <w:sz w:val="15"/>
          <w:szCs w:val="15"/>
          <w:color w:val="86B6A5"/>
        </w:rPr>
        <w:t>Digital Strategy</w:t>
      </w:r>
      <w:r>
        <w:rPr>
          <w:rFonts w:ascii="Arial" w:cs="Arial" w:eastAsia="Arial" w:hAnsi="Arial"/>
          <w:sz w:val="15"/>
          <w:szCs w:val="15"/>
          <w:color w:val="auto"/>
        </w:rPr>
        <w:t xml:space="preserve"> and the implementation of our digital platforms. Our digital strategy is a key focus area as technology is ubiquitous and along with this ubiquity is the rise of social networks, Web 2.0 and mobile connectivity. As a result, our clients and candidates are expecting us to interact with them in a different way. This is a perfect opportunity for us to inject the Manpower Experience into the digital world. Over the past few years, we have been preparing to work in this space and do it in the right way. The introduction of MyPath, combined with core offerings like Direct Source, Direct Time, Direct Office and Direct Talent, enhances our position as the bricks and clicks premier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87260" cy="2490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260" cy="249047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7" w:name="page48"/>
    <w:bookmarkEnd w:id="47"/>
    <w:p>
      <w:pPr>
        <w:jc w:val="both"/>
        <w:spacing w:after="0" w:line="242" w:lineRule="auto"/>
        <w:rPr>
          <w:sz w:val="20"/>
          <w:szCs w:val="20"/>
          <w:color w:val="auto"/>
        </w:rPr>
      </w:pPr>
      <w:r>
        <w:rPr>
          <w:rFonts w:ascii="Arial" w:cs="Arial" w:eastAsia="Arial" w:hAnsi="Arial"/>
          <w:sz w:val="15"/>
          <w:szCs w:val="15"/>
          <w:color w:val="auto"/>
        </w:rPr>
        <w:t xml:space="preserve">This also gives us opportunities to enter or expand into </w:t>
      </w:r>
      <w:r>
        <w:rPr>
          <w:rFonts w:ascii="Arial" w:cs="Arial" w:eastAsia="Arial" w:hAnsi="Arial"/>
          <w:sz w:val="15"/>
          <w:szCs w:val="15"/>
          <w:color w:val="CA494E"/>
        </w:rPr>
        <w:t>New Sectors and Services.</w:t>
      </w:r>
      <w:r>
        <w:rPr>
          <w:rFonts w:ascii="Arial" w:cs="Arial" w:eastAsia="Arial" w:hAnsi="Arial"/>
          <w:sz w:val="15"/>
          <w:szCs w:val="15"/>
          <w:color w:val="auto"/>
        </w:rPr>
        <w:t xml:space="preserve"> The environment is allowing for it and we are more than prepared. Our combined assets of the Manpower group of companies is a compelling offering. We are deploying a unique consulting offering based on our combined assets to deliver a workforce strategy that is aligned with our clients’ business strategy, an area we know is highly sought after by many companies. Additionally, we will continue to develop and institutionalize our world-leading global offering for Manpower Business Solutions and our Recruitment Process Outsourcing service, and explore virtual work to leverage its value for individuals and companies.</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success of these four strategic priorities, coupled with the secular growth and recovering economy, indicates that 2010 will be better than 2009. We will still be challenged because of the slow start in this “less jobs recovery,” but we are moving forward.</w:t>
      </w:r>
    </w:p>
    <w:p>
      <w:pPr>
        <w:spacing w:after="0" w:line="194"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We are building momentum in the market. We are getting better and stronger every single day as more and more companies and individuals are drawn to the Manpower group of companies. Our value and values become more pronounced and required. Why? Because we consistently outperform the market in delivering value. The downturn, in many ways, fired up our team. They never hesitated to do more, muscle through and work harder to keep us on track. I am proud to lead such an engaged and motivated team. Thanks team.</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Through these tough times, we were more creative and innovative than ever before. We will need to continue to challenge ourselves to think creatively, to be agile and make sure that our strategies are relevant and practical. And we too, like our clients, have to do more with less. It is the balance of tension that we must manage to ensure that we continue to keep a longitudinal view, while at the same time, anticipating the impact that the economy will throw at us on a day-to-day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3385185" cy="128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85185" cy="128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 </w:t>
      </w:r>
      <w:r>
        <w:rPr>
          <w:rFonts w:ascii="Arial" w:cs="Arial" w:eastAsia="Arial" w:hAnsi="Arial"/>
          <w:sz w:val="14"/>
          <w:szCs w:val="14"/>
          <w:color w:val="auto"/>
        </w:rPr>
        <w:t>Manpower 2009 Annual Report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939598"/>
        </w:rPr>
        <w:t>Shareholder's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8" w:name="page49"/>
    <w:bookmarkEnd w:id="48"/>
    <w:p>
      <w:pPr>
        <w:jc w:val="both"/>
        <w:spacing w:after="0" w:line="242" w:lineRule="auto"/>
        <w:rPr>
          <w:sz w:val="20"/>
          <w:szCs w:val="20"/>
          <w:color w:val="auto"/>
        </w:rPr>
      </w:pPr>
      <w:r>
        <w:rPr>
          <w:rFonts w:ascii="Arial" w:cs="Arial" w:eastAsia="Arial" w:hAnsi="Arial"/>
          <w:sz w:val="15"/>
          <w:szCs w:val="15"/>
          <w:color w:val="auto"/>
        </w:rPr>
        <w:t>Even in this difficult time, we are proud of the number of people and lives that we have positively affected – and it is much more gratifying during these times. It is our ability to balance the profitability with the sustainability that allows us to help the economy grow by putting people of all kinds back to work. We are part of creating economic value by creating jobs, building and upskilling talent. We build capability not only in people, but in communities, which translates into sustainable profitability for our organization. This is central to our mission-based culture. It is this culture that kept us calm and carried us through this difficult time.</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2009 also marked the passing of our co-founder, Elmer Winter, which gave us a moment to reflect upon what we stand for today. Our mission to connect people to meaningful work has been firmly rooted in our DNA since the company’s founding over 62 years ago. We are fortunate to have been founded by a man with such a sense of mission. We take very seriously the responsibility that we have in building the World of Work, interviewing millions and millions of people each year, connecting millions of people to work and helping thousands of people transition from one work environment to another.</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No doubt, 2010 will offer more challenges; challenges that the Manpower team will not only overcome, but excel in. We view the opportunities in front of us as far greater than the obstacles. So no matter whether we have a robust or tepid recovery, you can count on the Manpower team to tackle the challenge and win. We have the ability and agility to aggressively pursue the opportunities that 2010 offers. Now, let’s get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080135" cy="554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80135"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86B6A5"/>
        </w:rPr>
        <w:t>JEFFREY A. JOERRES</w:t>
      </w:r>
    </w:p>
    <w:p>
      <w:pPr>
        <w:spacing w:after="0"/>
        <w:rPr>
          <w:sz w:val="20"/>
          <w:szCs w:val="20"/>
          <w:color w:val="auto"/>
        </w:rPr>
      </w:pPr>
      <w:r>
        <w:rPr>
          <w:rFonts w:ascii="Arial" w:cs="Arial" w:eastAsia="Arial" w:hAnsi="Arial"/>
          <w:sz w:val="15"/>
          <w:szCs w:val="15"/>
          <w:color w:val="auto"/>
        </w:rPr>
        <w:t>CHAIRMAN, CEO &amp; PRESIDENT</w:t>
      </w:r>
    </w:p>
    <w:p>
      <w:pPr>
        <w:spacing w:after="0"/>
        <w:rPr>
          <w:sz w:val="20"/>
          <w:szCs w:val="20"/>
          <w:color w:val="auto"/>
        </w:rPr>
      </w:pPr>
      <w:r>
        <w:rPr>
          <w:rFonts w:ascii="Arial" w:cs="Arial" w:eastAsia="Arial" w:hAnsi="Arial"/>
          <w:sz w:val="15"/>
          <w:szCs w:val="15"/>
          <w:color w:val="auto"/>
        </w:rPr>
        <w:t>FEBRUARY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129540</wp:posOffset>
            </wp:positionV>
            <wp:extent cx="3422015" cy="2809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2015" cy="280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939598"/>
        </w:rPr>
        <w:t xml:space="preserve">Shareholder's Letter  </w:t>
      </w:r>
      <w:r>
        <w:rPr>
          <w:rFonts w:ascii="Arial" w:cs="Arial" w:eastAsia="Arial" w:hAnsi="Arial"/>
          <w:sz w:val="14"/>
          <w:szCs w:val="14"/>
          <w:color w:val="000000"/>
        </w:rPr>
        <w:t>Manpower 2009 Annual Report</w:t>
      </w:r>
      <w:r>
        <w:rPr>
          <w:rFonts w:ascii="Arial" w:cs="Arial" w:eastAsia="Arial" w:hAnsi="Arial"/>
          <w:sz w:val="14"/>
          <w:szCs w:val="14"/>
          <w:b w:val="1"/>
          <w:bCs w:val="1"/>
          <w:color w:val="939598"/>
        </w:rPr>
        <w:t xml:space="preserve"> </w:t>
      </w:r>
      <w:r>
        <w:rPr>
          <w:rFonts w:ascii="Arial" w:cs="Arial" w:eastAsia="Arial" w:hAnsi="Arial"/>
          <w:sz w:val="14"/>
          <w:szCs w:val="14"/>
          <w:b w:val="1"/>
          <w:bCs w:val="1"/>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287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At a Glance</w:t>
      </w:r>
    </w:p>
    <w:p>
      <w:pPr>
        <w:sectPr>
          <w:pgSz w:w="11900" w:h="16838" w:orient="portrait"/>
          <w:cols w:equalWidth="0" w:num="1">
            <w:col w:w="10540"/>
          </w:cols>
          <w:pgMar w:left="240" w:top="135" w:right="111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Segment Revenues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Segment Operating Unit Profit</w:t>
      </w:r>
    </w:p>
    <w:p>
      <w:pPr>
        <w:spacing w:after="0" w:line="35" w:lineRule="exact"/>
        <w:rPr>
          <w:sz w:val="20"/>
          <w:szCs w:val="20"/>
          <w:color w:val="auto"/>
        </w:rPr>
      </w:pPr>
    </w:p>
    <w:p>
      <w:pPr>
        <w:sectPr>
          <w:pgSz w:w="11900" w:h="16838" w:orient="portrait"/>
          <w:cols w:equalWidth="0" w:num="2">
            <w:col w:w="5000" w:space="720"/>
            <w:col w:w="4820"/>
          </w:cols>
          <w:pgMar w:left="240" w:top="135" w:right="1119" w:bottom="1440" w:gutter="0" w:footer="0" w:header="0"/>
          <w:type w:val="continuous"/>
        </w:sectPr>
      </w:pPr>
    </w:p>
    <w:p>
      <w:pPr>
        <w:spacing w:after="0"/>
        <w:rPr>
          <w:sz w:val="20"/>
          <w:szCs w:val="20"/>
          <w:color w:val="auto"/>
        </w:rPr>
      </w:pPr>
      <w:r>
        <w:rPr>
          <w:rFonts w:ascii="Arial" w:cs="Arial" w:eastAsia="Arial" w:hAnsi="Arial"/>
          <w:sz w:val="13"/>
          <w:szCs w:val="13"/>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575560" cy="141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5560" cy="141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2626360" cy="13862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26360" cy="1386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4820"/>
          </w:cols>
          <w:pgMar w:left="240" w:top="13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20"/>
                <w:szCs w:val="20"/>
                <w:color w:val="auto"/>
              </w:rPr>
            </w:pPr>
            <w:r>
              <w:rPr>
                <w:rFonts w:ascii="Arial" w:cs="Arial" w:eastAsia="Arial" w:hAnsi="Arial"/>
                <w:sz w:val="14"/>
                <w:szCs w:val="14"/>
                <w:color w:val="auto"/>
              </w:rPr>
              <w:t>SHARES OUTSTANDING</w:t>
            </w:r>
          </w:p>
        </w:tc>
        <w:tc>
          <w:tcPr>
            <w:tcW w:w="3320" w:type="dxa"/>
            <w:vAlign w:val="bottom"/>
          </w:tcPr>
          <w:p>
            <w:pPr>
              <w:ind w:left="600"/>
              <w:spacing w:after="0"/>
              <w:rPr>
                <w:sz w:val="20"/>
                <w:szCs w:val="20"/>
                <w:color w:val="auto"/>
              </w:rPr>
            </w:pPr>
            <w:r>
              <w:rPr>
                <w:rFonts w:ascii="Arial" w:cs="Arial" w:eastAsia="Arial" w:hAnsi="Arial"/>
                <w:sz w:val="15"/>
                <w:szCs w:val="15"/>
                <w:color w:val="auto"/>
              </w:rPr>
              <w:t>2009 SHARE PRICE HIGH AND LOW</w:t>
            </w:r>
          </w:p>
        </w:tc>
        <w:tc>
          <w:tcPr>
            <w:tcW w:w="2840" w:type="dxa"/>
            <w:vAlign w:val="bottom"/>
          </w:tcPr>
          <w:p>
            <w:pPr>
              <w:ind w:left="140"/>
              <w:spacing w:after="0"/>
              <w:rPr>
                <w:sz w:val="20"/>
                <w:szCs w:val="20"/>
                <w:color w:val="auto"/>
              </w:rPr>
            </w:pPr>
            <w:r>
              <w:rPr>
                <w:rFonts w:ascii="Arial" w:cs="Arial" w:eastAsia="Arial" w:hAnsi="Arial"/>
                <w:sz w:val="15"/>
                <w:szCs w:val="15"/>
                <w:color w:val="auto"/>
              </w:rPr>
              <w:t>FISCAL YEAR END DATE</w:t>
            </w:r>
          </w:p>
        </w:tc>
        <w:tc>
          <w:tcPr>
            <w:tcW w:w="2140" w:type="dxa"/>
            <w:vAlign w:val="bottom"/>
          </w:tcPr>
          <w:p>
            <w:pPr>
              <w:ind w:left="160"/>
              <w:spacing w:after="0"/>
              <w:rPr>
                <w:sz w:val="20"/>
                <w:szCs w:val="20"/>
                <w:color w:val="auto"/>
              </w:rPr>
            </w:pPr>
            <w:r>
              <w:rPr>
                <w:rFonts w:ascii="Arial" w:cs="Arial" w:eastAsia="Arial" w:hAnsi="Arial"/>
                <w:sz w:val="14"/>
                <w:szCs w:val="14"/>
                <w:color w:val="auto"/>
                <w:w w:val="97"/>
              </w:rPr>
              <w:t>NUMBER OF SHARES ISSUED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CA494E"/>
              </w:rPr>
              <w:t>78,576,560</w:t>
            </w:r>
          </w:p>
        </w:tc>
        <w:tc>
          <w:tcPr>
            <w:tcW w:w="3320" w:type="dxa"/>
            <w:vAlign w:val="bottom"/>
          </w:tcPr>
          <w:p>
            <w:pPr>
              <w:ind w:left="600"/>
              <w:spacing w:after="0"/>
              <w:rPr>
                <w:sz w:val="20"/>
                <w:szCs w:val="20"/>
                <w:color w:val="auto"/>
              </w:rPr>
            </w:pPr>
            <w:r>
              <w:rPr>
                <w:rFonts w:ascii="Arial" w:cs="Arial" w:eastAsia="Arial" w:hAnsi="Arial"/>
                <w:sz w:val="18"/>
                <w:szCs w:val="18"/>
                <w:b w:val="1"/>
                <w:bCs w:val="1"/>
                <w:color w:val="E9830E"/>
              </w:rPr>
              <w:t>$61.48/ $23.75</w:t>
            </w:r>
          </w:p>
        </w:tc>
        <w:tc>
          <w:tcPr>
            <w:tcW w:w="2840" w:type="dxa"/>
            <w:vAlign w:val="bottom"/>
          </w:tcPr>
          <w:p>
            <w:pPr>
              <w:ind w:left="140"/>
              <w:spacing w:after="0"/>
              <w:rPr>
                <w:sz w:val="20"/>
                <w:szCs w:val="20"/>
                <w:color w:val="auto"/>
              </w:rPr>
            </w:pPr>
            <w:r>
              <w:rPr>
                <w:rFonts w:ascii="Arial" w:cs="Arial" w:eastAsia="Arial" w:hAnsi="Arial"/>
                <w:sz w:val="18"/>
                <w:szCs w:val="18"/>
                <w:b w:val="1"/>
                <w:bCs w:val="1"/>
                <w:color w:val="86B6A5"/>
              </w:rPr>
              <w:t>December 31</w:t>
            </w:r>
          </w:p>
        </w:tc>
        <w:tc>
          <w:tcPr>
            <w:tcW w:w="2140" w:type="dxa"/>
            <w:vAlign w:val="bottom"/>
          </w:tcPr>
          <w:p>
            <w:pPr>
              <w:ind w:left="160"/>
              <w:spacing w:after="0"/>
              <w:rPr>
                <w:sz w:val="20"/>
                <w:szCs w:val="20"/>
                <w:color w:val="auto"/>
              </w:rPr>
            </w:pPr>
            <w:r>
              <w:rPr>
                <w:rFonts w:ascii="Arial" w:cs="Arial" w:eastAsia="Arial" w:hAnsi="Arial"/>
                <w:sz w:val="18"/>
                <w:szCs w:val="18"/>
                <w:b w:val="1"/>
                <w:bCs w:val="1"/>
                <w:color w:val="E9830E"/>
              </w:rPr>
              <w:t>104,397,965</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5"/>
                <w:szCs w:val="15"/>
                <w:b w:val="1"/>
                <w:bCs w:val="1"/>
                <w:color w:val="CA494E"/>
              </w:rPr>
              <w:t>(as of Dec 31, 2009)</w:t>
            </w:r>
          </w:p>
        </w:tc>
        <w:tc>
          <w:tcPr>
            <w:tcW w:w="3320" w:type="dxa"/>
            <w:vAlign w:val="bottom"/>
            <w:vMerge w:val="restart"/>
          </w:tcPr>
          <w:p>
            <w:pPr>
              <w:ind w:left="600"/>
              <w:spacing w:after="0"/>
              <w:rPr>
                <w:sz w:val="20"/>
                <w:szCs w:val="20"/>
                <w:color w:val="auto"/>
              </w:rPr>
            </w:pPr>
            <w:r>
              <w:rPr>
                <w:rFonts w:ascii="Arial" w:cs="Arial" w:eastAsia="Arial" w:hAnsi="Arial"/>
                <w:sz w:val="15"/>
                <w:szCs w:val="15"/>
                <w:color w:val="auto"/>
              </w:rPr>
              <w:t>STOCK EXCHANGE</w:t>
            </w:r>
          </w:p>
        </w:tc>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MARKET CAPITALIZATION</w:t>
            </w:r>
          </w:p>
        </w:tc>
        <w:tc>
          <w:tcPr>
            <w:tcW w:w="2140" w:type="dxa"/>
            <w:vAlign w:val="bottom"/>
          </w:tcPr>
          <w:p>
            <w:pPr>
              <w:ind w:left="160"/>
              <w:spacing w:after="0"/>
              <w:rPr>
                <w:sz w:val="20"/>
                <w:szCs w:val="20"/>
                <w:color w:val="auto"/>
              </w:rPr>
            </w:pPr>
            <w:r>
              <w:rPr>
                <w:rFonts w:ascii="Arial" w:cs="Arial" w:eastAsia="Arial" w:hAnsi="Arial"/>
                <w:sz w:val="15"/>
                <w:szCs w:val="15"/>
                <w:b w:val="1"/>
                <w:bCs w:val="1"/>
                <w:color w:val="E9830E"/>
              </w:rPr>
              <w:t>(as of Dec 31, 2009)</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3320" w:type="dxa"/>
            <w:vAlign w:val="bottom"/>
            <w:vMerge w:val="continue"/>
          </w:tcPr>
          <w:p>
            <w:pPr>
              <w:spacing w:after="0"/>
              <w:rPr>
                <w:sz w:val="11"/>
                <w:szCs w:val="11"/>
                <w:color w:val="auto"/>
              </w:rPr>
            </w:pPr>
          </w:p>
        </w:tc>
        <w:tc>
          <w:tcPr>
            <w:tcW w:w="284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240" w:type="dxa"/>
            <w:vAlign w:val="bottom"/>
          </w:tcPr>
          <w:p>
            <w:pPr>
              <w:spacing w:after="0"/>
              <w:rPr>
                <w:sz w:val="20"/>
                <w:szCs w:val="20"/>
                <w:color w:val="auto"/>
              </w:rPr>
            </w:pPr>
            <w:r>
              <w:rPr>
                <w:rFonts w:ascii="Arial" w:cs="Arial" w:eastAsia="Arial" w:hAnsi="Arial"/>
                <w:sz w:val="14"/>
                <w:szCs w:val="14"/>
                <w:color w:val="auto"/>
              </w:rPr>
              <w:t>AVG. DAILY VOLUME</w:t>
            </w:r>
          </w:p>
        </w:tc>
        <w:tc>
          <w:tcPr>
            <w:tcW w:w="3320" w:type="dxa"/>
            <w:vAlign w:val="bottom"/>
          </w:tcPr>
          <w:p>
            <w:pPr>
              <w:ind w:left="600"/>
              <w:spacing w:after="0"/>
              <w:rPr>
                <w:sz w:val="20"/>
                <w:szCs w:val="20"/>
                <w:color w:val="auto"/>
              </w:rPr>
            </w:pPr>
            <w:r>
              <w:rPr>
                <w:rFonts w:ascii="Arial" w:cs="Arial" w:eastAsia="Arial" w:hAnsi="Arial"/>
                <w:sz w:val="18"/>
                <w:szCs w:val="18"/>
                <w:b w:val="1"/>
                <w:bCs w:val="1"/>
                <w:color w:val="CA494E"/>
              </w:rPr>
              <w:t>NYSE (Ticker: MAN)</w:t>
            </w:r>
          </w:p>
        </w:tc>
        <w:tc>
          <w:tcPr>
            <w:tcW w:w="2840" w:type="dxa"/>
            <w:vAlign w:val="bottom"/>
          </w:tcPr>
          <w:p>
            <w:pPr>
              <w:ind w:left="140"/>
              <w:spacing w:after="0"/>
              <w:rPr>
                <w:sz w:val="20"/>
                <w:szCs w:val="20"/>
                <w:color w:val="auto"/>
              </w:rPr>
            </w:pPr>
            <w:r>
              <w:rPr>
                <w:rFonts w:ascii="Arial" w:cs="Arial" w:eastAsia="Arial" w:hAnsi="Arial"/>
                <w:sz w:val="18"/>
                <w:szCs w:val="18"/>
                <w:b w:val="1"/>
                <w:bCs w:val="1"/>
                <w:color w:val="4D8ABE"/>
              </w:rPr>
              <w:t>$4.3 billion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86B6A5"/>
              </w:rPr>
              <w:t>900,000 +</w:t>
            </w:r>
          </w:p>
        </w:tc>
        <w:tc>
          <w:tcPr>
            <w:tcW w:w="332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5"/>
                <w:szCs w:val="15"/>
                <w:b w:val="1"/>
                <w:bCs w:val="1"/>
                <w:color w:val="4D8ABE"/>
              </w:rPr>
              <w:t>(as of Dec 31, 2009)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5"/>
                <w:szCs w:val="15"/>
                <w:b w:val="1"/>
                <w:bCs w:val="1"/>
                <w:color w:val="86B6A5"/>
              </w:rPr>
              <w:t>shares per day in 2009</w:t>
            </w:r>
          </w:p>
        </w:tc>
        <w:tc>
          <w:tcPr>
            <w:tcW w:w="3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5"/>
        </w:trPr>
        <w:tc>
          <w:tcPr>
            <w:tcW w:w="2240" w:type="dxa"/>
            <w:vAlign w:val="bottom"/>
          </w:tcPr>
          <w:p>
            <w:pPr>
              <w:spacing w:after="0"/>
              <w:rPr>
                <w:sz w:val="20"/>
                <w:szCs w:val="20"/>
                <w:color w:val="auto"/>
              </w:rPr>
            </w:pPr>
            <w:r>
              <w:rPr>
                <w:rFonts w:ascii="Arial" w:cs="Arial" w:eastAsia="Arial" w:hAnsi="Arial"/>
                <w:sz w:val="18"/>
                <w:szCs w:val="18"/>
                <w:b w:val="1"/>
                <w:bCs w:val="1"/>
                <w:color w:val="auto"/>
              </w:rPr>
              <w:t>Systemwide</w:t>
            </w:r>
          </w:p>
        </w:tc>
        <w:tc>
          <w:tcPr>
            <w:tcW w:w="3320" w:type="dxa"/>
            <w:vAlign w:val="bottom"/>
          </w:tcPr>
          <w:p>
            <w:pPr>
              <w:spacing w:after="0"/>
              <w:rPr>
                <w:sz w:val="24"/>
                <w:szCs w:val="24"/>
                <w:color w:val="auto"/>
              </w:rPr>
            </w:pPr>
          </w:p>
        </w:tc>
        <w:tc>
          <w:tcPr>
            <w:tcW w:w="2840" w:type="dxa"/>
            <w:vAlign w:val="bottom"/>
          </w:tcPr>
          <w:p>
            <w:pPr>
              <w:ind w:left="160"/>
              <w:spacing w:after="0"/>
              <w:rPr>
                <w:sz w:val="20"/>
                <w:szCs w:val="20"/>
                <w:color w:val="auto"/>
              </w:rPr>
            </w:pPr>
            <w:r>
              <w:rPr>
                <w:rFonts w:ascii="Arial" w:cs="Arial" w:eastAsia="Arial" w:hAnsi="Arial"/>
                <w:sz w:val="18"/>
                <w:szCs w:val="18"/>
                <w:b w:val="1"/>
                <w:bCs w:val="1"/>
                <w:color w:val="auto"/>
              </w:rPr>
              <w:t>People Placed in Permanent,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Arial" w:cs="Arial" w:eastAsia="Arial" w:hAnsi="Arial"/>
                <w:sz w:val="18"/>
                <w:szCs w:val="18"/>
                <w:b w:val="1"/>
                <w:bCs w:val="1"/>
                <w:color w:val="auto"/>
              </w:rPr>
              <w:t>Offices</w:t>
            </w:r>
          </w:p>
        </w:tc>
        <w:tc>
          <w:tcPr>
            <w:tcW w:w="3320" w:type="dxa"/>
            <w:vAlign w:val="bottom"/>
          </w:tcPr>
          <w:p>
            <w:pPr>
              <w:spacing w:after="0"/>
              <w:rPr>
                <w:sz w:val="21"/>
                <w:szCs w:val="21"/>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b w:val="1"/>
                <w:bCs w:val="1"/>
                <w:color w:val="auto"/>
              </w:rPr>
              <w:t>Temporary and Contract Positions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5931535" cy="817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1535" cy="81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Offices across 82 countries and territories allow us to meet the needs of</w:t>
      </w:r>
    </w:p>
    <w:p>
      <w:pPr>
        <w:spacing w:after="0"/>
        <w:rPr>
          <w:sz w:val="20"/>
          <w:szCs w:val="20"/>
          <w:color w:val="auto"/>
        </w:rPr>
      </w:pPr>
      <w:r>
        <w:rPr>
          <w:rFonts w:ascii="Arial" w:cs="Arial" w:eastAsia="Arial" w:hAnsi="Arial"/>
          <w:sz w:val="15"/>
          <w:szCs w:val="15"/>
          <w:color w:val="auto"/>
        </w:rPr>
        <w:t>clients in all industry segments. Systemwide Offices represents our branch</w:t>
      </w:r>
    </w:p>
    <w:p>
      <w:pPr>
        <w:spacing w:after="0"/>
        <w:rPr>
          <w:sz w:val="20"/>
          <w:szCs w:val="20"/>
          <w:color w:val="auto"/>
        </w:rPr>
      </w:pPr>
      <w:r>
        <w:rPr>
          <w:rFonts w:ascii="Arial" w:cs="Arial" w:eastAsia="Arial" w:hAnsi="Arial"/>
          <w:sz w:val="15"/>
          <w:szCs w:val="15"/>
          <w:color w:val="auto"/>
        </w:rPr>
        <w:t>offices plus the offices operating under a franchise agreement with us.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Record of Long-Term Revenue Growth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BILLIONS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508625" cy="23787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8625" cy="237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14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Manpower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0540"/>
          </w:cols>
          <w:pgMar w:left="240" w:top="135" w:right="1119" w:bottom="1440" w:gutter="0" w:footer="0" w:header="0"/>
          <w:type w:val="continuous"/>
        </w:sectPr>
      </w:pPr>
    </w:p>
    <w:bookmarkStart w:id="50" w:name="page51"/>
    <w:bookmarkEnd w:id="50"/>
    <w:p>
      <w:pPr>
        <w:ind w:left="8"/>
        <w:spacing w:after="0"/>
        <w:rPr>
          <w:sz w:val="20"/>
          <w:szCs w:val="20"/>
          <w:color w:val="auto"/>
        </w:rPr>
      </w:pPr>
      <w:r>
        <w:rPr>
          <w:rFonts w:ascii="Arial" w:cs="Arial" w:eastAsia="Arial" w:hAnsi="Arial"/>
          <w:sz w:val="21"/>
          <w:szCs w:val="21"/>
          <w:b w:val="1"/>
          <w:bCs w:val="1"/>
          <w:color w:val="auto"/>
        </w:rPr>
        <w:t>Financial Highlights</w:t>
      </w:r>
    </w:p>
    <w:p>
      <w:pPr>
        <w:spacing w:after="0" w:line="40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Revenues from Services (a)</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268855" cy="788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88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 w:right="1880"/>
        <w:spacing w:after="0" w:line="270" w:lineRule="auto"/>
        <w:rPr>
          <w:sz w:val="20"/>
          <w:szCs w:val="20"/>
          <w:color w:val="auto"/>
        </w:rPr>
      </w:pPr>
      <w:r>
        <w:rPr>
          <w:rFonts w:ascii="Arial" w:cs="Arial" w:eastAsia="Arial" w:hAnsi="Arial"/>
          <w:sz w:val="13"/>
          <w:szCs w:val="13"/>
          <w:color w:val="auto"/>
        </w:rPr>
        <w:t>2009 was the most difficult year in the history of the company. Yet at the same time, we have positioned ourselves so that 2010 is truly an inflection point.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Profit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2480945" cy="1072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80945" cy="107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decreased 92% from 2008. Excluding</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non-recurring items, Operating Profit decreased</w:t>
      </w:r>
    </w:p>
    <w:p>
      <w:pPr>
        <w:spacing w:after="0"/>
        <w:rPr>
          <w:sz w:val="20"/>
          <w:szCs w:val="20"/>
          <w:color w:val="auto"/>
        </w:rPr>
      </w:pPr>
      <w:r>
        <w:rPr>
          <w:rFonts w:ascii="Arial" w:cs="Arial" w:eastAsia="Arial" w:hAnsi="Arial"/>
          <w:sz w:val="14"/>
          <w:szCs w:val="14"/>
          <w:color w:val="auto"/>
        </w:rPr>
        <w:t>78% for the year.</w:t>
      </w:r>
    </w:p>
    <w:p>
      <w:pPr>
        <w:spacing w:after="0" w:line="221" w:lineRule="exact"/>
        <w:rPr>
          <w:sz w:val="20"/>
          <w:szCs w:val="20"/>
          <w:color w:val="auto"/>
        </w:rPr>
      </w:pPr>
    </w:p>
    <w:p>
      <w:pPr>
        <w:sectPr>
          <w:pgSz w:w="11900" w:h="16838" w:orient="portrait"/>
          <w:cols w:equalWidth="0" w:num="2">
            <w:col w:w="5008" w:space="720"/>
            <w:col w:w="5720"/>
          </w:cols>
          <w:pgMar w:left="232" w:top="112" w:right="219" w:bottom="924" w:gutter="0" w:footer="0" w:header="0"/>
        </w:sectPr>
      </w:pPr>
    </w:p>
    <w:p>
      <w:pPr>
        <w:spacing w:after="0" w:line="12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Operating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553970" cy="1087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53970" cy="108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 w:right="1680"/>
        <w:spacing w:after="0" w:line="241" w:lineRule="auto"/>
        <w:rPr>
          <w:sz w:val="20"/>
          <w:szCs w:val="20"/>
          <w:color w:val="auto"/>
        </w:rPr>
      </w:pPr>
      <w:r>
        <w:rPr>
          <w:rFonts w:ascii="Arial" w:cs="Arial" w:eastAsia="Arial" w:hAnsi="Arial"/>
          <w:sz w:val="14"/>
          <w:szCs w:val="14"/>
          <w:color w:val="auto"/>
        </w:rPr>
        <w:t>Operating Profit Margin decreased to 0.26% in 2009, or 0.85% excluding the non-recurring items, due to the drop in gross margin and the deleveraging of our expense base as a result of the decline in revenues.</w:t>
      </w:r>
    </w:p>
    <w:p>
      <w:pPr>
        <w:spacing w:after="0" w:line="34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Net Earnings from Continuing Operations</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2480945" cy="1094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80945" cy="109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8" w:right="1800"/>
        <w:spacing w:after="0" w:line="242" w:lineRule="auto"/>
        <w:rPr>
          <w:sz w:val="20"/>
          <w:szCs w:val="20"/>
          <w:color w:val="auto"/>
        </w:rPr>
      </w:pPr>
      <w:r>
        <w:rPr>
          <w:rFonts w:ascii="Arial" w:cs="Arial" w:eastAsia="Arial" w:hAnsi="Arial"/>
          <w:sz w:val="14"/>
          <w:szCs w:val="14"/>
          <w:color w:val="auto"/>
        </w:rPr>
        <w:t>Net Earnings from Continuing Operations decreased to a loss of $9.2 million, or earnings of $86.0 million excluding non-recurring items.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Return on Invested Capital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502535" cy="1072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02535" cy="107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Return on Invested Capital is defined as operating profit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after tax divided by the average monthly total of net</w:t>
      </w:r>
    </w:p>
    <w:p>
      <w:pPr>
        <w:spacing w:after="0"/>
        <w:rPr>
          <w:sz w:val="20"/>
          <w:szCs w:val="20"/>
          <w:color w:val="auto"/>
        </w:rPr>
      </w:pPr>
      <w:r>
        <w:rPr>
          <w:rFonts w:ascii="Arial" w:cs="Arial" w:eastAsia="Arial" w:hAnsi="Arial"/>
          <w:sz w:val="13"/>
          <w:szCs w:val="13"/>
          <w:color w:val="auto"/>
        </w:rPr>
        <w:t>debt and equity for the year. Net debt is defined as total</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debt less cash and cash equivalents.</w:t>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Earnings Per Share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Continuing Operations – Diluted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2429510" cy="1094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9510" cy="109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Net Earnings Per Share from Continuing Operations –</w:t>
      </w:r>
    </w:p>
    <w:p>
      <w:pPr>
        <w:spacing w:after="0"/>
        <w:rPr>
          <w:sz w:val="20"/>
          <w:szCs w:val="20"/>
          <w:color w:val="auto"/>
        </w:rPr>
      </w:pPr>
      <w:r>
        <w:rPr>
          <w:rFonts w:ascii="Arial" w:cs="Arial" w:eastAsia="Arial" w:hAnsi="Arial"/>
          <w:sz w:val="14"/>
          <w:szCs w:val="14"/>
          <w:color w:val="auto"/>
        </w:rPr>
        <w:t>Diluted decreased to a loss of $0.12, or earnings of</w:t>
      </w:r>
    </w:p>
    <w:p>
      <w:pPr>
        <w:spacing w:after="0"/>
        <w:rPr>
          <w:sz w:val="20"/>
          <w:szCs w:val="20"/>
          <w:color w:val="auto"/>
        </w:rPr>
      </w:pPr>
      <w:r>
        <w:rPr>
          <w:rFonts w:ascii="Arial" w:cs="Arial" w:eastAsia="Arial" w:hAnsi="Arial"/>
          <w:sz w:val="14"/>
          <w:szCs w:val="14"/>
          <w:color w:val="auto"/>
        </w:rPr>
        <w:t>$1.10 excluding non-recurring items.</w:t>
      </w:r>
    </w:p>
    <w:p>
      <w:pPr>
        <w:spacing w:after="0" w:line="204" w:lineRule="exact"/>
        <w:rPr>
          <w:sz w:val="20"/>
          <w:szCs w:val="20"/>
          <w:color w:val="auto"/>
        </w:rPr>
      </w:pPr>
    </w:p>
    <w:p>
      <w:pPr>
        <w:sectPr>
          <w:pgSz w:w="11900" w:h="16838" w:orient="portrait"/>
          <w:cols w:equalWidth="0" w:num="2">
            <w:col w:w="5008" w:space="720"/>
            <w:col w:w="5720"/>
          </w:cols>
          <w:pgMar w:left="232" w:top="112" w:right="219" w:bottom="924" w:gutter="0" w:footer="0" w:header="0"/>
          <w:type w:val="continuous"/>
        </w:sectPr>
      </w:pP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Emerging Market Revenue</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2138045" cy="831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3804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 w:right="1740"/>
        <w:spacing w:after="0" w:line="251" w:lineRule="auto"/>
        <w:rPr>
          <w:sz w:val="20"/>
          <w:szCs w:val="20"/>
          <w:color w:val="auto"/>
        </w:rPr>
      </w:pPr>
      <w:r>
        <w:rPr>
          <w:rFonts w:ascii="Arial" w:cs="Arial" w:eastAsia="Arial" w:hAnsi="Arial"/>
          <w:sz w:val="14"/>
          <w:szCs w:val="14"/>
          <w:color w:val="auto"/>
        </w:rPr>
        <w:t>Emerging market revenue declined 16% in 2009, with declines in the key expansion markets: India (-6%), China (-24%) and Eastern Europe (-17%).</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Capitalization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2466340" cy="955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66340" cy="95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Debt as a percentage of total capitalization was 23%</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in 2009 compared to 28% in 2008 and 26% in 2007.</w:t>
      </w:r>
    </w:p>
    <w:p>
      <w:pPr>
        <w:spacing w:after="0" w:line="394" w:lineRule="exact"/>
        <w:rPr>
          <w:sz w:val="20"/>
          <w:szCs w:val="20"/>
          <w:color w:val="auto"/>
        </w:rPr>
      </w:pPr>
    </w:p>
    <w:p>
      <w:pPr>
        <w:sectPr>
          <w:pgSz w:w="11900" w:h="16838" w:orient="portrait"/>
          <w:cols w:equalWidth="0" w:num="2">
            <w:col w:w="5008" w:space="720"/>
            <w:col w:w="5720"/>
          </w:cols>
          <w:pgMar w:left="232" w:top="112" w:right="219" w:bottom="924" w:gutter="0" w:footer="0" w:header="0"/>
          <w:type w:val="continuous"/>
        </w:sectPr>
      </w:pPr>
    </w:p>
    <w:p>
      <w:pPr>
        <w:spacing w:after="0" w:line="214" w:lineRule="exact"/>
        <w:rPr>
          <w:sz w:val="20"/>
          <w:szCs w:val="20"/>
          <w:color w:val="auto"/>
        </w:rPr>
      </w:pPr>
    </w:p>
    <w:p>
      <w:pPr>
        <w:jc w:val="both"/>
        <w:ind w:left="568" w:hanging="568"/>
        <w:spacing w:after="0"/>
        <w:tabs>
          <w:tab w:leader="none" w:pos="568"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Revenues from Services includes fees received from our franchise offices of $35.8 million, $35.7 million, $35.7 million, $30.9 million and $22.3 million for 2005, 2006, 2007, 2008 and 2009, respectively. These fees are primarily based on revenues generated by the franchise offices, which were $1,510.7 million, $1,497.0 million, $1,408.5 million, $1,148.1 million and $746.7 million for 2005, 2006, 2007, 2008 and 2009, respectively. In the United States, where the majority of our franchises operate, Revenues from Services includes fees received from the related franchise operations of $24.9 million, $24.4 million, $24.2 million, $17.7 million and $10.5 million for 2005, 2006, 2007, 2008 and 2009, respectively. These fees are primarily based on revenues generated by the franchise operations, which were $1,196.9 million, $1,146.1 million, $1,055.1 million, $746.2 million and $459.3 million for 2005, 2006, 2007, 2008 and 2009, respectively.</w:t>
      </w:r>
    </w:p>
    <w:p>
      <w:pPr>
        <w:spacing w:after="0" w:line="171" w:lineRule="exact"/>
        <w:rPr>
          <w:rFonts w:ascii="Arial" w:cs="Arial" w:eastAsia="Arial" w:hAnsi="Arial"/>
          <w:sz w:val="14"/>
          <w:szCs w:val="14"/>
          <w:color w:val="auto"/>
        </w:rPr>
      </w:pPr>
    </w:p>
    <w:p>
      <w:pPr>
        <w:jc w:val="both"/>
        <w:ind w:left="568" w:right="20" w:hanging="568"/>
        <w:spacing w:after="0" w:line="242" w:lineRule="auto"/>
        <w:tabs>
          <w:tab w:leader="none" w:pos="568"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exclude the impact for the goodwill impairment charge related to our investment in Jefferson Wells, loss on the sale of an equity investment, charge related to the extinguishment of our interest rate swap agreements and amended revolving credit facility, and global reorganization charges. (See Note 1 to the Consolidated Financial Statements for further information.)</w:t>
      </w:r>
    </w:p>
    <w:p>
      <w:pPr>
        <w:spacing w:after="0" w:line="167" w:lineRule="exact"/>
        <w:rPr>
          <w:rFonts w:ascii="Arial" w:cs="Arial" w:eastAsia="Arial" w:hAnsi="Arial"/>
          <w:sz w:val="14"/>
          <w:szCs w:val="14"/>
          <w:color w:val="auto"/>
        </w:rPr>
      </w:pPr>
    </w:p>
    <w:p>
      <w:pPr>
        <w:ind w:left="568" w:right="20" w:hanging="568"/>
        <w:spacing w:after="0" w:line="245" w:lineRule="auto"/>
        <w:tabs>
          <w:tab w:leader="none" w:pos="568"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exclude the impact of the French business tax refund, French payroll tax modification, French competition investigation, goodwill and intangible asset impairment charge related to our investment in Right Management and the global reorganization charges. (See Note 1 to the Consolidated Financial Statements for further information.)</w:t>
      </w:r>
    </w:p>
    <w:p>
      <w:pPr>
        <w:spacing w:after="0" w:line="165" w:lineRule="exact"/>
        <w:rPr>
          <w:rFonts w:ascii="Arial" w:cs="Arial" w:eastAsia="Arial" w:hAnsi="Arial"/>
          <w:sz w:val="14"/>
          <w:szCs w:val="14"/>
          <w:color w:val="auto"/>
        </w:rPr>
      </w:pPr>
    </w:p>
    <w:p>
      <w:pPr>
        <w:ind w:left="568" w:right="20" w:hanging="568"/>
        <w:spacing w:after="0" w:line="245" w:lineRule="auto"/>
        <w:tabs>
          <w:tab w:leader="none" w:pos="568"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exclude the impact of the payroll tax modification in France, French competition investigation and reorganization charges. (See Note 1 to the Consolidated Financial Statements for further information.)</w:t>
      </w:r>
    </w:p>
    <w:p>
      <w:pPr>
        <w:spacing w:after="0" w:line="184"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Financial Highlights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186055</wp:posOffset>
            </wp:positionV>
            <wp:extent cx="7292340" cy="671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671195"/>
                    </a:xfrm>
                    <a:prstGeom prst="rect">
                      <a:avLst/>
                    </a:prstGeom>
                    <a:noFill/>
                  </pic:spPr>
                </pic:pic>
              </a:graphicData>
            </a:graphic>
          </wp:anchor>
        </w:drawing>
      </w:r>
    </w:p>
    <w:p>
      <w:pPr>
        <w:sectPr>
          <w:pgSz w:w="11900" w:h="16838" w:orient="portrait"/>
          <w:cols w:equalWidth="0" w:num="1">
            <w:col w:w="11448"/>
          </w:cols>
          <w:pgMar w:left="232" w:top="112" w:right="219" w:bottom="924" w:gutter="0" w:footer="0" w:header="0"/>
          <w:type w:val="continuous"/>
        </w:sectPr>
      </w:pPr>
    </w:p>
    <w:bookmarkStart w:id="51" w:name="page52"/>
    <w:bookmarkEnd w:id="51"/>
    <w:p>
      <w:pPr>
        <w:ind w:left="574"/>
        <w:spacing w:after="0"/>
        <w:rPr>
          <w:sz w:val="20"/>
          <w:szCs w:val="20"/>
          <w:color w:val="auto"/>
        </w:rPr>
      </w:pPr>
      <w:r>
        <w:rPr>
          <w:rFonts w:ascii="Arial" w:cs="Arial" w:eastAsia="Arial" w:hAnsi="Arial"/>
          <w:sz w:val="15"/>
          <w:szCs w:val="15"/>
          <w:b w:val="1"/>
          <w:bCs w:val="1"/>
          <w:color w:val="FFFFFF"/>
        </w:rPr>
        <w:drawing>
          <wp:anchor simplePos="0" relativeHeight="251657728" behindDoc="1" locked="0" layoutInCell="0" allowOverlap="1">
            <wp:simplePos x="0" y="0"/>
            <wp:positionH relativeFrom="page">
              <wp:posOffset>147320</wp:posOffset>
            </wp:positionH>
            <wp:positionV relativeFrom="page">
              <wp:posOffset>88900</wp:posOffset>
            </wp:positionV>
            <wp:extent cx="7266940" cy="3436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940" cy="343662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4" w:hanging="574"/>
        <w:spacing w:after="0"/>
        <w:tabs>
          <w:tab w:leader="none" w:pos="574"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FFFFFF"/>
        </w:rPr>
        <w:t>MANAGEMENT’S DISCUSSION &amp; ANALYSIS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FFFFFF"/>
        </w:rPr>
        <w:t>FINANCIAL MEASURES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FFFFFF"/>
        </w:rPr>
        <w:t>MANAGEMENT REPORT ON INTERNAL CONTROL OVER FINANCIAL REPORTING</w:t>
      </w:r>
    </w:p>
    <w:p>
      <w:pPr>
        <w:spacing w:after="0" w:line="57" w:lineRule="exact"/>
        <w:rPr>
          <w:rFonts w:ascii="Arial" w:cs="Arial" w:eastAsia="Arial" w:hAnsi="Arial"/>
          <w:sz w:val="14"/>
          <w:szCs w:val="14"/>
          <w:b w:val="1"/>
          <w:bCs w:val="1"/>
          <w:color w:val="auto"/>
        </w:rPr>
      </w:pPr>
    </w:p>
    <w:p>
      <w:pPr>
        <w:ind w:left="574" w:hanging="574"/>
        <w:spacing w:after="0"/>
        <w:tabs>
          <w:tab w:leader="none" w:pos="574"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FFFFFF"/>
        </w:rPr>
        <w:t>REPORT OF INDEPENDENT REGISTERED PUBLIC ACCOUNTING FIRM</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FFFFFF"/>
        </w:rPr>
        <w:t>CONSOLIDATED STATEMENTS OF OPERATIONS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FFFFFF"/>
        </w:rPr>
        <w:t>CONSOLIDATED BALANCE SHEETS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FFFFFF"/>
        </w:rPr>
        <w:t>CONSOLIDATED STATEMENTS OF CASH FLOWS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FFFFFF"/>
        </w:rPr>
        <w:t>CONSOLIDATED STATEMENTS OF SHAREHOLDERS’ EQUITY</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FFFFFF"/>
        </w:rPr>
        <w:t>NOTES TO CONSOLIDATED FINANCIAL STATEMENTS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FFFFFF"/>
        </w:rPr>
        <w:t>SELECTED FINANCIAL DATA</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FFFFFF"/>
        </w:rPr>
        <w:t>PERFORMANCE GRAPH</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FFFFFF"/>
        </w:rPr>
        <w:t>PRINCIPLE OPERATING UNITS</w:t>
      </w:r>
    </w:p>
    <w:p>
      <w:pPr>
        <w:spacing w:after="0" w:line="45" w:lineRule="exact"/>
        <w:rPr>
          <w:rFonts w:ascii="Arial" w:cs="Arial" w:eastAsia="Arial" w:hAnsi="Arial"/>
          <w:sz w:val="15"/>
          <w:szCs w:val="15"/>
          <w:b w:val="1"/>
          <w:bCs w:val="1"/>
          <w:color w:val="auto"/>
        </w:rPr>
      </w:pPr>
    </w:p>
    <w:p>
      <w:pPr>
        <w:ind w:left="574" w:hanging="574"/>
        <w:spacing w:after="0"/>
        <w:tabs>
          <w:tab w:leader="none" w:pos="574"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FFFFFF"/>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758190</wp:posOffset>
            </wp:positionV>
            <wp:extent cx="7287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9653"/>
          </w:cols>
          <w:pgMar w:left="806" w:top="339"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4D8ABE"/>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2072005" cy="26555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72005" cy="265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180"/>
        <w:spacing w:after="0" w:line="270" w:lineRule="auto"/>
        <w:rPr>
          <w:sz w:val="20"/>
          <w:szCs w:val="20"/>
          <w:color w:val="auto"/>
        </w:rPr>
      </w:pPr>
      <w:r>
        <w:rPr>
          <w:rFonts w:ascii="Arial" w:cs="Arial" w:eastAsia="Arial" w:hAnsi="Arial"/>
          <w:sz w:val="14"/>
          <w:szCs w:val="14"/>
          <w:color w:val="auto"/>
        </w:rPr>
        <w:t>Manpower Inc. is a world leader in the employment services industry. Our global network of nearly 4,000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81" w:lineRule="exact"/>
        <w:rPr>
          <w:sz w:val="20"/>
          <w:szCs w:val="20"/>
          <w:color w:val="auto"/>
        </w:rPr>
      </w:pPr>
    </w:p>
    <w:p>
      <w:pPr>
        <w:jc w:val="both"/>
        <w:ind w:right="180"/>
        <w:spacing w:after="0" w:line="249" w:lineRule="auto"/>
        <w:rPr>
          <w:sz w:val="20"/>
          <w:szCs w:val="20"/>
          <w:color w:val="auto"/>
        </w:rPr>
      </w:pPr>
      <w:r>
        <w:rPr>
          <w:rFonts w:ascii="Arial" w:cs="Arial" w:eastAsia="Arial" w:hAnsi="Arial"/>
          <w:sz w:val="15"/>
          <w:szCs w:val="15"/>
          <w:color w:val="auto"/>
        </w:rPr>
        <w:t>Manpower Inc.’s five major brands – Manpower, Manpower Professional, Elan, Jefferson Wells and Right Management – provide a comprehensive range of services for the entire employment and business cycle including:</w:t>
      </w:r>
    </w:p>
    <w:p>
      <w:pPr>
        <w:spacing w:after="0" w:line="194" w:lineRule="exact"/>
        <w:rPr>
          <w:sz w:val="20"/>
          <w:szCs w:val="20"/>
          <w:color w:val="auto"/>
        </w:rPr>
      </w:pPr>
    </w:p>
    <w:p>
      <w:pPr>
        <w:ind w:left="460" w:right="180"/>
        <w:spacing w:after="0" w:line="265" w:lineRule="auto"/>
        <w:rPr>
          <w:sz w:val="20"/>
          <w:szCs w:val="20"/>
          <w:color w:val="auto"/>
        </w:rPr>
      </w:pPr>
      <w:r>
        <w:rPr>
          <w:rFonts w:ascii="Arial" w:cs="Arial" w:eastAsia="Arial" w:hAnsi="Arial"/>
          <w:sz w:val="15"/>
          <w:szCs w:val="15"/>
          <w:color w:val="auto"/>
        </w:rPr>
        <w:t>Permanent, temporary and contract recruitment – We find the best people for all types of jobs and industries at both the staff and professional levels under the Manpower, Manpower Professional and Elan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16" w:lineRule="exact"/>
        <w:rPr>
          <w:sz w:val="20"/>
          <w:szCs w:val="20"/>
          <w:color w:val="auto"/>
        </w:rPr>
      </w:pPr>
    </w:p>
    <w:p>
      <w:pPr>
        <w:ind w:left="460" w:right="180"/>
        <w:spacing w:after="0" w:line="265" w:lineRule="auto"/>
        <w:rPr>
          <w:sz w:val="20"/>
          <w:szCs w:val="20"/>
          <w:color w:val="auto"/>
        </w:rPr>
      </w:pPr>
      <w:r>
        <w:rPr>
          <w:rFonts w:ascii="Arial" w:cs="Arial" w:eastAsia="Arial" w:hAnsi="Arial"/>
          <w:sz w:val="15"/>
          <w:szCs w:val="15"/>
          <w:color w:val="auto"/>
        </w:rPr>
        <w:t>Employee assessment and selection – We provide a wide array of assessments to validate candidate skills and ensure a good fit between the client and the employee, which leads to higher employee retention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16" w:lineRule="exact"/>
        <w:rPr>
          <w:sz w:val="20"/>
          <w:szCs w:val="20"/>
          <w:color w:val="auto"/>
        </w:rPr>
      </w:pPr>
    </w:p>
    <w:p>
      <w:pPr>
        <w:ind w:left="460" w:right="180"/>
        <w:spacing w:after="0" w:line="265" w:lineRule="auto"/>
        <w:rPr>
          <w:sz w:val="20"/>
          <w:szCs w:val="20"/>
          <w:color w:val="auto"/>
        </w:rPr>
      </w:pPr>
      <w:r>
        <w:rPr>
          <w:rFonts w:ascii="Arial" w:cs="Arial" w:eastAsia="Arial" w:hAnsi="Arial"/>
          <w:sz w:val="15"/>
          <w:szCs w:val="15"/>
          <w:color w:val="auto"/>
        </w:rPr>
        <w:t>Training – We offer an extensive choice of training and development solutions that help our employees, associates and clients’ workforces to improve their skills and gain qualifications that will help them to succeed in the ever-changing world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16" w:lineRule="exact"/>
        <w:rPr>
          <w:sz w:val="20"/>
          <w:szCs w:val="20"/>
          <w:color w:val="auto"/>
        </w:rPr>
      </w:pPr>
    </w:p>
    <w:p>
      <w:pPr>
        <w:jc w:val="both"/>
        <w:ind w:left="460"/>
        <w:spacing w:after="0" w:line="252" w:lineRule="auto"/>
        <w:rPr>
          <w:sz w:val="20"/>
          <w:szCs w:val="20"/>
          <w:color w:val="auto"/>
        </w:rPr>
      </w:pPr>
      <w:r>
        <w:rPr>
          <w:rFonts w:ascii="Arial" w:cs="Arial" w:eastAsia="Arial" w:hAnsi="Arial"/>
          <w:sz w:val="15"/>
          <w:szCs w:val="15"/>
          <w:color w:val="auto"/>
        </w:rPr>
        <w:t>Outplacement – Our Right Management brand is the world’s leading outplacement provider, helping our clients to better manage the human side of change by providing a positive way for employees who are transitioning out to make the right choice for the next step in their career. The countercyclical nature of the outplacement industry helps strengthen our portfolio during down economic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-322580</wp:posOffset>
            </wp:positionV>
            <wp:extent cx="61595" cy="61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26" w:lineRule="exact"/>
        <w:rPr>
          <w:sz w:val="20"/>
          <w:szCs w:val="20"/>
          <w:color w:val="auto"/>
        </w:rPr>
      </w:pPr>
    </w:p>
    <w:p>
      <w:pPr>
        <w:jc w:val="both"/>
        <w:ind w:left="460"/>
        <w:spacing w:after="0" w:line="248" w:lineRule="auto"/>
        <w:rPr>
          <w:sz w:val="20"/>
          <w:szCs w:val="20"/>
          <w:color w:val="auto"/>
        </w:rPr>
      </w:pPr>
      <w:r>
        <w:rPr>
          <w:rFonts w:ascii="Arial" w:cs="Arial" w:eastAsia="Arial" w:hAnsi="Arial"/>
          <w:sz w:val="15"/>
          <w:szCs w:val="15"/>
          <w:color w:val="auto"/>
        </w:rPr>
        <w:t>Outsourcing – Under Manpower Business Solutions (MBS), we provide clients with outsourcing services related to human resources functions primarily in the areas of large-scale recruiting and workforce-intensive initiatives that are outcome based, thereby sharing in the risk and reward with our clients. Our solutions include: task outsourcing, vendor management, onsite HR services and Recruitment Process Outsourcing (RPO), where we are one of the largest providers of permanent and contingent recruitment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-429895</wp:posOffset>
            </wp:positionV>
            <wp:extent cx="61595" cy="61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29" w:lineRule="exact"/>
        <w:rPr>
          <w:sz w:val="20"/>
          <w:szCs w:val="20"/>
          <w:color w:val="auto"/>
        </w:rPr>
      </w:pPr>
    </w:p>
    <w:p>
      <w:pPr>
        <w:jc w:val="both"/>
        <w:ind w:left="460"/>
        <w:spacing w:after="0" w:line="252" w:lineRule="auto"/>
        <w:rPr>
          <w:sz w:val="20"/>
          <w:szCs w:val="20"/>
          <w:color w:val="auto"/>
        </w:rPr>
      </w:pPr>
      <w:r>
        <w:rPr>
          <w:rFonts w:ascii="Arial" w:cs="Arial" w:eastAsia="Arial" w:hAnsi="Arial"/>
          <w:sz w:val="15"/>
          <w:szCs w:val="15"/>
          <w:color w:val="auto"/>
        </w:rPr>
        <w:t>Consulting – We are a leading global provider of integrated consulting solutions across the employment lifecycle. We help clients maximize the return on their human capital investments while assisting individuals to achieve their full potential. Our Right Management brand helps clients attract and assess top talent; develop and grow leaders; and engage and align people with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-322580</wp:posOffset>
            </wp:positionV>
            <wp:extent cx="61595" cy="61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26" w:lineRule="exact"/>
        <w:rPr>
          <w:sz w:val="20"/>
          <w:szCs w:val="20"/>
          <w:color w:val="auto"/>
        </w:rPr>
      </w:pPr>
    </w:p>
    <w:p>
      <w:pPr>
        <w:jc w:val="both"/>
        <w:ind w:left="460" w:right="20"/>
        <w:spacing w:after="0" w:line="265" w:lineRule="auto"/>
        <w:rPr>
          <w:sz w:val="20"/>
          <w:szCs w:val="20"/>
          <w:color w:val="auto"/>
        </w:rPr>
      </w:pPr>
      <w:r>
        <w:rPr>
          <w:rFonts w:ascii="Arial" w:cs="Arial" w:eastAsia="Arial" w:hAnsi="Arial"/>
          <w:sz w:val="15"/>
          <w:szCs w:val="15"/>
          <w:color w:val="auto"/>
        </w:rPr>
        <w:t>Professional Services – Our Jefferson Wells brand is a high-value alternative to public accounting firms and other consulting groups, delivering professional services in the areas of risk advisory, tax, and 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This comprehensive and diverse business mix allows us to mitigate the cyclical effects of the national economies in which we operate.</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Our leadership position also allows us to be a center for quality employment opportunities for people at all points in their career paths. In 2009, we found permanent and temporary jobs for three million people who worked to help our more than 400,000 clients meet their business objectives. Seasoned professionals, skilled laborers, mothers returning to work, elderly persons wanting to supplement pensions and disabled individuals – all turn to the Manpower group of companies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in the employment services industry itself.</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939598"/>
        </w:rPr>
        <w:t xml:space="preserve">Management’s Discussion &amp; Analysis  </w:t>
      </w:r>
      <w:r>
        <w:rPr>
          <w:rFonts w:ascii="Arial" w:cs="Arial" w:eastAsia="Arial" w:hAnsi="Arial"/>
          <w:sz w:val="14"/>
          <w:szCs w:val="14"/>
          <w:color w:val="000000"/>
        </w:rPr>
        <w:t>Manpower 2009 Annual Report</w:t>
      </w:r>
      <w:r>
        <w:rPr>
          <w:rFonts w:ascii="Arial" w:cs="Arial" w:eastAsia="Arial" w:hAnsi="Arial"/>
          <w:sz w:val="14"/>
          <w:szCs w:val="14"/>
          <w:b w:val="1"/>
          <w:bCs w:val="1"/>
          <w:color w:val="939598"/>
        </w:rPr>
        <w:t xml:space="preserve"> </w:t>
      </w:r>
      <w:r>
        <w:rPr>
          <w:rFonts w:ascii="Arial" w:cs="Arial" w:eastAsia="Arial" w:hAnsi="Arial"/>
          <w:sz w:val="14"/>
          <w:szCs w:val="14"/>
          <w:b w:val="1"/>
          <w:bCs w:val="1"/>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15"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in-line with the revenue growth, which may result in a decline in operating cash flows.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as we experienced throughout 2009, we will have more significant expense deleveraging, as we can only reduce selling and administrative expenses to a certain level without negatively impacting the long-term potential of our branch network and brands.</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nature of our operations is such that our most significant current asset is accounts receivable, with an average days sales outstanding of approximately 60 days based on the markets where we do business. Our most significant current liabilities are payroll related costs, which are paid either weekly or monthly. As the demand for our services increases, we generally see an increase in our working capital needs, as we continue to pay our associates on a weekly or monthly basis, while the related accounts receivable are outstanding for much longer.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Our career transition services are counter-cyclical to our staffing services, which helps to minimize the impact of an economic downturn on our overall financial results.</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Due to our industry’s sensitivity to economic factors, the inherent difficulty in forecasting the direction and strength of the economy and the short-term nature of staffing assignments, it is difficult to forecast future demand for our services with any reasonable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Our staffing business is organized and managed primarily on a geographic basis, with Jefferson Wells and Right Management operating as separate global business units. Each country and business unit generally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reporting segments: Americas, which includes United States and Other Americas; France; EMEA (Europe, Middle East and Africa, excluding France), which includes Italy and Other EMEA; Asia Pacific; Right Management; and Jefferson Wells.</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Americas, France, EMEA, and Asia Pacific segments derive a significant majority of their revenues from the placement of contingent workers. The remaining revenues within these segments are derived from other human resource services, including permanent employee recruitment, temporary and permanent employee testing, selection, and training and Manpower Business Solutions (MBS); MBS includes task outsourcing, vendor management, onsite human resource services and Recruitment Process Outsourcing (RPO). Jefferson Wells’ revenues are derived from services related to risk advisory, tax, and finance and accounting. Right Management’s revenues are derived from outplacement and consulting services. Segment revenues represent sales to external clients. Due to the nature of our business, we generally do not have export or intersegment sales. We provide services to a wide variety of clients, none of which individually comprises a significant portion of revenue for us as a whole or for any segment.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 </w:t>
      </w:r>
      <w:r>
        <w:rPr>
          <w:rFonts w:ascii="Arial" w:cs="Arial" w:eastAsia="Arial" w:hAnsi="Arial"/>
          <w:sz w:val="14"/>
          <w:szCs w:val="14"/>
          <w:color w:val="auto"/>
        </w:rPr>
        <w:t>Manpower 2009 Annual Report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54" w:name="page55"/>
    <w:bookmarkEnd w:id="54"/>
    <w:p>
      <w:pPr>
        <w:spacing w:after="0"/>
        <w:rPr>
          <w:sz w:val="20"/>
          <w:szCs w:val="20"/>
          <w:color w:val="auto"/>
        </w:rPr>
      </w:pPr>
      <w:r>
        <w:rPr>
          <w:rFonts w:ascii="Arial" w:cs="Arial" w:eastAsia="Arial" w:hAnsi="Arial"/>
          <w:sz w:val="21"/>
          <w:szCs w:val="21"/>
          <w:color w:val="4D8ABE"/>
        </w:rPr>
        <w:t>Financial Measures – Constant Currency And Organic Constant Currency</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202"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Constant currency and organic constant currency percent variances, along with a reconciliation of these amounts to certain of our reported results, are included on pages 27 and 28.</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4D8ABE"/>
        </w:rPr>
        <w:t>Results Of Operations – Years Ended December 31, 2009, 2008 and 2007</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Given the current economic environment and the level of revenue declines that we have experienced in our staffing markets, we have initiated a number of cost reduction measures to try to minimize the impact on our overall profitability. Subsequent to September 2008, we have reviewed our direct costs and selling and administrative expenses and reduced our full-time equivalent employees by over 7,000 or 20% of our employee base and closed over 550 branches or 12% of our branches. This includes the transition of a majority of Jefferson Wells professionals to project-based roles, where they are only compensated if utilized on client engagements as we try to improve our staff utilization in light of the revenue declines within this business.</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In reviewing our various cost control measures, we continue to balance the value of preserving our branch network and investing in our strategic initiatives against the desire to reduce costs and maintain profitability. We are focused on making the appropriate cost reductions, while trying to position ourselves to take advantage of any future economic recovery. We believe this has allowed us to take market share because we have maintained our infrastructure at the appropriate level while upgrading the skills of our sales team. We believe that maintaining our brand presence in key markets is critical to our ability to rebound quickly when the economic conditions improve. However, if the economic downturn continues for an extended period of time, or becomes more severe, we may decide to undertake further cost reductions, primarily consisting of additional employee reductions and branch closures.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effects of the economic downturn have impacted the demand for our services over the past several quarters. Based upon historical experience, we would expect our businesses to return to growth when the underlying economies improve and eventually to exceed previous revenue levels. The strength of this growth will be dependent on the level of economic growth. Given the uncertainties of predicting economic trends, however, it is not possible to predict when we will return to prior revenue and earnings levels.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Management’s Discussion and Analysis has been revised for the effects of the restatement discussed in Note 1 to the Consolidated Financial Statements.</w:t>
      </w:r>
    </w:p>
    <w:p>
      <w:pPr>
        <w:spacing w:after="0" w:line="190" w:lineRule="exact"/>
        <w:rPr>
          <w:sz w:val="20"/>
          <w:szCs w:val="20"/>
          <w:color w:val="auto"/>
        </w:rPr>
      </w:pPr>
    </w:p>
    <w:p>
      <w:pPr>
        <w:ind w:left="6760"/>
        <w:spacing w:after="0"/>
        <w:rPr>
          <w:sz w:val="20"/>
          <w:szCs w:val="20"/>
          <w:color w:val="auto"/>
        </w:rPr>
      </w:pPr>
      <w:r>
        <w:rPr>
          <w:rFonts w:ascii="Arial" w:cs="Arial" w:eastAsia="Arial" w:hAnsi="Arial"/>
          <w:sz w:val="13"/>
          <w:szCs w:val="13"/>
          <w:b w:val="1"/>
          <w:bCs w:val="1"/>
          <w:color w:val="939598"/>
        </w:rPr>
        <w:t xml:space="preserve">Management’s Discussion &amp; Analysis  </w:t>
      </w:r>
      <w:r>
        <w:rPr>
          <w:rFonts w:ascii="Arial" w:cs="Arial" w:eastAsia="Arial" w:hAnsi="Arial"/>
          <w:sz w:val="13"/>
          <w:szCs w:val="13"/>
          <w:color w:val="000000"/>
        </w:rPr>
        <w:t>Manpower 2009 Annual Report</w:t>
      </w:r>
      <w:r>
        <w:rPr>
          <w:rFonts w:ascii="Arial" w:cs="Arial" w:eastAsia="Arial" w:hAnsi="Arial"/>
          <w:sz w:val="13"/>
          <w:szCs w:val="13"/>
          <w:b w:val="1"/>
          <w:bCs w:val="1"/>
          <w:color w:val="939598"/>
        </w:rPr>
        <w:t xml:space="preserve"> </w:t>
      </w:r>
      <w:r>
        <w:rPr>
          <w:rFonts w:ascii="Arial" w:cs="Arial" w:eastAsia="Arial" w:hAnsi="Arial"/>
          <w:sz w:val="13"/>
          <w:szCs w:val="13"/>
          <w:b w:val="1"/>
          <w:bCs w:val="1"/>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287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36"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CONSOLIDATED RESULTS – 2009 COMPARED TO 2008</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selected consolidated financial data for 2009 as compared to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80" w:type="dxa"/>
            <w:vAlign w:val="bottom"/>
            <w:tcBorders>
              <w:right w:val="single" w:sz="8" w:color="4D8ABE"/>
            </w:tcBorders>
          </w:tcPr>
          <w:p>
            <w:pPr>
              <w:spacing w:after="0"/>
              <w:rPr>
                <w:sz w:val="16"/>
                <w:szCs w:val="16"/>
                <w:color w:val="auto"/>
              </w:rPr>
            </w:pPr>
          </w:p>
        </w:tc>
        <w:tc>
          <w:tcPr>
            <w:tcW w:w="80" w:type="dxa"/>
            <w:vAlign w:val="bottom"/>
            <w:shd w:val="clear" w:color="auto" w:fill="4D8ABE"/>
          </w:tcPr>
          <w:p>
            <w:pPr>
              <w:spacing w:after="0"/>
              <w:rPr>
                <w:sz w:val="16"/>
                <w:szCs w:val="16"/>
                <w:color w:val="auto"/>
              </w:rPr>
            </w:pPr>
          </w:p>
        </w:tc>
        <w:tc>
          <w:tcPr>
            <w:tcW w:w="1040" w:type="dxa"/>
            <w:vAlign w:val="bottom"/>
            <w:tcBorders>
              <w:right w:val="single" w:sz="8" w:color="4D8ABE"/>
            </w:tcBorders>
            <w:shd w:val="clear" w:color="auto" w:fill="4D8AB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4D8ABE"/>
              </w:rPr>
              <w:t>Variance in</w:t>
            </w:r>
          </w:p>
        </w:tc>
      </w:tr>
      <w:tr>
        <w:trPr>
          <w:trHeight w:val="181"/>
        </w:trPr>
        <w:tc>
          <w:tcPr>
            <w:tcW w:w="5880" w:type="dxa"/>
            <w:vAlign w:val="bottom"/>
            <w:tcBorders>
              <w:right w:val="single" w:sz="8" w:color="4D8ABE"/>
            </w:tcBorders>
          </w:tcPr>
          <w:p>
            <w:pPr>
              <w:spacing w:after="0"/>
              <w:rPr>
                <w:sz w:val="15"/>
                <w:szCs w:val="15"/>
                <w:color w:val="auto"/>
              </w:rPr>
            </w:pPr>
          </w:p>
        </w:tc>
        <w:tc>
          <w:tcPr>
            <w:tcW w:w="80" w:type="dxa"/>
            <w:vAlign w:val="bottom"/>
            <w:shd w:val="clear" w:color="auto" w:fill="4D8ABE"/>
          </w:tcPr>
          <w:p>
            <w:pPr>
              <w:spacing w:after="0"/>
              <w:rPr>
                <w:sz w:val="15"/>
                <w:szCs w:val="15"/>
                <w:color w:val="auto"/>
              </w:rPr>
            </w:pPr>
          </w:p>
        </w:tc>
        <w:tc>
          <w:tcPr>
            <w:tcW w:w="1040" w:type="dxa"/>
            <w:vAlign w:val="bottom"/>
            <w:tcBorders>
              <w:right w:val="single" w:sz="8" w:color="4D8ABE"/>
            </w:tcBorders>
            <w:shd w:val="clear" w:color="auto" w:fill="4D8AB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4D8ABE"/>
              </w:rPr>
              <w:t>Variance in</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4D8ABE"/>
              </w:rPr>
              <w:t>Organic</w:t>
            </w:r>
          </w:p>
        </w:tc>
      </w:tr>
      <w:tr>
        <w:trPr>
          <w:trHeight w:val="181"/>
        </w:trPr>
        <w:tc>
          <w:tcPr>
            <w:tcW w:w="5880" w:type="dxa"/>
            <w:vAlign w:val="bottom"/>
            <w:tcBorders>
              <w:right w:val="single" w:sz="8" w:color="4D8ABE"/>
            </w:tcBorders>
          </w:tcPr>
          <w:p>
            <w:pPr>
              <w:spacing w:after="0"/>
              <w:rPr>
                <w:sz w:val="15"/>
                <w:szCs w:val="15"/>
                <w:color w:val="auto"/>
              </w:rPr>
            </w:pPr>
          </w:p>
        </w:tc>
        <w:tc>
          <w:tcPr>
            <w:tcW w:w="80" w:type="dxa"/>
            <w:vAlign w:val="bottom"/>
            <w:shd w:val="clear" w:color="auto" w:fill="4D8ABE"/>
          </w:tcPr>
          <w:p>
            <w:pPr>
              <w:spacing w:after="0"/>
              <w:rPr>
                <w:sz w:val="15"/>
                <w:szCs w:val="15"/>
                <w:color w:val="auto"/>
              </w:rPr>
            </w:pPr>
          </w:p>
        </w:tc>
        <w:tc>
          <w:tcPr>
            <w:tcW w:w="1040" w:type="dxa"/>
            <w:vAlign w:val="bottom"/>
            <w:tcBorders>
              <w:right w:val="single" w:sz="8" w:color="4D8ABE"/>
            </w:tcBorders>
            <w:shd w:val="clear" w:color="auto" w:fill="4D8AB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right"/>
              <w:ind w:right="226"/>
              <w:spacing w:after="0"/>
              <w:rPr>
                <w:sz w:val="20"/>
                <w:szCs w:val="20"/>
                <w:color w:val="auto"/>
              </w:rPr>
            </w:pPr>
            <w:r>
              <w:rPr>
                <w:rFonts w:ascii="Arial" w:cs="Arial" w:eastAsia="Arial" w:hAnsi="Arial"/>
                <w:sz w:val="14"/>
                <w:szCs w:val="14"/>
                <w:b w:val="1"/>
                <w:bCs w:val="1"/>
                <w:color w:val="4D8ABE"/>
              </w:rPr>
              <w:t>Reported</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4D8ABE"/>
              </w:rPr>
              <w:t>Constant</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4D8ABE"/>
              </w:rPr>
              <w:t>Constant</w:t>
            </w:r>
          </w:p>
        </w:tc>
      </w:tr>
      <w:tr>
        <w:trPr>
          <w:trHeight w:val="185"/>
        </w:trPr>
        <w:tc>
          <w:tcPr>
            <w:tcW w:w="58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(in millions, except per share data)</w:t>
            </w:r>
          </w:p>
        </w:tc>
        <w:tc>
          <w:tcPr>
            <w:tcW w:w="80" w:type="dxa"/>
            <w:vAlign w:val="bottom"/>
            <w:tcBorders>
              <w:bottom w:val="single" w:sz="8" w:color="4D8ABE"/>
            </w:tcBorders>
            <w:shd w:val="clear" w:color="auto" w:fill="4D8ABE"/>
          </w:tcPr>
          <w:p>
            <w:pPr>
              <w:spacing w:after="0"/>
              <w:rPr>
                <w:sz w:val="16"/>
                <w:szCs w:val="16"/>
                <w:color w:val="auto"/>
              </w:rPr>
            </w:pPr>
          </w:p>
        </w:tc>
        <w:tc>
          <w:tcPr>
            <w:tcW w:w="1040" w:type="dxa"/>
            <w:vAlign w:val="bottom"/>
            <w:tcBorders>
              <w:bottom w:val="single" w:sz="8" w:color="4D8ABE"/>
              <w:right w:val="single" w:sz="8" w:color="4D8ABE"/>
            </w:tcBorders>
            <w:shd w:val="clear" w:color="auto" w:fill="4D8ABE"/>
          </w:tcPr>
          <w:p>
            <w:pPr>
              <w:jc w:val="right"/>
              <w:ind w:right="168"/>
              <w:spacing w:after="0"/>
              <w:rPr>
                <w:sz w:val="20"/>
                <w:szCs w:val="20"/>
                <w:color w:val="auto"/>
              </w:rPr>
            </w:pPr>
            <w:r>
              <w:rPr>
                <w:rFonts w:ascii="Arial" w:cs="Arial" w:eastAsia="Arial" w:hAnsi="Arial"/>
                <w:sz w:val="14"/>
                <w:szCs w:val="14"/>
                <w:b w:val="1"/>
                <w:bCs w:val="1"/>
                <w:color w:val="FFFFFF"/>
              </w:rPr>
              <w:t>2009</w:t>
            </w:r>
          </w:p>
        </w:tc>
        <w:tc>
          <w:tcPr>
            <w:tcW w:w="180" w:type="dxa"/>
            <w:vAlign w:val="bottom"/>
            <w:tcBorders>
              <w:bottom w:val="single" w:sz="8" w:color="4D8ABE"/>
            </w:tcBorders>
          </w:tcPr>
          <w:p>
            <w:pPr>
              <w:spacing w:after="0"/>
              <w:rPr>
                <w:sz w:val="16"/>
                <w:szCs w:val="16"/>
                <w:color w:val="auto"/>
              </w:rPr>
            </w:pPr>
          </w:p>
        </w:tc>
        <w:tc>
          <w:tcPr>
            <w:tcW w:w="1020" w:type="dxa"/>
            <w:vAlign w:val="bottom"/>
            <w:tcBorders>
              <w:bottom w:val="single" w:sz="8" w:color="4D8ABE"/>
            </w:tcBorders>
          </w:tcPr>
          <w:p>
            <w:pPr>
              <w:jc w:val="right"/>
              <w:ind w:right="248"/>
              <w:spacing w:after="0"/>
              <w:rPr>
                <w:sz w:val="20"/>
                <w:szCs w:val="20"/>
                <w:color w:val="auto"/>
              </w:rPr>
            </w:pPr>
            <w:r>
              <w:rPr>
                <w:rFonts w:ascii="Arial" w:cs="Arial" w:eastAsia="Arial" w:hAnsi="Arial"/>
                <w:sz w:val="14"/>
                <w:szCs w:val="14"/>
                <w:b w:val="1"/>
                <w:bCs w:val="1"/>
                <w:color w:val="4D8ABE"/>
              </w:rPr>
              <w:t>2008</w:t>
            </w:r>
          </w:p>
        </w:tc>
        <w:tc>
          <w:tcPr>
            <w:tcW w:w="1080" w:type="dxa"/>
            <w:vAlign w:val="bottom"/>
            <w:tcBorders>
              <w:bottom w:val="single" w:sz="8" w:color="4D8ABE"/>
            </w:tcBorders>
          </w:tcPr>
          <w:p>
            <w:pPr>
              <w:jc w:val="right"/>
              <w:ind w:right="226"/>
              <w:spacing w:after="0"/>
              <w:rPr>
                <w:sz w:val="20"/>
                <w:szCs w:val="20"/>
                <w:color w:val="auto"/>
              </w:rPr>
            </w:pPr>
            <w:r>
              <w:rPr>
                <w:rFonts w:ascii="Arial" w:cs="Arial" w:eastAsia="Arial" w:hAnsi="Arial"/>
                <w:sz w:val="14"/>
                <w:szCs w:val="14"/>
                <w:b w:val="1"/>
                <w:bCs w:val="1"/>
                <w:color w:val="4D8ABE"/>
              </w:rPr>
              <w:t>Variance</w:t>
            </w:r>
          </w:p>
        </w:tc>
        <w:tc>
          <w:tcPr>
            <w:tcW w:w="1120" w:type="dxa"/>
            <w:vAlign w:val="bottom"/>
            <w:tcBorders>
              <w:bottom w:val="single" w:sz="8" w:color="4D8ABE"/>
            </w:tcBorders>
          </w:tcPr>
          <w:p>
            <w:pPr>
              <w:jc w:val="right"/>
              <w:ind w:right="228"/>
              <w:spacing w:after="0"/>
              <w:rPr>
                <w:sz w:val="20"/>
                <w:szCs w:val="20"/>
                <w:color w:val="auto"/>
              </w:rPr>
            </w:pPr>
            <w:r>
              <w:rPr>
                <w:rFonts w:ascii="Arial" w:cs="Arial" w:eastAsia="Arial" w:hAnsi="Arial"/>
                <w:sz w:val="14"/>
                <w:szCs w:val="14"/>
                <w:b w:val="1"/>
                <w:bCs w:val="1"/>
                <w:color w:val="4D8ABE"/>
              </w:rPr>
              <w:t>Currency</w:t>
            </w:r>
          </w:p>
        </w:tc>
        <w:tc>
          <w:tcPr>
            <w:tcW w:w="1040" w:type="dxa"/>
            <w:vAlign w:val="bottom"/>
            <w:tcBorders>
              <w:bottom w:val="single" w:sz="8" w:color="4D8ABE"/>
            </w:tcBorders>
          </w:tcPr>
          <w:p>
            <w:pPr>
              <w:jc w:val="right"/>
              <w:ind w:right="148"/>
              <w:spacing w:after="0"/>
              <w:rPr>
                <w:sz w:val="20"/>
                <w:szCs w:val="20"/>
                <w:color w:val="auto"/>
              </w:rPr>
            </w:pPr>
            <w:r>
              <w:rPr>
                <w:rFonts w:ascii="Arial" w:cs="Arial" w:eastAsia="Arial" w:hAnsi="Arial"/>
                <w:sz w:val="14"/>
                <w:szCs w:val="14"/>
                <w:b w:val="1"/>
                <w:bCs w:val="1"/>
                <w:color w:val="4D8ABE"/>
              </w:rPr>
              <w:t>Currency</w:t>
            </w:r>
          </w:p>
        </w:tc>
      </w:tr>
      <w:tr>
        <w:trPr>
          <w:trHeight w:val="180"/>
        </w:trPr>
        <w:tc>
          <w:tcPr>
            <w:tcW w:w="58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Revenues from services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040" w:type="dxa"/>
            <w:vAlign w:val="bottom"/>
            <w:tcBorders>
              <w:right w:val="single" w:sz="8" w:color="4D8ABE"/>
            </w:tcBorders>
            <w:shd w:val="clear" w:color="auto" w:fill="E6EFFF"/>
          </w:tcPr>
          <w:p>
            <w:pPr>
              <w:jc w:val="right"/>
              <w:ind w:right="168"/>
              <w:spacing w:after="0"/>
              <w:rPr>
                <w:sz w:val="20"/>
                <w:szCs w:val="20"/>
                <w:color w:val="auto"/>
              </w:rPr>
            </w:pPr>
            <w:r>
              <w:rPr>
                <w:rFonts w:ascii="Arial" w:cs="Arial" w:eastAsia="Arial" w:hAnsi="Arial"/>
                <w:sz w:val="15"/>
                <w:szCs w:val="15"/>
                <w:color w:val="4D8ABE"/>
              </w:rPr>
              <w:t>16,038.7</w:t>
            </w:r>
          </w:p>
        </w:tc>
        <w:tc>
          <w:tcPr>
            <w:tcW w:w="18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21,537.1</w:t>
            </w:r>
          </w:p>
        </w:tc>
        <w:tc>
          <w:tcPr>
            <w:tcW w:w="108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(25.5)%</w:t>
            </w:r>
          </w:p>
        </w:tc>
        <w:tc>
          <w:tcPr>
            <w:tcW w:w="1120" w:type="dxa"/>
            <w:vAlign w:val="bottom"/>
            <w:shd w:val="clear" w:color="auto" w:fill="E6EFFF"/>
          </w:tcPr>
          <w:p>
            <w:pPr>
              <w:ind w:left="480"/>
              <w:spacing w:after="0"/>
              <w:rPr>
                <w:sz w:val="20"/>
                <w:szCs w:val="20"/>
                <w:color w:val="auto"/>
              </w:rPr>
            </w:pPr>
            <w:r>
              <w:rPr>
                <w:rFonts w:ascii="Arial" w:cs="Arial" w:eastAsia="Arial" w:hAnsi="Arial"/>
                <w:sz w:val="15"/>
                <w:szCs w:val="15"/>
                <w:color w:val="auto"/>
              </w:rPr>
              <w:t>(20.9)%</w:t>
            </w:r>
          </w:p>
        </w:tc>
        <w:tc>
          <w:tcPr>
            <w:tcW w:w="1040" w:type="dxa"/>
            <w:vAlign w:val="bottom"/>
            <w:shd w:val="clear" w:color="auto" w:fill="E6EFFF"/>
          </w:tcPr>
          <w:p>
            <w:pPr>
              <w:ind w:left="480"/>
              <w:spacing w:after="0"/>
              <w:rPr>
                <w:sz w:val="20"/>
                <w:szCs w:val="20"/>
                <w:color w:val="auto"/>
              </w:rPr>
            </w:pPr>
            <w:r>
              <w:rPr>
                <w:rFonts w:ascii="Arial" w:cs="Arial" w:eastAsia="Arial" w:hAnsi="Arial"/>
                <w:sz w:val="15"/>
                <w:szCs w:val="15"/>
                <w:color w:val="auto"/>
              </w:rPr>
              <w:t>(21.5)%</w:t>
            </w:r>
          </w:p>
        </w:tc>
      </w:tr>
      <w:tr>
        <w:trPr>
          <w:trHeight w:val="184"/>
        </w:trPr>
        <w:tc>
          <w:tcPr>
            <w:tcW w:w="58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Cost of services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4D8ABE"/>
            </w:tcBorders>
          </w:tcPr>
          <w:p>
            <w:pPr>
              <w:jc w:val="right"/>
              <w:ind w:right="168"/>
              <w:spacing w:after="0"/>
              <w:rPr>
                <w:sz w:val="20"/>
                <w:szCs w:val="20"/>
                <w:color w:val="auto"/>
              </w:rPr>
            </w:pPr>
            <w:r>
              <w:rPr>
                <w:rFonts w:ascii="Arial" w:cs="Arial" w:eastAsia="Arial" w:hAnsi="Arial"/>
                <w:sz w:val="15"/>
                <w:szCs w:val="15"/>
                <w:color w:val="4D8ABE"/>
              </w:rPr>
              <w:t>13,220.5</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rPr>
              <w:t>17,450.2</w:t>
            </w:r>
          </w:p>
        </w:tc>
        <w:tc>
          <w:tcPr>
            <w:tcW w:w="108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(24.2)</w:t>
            </w: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5"/>
        </w:trPr>
        <w:tc>
          <w:tcPr>
            <w:tcW w:w="58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E6EFFF"/>
          </w:tcPr>
          <w:p>
            <w:pPr>
              <w:spacing w:after="0"/>
              <w:rPr>
                <w:sz w:val="15"/>
                <w:szCs w:val="15"/>
                <w:color w:val="auto"/>
              </w:rPr>
            </w:pPr>
          </w:p>
        </w:tc>
        <w:tc>
          <w:tcPr>
            <w:tcW w:w="1040" w:type="dxa"/>
            <w:vAlign w:val="bottom"/>
            <w:tcBorders>
              <w:right w:val="single" w:sz="8" w:color="4D8ABE"/>
            </w:tcBorders>
            <w:shd w:val="clear" w:color="auto" w:fill="E6EFFF"/>
          </w:tcPr>
          <w:p>
            <w:pPr>
              <w:jc w:val="right"/>
              <w:ind w:right="168"/>
              <w:spacing w:after="0"/>
              <w:rPr>
                <w:sz w:val="20"/>
                <w:szCs w:val="20"/>
                <w:color w:val="auto"/>
              </w:rPr>
            </w:pPr>
            <w:r>
              <w:rPr>
                <w:rFonts w:ascii="Arial" w:cs="Arial" w:eastAsia="Arial" w:hAnsi="Arial"/>
                <w:sz w:val="15"/>
                <w:szCs w:val="15"/>
                <w:color w:val="4D8ABE"/>
              </w:rPr>
              <w:t>2,818.2</w:t>
            </w:r>
          </w:p>
        </w:tc>
        <w:tc>
          <w:tcPr>
            <w:tcW w:w="18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4,086.9</w:t>
            </w:r>
          </w:p>
        </w:tc>
        <w:tc>
          <w:tcPr>
            <w:tcW w:w="1080" w:type="dxa"/>
            <w:vAlign w:val="bottom"/>
            <w:shd w:val="clear" w:color="auto" w:fill="E6EFFF"/>
          </w:tcPr>
          <w:p>
            <w:pPr>
              <w:jc w:val="right"/>
              <w:ind w:right="166"/>
              <w:spacing w:after="0"/>
              <w:rPr>
                <w:sz w:val="20"/>
                <w:szCs w:val="20"/>
                <w:color w:val="auto"/>
              </w:rPr>
            </w:pPr>
            <w:r>
              <w:rPr>
                <w:rFonts w:ascii="Arial" w:cs="Arial" w:eastAsia="Arial" w:hAnsi="Arial"/>
                <w:sz w:val="15"/>
                <w:szCs w:val="15"/>
                <w:color w:val="auto"/>
              </w:rPr>
              <w:t>(31.0)</w:t>
            </w:r>
          </w:p>
        </w:tc>
        <w:tc>
          <w:tcPr>
            <w:tcW w:w="1120" w:type="dxa"/>
            <w:vAlign w:val="bottom"/>
            <w:shd w:val="clear" w:color="auto" w:fill="E6EFFF"/>
          </w:tcPr>
          <w:p>
            <w:pPr>
              <w:ind w:left="480"/>
              <w:spacing w:after="0"/>
              <w:rPr>
                <w:sz w:val="20"/>
                <w:szCs w:val="20"/>
                <w:color w:val="auto"/>
              </w:rPr>
            </w:pPr>
            <w:r>
              <w:rPr>
                <w:rFonts w:ascii="Arial" w:cs="Arial" w:eastAsia="Arial" w:hAnsi="Arial"/>
                <w:sz w:val="15"/>
                <w:szCs w:val="15"/>
                <w:color w:val="auto"/>
              </w:rPr>
              <w:t>(27.0)</w:t>
            </w:r>
          </w:p>
        </w:tc>
        <w:tc>
          <w:tcPr>
            <w:tcW w:w="1040" w:type="dxa"/>
            <w:vAlign w:val="bottom"/>
            <w:shd w:val="clear" w:color="auto" w:fill="E6EFFF"/>
          </w:tcPr>
          <w:p>
            <w:pPr>
              <w:ind w:left="480"/>
              <w:spacing w:after="0"/>
              <w:rPr>
                <w:sz w:val="20"/>
                <w:szCs w:val="20"/>
                <w:color w:val="auto"/>
              </w:rPr>
            </w:pPr>
            <w:r>
              <w:rPr>
                <w:rFonts w:ascii="Arial" w:cs="Arial" w:eastAsia="Arial" w:hAnsi="Arial"/>
                <w:sz w:val="15"/>
                <w:szCs w:val="15"/>
                <w:color w:val="auto"/>
              </w:rPr>
              <w:t>(27.7)</w:t>
            </w:r>
          </w:p>
        </w:tc>
      </w:tr>
      <w:tr>
        <w:trPr>
          <w:trHeight w:val="159"/>
        </w:trPr>
        <w:tc>
          <w:tcPr>
            <w:tcW w:w="5880" w:type="dxa"/>
            <w:vAlign w:val="bottom"/>
            <w:tcBorders>
              <w:right w:val="single" w:sz="8" w:color="4D8ABE"/>
            </w:tcBorders>
          </w:tcPr>
          <w:p>
            <w:pPr>
              <w:spacing w:after="0"/>
              <w:rPr>
                <w:sz w:val="20"/>
                <w:szCs w:val="20"/>
                <w:color w:val="auto"/>
              </w:rPr>
            </w:pPr>
            <w:r>
              <w:rPr>
                <w:rFonts w:ascii="Arial" w:cs="Arial" w:eastAsia="Arial" w:hAnsi="Arial"/>
                <w:sz w:val="12"/>
                <w:szCs w:val="12"/>
                <w:i w:val="1"/>
                <w:iCs w:val="1"/>
                <w:color w:val="auto"/>
              </w:rPr>
              <w:t>Gross Profit Margin</w:t>
            </w:r>
          </w:p>
        </w:tc>
        <w:tc>
          <w:tcPr>
            <w:tcW w:w="80" w:type="dxa"/>
            <w:vAlign w:val="bottom"/>
          </w:tcPr>
          <w:p>
            <w:pPr>
              <w:spacing w:after="0"/>
              <w:rPr>
                <w:sz w:val="13"/>
                <w:szCs w:val="13"/>
                <w:color w:val="auto"/>
              </w:rPr>
            </w:pPr>
          </w:p>
        </w:tc>
        <w:tc>
          <w:tcPr>
            <w:tcW w:w="1040" w:type="dxa"/>
            <w:vAlign w:val="bottom"/>
            <w:tcBorders>
              <w:right w:val="single" w:sz="8" w:color="4D8ABE"/>
            </w:tcBorders>
          </w:tcPr>
          <w:p>
            <w:pPr>
              <w:jc w:val="right"/>
              <w:ind w:right="28"/>
              <w:spacing w:after="0"/>
              <w:rPr>
                <w:sz w:val="20"/>
                <w:szCs w:val="20"/>
                <w:color w:val="auto"/>
              </w:rPr>
            </w:pPr>
            <w:r>
              <w:rPr>
                <w:rFonts w:ascii="Arial" w:cs="Arial" w:eastAsia="Arial" w:hAnsi="Arial"/>
                <w:sz w:val="12"/>
                <w:szCs w:val="12"/>
                <w:i w:val="1"/>
                <w:iCs w:val="1"/>
                <w:color w:val="4D8ABE"/>
              </w:rPr>
              <w:t>17.6 %</w:t>
            </w:r>
          </w:p>
        </w:tc>
        <w:tc>
          <w:tcPr>
            <w:tcW w:w="180" w:type="dxa"/>
            <w:vAlign w:val="bottom"/>
          </w:tcPr>
          <w:p>
            <w:pPr>
              <w:spacing w:after="0"/>
              <w:rPr>
                <w:sz w:val="13"/>
                <w:szCs w:val="13"/>
                <w:color w:val="auto"/>
              </w:rPr>
            </w:pPr>
          </w:p>
        </w:tc>
        <w:tc>
          <w:tcPr>
            <w:tcW w:w="1020" w:type="dxa"/>
            <w:vAlign w:val="bottom"/>
          </w:tcPr>
          <w:p>
            <w:pPr>
              <w:jc w:val="right"/>
              <w:ind w:right="108"/>
              <w:spacing w:after="0"/>
              <w:rPr>
                <w:sz w:val="20"/>
                <w:szCs w:val="20"/>
                <w:color w:val="auto"/>
              </w:rPr>
            </w:pPr>
            <w:r>
              <w:rPr>
                <w:rFonts w:ascii="Arial" w:cs="Arial" w:eastAsia="Arial" w:hAnsi="Arial"/>
                <w:sz w:val="12"/>
                <w:szCs w:val="12"/>
                <w:i w:val="1"/>
                <w:iCs w:val="1"/>
                <w:color w:val="auto"/>
              </w:rPr>
              <w:t>19.0 %</w:t>
            </w: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
        </w:trPr>
        <w:tc>
          <w:tcPr>
            <w:tcW w:w="5880" w:type="dxa"/>
            <w:vAlign w:val="bottom"/>
            <w:tcBorders>
              <w:right w:val="single" w:sz="8" w:color="4D8ABE"/>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right w:val="single" w:sz="8" w:color="4D8ABE"/>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4"/>
        </w:trPr>
        <w:tc>
          <w:tcPr>
            <w:tcW w:w="58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shd w:val="clear" w:color="auto" w:fill="E6EFFF"/>
          </w:tcPr>
          <w:p>
            <w:pPr>
              <w:spacing w:after="0"/>
              <w:rPr>
                <w:sz w:val="15"/>
                <w:szCs w:val="15"/>
                <w:color w:val="auto"/>
              </w:rPr>
            </w:pPr>
          </w:p>
        </w:tc>
        <w:tc>
          <w:tcPr>
            <w:tcW w:w="1040" w:type="dxa"/>
            <w:vAlign w:val="bottom"/>
            <w:tcBorders>
              <w:right w:val="single" w:sz="8" w:color="4D8ABE"/>
            </w:tcBorders>
            <w:shd w:val="clear" w:color="auto" w:fill="E6EFFF"/>
          </w:tcPr>
          <w:p>
            <w:pPr>
              <w:jc w:val="right"/>
              <w:ind w:right="168"/>
              <w:spacing w:after="0"/>
              <w:rPr>
                <w:sz w:val="20"/>
                <w:szCs w:val="20"/>
                <w:color w:val="auto"/>
              </w:rPr>
            </w:pPr>
            <w:r>
              <w:rPr>
                <w:rFonts w:ascii="Arial" w:cs="Arial" w:eastAsia="Arial" w:hAnsi="Arial"/>
                <w:sz w:val="15"/>
                <w:szCs w:val="15"/>
                <w:color w:val="4D8ABE"/>
              </w:rPr>
              <w:t>2,715.5</w:t>
            </w:r>
          </w:p>
        </w:tc>
        <w:tc>
          <w:tcPr>
            <w:tcW w:w="18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3,430.3</w:t>
            </w:r>
          </w:p>
        </w:tc>
        <w:tc>
          <w:tcPr>
            <w:tcW w:w="108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r>
      <w:tr>
        <w:trPr>
          <w:trHeight w:val="183"/>
        </w:trPr>
        <w:tc>
          <w:tcPr>
            <w:tcW w:w="58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Goodwill and intangible asset impairment charges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4D8ABE"/>
            </w:tcBorders>
          </w:tcPr>
          <w:p>
            <w:pPr>
              <w:jc w:val="right"/>
              <w:ind w:right="168"/>
              <w:spacing w:after="0"/>
              <w:rPr>
                <w:sz w:val="20"/>
                <w:szCs w:val="20"/>
                <w:color w:val="auto"/>
              </w:rPr>
            </w:pPr>
            <w:r>
              <w:rPr>
                <w:rFonts w:ascii="Arial" w:cs="Arial" w:eastAsia="Arial" w:hAnsi="Arial"/>
                <w:sz w:val="15"/>
                <w:szCs w:val="15"/>
                <w:color w:val="4D8ABE"/>
              </w:rPr>
              <w:t>61.0</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rPr>
              <w:t>163.1</w:t>
            </w: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6"/>
        </w:trPr>
        <w:tc>
          <w:tcPr>
            <w:tcW w:w="58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shd w:val="clear" w:color="auto" w:fill="E6EFFF"/>
          </w:tcPr>
          <w:p>
            <w:pPr>
              <w:spacing w:after="0"/>
              <w:rPr>
                <w:sz w:val="15"/>
                <w:szCs w:val="15"/>
                <w:color w:val="auto"/>
              </w:rPr>
            </w:pPr>
          </w:p>
        </w:tc>
        <w:tc>
          <w:tcPr>
            <w:tcW w:w="1040" w:type="dxa"/>
            <w:vAlign w:val="bottom"/>
            <w:tcBorders>
              <w:right w:val="single" w:sz="8" w:color="4D8ABE"/>
            </w:tcBorders>
            <w:shd w:val="clear" w:color="auto" w:fill="E6EFFF"/>
          </w:tcPr>
          <w:p>
            <w:pPr>
              <w:jc w:val="right"/>
              <w:ind w:right="168"/>
              <w:spacing w:after="0"/>
              <w:rPr>
                <w:sz w:val="20"/>
                <w:szCs w:val="20"/>
                <w:color w:val="auto"/>
              </w:rPr>
            </w:pPr>
            <w:r>
              <w:rPr>
                <w:rFonts w:ascii="Arial" w:cs="Arial" w:eastAsia="Arial" w:hAnsi="Arial"/>
                <w:sz w:val="15"/>
                <w:szCs w:val="15"/>
                <w:color w:val="4D8ABE"/>
              </w:rPr>
              <w:t>2,776.5</w:t>
            </w:r>
          </w:p>
        </w:tc>
        <w:tc>
          <w:tcPr>
            <w:tcW w:w="18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3,593.4</w:t>
            </w:r>
          </w:p>
        </w:tc>
        <w:tc>
          <w:tcPr>
            <w:tcW w:w="1080" w:type="dxa"/>
            <w:vAlign w:val="bottom"/>
            <w:shd w:val="clear" w:color="auto" w:fill="E6EFFF"/>
          </w:tcPr>
          <w:p>
            <w:pPr>
              <w:jc w:val="right"/>
              <w:ind w:right="166"/>
              <w:spacing w:after="0"/>
              <w:rPr>
                <w:sz w:val="20"/>
                <w:szCs w:val="20"/>
                <w:color w:val="auto"/>
              </w:rPr>
            </w:pPr>
            <w:r>
              <w:rPr>
                <w:rFonts w:ascii="Arial" w:cs="Arial" w:eastAsia="Arial" w:hAnsi="Arial"/>
                <w:sz w:val="15"/>
                <w:szCs w:val="15"/>
                <w:color w:val="auto"/>
              </w:rPr>
              <w:t>(22.7)</w:t>
            </w:r>
          </w:p>
        </w:tc>
        <w:tc>
          <w:tcPr>
            <w:tcW w:w="1120" w:type="dxa"/>
            <w:vAlign w:val="bottom"/>
            <w:shd w:val="clear" w:color="auto" w:fill="E6EFFF"/>
          </w:tcPr>
          <w:p>
            <w:pPr>
              <w:ind w:left="480"/>
              <w:spacing w:after="0"/>
              <w:rPr>
                <w:sz w:val="20"/>
                <w:szCs w:val="20"/>
                <w:color w:val="auto"/>
              </w:rPr>
            </w:pPr>
            <w:r>
              <w:rPr>
                <w:rFonts w:ascii="Arial" w:cs="Arial" w:eastAsia="Arial" w:hAnsi="Arial"/>
                <w:sz w:val="15"/>
                <w:szCs w:val="15"/>
                <w:color w:val="auto"/>
              </w:rPr>
              <w:t>(18.2)</w:t>
            </w:r>
          </w:p>
        </w:tc>
        <w:tc>
          <w:tcPr>
            <w:tcW w:w="1040" w:type="dxa"/>
            <w:vAlign w:val="bottom"/>
            <w:shd w:val="clear" w:color="auto" w:fill="E6EFFF"/>
          </w:tcPr>
          <w:p>
            <w:pPr>
              <w:ind w:left="480"/>
              <w:spacing w:after="0"/>
              <w:rPr>
                <w:sz w:val="20"/>
                <w:szCs w:val="20"/>
                <w:color w:val="auto"/>
              </w:rPr>
            </w:pPr>
            <w:r>
              <w:rPr>
                <w:rFonts w:ascii="Arial" w:cs="Arial" w:eastAsia="Arial" w:hAnsi="Arial"/>
                <w:sz w:val="15"/>
                <w:szCs w:val="15"/>
                <w:color w:val="auto"/>
              </w:rPr>
              <w:t>(18.9)</w:t>
            </w:r>
          </w:p>
        </w:tc>
      </w:tr>
      <w:tr>
        <w:trPr>
          <w:trHeight w:val="159"/>
        </w:trPr>
        <w:tc>
          <w:tcPr>
            <w:tcW w:w="5880" w:type="dxa"/>
            <w:vAlign w:val="bottom"/>
            <w:tcBorders>
              <w:right w:val="single" w:sz="8" w:color="4D8ABE"/>
            </w:tcBorders>
          </w:tcPr>
          <w:p>
            <w:pPr>
              <w:ind w:left="140"/>
              <w:spacing w:after="0"/>
              <w:rPr>
                <w:sz w:val="20"/>
                <w:szCs w:val="20"/>
                <w:color w:val="auto"/>
              </w:rPr>
            </w:pPr>
            <w:r>
              <w:rPr>
                <w:rFonts w:ascii="Arial" w:cs="Arial" w:eastAsia="Arial" w:hAnsi="Arial"/>
                <w:sz w:val="12"/>
                <w:szCs w:val="12"/>
                <w:i w:val="1"/>
                <w:iCs w:val="1"/>
                <w:color w:val="auto"/>
              </w:rPr>
              <w:t>Selling and administrative expenses as a % of revenues</w:t>
            </w:r>
          </w:p>
        </w:tc>
        <w:tc>
          <w:tcPr>
            <w:tcW w:w="80" w:type="dxa"/>
            <w:vAlign w:val="bottom"/>
          </w:tcPr>
          <w:p>
            <w:pPr>
              <w:spacing w:after="0"/>
              <w:rPr>
                <w:sz w:val="13"/>
                <w:szCs w:val="13"/>
                <w:color w:val="auto"/>
              </w:rPr>
            </w:pPr>
          </w:p>
        </w:tc>
        <w:tc>
          <w:tcPr>
            <w:tcW w:w="1040" w:type="dxa"/>
            <w:vAlign w:val="bottom"/>
            <w:tcBorders>
              <w:right w:val="single" w:sz="8" w:color="4D8ABE"/>
            </w:tcBorders>
          </w:tcPr>
          <w:p>
            <w:pPr>
              <w:jc w:val="right"/>
              <w:ind w:right="28"/>
              <w:spacing w:after="0"/>
              <w:rPr>
                <w:sz w:val="20"/>
                <w:szCs w:val="20"/>
                <w:color w:val="auto"/>
              </w:rPr>
            </w:pPr>
            <w:r>
              <w:rPr>
                <w:rFonts w:ascii="Arial" w:cs="Arial" w:eastAsia="Arial" w:hAnsi="Arial"/>
                <w:sz w:val="12"/>
                <w:szCs w:val="12"/>
                <w:i w:val="1"/>
                <w:iCs w:val="1"/>
                <w:color w:val="4D8ABE"/>
              </w:rPr>
              <w:t>17.3 %</w:t>
            </w:r>
          </w:p>
        </w:tc>
        <w:tc>
          <w:tcPr>
            <w:tcW w:w="180" w:type="dxa"/>
            <w:vAlign w:val="bottom"/>
          </w:tcPr>
          <w:p>
            <w:pPr>
              <w:spacing w:after="0"/>
              <w:rPr>
                <w:sz w:val="13"/>
                <w:szCs w:val="13"/>
                <w:color w:val="auto"/>
              </w:rPr>
            </w:pPr>
          </w:p>
        </w:tc>
        <w:tc>
          <w:tcPr>
            <w:tcW w:w="1020" w:type="dxa"/>
            <w:vAlign w:val="bottom"/>
          </w:tcPr>
          <w:p>
            <w:pPr>
              <w:jc w:val="right"/>
              <w:ind w:right="108"/>
              <w:spacing w:after="0"/>
              <w:rPr>
                <w:sz w:val="20"/>
                <w:szCs w:val="20"/>
                <w:color w:val="auto"/>
              </w:rPr>
            </w:pPr>
            <w:r>
              <w:rPr>
                <w:rFonts w:ascii="Arial" w:cs="Arial" w:eastAsia="Arial" w:hAnsi="Arial"/>
                <w:sz w:val="12"/>
                <w:szCs w:val="12"/>
                <w:i w:val="1"/>
                <w:iCs w:val="1"/>
                <w:color w:val="auto"/>
              </w:rPr>
              <w:t>16.7 %</w:t>
            </w: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
        </w:trPr>
        <w:tc>
          <w:tcPr>
            <w:tcW w:w="5880" w:type="dxa"/>
            <w:vAlign w:val="bottom"/>
            <w:tcBorders>
              <w:right w:val="single" w:sz="8" w:color="4D8ABE"/>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right w:val="single" w:sz="8" w:color="4D8ABE"/>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4"/>
        </w:trPr>
        <w:tc>
          <w:tcPr>
            <w:tcW w:w="58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E6EFFF"/>
          </w:tcPr>
          <w:p>
            <w:pPr>
              <w:spacing w:after="0"/>
              <w:rPr>
                <w:sz w:val="15"/>
                <w:szCs w:val="15"/>
                <w:color w:val="auto"/>
              </w:rPr>
            </w:pPr>
          </w:p>
        </w:tc>
        <w:tc>
          <w:tcPr>
            <w:tcW w:w="1040" w:type="dxa"/>
            <w:vAlign w:val="bottom"/>
            <w:tcBorders>
              <w:right w:val="single" w:sz="8" w:color="4D8ABE"/>
            </w:tcBorders>
            <w:shd w:val="clear" w:color="auto" w:fill="E6EFFF"/>
          </w:tcPr>
          <w:p>
            <w:pPr>
              <w:jc w:val="right"/>
              <w:ind w:right="168"/>
              <w:spacing w:after="0"/>
              <w:rPr>
                <w:sz w:val="20"/>
                <w:szCs w:val="20"/>
                <w:color w:val="auto"/>
              </w:rPr>
            </w:pPr>
            <w:r>
              <w:rPr>
                <w:rFonts w:ascii="Arial" w:cs="Arial" w:eastAsia="Arial" w:hAnsi="Arial"/>
                <w:sz w:val="15"/>
                <w:szCs w:val="15"/>
                <w:color w:val="4D8ABE"/>
              </w:rPr>
              <w:t>41.7</w:t>
            </w:r>
          </w:p>
        </w:tc>
        <w:tc>
          <w:tcPr>
            <w:tcW w:w="18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493.5</w:t>
            </w:r>
          </w:p>
        </w:tc>
        <w:tc>
          <w:tcPr>
            <w:tcW w:w="1080" w:type="dxa"/>
            <w:vAlign w:val="bottom"/>
            <w:shd w:val="clear" w:color="auto" w:fill="E6EFFF"/>
          </w:tcPr>
          <w:p>
            <w:pPr>
              <w:jc w:val="right"/>
              <w:ind w:right="166"/>
              <w:spacing w:after="0"/>
              <w:rPr>
                <w:sz w:val="20"/>
                <w:szCs w:val="20"/>
                <w:color w:val="auto"/>
              </w:rPr>
            </w:pPr>
            <w:r>
              <w:rPr>
                <w:rFonts w:ascii="Arial" w:cs="Arial" w:eastAsia="Arial" w:hAnsi="Arial"/>
                <w:sz w:val="15"/>
                <w:szCs w:val="15"/>
                <w:color w:val="auto"/>
              </w:rPr>
              <w:t>(91.5)</w:t>
            </w:r>
          </w:p>
        </w:tc>
        <w:tc>
          <w:tcPr>
            <w:tcW w:w="1120" w:type="dxa"/>
            <w:vAlign w:val="bottom"/>
            <w:shd w:val="clear" w:color="auto" w:fill="E6EFFF"/>
          </w:tcPr>
          <w:p>
            <w:pPr>
              <w:ind w:left="480"/>
              <w:spacing w:after="0"/>
              <w:rPr>
                <w:sz w:val="20"/>
                <w:szCs w:val="20"/>
                <w:color w:val="auto"/>
              </w:rPr>
            </w:pPr>
            <w:r>
              <w:rPr>
                <w:rFonts w:ascii="Arial" w:cs="Arial" w:eastAsia="Arial" w:hAnsi="Arial"/>
                <w:sz w:val="15"/>
                <w:szCs w:val="15"/>
                <w:color w:val="auto"/>
              </w:rPr>
              <w:t>(91.3)</w:t>
            </w:r>
          </w:p>
        </w:tc>
        <w:tc>
          <w:tcPr>
            <w:tcW w:w="1040" w:type="dxa"/>
            <w:vAlign w:val="bottom"/>
            <w:shd w:val="clear" w:color="auto" w:fill="E6EFFF"/>
          </w:tcPr>
          <w:p>
            <w:pPr>
              <w:ind w:left="480"/>
              <w:spacing w:after="0"/>
              <w:rPr>
                <w:sz w:val="20"/>
                <w:szCs w:val="20"/>
                <w:color w:val="auto"/>
              </w:rPr>
            </w:pPr>
            <w:r>
              <w:rPr>
                <w:rFonts w:ascii="Arial" w:cs="Arial" w:eastAsia="Arial" w:hAnsi="Arial"/>
                <w:sz w:val="15"/>
                <w:szCs w:val="15"/>
                <w:color w:val="auto"/>
              </w:rPr>
              <w:t>(91.9)</w:t>
            </w:r>
          </w:p>
        </w:tc>
      </w:tr>
      <w:tr>
        <w:trPr>
          <w:trHeight w:val="159"/>
        </w:trPr>
        <w:tc>
          <w:tcPr>
            <w:tcW w:w="5880" w:type="dxa"/>
            <w:vAlign w:val="bottom"/>
            <w:tcBorders>
              <w:right w:val="single" w:sz="8" w:color="4D8ABE"/>
            </w:tcBorders>
          </w:tcPr>
          <w:p>
            <w:pPr>
              <w:spacing w:after="0"/>
              <w:rPr>
                <w:sz w:val="20"/>
                <w:szCs w:val="20"/>
                <w:color w:val="auto"/>
              </w:rPr>
            </w:pPr>
            <w:r>
              <w:rPr>
                <w:rFonts w:ascii="Arial" w:cs="Arial" w:eastAsia="Arial" w:hAnsi="Arial"/>
                <w:sz w:val="12"/>
                <w:szCs w:val="12"/>
                <w:i w:val="1"/>
                <w:iCs w:val="1"/>
                <w:color w:val="auto"/>
              </w:rPr>
              <w:t>Operating Profit Margin</w:t>
            </w:r>
          </w:p>
        </w:tc>
        <w:tc>
          <w:tcPr>
            <w:tcW w:w="80" w:type="dxa"/>
            <w:vAlign w:val="bottom"/>
          </w:tcPr>
          <w:p>
            <w:pPr>
              <w:spacing w:after="0"/>
              <w:rPr>
                <w:sz w:val="13"/>
                <w:szCs w:val="13"/>
                <w:color w:val="auto"/>
              </w:rPr>
            </w:pPr>
          </w:p>
        </w:tc>
        <w:tc>
          <w:tcPr>
            <w:tcW w:w="1040" w:type="dxa"/>
            <w:vAlign w:val="bottom"/>
            <w:tcBorders>
              <w:right w:val="single" w:sz="8" w:color="4D8ABE"/>
            </w:tcBorders>
          </w:tcPr>
          <w:p>
            <w:pPr>
              <w:jc w:val="right"/>
              <w:ind w:right="28"/>
              <w:spacing w:after="0"/>
              <w:rPr>
                <w:sz w:val="20"/>
                <w:szCs w:val="20"/>
                <w:color w:val="auto"/>
              </w:rPr>
            </w:pPr>
            <w:r>
              <w:rPr>
                <w:rFonts w:ascii="Arial" w:cs="Arial" w:eastAsia="Arial" w:hAnsi="Arial"/>
                <w:sz w:val="12"/>
                <w:szCs w:val="12"/>
                <w:i w:val="1"/>
                <w:iCs w:val="1"/>
                <w:color w:val="4D8ABE"/>
              </w:rPr>
              <w:t>0.3 %</w:t>
            </w:r>
          </w:p>
        </w:tc>
        <w:tc>
          <w:tcPr>
            <w:tcW w:w="180" w:type="dxa"/>
            <w:vAlign w:val="bottom"/>
          </w:tcPr>
          <w:p>
            <w:pPr>
              <w:spacing w:after="0"/>
              <w:rPr>
                <w:sz w:val="13"/>
                <w:szCs w:val="13"/>
                <w:color w:val="auto"/>
              </w:rPr>
            </w:pPr>
          </w:p>
        </w:tc>
        <w:tc>
          <w:tcPr>
            <w:tcW w:w="1020" w:type="dxa"/>
            <w:vAlign w:val="bottom"/>
          </w:tcPr>
          <w:p>
            <w:pPr>
              <w:jc w:val="right"/>
              <w:ind w:right="108"/>
              <w:spacing w:after="0"/>
              <w:rPr>
                <w:sz w:val="20"/>
                <w:szCs w:val="20"/>
                <w:color w:val="auto"/>
              </w:rPr>
            </w:pPr>
            <w:r>
              <w:rPr>
                <w:rFonts w:ascii="Arial" w:cs="Arial" w:eastAsia="Arial" w:hAnsi="Arial"/>
                <w:sz w:val="12"/>
                <w:szCs w:val="12"/>
                <w:i w:val="1"/>
                <w:iCs w:val="1"/>
                <w:color w:val="auto"/>
              </w:rPr>
              <w:t>2.3 %</w:t>
            </w: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
        </w:trPr>
        <w:tc>
          <w:tcPr>
            <w:tcW w:w="5880" w:type="dxa"/>
            <w:vAlign w:val="bottom"/>
            <w:tcBorders>
              <w:right w:val="single" w:sz="8" w:color="4D8ABE"/>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right w:val="single" w:sz="8" w:color="4D8ABE"/>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4"/>
        </w:trPr>
        <w:tc>
          <w:tcPr>
            <w:tcW w:w="58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Net Interest expense</w:t>
            </w:r>
          </w:p>
        </w:tc>
        <w:tc>
          <w:tcPr>
            <w:tcW w:w="80" w:type="dxa"/>
            <w:vAlign w:val="bottom"/>
            <w:shd w:val="clear" w:color="auto" w:fill="E6EFFF"/>
          </w:tcPr>
          <w:p>
            <w:pPr>
              <w:spacing w:after="0"/>
              <w:rPr>
                <w:sz w:val="15"/>
                <w:szCs w:val="15"/>
                <w:color w:val="auto"/>
              </w:rPr>
            </w:pPr>
          </w:p>
        </w:tc>
        <w:tc>
          <w:tcPr>
            <w:tcW w:w="1040" w:type="dxa"/>
            <w:vAlign w:val="bottom"/>
            <w:tcBorders>
              <w:right w:val="single" w:sz="8" w:color="4D8ABE"/>
            </w:tcBorders>
            <w:shd w:val="clear" w:color="auto" w:fill="E6EFFF"/>
          </w:tcPr>
          <w:p>
            <w:pPr>
              <w:jc w:val="right"/>
              <w:ind w:right="168"/>
              <w:spacing w:after="0"/>
              <w:rPr>
                <w:sz w:val="20"/>
                <w:szCs w:val="20"/>
                <w:color w:val="auto"/>
              </w:rPr>
            </w:pPr>
            <w:r>
              <w:rPr>
                <w:rFonts w:ascii="Arial" w:cs="Arial" w:eastAsia="Arial" w:hAnsi="Arial"/>
                <w:sz w:val="15"/>
                <w:szCs w:val="15"/>
                <w:color w:val="4D8ABE"/>
              </w:rPr>
              <w:t>50.0</w:t>
            </w:r>
          </w:p>
        </w:tc>
        <w:tc>
          <w:tcPr>
            <w:tcW w:w="18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41.8</w:t>
            </w:r>
          </w:p>
        </w:tc>
        <w:tc>
          <w:tcPr>
            <w:tcW w:w="1080" w:type="dxa"/>
            <w:vAlign w:val="bottom"/>
            <w:shd w:val="clear" w:color="auto" w:fill="E6EFFF"/>
          </w:tcPr>
          <w:p>
            <w:pPr>
              <w:jc w:val="right"/>
              <w:ind w:right="226"/>
              <w:spacing w:after="0"/>
              <w:rPr>
                <w:sz w:val="20"/>
                <w:szCs w:val="20"/>
                <w:color w:val="auto"/>
              </w:rPr>
            </w:pPr>
            <w:r>
              <w:rPr>
                <w:rFonts w:ascii="Arial" w:cs="Arial" w:eastAsia="Arial" w:hAnsi="Arial"/>
                <w:sz w:val="15"/>
                <w:szCs w:val="15"/>
                <w:color w:val="auto"/>
              </w:rPr>
              <w:t>19.6</w:t>
            </w:r>
          </w:p>
        </w:tc>
        <w:tc>
          <w:tcPr>
            <w:tcW w:w="112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r>
      <w:tr>
        <w:trPr>
          <w:trHeight w:val="183"/>
        </w:trPr>
        <w:tc>
          <w:tcPr>
            <w:tcW w:w="58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expenses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4D8ABE"/>
            </w:tcBorders>
          </w:tcPr>
          <w:p>
            <w:pPr>
              <w:jc w:val="right"/>
              <w:ind w:right="168"/>
              <w:spacing w:after="0"/>
              <w:rPr>
                <w:sz w:val="20"/>
                <w:szCs w:val="20"/>
                <w:color w:val="auto"/>
              </w:rPr>
            </w:pPr>
            <w:r>
              <w:rPr>
                <w:rFonts w:ascii="Arial" w:cs="Arial" w:eastAsia="Arial" w:hAnsi="Arial"/>
                <w:sz w:val="15"/>
                <w:szCs w:val="15"/>
                <w:color w:val="4D8ABE"/>
              </w:rPr>
              <w:t>14.6</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rPr>
              <w:t>9.1</w:t>
            </w:r>
          </w:p>
        </w:tc>
        <w:tc>
          <w:tcPr>
            <w:tcW w:w="10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60.4</w:t>
            </w: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6"/>
        </w:trPr>
        <w:tc>
          <w:tcPr>
            <w:tcW w:w="58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(Loss) earnings before income taxes</w:t>
            </w:r>
          </w:p>
        </w:tc>
        <w:tc>
          <w:tcPr>
            <w:tcW w:w="80" w:type="dxa"/>
            <w:vAlign w:val="bottom"/>
            <w:shd w:val="clear" w:color="auto" w:fill="E6EFFF"/>
          </w:tcPr>
          <w:p>
            <w:pPr>
              <w:spacing w:after="0"/>
              <w:rPr>
                <w:sz w:val="15"/>
                <w:szCs w:val="15"/>
                <w:color w:val="auto"/>
              </w:rPr>
            </w:pPr>
          </w:p>
        </w:tc>
        <w:tc>
          <w:tcPr>
            <w:tcW w:w="1040" w:type="dxa"/>
            <w:vAlign w:val="bottom"/>
            <w:tcBorders>
              <w:right w:val="single" w:sz="8" w:color="4D8ABE"/>
            </w:tcBorders>
            <w:shd w:val="clear" w:color="auto" w:fill="E6EFFF"/>
          </w:tcPr>
          <w:p>
            <w:pPr>
              <w:jc w:val="right"/>
              <w:ind w:right="108"/>
              <w:spacing w:after="0"/>
              <w:rPr>
                <w:sz w:val="20"/>
                <w:szCs w:val="20"/>
                <w:color w:val="auto"/>
              </w:rPr>
            </w:pPr>
            <w:r>
              <w:rPr>
                <w:rFonts w:ascii="Arial" w:cs="Arial" w:eastAsia="Arial" w:hAnsi="Arial"/>
                <w:sz w:val="15"/>
                <w:szCs w:val="15"/>
                <w:color w:val="4D8ABE"/>
              </w:rPr>
              <w:t>(22.9)</w:t>
            </w:r>
          </w:p>
        </w:tc>
        <w:tc>
          <w:tcPr>
            <w:tcW w:w="18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248"/>
              <w:spacing w:after="0"/>
              <w:rPr>
                <w:sz w:val="20"/>
                <w:szCs w:val="20"/>
                <w:color w:val="auto"/>
              </w:rPr>
            </w:pPr>
            <w:r>
              <w:rPr>
                <w:rFonts w:ascii="Arial" w:cs="Arial" w:eastAsia="Arial" w:hAnsi="Arial"/>
                <w:sz w:val="15"/>
                <w:szCs w:val="15"/>
                <w:color w:val="auto"/>
              </w:rPr>
              <w:t>442.6</w:t>
            </w:r>
          </w:p>
        </w:tc>
        <w:tc>
          <w:tcPr>
            <w:tcW w:w="108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r>
      <w:tr>
        <w:trPr>
          <w:trHeight w:val="184"/>
        </w:trPr>
        <w:tc>
          <w:tcPr>
            <w:tcW w:w="58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Provision for income taxes</w:t>
            </w:r>
          </w:p>
        </w:tc>
        <w:tc>
          <w:tcPr>
            <w:tcW w:w="80" w:type="dxa"/>
            <w:vAlign w:val="bottom"/>
          </w:tcPr>
          <w:p>
            <w:pPr>
              <w:spacing w:after="0"/>
              <w:rPr>
                <w:sz w:val="15"/>
                <w:szCs w:val="15"/>
                <w:color w:val="auto"/>
              </w:rPr>
            </w:pPr>
          </w:p>
        </w:tc>
        <w:tc>
          <w:tcPr>
            <w:tcW w:w="1040" w:type="dxa"/>
            <w:vAlign w:val="bottom"/>
            <w:tcBorders>
              <w:right w:val="single" w:sz="8" w:color="4D8ABE"/>
            </w:tcBorders>
          </w:tcPr>
          <w:p>
            <w:pPr>
              <w:jc w:val="right"/>
              <w:ind w:right="108"/>
              <w:spacing w:after="0"/>
              <w:rPr>
                <w:sz w:val="20"/>
                <w:szCs w:val="20"/>
                <w:color w:val="auto"/>
              </w:rPr>
            </w:pPr>
            <w:r>
              <w:rPr>
                <w:rFonts w:ascii="Arial" w:cs="Arial" w:eastAsia="Arial" w:hAnsi="Arial"/>
                <w:sz w:val="15"/>
                <w:szCs w:val="15"/>
                <w:color w:val="4D8ABE"/>
              </w:rPr>
              <w:t>(13.7)</w:t>
            </w:r>
          </w:p>
        </w:tc>
        <w:tc>
          <w:tcPr>
            <w:tcW w:w="180" w:type="dxa"/>
            <w:vAlign w:val="bottom"/>
          </w:tcPr>
          <w:p>
            <w:pPr>
              <w:spacing w:after="0"/>
              <w:rPr>
                <w:sz w:val="15"/>
                <w:szCs w:val="15"/>
                <w:color w:val="auto"/>
              </w:rPr>
            </w:pPr>
          </w:p>
        </w:tc>
        <w:tc>
          <w:tcPr>
            <w:tcW w:w="1020" w:type="dxa"/>
            <w:vAlign w:val="bottom"/>
          </w:tcPr>
          <w:p>
            <w:pPr>
              <w:jc w:val="right"/>
              <w:ind w:right="248"/>
              <w:spacing w:after="0"/>
              <w:rPr>
                <w:sz w:val="20"/>
                <w:szCs w:val="20"/>
                <w:color w:val="auto"/>
              </w:rPr>
            </w:pPr>
            <w:r>
              <w:rPr>
                <w:rFonts w:ascii="Arial" w:cs="Arial" w:eastAsia="Arial" w:hAnsi="Arial"/>
                <w:sz w:val="15"/>
                <w:szCs w:val="15"/>
                <w:color w:val="auto"/>
              </w:rPr>
              <w:t>237.1</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5880" w:type="dxa"/>
            <w:vAlign w:val="bottom"/>
            <w:tcBorders>
              <w:bottom w:val="single" w:sz="8" w:color="E6EFFF"/>
              <w:right w:val="single" w:sz="8" w:color="4D8ABE"/>
            </w:tcBorders>
            <w:shd w:val="clear" w:color="auto" w:fill="E6EFFF"/>
          </w:tcPr>
          <w:p>
            <w:pPr>
              <w:ind w:left="140"/>
              <w:spacing w:after="0"/>
              <w:rPr>
                <w:sz w:val="20"/>
                <w:szCs w:val="20"/>
                <w:color w:val="auto"/>
              </w:rPr>
            </w:pPr>
            <w:r>
              <w:rPr>
                <w:rFonts w:ascii="Arial" w:cs="Arial" w:eastAsia="Arial" w:hAnsi="Arial"/>
                <w:sz w:val="12"/>
                <w:szCs w:val="12"/>
                <w:i w:val="1"/>
                <w:iCs w:val="1"/>
                <w:color w:val="auto"/>
              </w:rPr>
              <w:t>Effective income tax rate</w:t>
            </w:r>
          </w:p>
        </w:tc>
        <w:tc>
          <w:tcPr>
            <w:tcW w:w="80" w:type="dxa"/>
            <w:vAlign w:val="bottom"/>
            <w:tcBorders>
              <w:bottom w:val="single" w:sz="8" w:color="E6EFFF"/>
            </w:tcBorders>
            <w:shd w:val="clear" w:color="auto" w:fill="E6EFFF"/>
          </w:tcPr>
          <w:p>
            <w:pPr>
              <w:spacing w:after="0"/>
              <w:rPr>
                <w:sz w:val="15"/>
                <w:szCs w:val="15"/>
                <w:color w:val="auto"/>
              </w:rPr>
            </w:pPr>
          </w:p>
        </w:tc>
        <w:tc>
          <w:tcPr>
            <w:tcW w:w="1040" w:type="dxa"/>
            <w:vAlign w:val="bottom"/>
            <w:tcBorders>
              <w:bottom w:val="single" w:sz="8" w:color="E6EFFF"/>
              <w:right w:val="single" w:sz="8" w:color="4D8ABE"/>
            </w:tcBorders>
            <w:shd w:val="clear" w:color="auto" w:fill="E6EFFF"/>
          </w:tcPr>
          <w:p>
            <w:pPr>
              <w:jc w:val="right"/>
              <w:ind w:right="28"/>
              <w:spacing w:after="0"/>
              <w:rPr>
                <w:sz w:val="20"/>
                <w:szCs w:val="20"/>
                <w:color w:val="auto"/>
              </w:rPr>
            </w:pPr>
            <w:r>
              <w:rPr>
                <w:rFonts w:ascii="Arial" w:cs="Arial" w:eastAsia="Arial" w:hAnsi="Arial"/>
                <w:sz w:val="12"/>
                <w:szCs w:val="12"/>
                <w:i w:val="1"/>
                <w:iCs w:val="1"/>
                <w:color w:val="4D8ABE"/>
              </w:rPr>
              <w:t>59.9 %</w:t>
            </w:r>
          </w:p>
        </w:tc>
        <w:tc>
          <w:tcPr>
            <w:tcW w:w="180" w:type="dxa"/>
            <w:vAlign w:val="bottom"/>
            <w:tcBorders>
              <w:bottom w:val="single" w:sz="8" w:color="E6EFFF"/>
            </w:tcBorders>
            <w:shd w:val="clear" w:color="auto" w:fill="E6EFFF"/>
          </w:tcPr>
          <w:p>
            <w:pPr>
              <w:spacing w:after="0"/>
              <w:rPr>
                <w:sz w:val="15"/>
                <w:szCs w:val="15"/>
                <w:color w:val="auto"/>
              </w:rPr>
            </w:pPr>
          </w:p>
        </w:tc>
        <w:tc>
          <w:tcPr>
            <w:tcW w:w="1020" w:type="dxa"/>
            <w:vAlign w:val="bottom"/>
            <w:tcBorders>
              <w:bottom w:val="single" w:sz="8" w:color="E6EFFF"/>
            </w:tcBorders>
            <w:shd w:val="clear" w:color="auto" w:fill="E6EFFF"/>
          </w:tcPr>
          <w:p>
            <w:pPr>
              <w:jc w:val="right"/>
              <w:ind w:right="108"/>
              <w:spacing w:after="0"/>
              <w:rPr>
                <w:sz w:val="20"/>
                <w:szCs w:val="20"/>
                <w:color w:val="auto"/>
              </w:rPr>
            </w:pPr>
            <w:r>
              <w:rPr>
                <w:rFonts w:ascii="Arial" w:cs="Arial" w:eastAsia="Arial" w:hAnsi="Arial"/>
                <w:sz w:val="12"/>
                <w:szCs w:val="12"/>
                <w:i w:val="1"/>
                <w:iCs w:val="1"/>
                <w:color w:val="auto"/>
              </w:rPr>
              <w:t>53.6 %</w:t>
            </w:r>
          </w:p>
        </w:tc>
        <w:tc>
          <w:tcPr>
            <w:tcW w:w="1080" w:type="dxa"/>
            <w:vAlign w:val="bottom"/>
            <w:tcBorders>
              <w:bottom w:val="single" w:sz="8" w:color="E6EFFF"/>
            </w:tcBorders>
            <w:shd w:val="clear" w:color="auto" w:fill="E6EFFF"/>
          </w:tcPr>
          <w:p>
            <w:pPr>
              <w:spacing w:after="0"/>
              <w:rPr>
                <w:sz w:val="15"/>
                <w:szCs w:val="15"/>
                <w:color w:val="auto"/>
              </w:rPr>
            </w:pPr>
          </w:p>
        </w:tc>
        <w:tc>
          <w:tcPr>
            <w:tcW w:w="1120" w:type="dxa"/>
            <w:vAlign w:val="bottom"/>
            <w:tcBorders>
              <w:bottom w:val="single" w:sz="8" w:color="E6EFFF"/>
            </w:tcBorders>
            <w:shd w:val="clear" w:color="auto" w:fill="E6EFFF"/>
          </w:tcPr>
          <w:p>
            <w:pPr>
              <w:spacing w:after="0"/>
              <w:rPr>
                <w:sz w:val="15"/>
                <w:szCs w:val="15"/>
                <w:color w:val="auto"/>
              </w:rPr>
            </w:pPr>
          </w:p>
        </w:tc>
        <w:tc>
          <w:tcPr>
            <w:tcW w:w="1040" w:type="dxa"/>
            <w:vAlign w:val="bottom"/>
            <w:tcBorders>
              <w:bottom w:val="single" w:sz="8" w:color="E6EFFF"/>
            </w:tcBorders>
            <w:shd w:val="clear" w:color="auto" w:fill="E6EFFF"/>
          </w:tcPr>
          <w:p>
            <w:pPr>
              <w:spacing w:after="0"/>
              <w:rPr>
                <w:sz w:val="15"/>
                <w:szCs w:val="15"/>
                <w:color w:val="auto"/>
              </w:rPr>
            </w:pPr>
          </w:p>
        </w:tc>
      </w:tr>
      <w:tr>
        <w:trPr>
          <w:trHeight w:val="175"/>
        </w:trPr>
        <w:tc>
          <w:tcPr>
            <w:tcW w:w="5880" w:type="dxa"/>
            <w:vAlign w:val="bottom"/>
            <w:tcBorders>
              <w:top w:val="single" w:sz="8" w:color="auto"/>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Net (loss) earnings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040" w:type="dxa"/>
            <w:vAlign w:val="bottom"/>
            <w:tcBorders>
              <w:top w:val="single" w:sz="8" w:color="auto"/>
              <w:bottom w:val="single" w:sz="8" w:color="auto"/>
              <w:right w:val="single" w:sz="8" w:color="4D8ABE"/>
            </w:tcBorders>
          </w:tcPr>
          <w:p>
            <w:pPr>
              <w:jc w:val="right"/>
              <w:ind w:right="108"/>
              <w:spacing w:after="0"/>
              <w:rPr>
                <w:sz w:val="20"/>
                <w:szCs w:val="20"/>
                <w:color w:val="auto"/>
              </w:rPr>
            </w:pPr>
            <w:r>
              <w:rPr>
                <w:rFonts w:ascii="Arial" w:cs="Arial" w:eastAsia="Arial" w:hAnsi="Arial"/>
                <w:sz w:val="15"/>
                <w:szCs w:val="15"/>
                <w:color w:val="4D8ABE"/>
              </w:rPr>
              <w:t>(9.2)</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5"/>
                <w:szCs w:val="15"/>
                <w:color w:val="auto"/>
              </w:rPr>
              <w:t>205.5</w:t>
            </w:r>
          </w:p>
        </w:tc>
        <w:tc>
          <w:tcPr>
            <w:tcW w:w="10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r>
      <w:tr>
        <w:trPr>
          <w:trHeight w:val="175"/>
        </w:trPr>
        <w:tc>
          <w:tcPr>
            <w:tcW w:w="58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(loss) earnings per share – diluted</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040" w:type="dxa"/>
            <w:vAlign w:val="bottom"/>
            <w:tcBorders>
              <w:bottom w:val="single" w:sz="8" w:color="auto"/>
              <w:right w:val="single" w:sz="8" w:color="4D8ABE"/>
            </w:tcBorders>
            <w:shd w:val="clear" w:color="auto" w:fill="E6EFFF"/>
          </w:tcPr>
          <w:p>
            <w:pPr>
              <w:jc w:val="right"/>
              <w:ind w:right="108"/>
              <w:spacing w:after="0"/>
              <w:rPr>
                <w:sz w:val="20"/>
                <w:szCs w:val="20"/>
                <w:color w:val="auto"/>
              </w:rPr>
            </w:pPr>
            <w:r>
              <w:rPr>
                <w:rFonts w:ascii="Arial" w:cs="Arial" w:eastAsia="Arial" w:hAnsi="Arial"/>
                <w:sz w:val="15"/>
                <w:szCs w:val="15"/>
                <w:color w:val="4D8ABE"/>
              </w:rPr>
              <w:t>(0.12)</w:t>
            </w:r>
          </w:p>
        </w:tc>
        <w:tc>
          <w:tcPr>
            <w:tcW w:w="18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6EFFF"/>
          </w:tcPr>
          <w:p>
            <w:pPr>
              <w:jc w:val="right"/>
              <w:ind w:right="248"/>
              <w:spacing w:after="0"/>
              <w:rPr>
                <w:sz w:val="20"/>
                <w:szCs w:val="20"/>
                <w:color w:val="auto"/>
              </w:rPr>
            </w:pPr>
            <w:r>
              <w:rPr>
                <w:rFonts w:ascii="Arial" w:cs="Arial" w:eastAsia="Arial" w:hAnsi="Arial"/>
                <w:sz w:val="15"/>
                <w:szCs w:val="15"/>
                <w:color w:val="auto"/>
              </w:rPr>
              <w:t>2.58</w:t>
            </w:r>
          </w:p>
        </w:tc>
        <w:tc>
          <w:tcPr>
            <w:tcW w:w="1080" w:type="dxa"/>
            <w:vAlign w:val="bottom"/>
            <w:tcBorders>
              <w:bottom w:val="single" w:sz="8" w:color="auto"/>
            </w:tcBorders>
            <w:shd w:val="clear" w:color="auto" w:fill="E6EFFF"/>
          </w:tcPr>
          <w:p>
            <w:pPr>
              <w:spacing w:after="0"/>
              <w:rPr>
                <w:sz w:val="15"/>
                <w:szCs w:val="15"/>
                <w:color w:val="auto"/>
              </w:rPr>
            </w:pPr>
          </w:p>
        </w:tc>
        <w:tc>
          <w:tcPr>
            <w:tcW w:w="1120" w:type="dxa"/>
            <w:vAlign w:val="bottom"/>
            <w:tcBorders>
              <w:bottom w:val="single" w:sz="8" w:color="auto"/>
            </w:tcBorders>
            <w:shd w:val="clear" w:color="auto" w:fill="E6EFFF"/>
          </w:tcPr>
          <w:p>
            <w:pPr>
              <w:spacing w:after="0"/>
              <w:rPr>
                <w:sz w:val="15"/>
                <w:szCs w:val="15"/>
                <w:color w:val="auto"/>
              </w:rPr>
            </w:pPr>
          </w:p>
        </w:tc>
        <w:tc>
          <w:tcPr>
            <w:tcW w:w="1040" w:type="dxa"/>
            <w:vAlign w:val="bottom"/>
            <w:tcBorders>
              <w:bottom w:val="single" w:sz="8" w:color="auto"/>
            </w:tcBorders>
            <w:shd w:val="clear" w:color="auto" w:fill="E6EFFF"/>
          </w:tcPr>
          <w:p>
            <w:pPr>
              <w:spacing w:after="0"/>
              <w:rPr>
                <w:sz w:val="15"/>
                <w:szCs w:val="15"/>
                <w:color w:val="auto"/>
              </w:rPr>
            </w:pPr>
          </w:p>
        </w:tc>
      </w:tr>
      <w:tr>
        <w:trPr>
          <w:trHeight w:val="178"/>
        </w:trPr>
        <w:tc>
          <w:tcPr>
            <w:tcW w:w="58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4D8ABE"/>
            </w:tcBorders>
          </w:tcPr>
          <w:p>
            <w:pPr>
              <w:jc w:val="right"/>
              <w:ind w:right="168"/>
              <w:spacing w:after="0"/>
              <w:rPr>
                <w:sz w:val="20"/>
                <w:szCs w:val="20"/>
                <w:color w:val="auto"/>
              </w:rPr>
            </w:pPr>
            <w:r>
              <w:rPr>
                <w:rFonts w:ascii="Arial" w:cs="Arial" w:eastAsia="Arial" w:hAnsi="Arial"/>
                <w:sz w:val="15"/>
                <w:szCs w:val="15"/>
                <w:color w:val="4D8ABE"/>
              </w:rPr>
              <w:t>78.3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rPr>
              <w:t>79.7</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(1.7)%</w:t>
            </w: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year-over-year decrease in Revenues from Services is primarily attributable to:</w:t>
      </w:r>
    </w:p>
    <w:p>
      <w:pPr>
        <w:spacing w:after="0" w:line="207"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decreased demand for services in most of our markets, including the Americas, France, EMEA, Asia Pacific, and Jefferson Wells, where revenues decreased 12.6%, 29.2%, 21.7%, 9.2% and 33.9%, respectively,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4.6% decrease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offset by increased demand for Right Management’s services where revenues increased 28.5%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continued to see stabilization and, in some instances, an improvement in year-over-year revenue trends in the fourth quarter of 2009 in most of our major markets. Since the demand for our services depends heavily on the economy and the labor markets in the various countries where we operate, it is difficult for us to predict the duration of these current trends, and therefore it is also difficult for us to predict our near-term revenue levels and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overall 141 basis point (-1.41%) decrease in Gross Profit Margin is attributed to:</w:t>
      </w:r>
    </w:p>
    <w:p>
      <w:pPr>
        <w:spacing w:after="0" w:line="207" w:lineRule="exact"/>
        <w:rPr>
          <w:sz w:val="20"/>
          <w:szCs w:val="20"/>
          <w:color w:val="auto"/>
        </w:rPr>
      </w:pPr>
    </w:p>
    <w:p>
      <w:pPr>
        <w:jc w:val="both"/>
        <w:ind w:left="460"/>
        <w:spacing w:after="0" w:line="248" w:lineRule="auto"/>
        <w:rPr>
          <w:sz w:val="20"/>
          <w:szCs w:val="20"/>
          <w:color w:val="auto"/>
        </w:rPr>
      </w:pPr>
      <w:r>
        <w:rPr>
          <w:rFonts w:ascii="Arial" w:cs="Arial" w:eastAsia="Arial" w:hAnsi="Arial"/>
          <w:sz w:val="15"/>
          <w:szCs w:val="15"/>
          <w:color w:val="auto"/>
        </w:rPr>
        <w:t>a 107 basis point (-1.07%) decline from our temporary recruitment business mainly due to pricing pressures in most of our markets because of the current economic environment, a change in the mix of our staffing business as we are seeing our higher-margin small/medium sized businesses decline at a faster rate than our key account business, and a change in the geographic mix of our staffing business as countries with higher gross profit margins, such as Sweden, Germany, the Netherlands and Italy, reported larger declines in business than countries with relatively lower gross profit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-429895</wp:posOffset>
            </wp:positionV>
            <wp:extent cx="61595" cy="61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60 basis point (-0.60%) decline due to the 49.0% constant currency decline in our permanent recruitment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32 basis point (-0.32%) decline due to the favorable impact in 2008 from the modification to the calculation of payroll taxes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22 basis point (-0.22%) decline due to the favorable impact in 2008 from a business tax refund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jc w:val="both"/>
        <w:ind w:left="460"/>
        <w:spacing w:after="0" w:line="265" w:lineRule="auto"/>
        <w:rPr>
          <w:sz w:val="20"/>
          <w:szCs w:val="20"/>
          <w:color w:val="auto"/>
        </w:rPr>
      </w:pPr>
      <w:r>
        <w:rPr>
          <w:rFonts w:ascii="Arial" w:cs="Arial" w:eastAsia="Arial" w:hAnsi="Arial"/>
          <w:sz w:val="15"/>
          <w:szCs w:val="15"/>
          <w:color w:val="auto"/>
        </w:rPr>
        <w:t>offset by a 73 basis point (+0.73%) increase from our specialty business, primarily due to the growth of Right Management, where the gross profit margin is higher than the Company average, and margin expansion at Right Management resulting from the significant growth in the outplacement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7 basis point (+0.07%) increase due to the impact of currency exchange rates on the mix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365"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20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t>The 22.7% decrease in Selling and Administrative Expenses in 2009, or 18.2% decrease in constant currency, is due to: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focus on reducing expenses and rebalancing our cost structure in response to the lower business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jc w:val="both"/>
        <w:ind w:left="460"/>
        <w:spacing w:after="0" w:line="252" w:lineRule="auto"/>
        <w:rPr>
          <w:sz w:val="20"/>
          <w:szCs w:val="20"/>
          <w:color w:val="auto"/>
        </w:rPr>
      </w:pPr>
      <w:r>
        <w:rPr>
          <w:rFonts w:ascii="Arial" w:cs="Arial" w:eastAsia="Arial" w:hAnsi="Arial"/>
          <w:sz w:val="15"/>
          <w:szCs w:val="15"/>
          <w:color w:val="auto"/>
        </w:rPr>
        <w:t>a $61.0 million goodwill impairment charge recorded in the third quarter of 2009 related to Jefferson Wells as compared to a $163.1 million goodwill and intangible asset impairment charge recorded in the third quarter of 2008 related to Right Management (see Note 1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-322580</wp:posOffset>
            </wp:positionV>
            <wp:extent cx="61595" cy="61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95" w:lineRule="exact"/>
        <w:rPr>
          <w:sz w:val="20"/>
          <w:szCs w:val="20"/>
          <w:color w:val="auto"/>
        </w:rPr>
      </w:pPr>
    </w:p>
    <w:p>
      <w:pPr>
        <w:jc w:val="both"/>
        <w:ind w:left="460" w:right="20"/>
        <w:spacing w:after="0" w:line="265" w:lineRule="auto"/>
        <w:rPr>
          <w:sz w:val="20"/>
          <w:szCs w:val="20"/>
          <w:color w:val="auto"/>
        </w:rPr>
      </w:pPr>
      <w:r>
        <w:rPr>
          <w:rFonts w:ascii="Arial" w:cs="Arial" w:eastAsia="Arial" w:hAnsi="Arial"/>
          <w:sz w:val="15"/>
          <w:szCs w:val="15"/>
          <w:color w:val="auto"/>
        </w:rPr>
        <w:t>a decline of $58.0 million of costs related to the French competition investigation ($54.1 million was recorded in the second quarter of 2008, of which $3.9 million was reversed in the first quarter of 2009; see Note 14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jc w:val="both"/>
        <w:ind w:left="460" w:right="20"/>
        <w:spacing w:after="0" w:line="265" w:lineRule="auto"/>
        <w:rPr>
          <w:sz w:val="20"/>
          <w:szCs w:val="20"/>
          <w:color w:val="auto"/>
        </w:rPr>
      </w:pPr>
      <w:r>
        <w:rPr>
          <w:rFonts w:ascii="Arial" w:cs="Arial" w:eastAsia="Arial" w:hAnsi="Arial"/>
          <w:sz w:val="15"/>
          <w:szCs w:val="15"/>
          <w:color w:val="auto"/>
        </w:rPr>
        <w:t>a $4.3 million gain in Japan related to the termination of a defined benefit plan and a $4.9 million reversal of a reserve that we determined was no longer necessary, both of which were recorded in the first quarter of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jc w:val="both"/>
        <w:ind w:left="460" w:right="20"/>
        <w:spacing w:after="0" w:line="265" w:lineRule="auto"/>
        <w:rPr>
          <w:sz w:val="20"/>
          <w:szCs w:val="20"/>
          <w:color w:val="auto"/>
        </w:rPr>
      </w:pPr>
      <w:r>
        <w:rPr>
          <w:rFonts w:ascii="Arial" w:cs="Arial" w:eastAsia="Arial" w:hAnsi="Arial"/>
          <w:sz w:val="15"/>
          <w:szCs w:val="15"/>
          <w:color w:val="auto"/>
        </w:rPr>
        <w:t>$33.5 million of reorganization charges for severances and other office closure costs recorded in 2009 as compared to $37.2 million recorded in the fourth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39"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Selling and Administrative Expenses as a percent of revenue increased by 0.6% (+60 basis points) in 2009 compared to 2008. The change in Selling and Administrative Expenses as a percent of revenue consists of:</w:t>
      </w:r>
    </w:p>
    <w:p>
      <w:pPr>
        <w:spacing w:after="0" w:line="194"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a 122 basis point (+1.22%) increase due primarily to the deleveraging of expenses given the decline in revenues, as we can only decrease expenses to a certain level without negatively impacting the long-term potential of our branch network and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right="20"/>
        <w:spacing w:after="0" w:line="265" w:lineRule="auto"/>
        <w:rPr>
          <w:sz w:val="20"/>
          <w:szCs w:val="20"/>
          <w:color w:val="auto"/>
        </w:rPr>
      </w:pPr>
      <w:r>
        <w:rPr>
          <w:rFonts w:ascii="Arial" w:cs="Arial" w:eastAsia="Arial" w:hAnsi="Arial"/>
          <w:sz w:val="15"/>
          <w:szCs w:val="15"/>
          <w:color w:val="auto"/>
        </w:rPr>
        <w:t>offset by a 38 basis point (-0.38%) decrease due to the decrease in the goodwill impairment charge recorded in the third quarter of 2009 compared to the goodwill and intangible asset impairment charge recorded in the third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25 basis point (-0.25%) decrease due to the costs related to the French competition investigation recorded in 2008;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 basis point (-0.04%) decrease due to the lower global reorganization charges recorded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Interest and Other Expenses is comprised of interest, foreign exchange gains and losses and other miscellaneous non-operating income and expenses. Interest and Other Expenses were $64.6 million in 2009 compared to $50.9 million in 2008. Net Interest Expense increased $8.2 million in 2009 to $50.0 million due primarily to the recording of $7.5 million of interest expense related to the early extinguishment of our interest rate swap agreements and amended revolving credit facility in the third quarter of 2009. Translation losses in 2009 were $0.8 million compared to gains of $2.9 million in 2008. Miscellaneous Expenses, net, which consist of other non-operating income and expenses, were $3.5 million in 2009 compared to $12.0 million in 2008. In 2009, we also incurred a $10.3 million loss related to a sale of an equity investment in Japan.</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recorded an income tax benefit of 59.9% for 2009 compared to an income tax expense at an effective rate of 53.6% for 2008. The change in rate was due to the non-deductibility of the goodwill impairment charges related to Jefferson Wells in 2009 and Right Management in 2008, the impact in each year due to the non-deductibility of the French competition case reserve, as well as a significant change in the amount and mix of non-U.S. earnings and related cash repatriations and other permanent items. This rate is different than the U.S. Federal statutory rate of 35% due primarily to the non-deductible goodwill impairment charges related to Jefferson Wells, the impact of valuation allowances recorded for non-U.S. net operating losses, the sale of an equity investment in Japan, and the amount and mix of non-U.S. earnings and related cash repatriations and other permanent items.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Net (Loss) Earnings Per Share – Diluted was a loss of $0.12 compared to earnings of $2.58 in 2008. This decrease includes:</w:t>
      </w:r>
    </w:p>
    <w:p>
      <w:pPr>
        <w:spacing w:after="0" w:line="207"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the lesser impact from the goodwill impairment charge: $61.0 million net of tax, or $0.78 per diluted share in 2009 compared to $154.6 million net of tax, or $1.94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2008 costs for the French competition investigation: $50.0 million net of tax, or $0.63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2008 impact from a modification to the calculation of payroll taxes in France: a $43.8 million net of tax benefit, or $0.55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2008 impact from the business tax refund in France: a $28.3 million net of tax benefit, or $0.36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the lesser impact from global reorganization costs: $24.3 million net of tax, or $0.31 per diluted share in 2009, compared to $27.2 million net of tax, or $0.34 per diluted share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the interest expense for the extinguishment of our interest rate swap agreements and amended revolving credit facility of $4.6 million net of tax, or $0.06 per diluted share in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loss from the sale of an equity investment in Japan of $5.3 million net of tax, or $0.06 per diluted share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365"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Weighted Average Shares – Diluted decreased 1.7% to 78.3 million in 2009 from 79.7 million in 2008. This decline is primarily a result of an increase in the total antidilutive shares excluded from the calculation in 2009 compared to 2008. Due to the net loss in 2009, all of the stock-based awards were antidilutive and therefore were excluded from the Weighted Average Shares – Diluted calculation for the year ended December 31, 2009. In 2008, only those stock-based awards with exercise prices greater than the average market price of the common shares during 2008 were excluded from the Weighted Average Shares – Diluted calculation for the year ended December 31,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CONSOLIDATED RESULTS – 2008 COMPARED TO 2007</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selected consolidated financial data for 2008 as compared to 2007.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D8ABE"/>
              </w:rPr>
              <w:t>Variance in</w:t>
            </w:r>
          </w:p>
        </w:tc>
      </w:tr>
      <w:tr>
        <w:trPr>
          <w:trHeight w:val="181"/>
        </w:trPr>
        <w:tc>
          <w:tcPr>
            <w:tcW w:w="4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4D8ABE"/>
              </w:rPr>
              <w:t>Variance in</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4D8ABE"/>
              </w:rPr>
              <w:t>Organic</w:t>
            </w:r>
          </w:p>
        </w:tc>
      </w:tr>
      <w:tr>
        <w:trPr>
          <w:trHeight w:val="184"/>
        </w:trPr>
        <w:tc>
          <w:tcPr>
            <w:tcW w:w="4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b w:val="1"/>
                <w:bCs w:val="1"/>
                <w:color w:val="4D8ABE"/>
              </w:rPr>
              <w:t>Reported</w:t>
            </w: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4D8ABE"/>
              </w:rPr>
              <w:t>Constant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4D8ABE"/>
              </w:rPr>
              <w:t>Constant</w:t>
            </w:r>
          </w:p>
        </w:tc>
      </w:tr>
      <w:tr>
        <w:trPr>
          <w:trHeight w:val="184"/>
        </w:trPr>
        <w:tc>
          <w:tcPr>
            <w:tcW w:w="4340" w:type="dxa"/>
            <w:vAlign w:val="bottom"/>
          </w:tcPr>
          <w:p>
            <w:pPr>
              <w:spacing w:after="0"/>
              <w:rPr>
                <w:sz w:val="20"/>
                <w:szCs w:val="20"/>
                <w:color w:val="auto"/>
              </w:rPr>
            </w:pPr>
            <w:r>
              <w:rPr>
                <w:rFonts w:ascii="Arial" w:cs="Arial" w:eastAsia="Arial" w:hAnsi="Arial"/>
                <w:sz w:val="14"/>
                <w:szCs w:val="14"/>
                <w:b w:val="1"/>
                <w:bCs w:val="1"/>
                <w:color w:val="4D8ABE"/>
              </w:rPr>
              <w:t>(in millions, except per share data)</w:t>
            </w:r>
          </w:p>
        </w:tc>
        <w:tc>
          <w:tcPr>
            <w:tcW w:w="2800" w:type="dxa"/>
            <w:vAlign w:val="bottom"/>
          </w:tcPr>
          <w:p>
            <w:pPr>
              <w:jc w:val="right"/>
              <w:ind w:right="331"/>
              <w:spacing w:after="0"/>
              <w:rPr>
                <w:sz w:val="20"/>
                <w:szCs w:val="20"/>
                <w:color w:val="auto"/>
              </w:rPr>
            </w:pPr>
            <w:r>
              <w:rPr>
                <w:rFonts w:ascii="Arial" w:cs="Arial" w:eastAsia="Arial" w:hAnsi="Arial"/>
                <w:sz w:val="14"/>
                <w:szCs w:val="14"/>
                <w:b w:val="1"/>
                <w:bCs w:val="1"/>
                <w:color w:val="4D8ABE"/>
              </w:rPr>
              <w:t>2008</w:t>
            </w:r>
          </w:p>
        </w:tc>
        <w:tc>
          <w:tcPr>
            <w:tcW w:w="960" w:type="dxa"/>
            <w:vAlign w:val="bottom"/>
          </w:tcPr>
          <w:p>
            <w:pPr>
              <w:jc w:val="right"/>
              <w:ind w:right="171"/>
              <w:spacing w:after="0"/>
              <w:rPr>
                <w:sz w:val="20"/>
                <w:szCs w:val="20"/>
                <w:color w:val="auto"/>
              </w:rPr>
            </w:pPr>
            <w:r>
              <w:rPr>
                <w:rFonts w:ascii="Arial" w:cs="Arial" w:eastAsia="Arial" w:hAnsi="Arial"/>
                <w:sz w:val="14"/>
                <w:szCs w:val="14"/>
                <w:b w:val="1"/>
                <w:bCs w:val="1"/>
                <w:color w:val="4D8ABE"/>
              </w:rPr>
              <w:t>2007</w:t>
            </w:r>
          </w:p>
        </w:tc>
        <w:tc>
          <w:tcPr>
            <w:tcW w:w="1080" w:type="dxa"/>
            <w:vAlign w:val="bottom"/>
          </w:tcPr>
          <w:p>
            <w:pPr>
              <w:jc w:val="right"/>
              <w:ind w:right="151"/>
              <w:spacing w:after="0"/>
              <w:rPr>
                <w:sz w:val="20"/>
                <w:szCs w:val="20"/>
                <w:color w:val="auto"/>
              </w:rPr>
            </w:pPr>
            <w:r>
              <w:rPr>
                <w:rFonts w:ascii="Arial" w:cs="Arial" w:eastAsia="Arial" w:hAnsi="Arial"/>
                <w:sz w:val="14"/>
                <w:szCs w:val="14"/>
                <w:b w:val="1"/>
                <w:bCs w:val="1"/>
                <w:color w:val="4D8ABE"/>
              </w:rPr>
              <w:t>Variance</w:t>
            </w: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4D8ABE"/>
              </w:rPr>
              <w:t>Currency</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4D8ABE"/>
              </w:rPr>
              <w:t>Currency</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Borders>
              <w:top w:val="single" w:sz="8" w:color="4D8ABE"/>
            </w:tcBorders>
            <w:shd w:val="clear" w:color="auto" w:fill="E6EFFF"/>
          </w:tcPr>
          <w:p>
            <w:pPr>
              <w:spacing w:after="0"/>
              <w:rPr>
                <w:sz w:val="20"/>
                <w:szCs w:val="20"/>
                <w:color w:val="auto"/>
              </w:rPr>
            </w:pPr>
            <w:r>
              <w:rPr>
                <w:rFonts w:ascii="Arial" w:cs="Arial" w:eastAsia="Arial" w:hAnsi="Arial"/>
                <w:sz w:val="15"/>
                <w:szCs w:val="15"/>
                <w:color w:val="auto"/>
              </w:rPr>
              <w:t>Revenues from services</w:t>
            </w:r>
          </w:p>
        </w:tc>
        <w:tc>
          <w:tcPr>
            <w:tcW w:w="1400" w:type="dxa"/>
            <w:vAlign w:val="bottom"/>
            <w:tcBorders>
              <w:top w:val="single" w:sz="8" w:color="4D8ABE"/>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4D8ABE"/>
            </w:tcBorders>
            <w:shd w:val="clear" w:color="auto" w:fill="E6EFFF"/>
          </w:tcPr>
          <w:p>
            <w:pPr>
              <w:jc w:val="right"/>
              <w:ind w:right="108"/>
              <w:spacing w:after="0"/>
              <w:rPr>
                <w:sz w:val="20"/>
                <w:szCs w:val="20"/>
                <w:color w:val="auto"/>
              </w:rPr>
            </w:pPr>
            <w:r>
              <w:rPr>
                <w:rFonts w:ascii="Arial" w:cs="Arial" w:eastAsia="Arial" w:hAnsi="Arial"/>
                <w:sz w:val="15"/>
                <w:szCs w:val="15"/>
                <w:color w:val="auto"/>
              </w:rPr>
              <w:t>21,537.1</w:t>
            </w:r>
          </w:p>
        </w:tc>
        <w:tc>
          <w:tcPr>
            <w:tcW w:w="240" w:type="dxa"/>
            <w:vAlign w:val="bottom"/>
            <w:tcBorders>
              <w:top w:val="single" w:sz="8" w:color="4D8ABE"/>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4D8ABE"/>
            </w:tcBorders>
            <w:shd w:val="clear" w:color="auto" w:fill="E6EFFF"/>
          </w:tcPr>
          <w:p>
            <w:pPr>
              <w:jc w:val="right"/>
              <w:ind w:right="368"/>
              <w:spacing w:after="0"/>
              <w:rPr>
                <w:sz w:val="20"/>
                <w:szCs w:val="20"/>
                <w:color w:val="auto"/>
              </w:rPr>
            </w:pPr>
            <w:r>
              <w:rPr>
                <w:rFonts w:ascii="Arial" w:cs="Arial" w:eastAsia="Arial" w:hAnsi="Arial"/>
                <w:sz w:val="15"/>
                <w:szCs w:val="15"/>
                <w:color w:val="auto"/>
              </w:rPr>
              <w:t>20,486.1</w:t>
            </w:r>
          </w:p>
        </w:tc>
        <w:tc>
          <w:tcPr>
            <w:tcW w:w="1160" w:type="dxa"/>
            <w:vAlign w:val="bottom"/>
            <w:tcBorders>
              <w:top w:val="single" w:sz="8" w:color="4D8ABE"/>
            </w:tcBorders>
            <w:shd w:val="clear" w:color="auto" w:fill="E6EFFF"/>
          </w:tcPr>
          <w:p>
            <w:pPr>
              <w:jc w:val="right"/>
              <w:ind w:right="285"/>
              <w:spacing w:after="0"/>
              <w:rPr>
                <w:sz w:val="20"/>
                <w:szCs w:val="20"/>
                <w:color w:val="auto"/>
              </w:rPr>
            </w:pPr>
            <w:r>
              <w:rPr>
                <w:rFonts w:ascii="Arial" w:cs="Arial" w:eastAsia="Arial" w:hAnsi="Arial"/>
                <w:sz w:val="15"/>
                <w:szCs w:val="15"/>
                <w:color w:val="auto"/>
              </w:rPr>
              <w:t>5.1%</w:t>
            </w:r>
          </w:p>
        </w:tc>
        <w:tc>
          <w:tcPr>
            <w:tcW w:w="1120" w:type="dxa"/>
            <w:vAlign w:val="bottom"/>
            <w:tcBorders>
              <w:top w:val="single" w:sz="8" w:color="4D8ABE"/>
            </w:tcBorders>
            <w:shd w:val="clear" w:color="auto" w:fill="E6EFFF"/>
          </w:tcPr>
          <w:p>
            <w:pPr>
              <w:jc w:val="right"/>
              <w:ind w:right="265"/>
              <w:spacing w:after="0"/>
              <w:rPr>
                <w:sz w:val="20"/>
                <w:szCs w:val="20"/>
                <w:color w:val="auto"/>
              </w:rPr>
            </w:pPr>
            <w:r>
              <w:rPr>
                <w:rFonts w:ascii="Arial" w:cs="Arial" w:eastAsia="Arial" w:hAnsi="Arial"/>
                <w:sz w:val="15"/>
                <w:szCs w:val="15"/>
                <w:color w:val="auto"/>
              </w:rPr>
              <w:t>0.5%</w:t>
            </w:r>
          </w:p>
        </w:tc>
        <w:tc>
          <w:tcPr>
            <w:tcW w:w="860" w:type="dxa"/>
            <w:vAlign w:val="bottom"/>
            <w:tcBorders>
              <w:top w:val="single" w:sz="8" w:color="4D8ABE"/>
            </w:tcBorders>
            <w:shd w:val="clear" w:color="auto" w:fill="E6EFFF"/>
          </w:tcPr>
          <w:p>
            <w:pPr>
              <w:jc w:val="right"/>
              <w:spacing w:after="0"/>
              <w:rPr>
                <w:sz w:val="20"/>
                <w:szCs w:val="20"/>
                <w:color w:val="auto"/>
              </w:rPr>
            </w:pPr>
            <w:r>
              <w:rPr>
                <w:rFonts w:ascii="Arial" w:cs="Arial" w:eastAsia="Arial" w:hAnsi="Arial"/>
                <w:sz w:val="15"/>
                <w:szCs w:val="15"/>
                <w:color w:val="auto"/>
              </w:rPr>
              <w:t>(1.2)%</w:t>
            </w:r>
          </w:p>
        </w:tc>
      </w:tr>
      <w:tr>
        <w:trPr>
          <w:trHeight w:val="183"/>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Cost of services</w:t>
            </w: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17,450.2</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color w:val="auto"/>
              </w:rPr>
              <w:t>16,651.7</w:t>
            </w: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4.8</w:t>
            </w:r>
          </w:p>
        </w:tc>
        <w:tc>
          <w:tcPr>
            <w:tcW w:w="1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6"/>
        </w:trPr>
        <w:tc>
          <w:tcPr>
            <w:tcW w:w="4640" w:type="dxa"/>
            <w:vAlign w:val="bottom"/>
            <w:shd w:val="clear" w:color="auto" w:fill="E6EFFF"/>
          </w:tcPr>
          <w:p>
            <w:pPr>
              <w:spacing w:after="0"/>
              <w:rPr>
                <w:sz w:val="20"/>
                <w:szCs w:val="20"/>
                <w:color w:val="auto"/>
              </w:rPr>
            </w:pPr>
            <w:r>
              <w:rPr>
                <w:rFonts w:ascii="Arial" w:cs="Arial" w:eastAsia="Arial" w:hAnsi="Arial"/>
                <w:sz w:val="15"/>
                <w:szCs w:val="15"/>
                <w:color w:val="auto"/>
              </w:rPr>
              <w:t>Gross profit</w:t>
            </w:r>
          </w:p>
        </w:tc>
        <w:tc>
          <w:tcPr>
            <w:tcW w:w="140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8"/>
              <w:spacing w:after="0"/>
              <w:rPr>
                <w:sz w:val="20"/>
                <w:szCs w:val="20"/>
                <w:color w:val="auto"/>
              </w:rPr>
            </w:pPr>
            <w:r>
              <w:rPr>
                <w:rFonts w:ascii="Arial" w:cs="Arial" w:eastAsia="Arial" w:hAnsi="Arial"/>
                <w:sz w:val="15"/>
                <w:szCs w:val="15"/>
                <w:color w:val="auto"/>
              </w:rPr>
              <w:t>4,086.9</w:t>
            </w:r>
          </w:p>
        </w:tc>
        <w:tc>
          <w:tcPr>
            <w:tcW w:w="24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368"/>
              <w:spacing w:after="0"/>
              <w:rPr>
                <w:sz w:val="20"/>
                <w:szCs w:val="20"/>
                <w:color w:val="auto"/>
              </w:rPr>
            </w:pPr>
            <w:r>
              <w:rPr>
                <w:rFonts w:ascii="Arial" w:cs="Arial" w:eastAsia="Arial" w:hAnsi="Arial"/>
                <w:sz w:val="15"/>
                <w:szCs w:val="15"/>
                <w:color w:val="auto"/>
              </w:rPr>
              <w:t>3,834.4</w:t>
            </w:r>
          </w:p>
        </w:tc>
        <w:tc>
          <w:tcPr>
            <w:tcW w:w="1160" w:type="dxa"/>
            <w:vAlign w:val="bottom"/>
            <w:shd w:val="clear" w:color="auto" w:fill="E6EFFF"/>
          </w:tcPr>
          <w:p>
            <w:pPr>
              <w:jc w:val="right"/>
              <w:ind w:right="425"/>
              <w:spacing w:after="0"/>
              <w:rPr>
                <w:sz w:val="20"/>
                <w:szCs w:val="20"/>
                <w:color w:val="auto"/>
              </w:rPr>
            </w:pPr>
            <w:r>
              <w:rPr>
                <w:rFonts w:ascii="Arial" w:cs="Arial" w:eastAsia="Arial" w:hAnsi="Arial"/>
                <w:sz w:val="15"/>
                <w:szCs w:val="15"/>
                <w:color w:val="auto"/>
              </w:rPr>
              <w:t>6.6</w:t>
            </w:r>
          </w:p>
        </w:tc>
        <w:tc>
          <w:tcPr>
            <w:tcW w:w="1120" w:type="dxa"/>
            <w:vAlign w:val="bottom"/>
            <w:shd w:val="clear" w:color="auto" w:fill="E6EFFF"/>
          </w:tcPr>
          <w:p>
            <w:pPr>
              <w:jc w:val="right"/>
              <w:ind w:right="405"/>
              <w:spacing w:after="0"/>
              <w:rPr>
                <w:sz w:val="20"/>
                <w:szCs w:val="20"/>
                <w:color w:val="auto"/>
              </w:rPr>
            </w:pPr>
            <w:r>
              <w:rPr>
                <w:rFonts w:ascii="Arial" w:cs="Arial" w:eastAsia="Arial" w:hAnsi="Arial"/>
                <w:sz w:val="15"/>
                <w:szCs w:val="15"/>
                <w:color w:val="auto"/>
              </w:rPr>
              <w:t>2.3</w:t>
            </w:r>
          </w:p>
        </w:tc>
        <w:tc>
          <w:tcPr>
            <w:tcW w:w="86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(0.2)</w:t>
            </w:r>
          </w:p>
        </w:tc>
      </w:tr>
      <w:tr>
        <w:trPr>
          <w:trHeight w:val="159"/>
        </w:trPr>
        <w:tc>
          <w:tcPr>
            <w:tcW w:w="4640" w:type="dxa"/>
            <w:vAlign w:val="bottom"/>
          </w:tcPr>
          <w:p>
            <w:pPr>
              <w:spacing w:after="0"/>
              <w:rPr>
                <w:sz w:val="20"/>
                <w:szCs w:val="20"/>
                <w:color w:val="auto"/>
              </w:rPr>
            </w:pPr>
            <w:r>
              <w:rPr>
                <w:rFonts w:ascii="Arial" w:cs="Arial" w:eastAsia="Arial" w:hAnsi="Arial"/>
                <w:sz w:val="12"/>
                <w:szCs w:val="12"/>
                <w:i w:val="1"/>
                <w:iCs w:val="1"/>
                <w:color w:val="auto"/>
              </w:rPr>
              <w:t>Gross profit margin</w:t>
            </w:r>
          </w:p>
        </w:tc>
        <w:tc>
          <w:tcPr>
            <w:tcW w:w="1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i w:val="1"/>
                <w:iCs w:val="1"/>
                <w:color w:val="auto"/>
              </w:rPr>
              <w:t>19.0 %</w:t>
            </w:r>
          </w:p>
        </w:tc>
        <w:tc>
          <w:tcPr>
            <w:tcW w:w="240" w:type="dxa"/>
            <w:vAlign w:val="bottom"/>
          </w:tcPr>
          <w:p>
            <w:pPr>
              <w:spacing w:after="0"/>
              <w:rPr>
                <w:sz w:val="13"/>
                <w:szCs w:val="13"/>
                <w:color w:val="auto"/>
              </w:rPr>
            </w:pPr>
          </w:p>
        </w:tc>
        <w:tc>
          <w:tcPr>
            <w:tcW w:w="1140" w:type="dxa"/>
            <w:vAlign w:val="bottom"/>
          </w:tcPr>
          <w:p>
            <w:pPr>
              <w:jc w:val="right"/>
              <w:ind w:right="228"/>
              <w:spacing w:after="0"/>
              <w:rPr>
                <w:sz w:val="20"/>
                <w:szCs w:val="20"/>
                <w:color w:val="auto"/>
              </w:rPr>
            </w:pPr>
            <w:r>
              <w:rPr>
                <w:rFonts w:ascii="Arial" w:cs="Arial" w:eastAsia="Arial" w:hAnsi="Arial"/>
                <w:sz w:val="12"/>
                <w:szCs w:val="12"/>
                <w:i w:val="1"/>
                <w:iCs w:val="1"/>
                <w:color w:val="auto"/>
              </w:rPr>
              <w:t>18.7 %</w:t>
            </w: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4"/>
        </w:trPr>
        <w:tc>
          <w:tcPr>
            <w:tcW w:w="46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Selling and administrative expenses</w:t>
            </w:r>
          </w:p>
        </w:tc>
        <w:tc>
          <w:tcPr>
            <w:tcW w:w="140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8"/>
              <w:spacing w:after="0"/>
              <w:rPr>
                <w:sz w:val="20"/>
                <w:szCs w:val="20"/>
                <w:color w:val="auto"/>
              </w:rPr>
            </w:pPr>
            <w:r>
              <w:rPr>
                <w:rFonts w:ascii="Arial" w:cs="Arial" w:eastAsia="Arial" w:hAnsi="Arial"/>
                <w:sz w:val="15"/>
                <w:szCs w:val="15"/>
                <w:color w:val="auto"/>
              </w:rPr>
              <w:t>3,430.3</w:t>
            </w:r>
          </w:p>
        </w:tc>
        <w:tc>
          <w:tcPr>
            <w:tcW w:w="24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368"/>
              <w:spacing w:after="0"/>
              <w:rPr>
                <w:sz w:val="20"/>
                <w:szCs w:val="20"/>
                <w:color w:val="auto"/>
              </w:rPr>
            </w:pPr>
            <w:r>
              <w:rPr>
                <w:rFonts w:ascii="Arial" w:cs="Arial" w:eastAsia="Arial" w:hAnsi="Arial"/>
                <w:sz w:val="15"/>
                <w:szCs w:val="15"/>
                <w:color w:val="auto"/>
              </w:rPr>
              <w:t>3,023.2</w:t>
            </w:r>
          </w:p>
        </w:tc>
        <w:tc>
          <w:tcPr>
            <w:tcW w:w="116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r>
      <w:tr>
        <w:trPr>
          <w:trHeight w:val="183"/>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Goodwill and intangible asset impairment charges</w:t>
            </w: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163.1</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6"/>
        </w:trPr>
        <w:tc>
          <w:tcPr>
            <w:tcW w:w="4640" w:type="dxa"/>
            <w:vAlign w:val="bottom"/>
            <w:shd w:val="clear" w:color="auto" w:fill="E6EFFF"/>
          </w:tcPr>
          <w:p>
            <w:pPr>
              <w:spacing w:after="0"/>
              <w:rPr>
                <w:sz w:val="20"/>
                <w:szCs w:val="20"/>
                <w:color w:val="auto"/>
              </w:rPr>
            </w:pPr>
            <w:r>
              <w:rPr>
                <w:rFonts w:ascii="Arial" w:cs="Arial" w:eastAsia="Arial" w:hAnsi="Arial"/>
                <w:sz w:val="15"/>
                <w:szCs w:val="15"/>
                <w:color w:val="auto"/>
              </w:rPr>
              <w:t>Selling and administrative expenses</w:t>
            </w:r>
          </w:p>
        </w:tc>
        <w:tc>
          <w:tcPr>
            <w:tcW w:w="140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8"/>
              <w:spacing w:after="0"/>
              <w:rPr>
                <w:sz w:val="20"/>
                <w:szCs w:val="20"/>
                <w:color w:val="auto"/>
              </w:rPr>
            </w:pPr>
            <w:r>
              <w:rPr>
                <w:rFonts w:ascii="Arial" w:cs="Arial" w:eastAsia="Arial" w:hAnsi="Arial"/>
                <w:sz w:val="15"/>
                <w:szCs w:val="15"/>
                <w:color w:val="auto"/>
              </w:rPr>
              <w:t>3,593.4</w:t>
            </w:r>
          </w:p>
        </w:tc>
        <w:tc>
          <w:tcPr>
            <w:tcW w:w="24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368"/>
              <w:spacing w:after="0"/>
              <w:rPr>
                <w:sz w:val="20"/>
                <w:szCs w:val="20"/>
                <w:color w:val="auto"/>
              </w:rPr>
            </w:pPr>
            <w:r>
              <w:rPr>
                <w:rFonts w:ascii="Arial" w:cs="Arial" w:eastAsia="Arial" w:hAnsi="Arial"/>
                <w:sz w:val="15"/>
                <w:szCs w:val="15"/>
                <w:color w:val="auto"/>
              </w:rPr>
              <w:t>3,023.2</w:t>
            </w:r>
          </w:p>
        </w:tc>
        <w:tc>
          <w:tcPr>
            <w:tcW w:w="1160" w:type="dxa"/>
            <w:vAlign w:val="bottom"/>
            <w:shd w:val="clear" w:color="auto" w:fill="E6EFFF"/>
          </w:tcPr>
          <w:p>
            <w:pPr>
              <w:jc w:val="right"/>
              <w:ind w:right="425"/>
              <w:spacing w:after="0"/>
              <w:rPr>
                <w:sz w:val="20"/>
                <w:szCs w:val="20"/>
                <w:color w:val="auto"/>
              </w:rPr>
            </w:pPr>
            <w:r>
              <w:rPr>
                <w:rFonts w:ascii="Arial" w:cs="Arial" w:eastAsia="Arial" w:hAnsi="Arial"/>
                <w:sz w:val="15"/>
                <w:szCs w:val="15"/>
                <w:color w:val="auto"/>
              </w:rPr>
              <w:t>18.9</w:t>
            </w:r>
          </w:p>
        </w:tc>
        <w:tc>
          <w:tcPr>
            <w:tcW w:w="1120" w:type="dxa"/>
            <w:vAlign w:val="bottom"/>
            <w:shd w:val="clear" w:color="auto" w:fill="E6EFFF"/>
          </w:tcPr>
          <w:p>
            <w:pPr>
              <w:jc w:val="right"/>
              <w:ind w:right="405"/>
              <w:spacing w:after="0"/>
              <w:rPr>
                <w:sz w:val="20"/>
                <w:szCs w:val="20"/>
                <w:color w:val="auto"/>
              </w:rPr>
            </w:pPr>
            <w:r>
              <w:rPr>
                <w:rFonts w:ascii="Arial" w:cs="Arial" w:eastAsia="Arial" w:hAnsi="Arial"/>
                <w:sz w:val="15"/>
                <w:szCs w:val="15"/>
                <w:color w:val="auto"/>
              </w:rPr>
              <w:t>14.7</w:t>
            </w:r>
          </w:p>
        </w:tc>
        <w:tc>
          <w:tcPr>
            <w:tcW w:w="86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11.8</w:t>
            </w:r>
          </w:p>
        </w:tc>
      </w:tr>
      <w:tr>
        <w:trPr>
          <w:trHeight w:val="159"/>
        </w:trPr>
        <w:tc>
          <w:tcPr>
            <w:tcW w:w="4640" w:type="dxa"/>
            <w:vAlign w:val="bottom"/>
          </w:tcPr>
          <w:p>
            <w:pPr>
              <w:ind w:left="140"/>
              <w:spacing w:after="0"/>
              <w:rPr>
                <w:sz w:val="20"/>
                <w:szCs w:val="20"/>
                <w:color w:val="auto"/>
              </w:rPr>
            </w:pPr>
            <w:r>
              <w:rPr>
                <w:rFonts w:ascii="Arial" w:cs="Arial" w:eastAsia="Arial" w:hAnsi="Arial"/>
                <w:sz w:val="12"/>
                <w:szCs w:val="12"/>
                <w:i w:val="1"/>
                <w:iCs w:val="1"/>
                <w:color w:val="auto"/>
              </w:rPr>
              <w:t>Selling and administrative expenses as a % of revenues</w:t>
            </w:r>
          </w:p>
        </w:tc>
        <w:tc>
          <w:tcPr>
            <w:tcW w:w="1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i w:val="1"/>
                <w:iCs w:val="1"/>
                <w:color w:val="auto"/>
              </w:rPr>
              <w:t>16.7 %</w:t>
            </w:r>
          </w:p>
        </w:tc>
        <w:tc>
          <w:tcPr>
            <w:tcW w:w="240" w:type="dxa"/>
            <w:vAlign w:val="bottom"/>
          </w:tcPr>
          <w:p>
            <w:pPr>
              <w:spacing w:after="0"/>
              <w:rPr>
                <w:sz w:val="13"/>
                <w:szCs w:val="13"/>
                <w:color w:val="auto"/>
              </w:rPr>
            </w:pPr>
          </w:p>
        </w:tc>
        <w:tc>
          <w:tcPr>
            <w:tcW w:w="1140" w:type="dxa"/>
            <w:vAlign w:val="bottom"/>
          </w:tcPr>
          <w:p>
            <w:pPr>
              <w:jc w:val="right"/>
              <w:ind w:right="228"/>
              <w:spacing w:after="0"/>
              <w:rPr>
                <w:sz w:val="20"/>
                <w:szCs w:val="20"/>
                <w:color w:val="auto"/>
              </w:rPr>
            </w:pPr>
            <w:r>
              <w:rPr>
                <w:rFonts w:ascii="Arial" w:cs="Arial" w:eastAsia="Arial" w:hAnsi="Arial"/>
                <w:sz w:val="12"/>
                <w:szCs w:val="12"/>
                <w:i w:val="1"/>
                <w:iCs w:val="1"/>
                <w:color w:val="auto"/>
              </w:rPr>
              <w:t>14.8 %</w:t>
            </w: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4"/>
        </w:trPr>
        <w:tc>
          <w:tcPr>
            <w:tcW w:w="4640" w:type="dxa"/>
            <w:vAlign w:val="bottom"/>
            <w:shd w:val="clear" w:color="auto" w:fill="E6EFFF"/>
          </w:tcPr>
          <w:p>
            <w:pPr>
              <w:spacing w:after="0"/>
              <w:rPr>
                <w:sz w:val="20"/>
                <w:szCs w:val="20"/>
                <w:color w:val="auto"/>
              </w:rPr>
            </w:pPr>
            <w:r>
              <w:rPr>
                <w:rFonts w:ascii="Arial" w:cs="Arial" w:eastAsia="Arial" w:hAnsi="Arial"/>
                <w:sz w:val="15"/>
                <w:szCs w:val="15"/>
                <w:color w:val="auto"/>
              </w:rPr>
              <w:t>Operating profit</w:t>
            </w:r>
          </w:p>
        </w:tc>
        <w:tc>
          <w:tcPr>
            <w:tcW w:w="140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8"/>
              <w:spacing w:after="0"/>
              <w:rPr>
                <w:sz w:val="20"/>
                <w:szCs w:val="20"/>
                <w:color w:val="auto"/>
              </w:rPr>
            </w:pPr>
            <w:r>
              <w:rPr>
                <w:rFonts w:ascii="Arial" w:cs="Arial" w:eastAsia="Arial" w:hAnsi="Arial"/>
                <w:sz w:val="15"/>
                <w:szCs w:val="15"/>
                <w:color w:val="auto"/>
              </w:rPr>
              <w:t>493.5</w:t>
            </w:r>
          </w:p>
        </w:tc>
        <w:tc>
          <w:tcPr>
            <w:tcW w:w="24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368"/>
              <w:spacing w:after="0"/>
              <w:rPr>
                <w:sz w:val="20"/>
                <w:szCs w:val="20"/>
                <w:color w:val="auto"/>
              </w:rPr>
            </w:pPr>
            <w:r>
              <w:rPr>
                <w:rFonts w:ascii="Arial" w:cs="Arial" w:eastAsia="Arial" w:hAnsi="Arial"/>
                <w:sz w:val="15"/>
                <w:szCs w:val="15"/>
                <w:color w:val="auto"/>
              </w:rPr>
              <w:t>811.2</w:t>
            </w:r>
          </w:p>
        </w:tc>
        <w:tc>
          <w:tcPr>
            <w:tcW w:w="1160" w:type="dxa"/>
            <w:vAlign w:val="bottom"/>
            <w:shd w:val="clear" w:color="auto" w:fill="E6EFFF"/>
          </w:tcPr>
          <w:p>
            <w:pPr>
              <w:jc w:val="right"/>
              <w:ind w:right="365"/>
              <w:spacing w:after="0"/>
              <w:rPr>
                <w:sz w:val="20"/>
                <w:szCs w:val="20"/>
                <w:color w:val="auto"/>
              </w:rPr>
            </w:pPr>
            <w:r>
              <w:rPr>
                <w:rFonts w:ascii="Arial" w:cs="Arial" w:eastAsia="Arial" w:hAnsi="Arial"/>
                <w:sz w:val="15"/>
                <w:szCs w:val="15"/>
                <w:color w:val="auto"/>
              </w:rPr>
              <w:t>(39.2)</w:t>
            </w:r>
          </w:p>
        </w:tc>
        <w:tc>
          <w:tcPr>
            <w:tcW w:w="1120" w:type="dxa"/>
            <w:vAlign w:val="bottom"/>
            <w:shd w:val="clear" w:color="auto" w:fill="E6EFFF"/>
          </w:tcPr>
          <w:p>
            <w:pPr>
              <w:jc w:val="right"/>
              <w:ind w:right="345"/>
              <w:spacing w:after="0"/>
              <w:rPr>
                <w:sz w:val="20"/>
                <w:szCs w:val="20"/>
                <w:color w:val="auto"/>
              </w:rPr>
            </w:pPr>
            <w:r>
              <w:rPr>
                <w:rFonts w:ascii="Arial" w:cs="Arial" w:eastAsia="Arial" w:hAnsi="Arial"/>
                <w:sz w:val="15"/>
                <w:szCs w:val="15"/>
                <w:color w:val="auto"/>
              </w:rPr>
              <w:t>(43.8)</w:t>
            </w:r>
          </w:p>
        </w:tc>
        <w:tc>
          <w:tcPr>
            <w:tcW w:w="86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(44.6)</w:t>
            </w:r>
          </w:p>
        </w:tc>
      </w:tr>
      <w:tr>
        <w:trPr>
          <w:trHeight w:val="159"/>
        </w:trPr>
        <w:tc>
          <w:tcPr>
            <w:tcW w:w="4640" w:type="dxa"/>
            <w:vAlign w:val="bottom"/>
          </w:tcPr>
          <w:p>
            <w:pPr>
              <w:spacing w:after="0"/>
              <w:rPr>
                <w:sz w:val="20"/>
                <w:szCs w:val="20"/>
                <w:color w:val="auto"/>
              </w:rPr>
            </w:pPr>
            <w:r>
              <w:rPr>
                <w:rFonts w:ascii="Arial" w:cs="Arial" w:eastAsia="Arial" w:hAnsi="Arial"/>
                <w:sz w:val="12"/>
                <w:szCs w:val="12"/>
                <w:i w:val="1"/>
                <w:iCs w:val="1"/>
                <w:color w:val="auto"/>
              </w:rPr>
              <w:t>Operating profit margin</w:t>
            </w:r>
          </w:p>
        </w:tc>
        <w:tc>
          <w:tcPr>
            <w:tcW w:w="1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i w:val="1"/>
                <w:iCs w:val="1"/>
                <w:color w:val="auto"/>
              </w:rPr>
              <w:t>2.3 %</w:t>
            </w:r>
          </w:p>
        </w:tc>
        <w:tc>
          <w:tcPr>
            <w:tcW w:w="240" w:type="dxa"/>
            <w:vAlign w:val="bottom"/>
          </w:tcPr>
          <w:p>
            <w:pPr>
              <w:spacing w:after="0"/>
              <w:rPr>
                <w:sz w:val="13"/>
                <w:szCs w:val="13"/>
                <w:color w:val="auto"/>
              </w:rPr>
            </w:pPr>
          </w:p>
        </w:tc>
        <w:tc>
          <w:tcPr>
            <w:tcW w:w="1140" w:type="dxa"/>
            <w:vAlign w:val="bottom"/>
          </w:tcPr>
          <w:p>
            <w:pPr>
              <w:jc w:val="right"/>
              <w:ind w:right="228"/>
              <w:spacing w:after="0"/>
              <w:rPr>
                <w:sz w:val="20"/>
                <w:szCs w:val="20"/>
                <w:color w:val="auto"/>
              </w:rPr>
            </w:pPr>
            <w:r>
              <w:rPr>
                <w:rFonts w:ascii="Arial" w:cs="Arial" w:eastAsia="Arial" w:hAnsi="Arial"/>
                <w:sz w:val="12"/>
                <w:szCs w:val="12"/>
                <w:i w:val="1"/>
                <w:iCs w:val="1"/>
                <w:color w:val="auto"/>
              </w:rPr>
              <w:t>4.0 %</w:t>
            </w: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4"/>
        </w:trPr>
        <w:tc>
          <w:tcPr>
            <w:tcW w:w="46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Net interest expense</w:t>
            </w:r>
          </w:p>
        </w:tc>
        <w:tc>
          <w:tcPr>
            <w:tcW w:w="140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8"/>
              <w:spacing w:after="0"/>
              <w:rPr>
                <w:sz w:val="20"/>
                <w:szCs w:val="20"/>
                <w:color w:val="auto"/>
              </w:rPr>
            </w:pPr>
            <w:r>
              <w:rPr>
                <w:rFonts w:ascii="Arial" w:cs="Arial" w:eastAsia="Arial" w:hAnsi="Arial"/>
                <w:sz w:val="15"/>
                <w:szCs w:val="15"/>
                <w:color w:val="auto"/>
              </w:rPr>
              <w:t>41.8</w:t>
            </w:r>
          </w:p>
        </w:tc>
        <w:tc>
          <w:tcPr>
            <w:tcW w:w="24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368"/>
              <w:spacing w:after="0"/>
              <w:rPr>
                <w:sz w:val="20"/>
                <w:szCs w:val="20"/>
                <w:color w:val="auto"/>
              </w:rPr>
            </w:pPr>
            <w:r>
              <w:rPr>
                <w:rFonts w:ascii="Arial" w:cs="Arial" w:eastAsia="Arial" w:hAnsi="Arial"/>
                <w:sz w:val="15"/>
                <w:szCs w:val="15"/>
                <w:color w:val="auto"/>
              </w:rPr>
              <w:t>29.0</w:t>
            </w:r>
          </w:p>
        </w:tc>
        <w:tc>
          <w:tcPr>
            <w:tcW w:w="1160" w:type="dxa"/>
            <w:vAlign w:val="bottom"/>
            <w:shd w:val="clear" w:color="auto" w:fill="E6EFFF"/>
          </w:tcPr>
          <w:p>
            <w:pPr>
              <w:jc w:val="right"/>
              <w:ind w:right="425"/>
              <w:spacing w:after="0"/>
              <w:rPr>
                <w:sz w:val="20"/>
                <w:szCs w:val="20"/>
                <w:color w:val="auto"/>
              </w:rPr>
            </w:pPr>
            <w:r>
              <w:rPr>
                <w:rFonts w:ascii="Arial" w:cs="Arial" w:eastAsia="Arial" w:hAnsi="Arial"/>
                <w:sz w:val="15"/>
                <w:szCs w:val="15"/>
                <w:color w:val="auto"/>
              </w:rPr>
              <w:t>44.1</w:t>
            </w:r>
          </w:p>
        </w:tc>
        <w:tc>
          <w:tcPr>
            <w:tcW w:w="112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r>
      <w:tr>
        <w:trPr>
          <w:trHeight w:val="183"/>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expenses</w:t>
            </w: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9.1</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color w:val="auto"/>
              </w:rPr>
              <w:t>5.2</w:t>
            </w: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75.0</w:t>
            </w:r>
          </w:p>
        </w:tc>
        <w:tc>
          <w:tcPr>
            <w:tcW w:w="1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6"/>
        </w:trPr>
        <w:tc>
          <w:tcPr>
            <w:tcW w:w="4640" w:type="dxa"/>
            <w:vAlign w:val="bottom"/>
            <w:shd w:val="clear" w:color="auto" w:fill="E6EFFF"/>
          </w:tcPr>
          <w:p>
            <w:pPr>
              <w:spacing w:after="0"/>
              <w:rPr>
                <w:sz w:val="20"/>
                <w:szCs w:val="20"/>
                <w:color w:val="auto"/>
              </w:rPr>
            </w:pPr>
            <w:r>
              <w:rPr>
                <w:rFonts w:ascii="Arial" w:cs="Arial" w:eastAsia="Arial" w:hAnsi="Arial"/>
                <w:sz w:val="15"/>
                <w:szCs w:val="15"/>
                <w:color w:val="auto"/>
              </w:rPr>
              <w:t>Earnings before income taxes</w:t>
            </w:r>
          </w:p>
        </w:tc>
        <w:tc>
          <w:tcPr>
            <w:tcW w:w="140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8"/>
              <w:spacing w:after="0"/>
              <w:rPr>
                <w:sz w:val="20"/>
                <w:szCs w:val="20"/>
                <w:color w:val="auto"/>
              </w:rPr>
            </w:pPr>
            <w:r>
              <w:rPr>
                <w:rFonts w:ascii="Arial" w:cs="Arial" w:eastAsia="Arial" w:hAnsi="Arial"/>
                <w:sz w:val="15"/>
                <w:szCs w:val="15"/>
                <w:color w:val="auto"/>
              </w:rPr>
              <w:t>442.6</w:t>
            </w:r>
          </w:p>
        </w:tc>
        <w:tc>
          <w:tcPr>
            <w:tcW w:w="24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368"/>
              <w:spacing w:after="0"/>
              <w:rPr>
                <w:sz w:val="20"/>
                <w:szCs w:val="20"/>
                <w:color w:val="auto"/>
              </w:rPr>
            </w:pPr>
            <w:r>
              <w:rPr>
                <w:rFonts w:ascii="Arial" w:cs="Arial" w:eastAsia="Arial" w:hAnsi="Arial"/>
                <w:sz w:val="15"/>
                <w:szCs w:val="15"/>
                <w:color w:val="auto"/>
              </w:rPr>
              <w:t>777.0</w:t>
            </w:r>
          </w:p>
        </w:tc>
        <w:tc>
          <w:tcPr>
            <w:tcW w:w="1160" w:type="dxa"/>
            <w:vAlign w:val="bottom"/>
            <w:shd w:val="clear" w:color="auto" w:fill="E6EFFF"/>
          </w:tcPr>
          <w:p>
            <w:pPr>
              <w:jc w:val="right"/>
              <w:ind w:right="365"/>
              <w:spacing w:after="0"/>
              <w:rPr>
                <w:sz w:val="20"/>
                <w:szCs w:val="20"/>
                <w:color w:val="auto"/>
              </w:rPr>
            </w:pPr>
            <w:r>
              <w:rPr>
                <w:rFonts w:ascii="Arial" w:cs="Arial" w:eastAsia="Arial" w:hAnsi="Arial"/>
                <w:sz w:val="15"/>
                <w:szCs w:val="15"/>
                <w:color w:val="auto"/>
              </w:rPr>
              <w:t>(43.0)</w:t>
            </w:r>
          </w:p>
        </w:tc>
        <w:tc>
          <w:tcPr>
            <w:tcW w:w="1120" w:type="dxa"/>
            <w:vAlign w:val="bottom"/>
            <w:shd w:val="clear" w:color="auto" w:fill="E6EFFF"/>
          </w:tcPr>
          <w:p>
            <w:pPr>
              <w:jc w:val="right"/>
              <w:ind w:right="345"/>
              <w:spacing w:after="0"/>
              <w:rPr>
                <w:sz w:val="20"/>
                <w:szCs w:val="20"/>
                <w:color w:val="auto"/>
              </w:rPr>
            </w:pPr>
            <w:r>
              <w:rPr>
                <w:rFonts w:ascii="Arial" w:cs="Arial" w:eastAsia="Arial" w:hAnsi="Arial"/>
                <w:sz w:val="15"/>
                <w:szCs w:val="15"/>
                <w:color w:val="auto"/>
              </w:rPr>
              <w:t>(48.8)</w:t>
            </w:r>
          </w:p>
        </w:tc>
        <w:tc>
          <w:tcPr>
            <w:tcW w:w="860" w:type="dxa"/>
            <w:vAlign w:val="bottom"/>
            <w:shd w:val="clear" w:color="auto" w:fill="E6EFFF"/>
          </w:tcPr>
          <w:p>
            <w:pPr>
              <w:spacing w:after="0"/>
              <w:rPr>
                <w:sz w:val="15"/>
                <w:szCs w:val="15"/>
                <w:color w:val="auto"/>
              </w:rPr>
            </w:pPr>
          </w:p>
        </w:tc>
      </w:tr>
      <w:tr>
        <w:trPr>
          <w:trHeight w:val="183"/>
        </w:trPr>
        <w:tc>
          <w:tcPr>
            <w:tcW w:w="4640" w:type="dxa"/>
            <w:vAlign w:val="bottom"/>
          </w:tcPr>
          <w:p>
            <w:pPr>
              <w:ind w:left="220"/>
              <w:spacing w:after="0"/>
              <w:rPr>
                <w:sz w:val="20"/>
                <w:szCs w:val="20"/>
                <w:color w:val="auto"/>
              </w:rPr>
            </w:pPr>
            <w:r>
              <w:rPr>
                <w:rFonts w:ascii="Arial" w:cs="Arial" w:eastAsia="Arial" w:hAnsi="Arial"/>
                <w:sz w:val="15"/>
                <w:szCs w:val="15"/>
                <w:color w:val="auto"/>
              </w:rPr>
              <w:t>Provision for income taxes</w:t>
            </w:r>
          </w:p>
        </w:tc>
        <w:tc>
          <w:tcPr>
            <w:tcW w:w="140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5"/>
                <w:szCs w:val="15"/>
                <w:color w:val="auto"/>
              </w:rPr>
              <w:t>237.1</w:t>
            </w:r>
          </w:p>
        </w:tc>
        <w:tc>
          <w:tcPr>
            <w:tcW w:w="240" w:type="dxa"/>
            <w:vAlign w:val="bottom"/>
          </w:tcPr>
          <w:p>
            <w:pPr>
              <w:spacing w:after="0"/>
              <w:rPr>
                <w:sz w:val="15"/>
                <w:szCs w:val="15"/>
                <w:color w:val="auto"/>
              </w:rPr>
            </w:pPr>
          </w:p>
        </w:tc>
        <w:tc>
          <w:tcPr>
            <w:tcW w:w="1140" w:type="dxa"/>
            <w:vAlign w:val="bottom"/>
          </w:tcPr>
          <w:p>
            <w:pPr>
              <w:jc w:val="right"/>
              <w:ind w:right="368"/>
              <w:spacing w:after="0"/>
              <w:rPr>
                <w:sz w:val="20"/>
                <w:szCs w:val="20"/>
                <w:color w:val="auto"/>
              </w:rPr>
            </w:pPr>
            <w:r>
              <w:rPr>
                <w:rFonts w:ascii="Arial" w:cs="Arial" w:eastAsia="Arial" w:hAnsi="Arial"/>
                <w:sz w:val="15"/>
                <w:szCs w:val="15"/>
                <w:color w:val="auto"/>
              </w:rPr>
              <w:t>303.3</w:t>
            </w:r>
          </w:p>
        </w:tc>
        <w:tc>
          <w:tcPr>
            <w:tcW w:w="1160" w:type="dxa"/>
            <w:vAlign w:val="bottom"/>
          </w:tcPr>
          <w:p>
            <w:pPr>
              <w:jc w:val="right"/>
              <w:ind w:right="365"/>
              <w:spacing w:after="0"/>
              <w:rPr>
                <w:sz w:val="20"/>
                <w:szCs w:val="20"/>
                <w:color w:val="auto"/>
              </w:rPr>
            </w:pPr>
            <w:r>
              <w:rPr>
                <w:rFonts w:ascii="Arial" w:cs="Arial" w:eastAsia="Arial" w:hAnsi="Arial"/>
                <w:sz w:val="15"/>
                <w:szCs w:val="15"/>
                <w:color w:val="auto"/>
              </w:rPr>
              <w:t>(21.9)</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4640" w:type="dxa"/>
            <w:vAlign w:val="bottom"/>
            <w:tcBorders>
              <w:bottom w:val="single" w:sz="8" w:color="E6EFFF"/>
            </w:tcBorders>
            <w:shd w:val="clear" w:color="auto" w:fill="E6EFFF"/>
          </w:tcPr>
          <w:p>
            <w:pPr>
              <w:ind w:left="220"/>
              <w:spacing w:after="0"/>
              <w:rPr>
                <w:sz w:val="20"/>
                <w:szCs w:val="20"/>
                <w:color w:val="auto"/>
              </w:rPr>
            </w:pPr>
            <w:r>
              <w:rPr>
                <w:rFonts w:ascii="Arial" w:cs="Arial" w:eastAsia="Arial" w:hAnsi="Arial"/>
                <w:sz w:val="12"/>
                <w:szCs w:val="12"/>
                <w:i w:val="1"/>
                <w:iCs w:val="1"/>
                <w:color w:val="auto"/>
              </w:rPr>
              <w:t>Effective income tax rate</w:t>
            </w:r>
          </w:p>
        </w:tc>
        <w:tc>
          <w:tcPr>
            <w:tcW w:w="1400" w:type="dxa"/>
            <w:vAlign w:val="bottom"/>
            <w:tcBorders>
              <w:bottom w:val="single" w:sz="8" w:color="E6EFFF"/>
            </w:tcBorders>
            <w:shd w:val="clear" w:color="auto" w:fill="E6EFFF"/>
          </w:tcPr>
          <w:p>
            <w:pPr>
              <w:spacing w:after="0"/>
              <w:rPr>
                <w:sz w:val="16"/>
                <w:szCs w:val="16"/>
                <w:color w:val="auto"/>
              </w:rPr>
            </w:pPr>
          </w:p>
        </w:tc>
        <w:tc>
          <w:tcPr>
            <w:tcW w:w="880" w:type="dxa"/>
            <w:vAlign w:val="bottom"/>
            <w:tcBorders>
              <w:bottom w:val="single" w:sz="8" w:color="E6EFFF"/>
            </w:tcBorders>
            <w:shd w:val="clear" w:color="auto" w:fill="E6EFFF"/>
          </w:tcPr>
          <w:p>
            <w:pPr>
              <w:jc w:val="right"/>
              <w:spacing w:after="0"/>
              <w:rPr>
                <w:sz w:val="20"/>
                <w:szCs w:val="20"/>
                <w:color w:val="auto"/>
              </w:rPr>
            </w:pPr>
            <w:r>
              <w:rPr>
                <w:rFonts w:ascii="Arial" w:cs="Arial" w:eastAsia="Arial" w:hAnsi="Arial"/>
                <w:sz w:val="12"/>
                <w:szCs w:val="12"/>
                <w:i w:val="1"/>
                <w:iCs w:val="1"/>
                <w:color w:val="auto"/>
              </w:rPr>
              <w:t>53.6 %</w:t>
            </w:r>
          </w:p>
        </w:tc>
        <w:tc>
          <w:tcPr>
            <w:tcW w:w="240" w:type="dxa"/>
            <w:vAlign w:val="bottom"/>
            <w:tcBorders>
              <w:bottom w:val="single" w:sz="8" w:color="E6EFFF"/>
            </w:tcBorders>
            <w:shd w:val="clear" w:color="auto" w:fill="E6EFFF"/>
          </w:tcPr>
          <w:p>
            <w:pPr>
              <w:spacing w:after="0"/>
              <w:rPr>
                <w:sz w:val="16"/>
                <w:szCs w:val="16"/>
                <w:color w:val="auto"/>
              </w:rPr>
            </w:pPr>
          </w:p>
        </w:tc>
        <w:tc>
          <w:tcPr>
            <w:tcW w:w="1140" w:type="dxa"/>
            <w:vAlign w:val="bottom"/>
            <w:tcBorders>
              <w:bottom w:val="single" w:sz="8" w:color="E6EFFF"/>
            </w:tcBorders>
            <w:shd w:val="clear" w:color="auto" w:fill="E6EFFF"/>
          </w:tcPr>
          <w:p>
            <w:pPr>
              <w:jc w:val="right"/>
              <w:ind w:right="228"/>
              <w:spacing w:after="0"/>
              <w:rPr>
                <w:sz w:val="20"/>
                <w:szCs w:val="20"/>
                <w:color w:val="auto"/>
              </w:rPr>
            </w:pPr>
            <w:r>
              <w:rPr>
                <w:rFonts w:ascii="Arial" w:cs="Arial" w:eastAsia="Arial" w:hAnsi="Arial"/>
                <w:sz w:val="12"/>
                <w:szCs w:val="12"/>
                <w:i w:val="1"/>
                <w:iCs w:val="1"/>
                <w:color w:val="auto"/>
              </w:rPr>
              <w:t>39.0 %</w:t>
            </w:r>
          </w:p>
        </w:tc>
        <w:tc>
          <w:tcPr>
            <w:tcW w:w="1160" w:type="dxa"/>
            <w:vAlign w:val="bottom"/>
            <w:tcBorders>
              <w:bottom w:val="single" w:sz="8" w:color="E6EFFF"/>
            </w:tcBorders>
            <w:shd w:val="clear" w:color="auto" w:fill="E6EFFF"/>
          </w:tcPr>
          <w:p>
            <w:pPr>
              <w:spacing w:after="0"/>
              <w:rPr>
                <w:sz w:val="16"/>
                <w:szCs w:val="16"/>
                <w:color w:val="auto"/>
              </w:rPr>
            </w:pPr>
          </w:p>
        </w:tc>
        <w:tc>
          <w:tcPr>
            <w:tcW w:w="1120" w:type="dxa"/>
            <w:vAlign w:val="bottom"/>
            <w:tcBorders>
              <w:bottom w:val="single" w:sz="8" w:color="E6EFFF"/>
            </w:tcBorders>
            <w:shd w:val="clear" w:color="auto" w:fill="E6EFFF"/>
          </w:tcPr>
          <w:p>
            <w:pPr>
              <w:spacing w:after="0"/>
              <w:rPr>
                <w:sz w:val="16"/>
                <w:szCs w:val="16"/>
                <w:color w:val="auto"/>
              </w:rPr>
            </w:pPr>
          </w:p>
        </w:tc>
        <w:tc>
          <w:tcPr>
            <w:tcW w:w="860" w:type="dxa"/>
            <w:vAlign w:val="bottom"/>
            <w:tcBorders>
              <w:bottom w:val="single" w:sz="8" w:color="E6EFFF"/>
            </w:tcBorders>
            <w:shd w:val="clear" w:color="auto" w:fill="E6EFFF"/>
          </w:tcPr>
          <w:p>
            <w:pPr>
              <w:spacing w:after="0"/>
              <w:rPr>
                <w:sz w:val="16"/>
                <w:szCs w:val="16"/>
                <w:color w:val="auto"/>
              </w:rPr>
            </w:pPr>
          </w:p>
        </w:tc>
      </w:tr>
      <w:tr>
        <w:trPr>
          <w:trHeight w:val="174"/>
        </w:trPr>
        <w:tc>
          <w:tcPr>
            <w:tcW w:w="4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Net earnings</w:t>
            </w:r>
          </w:p>
        </w:tc>
        <w:tc>
          <w:tcPr>
            <w:tcW w:w="14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5"/>
                <w:szCs w:val="15"/>
                <w:color w:val="auto"/>
              </w:rPr>
              <w:t>205.5</w:t>
            </w:r>
          </w:p>
        </w:tc>
        <w:tc>
          <w:tcPr>
            <w:tcW w:w="2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5"/>
                <w:szCs w:val="15"/>
                <w:color w:val="auto"/>
              </w:rPr>
              <w:t>473.7</w:t>
            </w:r>
          </w:p>
        </w:tc>
        <w:tc>
          <w:tcPr>
            <w:tcW w:w="11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rPr>
              <w:t>(56.6)%</w:t>
            </w:r>
          </w:p>
        </w:tc>
        <w:tc>
          <w:tcPr>
            <w:tcW w:w="11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rPr>
              <w:t>(61.0)%</w:t>
            </w:r>
          </w:p>
        </w:tc>
        <w:tc>
          <w:tcPr>
            <w:tcW w:w="860" w:type="dxa"/>
            <w:vAlign w:val="bottom"/>
            <w:tcBorders>
              <w:top w:val="single" w:sz="8" w:color="auto"/>
              <w:bottom w:val="single" w:sz="8" w:color="auto"/>
            </w:tcBorders>
          </w:tcPr>
          <w:p>
            <w:pPr>
              <w:spacing w:after="0"/>
              <w:rPr>
                <w:sz w:val="15"/>
                <w:szCs w:val="15"/>
                <w:color w:val="auto"/>
              </w:rPr>
            </w:pPr>
          </w:p>
        </w:tc>
      </w:tr>
      <w:tr>
        <w:trPr>
          <w:trHeight w:val="175"/>
        </w:trPr>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Net earnings per share – diluted</w:t>
            </w:r>
          </w:p>
        </w:tc>
        <w:tc>
          <w:tcPr>
            <w:tcW w:w="140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6EFFF"/>
          </w:tcPr>
          <w:p>
            <w:pPr>
              <w:jc w:val="right"/>
              <w:ind w:right="108"/>
              <w:spacing w:after="0"/>
              <w:rPr>
                <w:sz w:val="20"/>
                <w:szCs w:val="20"/>
                <w:color w:val="auto"/>
              </w:rPr>
            </w:pPr>
            <w:r>
              <w:rPr>
                <w:rFonts w:ascii="Arial" w:cs="Arial" w:eastAsia="Arial" w:hAnsi="Arial"/>
                <w:sz w:val="15"/>
                <w:szCs w:val="15"/>
                <w:color w:val="auto"/>
              </w:rPr>
              <w:t>2.58</w:t>
            </w:r>
          </w:p>
        </w:tc>
        <w:tc>
          <w:tcPr>
            <w:tcW w:w="24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E6EFFF"/>
          </w:tcPr>
          <w:p>
            <w:pPr>
              <w:jc w:val="right"/>
              <w:ind w:right="368"/>
              <w:spacing w:after="0"/>
              <w:rPr>
                <w:sz w:val="20"/>
                <w:szCs w:val="20"/>
                <w:color w:val="auto"/>
              </w:rPr>
            </w:pPr>
            <w:r>
              <w:rPr>
                <w:rFonts w:ascii="Arial" w:cs="Arial" w:eastAsia="Arial" w:hAnsi="Arial"/>
                <w:sz w:val="15"/>
                <w:szCs w:val="15"/>
                <w:color w:val="auto"/>
              </w:rPr>
              <w:t>5.60</w:t>
            </w:r>
          </w:p>
        </w:tc>
        <w:tc>
          <w:tcPr>
            <w:tcW w:w="1160" w:type="dxa"/>
            <w:vAlign w:val="bottom"/>
            <w:tcBorders>
              <w:bottom w:val="single" w:sz="8" w:color="auto"/>
            </w:tcBorders>
            <w:shd w:val="clear" w:color="auto" w:fill="E6EFFF"/>
          </w:tcPr>
          <w:p>
            <w:pPr>
              <w:jc w:val="right"/>
              <w:ind w:right="245"/>
              <w:spacing w:after="0"/>
              <w:rPr>
                <w:sz w:val="20"/>
                <w:szCs w:val="20"/>
                <w:color w:val="auto"/>
              </w:rPr>
            </w:pPr>
            <w:r>
              <w:rPr>
                <w:rFonts w:ascii="Arial" w:cs="Arial" w:eastAsia="Arial" w:hAnsi="Arial"/>
                <w:sz w:val="15"/>
                <w:szCs w:val="15"/>
                <w:color w:val="auto"/>
              </w:rPr>
              <w:t>(53.9)%</w:t>
            </w:r>
          </w:p>
        </w:tc>
        <w:tc>
          <w:tcPr>
            <w:tcW w:w="1120" w:type="dxa"/>
            <w:vAlign w:val="bottom"/>
            <w:tcBorders>
              <w:bottom w:val="single" w:sz="8" w:color="auto"/>
            </w:tcBorders>
            <w:shd w:val="clear" w:color="auto" w:fill="E6EFFF"/>
          </w:tcPr>
          <w:p>
            <w:pPr>
              <w:jc w:val="right"/>
              <w:ind w:right="225"/>
              <w:spacing w:after="0"/>
              <w:rPr>
                <w:sz w:val="20"/>
                <w:szCs w:val="20"/>
                <w:color w:val="auto"/>
              </w:rPr>
            </w:pPr>
            <w:r>
              <w:rPr>
                <w:rFonts w:ascii="Arial" w:cs="Arial" w:eastAsia="Arial" w:hAnsi="Arial"/>
                <w:sz w:val="15"/>
                <w:szCs w:val="15"/>
                <w:color w:val="auto"/>
              </w:rPr>
              <w:t>(58.2)%</w:t>
            </w:r>
          </w:p>
        </w:tc>
        <w:tc>
          <w:tcPr>
            <w:tcW w:w="860" w:type="dxa"/>
            <w:vAlign w:val="bottom"/>
            <w:tcBorders>
              <w:bottom w:val="single" w:sz="8" w:color="auto"/>
            </w:tcBorders>
            <w:shd w:val="clear" w:color="auto" w:fill="E6EFFF"/>
          </w:tcPr>
          <w:p>
            <w:pPr>
              <w:spacing w:after="0"/>
              <w:rPr>
                <w:sz w:val="15"/>
                <w:szCs w:val="15"/>
                <w:color w:val="auto"/>
              </w:rPr>
            </w:pPr>
          </w:p>
        </w:tc>
      </w:tr>
      <w:tr>
        <w:trPr>
          <w:trHeight w:val="179"/>
        </w:trPr>
        <w:tc>
          <w:tcPr>
            <w:tcW w:w="4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Weighted average shares – diluted</w:t>
            </w: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79.7</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color w:val="auto"/>
              </w:rPr>
              <w:t>84.6</w:t>
            </w:r>
          </w:p>
        </w:tc>
        <w:tc>
          <w:tcPr>
            <w:tcW w:w="11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(5.8)%</w:t>
            </w:r>
          </w:p>
        </w:tc>
        <w:tc>
          <w:tcPr>
            <w:tcW w:w="1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year-over-year increase in Revenues from Services is primarily attributable to:</w:t>
      </w:r>
    </w:p>
    <w:p>
      <w:pPr>
        <w:spacing w:after="0" w:line="207" w:lineRule="exact"/>
        <w:rPr>
          <w:sz w:val="20"/>
          <w:szCs w:val="20"/>
          <w:color w:val="auto"/>
        </w:rPr>
      </w:pPr>
    </w:p>
    <w:p>
      <w:pPr>
        <w:jc w:val="both"/>
        <w:ind w:left="460"/>
        <w:spacing w:after="0" w:line="252" w:lineRule="auto"/>
        <w:rPr>
          <w:sz w:val="20"/>
          <w:szCs w:val="20"/>
          <w:color w:val="auto"/>
        </w:rPr>
      </w:pPr>
      <w:r>
        <w:rPr>
          <w:rFonts w:ascii="Arial" w:cs="Arial" w:eastAsia="Arial" w:hAnsi="Arial"/>
          <w:sz w:val="15"/>
          <w:szCs w:val="15"/>
          <w:color w:val="auto"/>
        </w:rPr>
        <w:t>increased demand for services in most of our markets, including Other EMEA, Italy, Right Management and Asia Pacific, where revenues increased 8.1%, 0.5%, 9.4% and 5.9%, respectively, on a constant currency basis, offset by decreased demand in the U.S., France and Jefferson Wells, where revenues declined 0.9%, 8.7%, and 12.4%, respectively,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-322580</wp:posOffset>
            </wp:positionV>
            <wp:extent cx="61595" cy="61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4.6% increase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1.7% increase due to acquisitions;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growth in our permanent recruitment business which increased 14.3% on a consolidated basis in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year-over-year increase in Gross Profit is primarily attributed to: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49 basis point (+0.49%) improvement in the gross profit margin in our temporary recruitment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4.3% increase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 increase of $48.2 million due to a business tax refund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jc w:val="both"/>
        <w:ind w:left="460"/>
        <w:spacing w:after="0" w:line="252" w:lineRule="auto"/>
        <w:rPr>
          <w:sz w:val="20"/>
          <w:szCs w:val="20"/>
          <w:color w:val="auto"/>
        </w:rPr>
      </w:pPr>
      <w:r>
        <w:rPr>
          <w:rFonts w:ascii="Arial" w:cs="Arial" w:eastAsia="Arial" w:hAnsi="Arial"/>
          <w:sz w:val="15"/>
          <w:szCs w:val="15"/>
          <w:color w:val="auto"/>
        </w:rPr>
        <w:t>offset by a decrease in the impact from a modification to the calculation of payroll taxes in France, which reduced the amount of payroll taxes in each year. (See Note 1 to the Consolidated Financial Statements for further information.) The impact of this modification was an increase in Gross Profit of $68.2 million in 2008 related to the modification of payroll taxes for 2005, and $157.1 million in 2007, related to the modification of payroll taxes for 2006 and the first nine months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-322580</wp:posOffset>
            </wp:positionV>
            <wp:extent cx="61595" cy="61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The overall 30 basis point (+0.30%) increase in Gross Profit Margin is attributed to: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49 basis point (+0.49%) increase in our temporary recruitment business margin as we were able to maintain pricing despite the difficult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22 basis point (+0.22%) increase due to the business tax refund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 18 basis point (+0.18%) increase due to the 14.3% growth in our permanent recruitment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45 basis point (-0.45%) decrease due to the lower impact of the French payroll tax modification in 2008;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jc w:val="both"/>
        <w:ind w:left="460" w:right="20"/>
        <w:spacing w:after="0" w:line="265" w:lineRule="auto"/>
        <w:rPr>
          <w:sz w:val="20"/>
          <w:szCs w:val="20"/>
          <w:color w:val="auto"/>
        </w:rPr>
      </w:pPr>
      <w:r>
        <w:rPr>
          <w:rFonts w:ascii="Arial" w:cs="Arial" w:eastAsia="Arial" w:hAnsi="Arial"/>
          <w:sz w:val="15"/>
          <w:szCs w:val="15"/>
          <w:color w:val="auto"/>
        </w:rPr>
        <w:t>a 14 basis point (-0.14%) decrease due to a lesser amount of revenues coming from our specialty business where the gross profit margin is generally higher than the Company average, as these businesses grew relatively slower than the remainder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329" w:lineRule="exact"/>
        <w:rPr>
          <w:sz w:val="20"/>
          <w:szCs w:val="20"/>
          <w:color w:val="auto"/>
        </w:rPr>
      </w:pPr>
    </w:p>
    <w:p>
      <w:pPr>
        <w:spacing w:after="0"/>
        <w:tabs>
          <w:tab w:leader="none" w:pos="2220" w:val="left"/>
        </w:tabs>
        <w:rPr>
          <w:sz w:val="20"/>
          <w:szCs w:val="20"/>
          <w:color w:val="auto"/>
        </w:rPr>
      </w:pPr>
      <w:r>
        <w:rPr>
          <w:rFonts w:ascii="Arial" w:cs="Arial" w:eastAsia="Arial" w:hAnsi="Arial"/>
          <w:sz w:val="14"/>
          <w:szCs w:val="14"/>
          <w:b w:val="1"/>
          <w:bCs w:val="1"/>
          <w:color w:val="auto"/>
        </w:rPr>
        <w:t xml:space="preserve">22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Acquisitions did not have a significant impact on Gross Profit Margin.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18.9% increase in Selling and Administrative Expenses in 2008, or 14.7% increase in constant currency is due to:</w:t>
      </w:r>
    </w:p>
    <w:p>
      <w:pPr>
        <w:spacing w:after="0" w:line="207"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a $163.1 million goodwill and intangible asset impairment charge recorded in the third quarter related to Right Management (see Note 1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right="20"/>
        <w:spacing w:after="0" w:line="265" w:lineRule="auto"/>
        <w:rPr>
          <w:sz w:val="20"/>
          <w:szCs w:val="20"/>
          <w:color w:val="auto"/>
        </w:rPr>
      </w:pPr>
      <w:r>
        <w:rPr>
          <w:rFonts w:ascii="Arial" w:cs="Arial" w:eastAsia="Arial" w:hAnsi="Arial"/>
          <w:sz w:val="15"/>
          <w:szCs w:val="15"/>
          <w:color w:val="auto"/>
        </w:rPr>
        <w:t>$54.1 million of costs recorded in the second quarter related to the French competition investigation compared to the $15.0 million recorded in 2007 (see Note 14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$37.2 million of global reorganization charges for severance and other office closure costs recorded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7.3% increase in expenses in constant currency, primarily related to personnel costs and continued investments in certain markets;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right="20"/>
        <w:spacing w:after="0" w:line="265" w:lineRule="auto"/>
        <w:rPr>
          <w:sz w:val="20"/>
          <w:szCs w:val="20"/>
          <w:color w:val="auto"/>
        </w:rPr>
      </w:pPr>
      <w:r>
        <w:rPr>
          <w:rFonts w:ascii="Arial" w:cs="Arial" w:eastAsia="Arial" w:hAnsi="Arial"/>
          <w:sz w:val="15"/>
          <w:szCs w:val="15"/>
          <w:color w:val="auto"/>
        </w:rPr>
        <w:t>certain items included in the 2007 Selling and Administrative Expenses that did not recur in 2008, including a $7.5 million charge related to the payroll tax modification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39"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Selling and Administrative Expenses as a percent of revenue increased by 1.9% (+190 basis points) in 2008 compared to 2007. The change in Selling and Administrative Expenses as a percent of revenue consists 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76 basis point (+0.76%) impact due to the goodwill and intangible asset impairment charge related to Right Management recorded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line="265" w:lineRule="auto"/>
        <w:rPr>
          <w:sz w:val="20"/>
          <w:szCs w:val="20"/>
          <w:color w:val="auto"/>
        </w:rPr>
      </w:pPr>
      <w:r>
        <w:rPr>
          <w:rFonts w:ascii="Arial" w:cs="Arial" w:eastAsia="Arial" w:hAnsi="Arial"/>
          <w:sz w:val="15"/>
          <w:szCs w:val="15"/>
          <w:color w:val="auto"/>
        </w:rPr>
        <w:t>a 25 basis point (+0.25%) impact due to the costs recorded related to the French competition investigation recognized in 2008, compared to a 7 basis point (+0.07%) impact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17 basis point (+0.17%) impact due to the global reorganization charges recorded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4 basis point (-0.04%) decline related to costs recorded in 2007 associated with the payroll tax modification in France;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right="20"/>
        <w:spacing w:after="0" w:line="265" w:lineRule="auto"/>
        <w:rPr>
          <w:sz w:val="20"/>
          <w:szCs w:val="20"/>
          <w:color w:val="auto"/>
        </w:rPr>
      </w:pPr>
      <w:r>
        <w:rPr>
          <w:rFonts w:ascii="Arial" w:cs="Arial" w:eastAsia="Arial" w:hAnsi="Arial"/>
          <w:sz w:val="15"/>
          <w:szCs w:val="15"/>
          <w:color w:val="auto"/>
        </w:rPr>
        <w:t>a 76 basis point (+0.76%) increase due primarily to the deleveraging of expenses, as we did not decrease expenses in line with the slowing revenue levels later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-219075</wp:posOffset>
            </wp:positionV>
            <wp:extent cx="61595" cy="61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Interest and Other Expenses is comprised of interest, foreign exchange gains and losses and other miscellaneous non-operating income and expenses. Interest and Other Expenses was $50.9 million in 2008 compared to $34.2 million in 2007. Net Interest Expense increased $12.8 million to $41.8 million in 2008 from $29.0 million in 2007, due primarily to our Euro-denominated interest expense being translated into U.S. Dollars at a higher rate in 2008 compared to 2007. Foreign exchange gains and losses primarily result from intercompany transactions between our foreign subsidiaries and the U.S. Foreign exchange gains were $2.9 million in 2008 compared to $0.6 million in 2007. Other expense consists of bank fees and other non-operating expenses, and in 2008 was $12.0 million compared to $5.8 million in 2007.</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provided for income taxes at an effective rate of 53.6% for 2008 compared to an effective rate of 39.0% for 2007. The 2008 rate is higher due to the impact of the non-deductible goodwill and intangible asset impairment charge related to Right Management and certain discrete items including the non-deductible French legal reserve. Excluding the impairment charge and these discrete items, our effective tax rate for 2008 was 37.1%. This 37.1% rate is higher than the U.S. Federal statutory rate of 35% due primarily to the impact of valuation allowances recorded for non-U.S. net operating losses, U.S. state income taxes and the income tax cost associated with additional cash repatriations from our non-U.S. subsidiaries.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Net Earnings Per Share– Diluted decreased 53.9% to $2.58 in 2008 compared to $5.60 in 2007. This decrease includes: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lesser impact from the modification to the payroll tax calculation in France, a $44.8 million net of tax decrease, or $0.50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increased expense for the French competition investigation of $35.0 million net of tax, or $0.45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goodwill and intangible asset impairment charge of $154.6 million net of tax, or $1.94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2004 business tax refund in France, a $28.3 million net of tax benefit, or $0.36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global reorganization costs recorded in the fourth quarter of 2008 of $27.2 million net of tax, or $0.34 per diluted share;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higher foreign currency exchange rates, a $0.37 per diluted share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-86995</wp:posOffset>
            </wp:positionV>
            <wp:extent cx="61595" cy="61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595" cy="61595"/>
                    </a:xfrm>
                    <a:prstGeom prst="rect">
                      <a:avLst/>
                    </a:prstGeom>
                    <a:noFill/>
                  </pic:spPr>
                </pic:pic>
              </a:graphicData>
            </a:graphic>
          </wp:anchor>
        </w:drawing>
      </w:r>
    </w:p>
    <w:p>
      <w:pPr>
        <w:spacing w:after="0" w:line="175"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Weighted Average Shares – Diluted decreased 5.8% to 79.7 million in 2008 from 84.6 million in 2007. This decline is primarily a result of our repurchase of 2.2 million shares and 6.1 million shares of our common stock during 2008 and 2007, respectively, and an increase in the total anti-dilutive shares excluded from the calculation in 2008 compared to 2007.</w:t>
      </w:r>
    </w:p>
    <w:p>
      <w:pPr>
        <w:spacing w:after="0" w:line="181"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SEGMENT RESULTS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the EMEA segment. All previously reported results have been restated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925955" cy="1685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25955" cy="168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939598"/>
        </w:rPr>
        <w:t xml:space="preserve">Americas – </w:t>
      </w:r>
      <w:r>
        <w:rPr>
          <w:rFonts w:ascii="Arial" w:cs="Arial" w:eastAsia="Arial" w:hAnsi="Arial"/>
          <w:sz w:val="15"/>
          <w:szCs w:val="15"/>
          <w:color w:val="000000"/>
        </w:rPr>
        <w:t>The Americas segment is comprised of 808 Company-owned branch offices and 220 stand alone franchise offices. In the Americas, Revenues decreased</w:t>
      </w:r>
      <w:r>
        <w:rPr>
          <w:rFonts w:ascii="Arial" w:cs="Arial" w:eastAsia="Arial" w:hAnsi="Arial"/>
          <w:sz w:val="15"/>
          <w:szCs w:val="15"/>
          <w:b w:val="1"/>
          <w:bCs w:val="1"/>
          <w:color w:val="939598"/>
        </w:rPr>
        <w:t xml:space="preserve"> </w:t>
      </w:r>
      <w:r>
        <w:rPr>
          <w:rFonts w:ascii="Arial" w:cs="Arial" w:eastAsia="Arial" w:hAnsi="Arial"/>
          <w:sz w:val="15"/>
          <w:szCs w:val="15"/>
          <w:color w:val="000000"/>
        </w:rPr>
        <w:t>16.7% (-12.6% in constant currency) in 2009 compared to 2008. In the United States (which represents 62.2% of the Americas’ revenues), Revenues declined 18.1%, or</w:t>
      </w:r>
    </w:p>
    <w:p>
      <w:pPr>
        <w:jc w:val="both"/>
        <w:spacing w:after="0" w:line="249" w:lineRule="auto"/>
        <w:rPr>
          <w:sz w:val="20"/>
          <w:szCs w:val="20"/>
          <w:color w:val="auto"/>
        </w:rPr>
      </w:pPr>
      <w:r>
        <w:rPr>
          <w:rFonts w:ascii="Arial" w:cs="Arial" w:eastAsia="Arial" w:hAnsi="Arial"/>
          <w:sz w:val="15"/>
          <w:szCs w:val="15"/>
          <w:color w:val="auto"/>
        </w:rPr>
        <w:t>22.9% excluding acquisitions. Mexico and Central America reported revenue increases of 1.5% and 23.3% in constant currency, respectively, and Argentina reported a revenue decline of 5.9% in constant currency.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Americas segment declines were primarily due to a decrease in our staffing volumes, both in our core temporary recruitment business, particularly in the light industrial and the professional sectors, and in our permanent recruitment business, which declined 55.1% in the Americas and 57.4% in the United States. The revenue decline in the second half of 2009 for the Americas of 10.6%, 8.3% in constant currency, shows stabilization and some improvement in the market from the declines experienced in the first half of 2009, where revenues decreased 22.9%, 16.8% in constant currency. The United States market also saw stabilization and year-over-year improvement in business volumes later in the second half of 2009, with some signs of improvement in the light industrial, office, and professional business, which has continued into early 2010.</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Gross Profit Margin decreased compared to 2008 due to a decrease in temporary staffing margins, which was primarily caused by pricing pressures due to the current economic environment, a change in the mix of our staffing business as we are seeing our higher-margin small/medium sized businesses decline at a faster rate than our key account business, and a change in the geographic mix of our staffing business as countries with higher gross profit margins reported larger declines in business than countries with relatively lower gross profit margins; and the decline in our permanent recruitment business. Acquisitions had a slightly positive impact on Gross Profit Margin in 2009.</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Selling and Administrative Expenses decreased 11.3% in constant currency due primarily to continued cost control efforts in response to the slowing revenue levels, despite the impact of acquisitions. Included in Selling and Administrative Expenses was $2.1 million of reorganization costs, primarily related to severances. Selling and Administrative Expenses as a percent of revenues increased compared to 2008, as we avoided expense reductions that would have a negative impact on the long-term potential of our branch network and brands.</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Operating Unit Profit (“OUP”) Margin in the Americas was -0.2% and 1.9% in 2009 and 2008, respectively. This decline is due to the decline in the United States, where OUP Margin was -1.6% in 2009 compared to 1.7% in 2008. The decrease was due to the decline in Gross Profit Margin, coupled with the deleveraging effect of the revenue decline as revenues have declined more than expenses. Acquisitions had a minimal impact on OUP Margin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918970" cy="170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18970" cy="170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939598"/>
        </w:rPr>
        <w:t xml:space="preserve">France – </w:t>
      </w:r>
      <w:r>
        <w:rPr>
          <w:rFonts w:ascii="Arial" w:cs="Arial" w:eastAsia="Arial" w:hAnsi="Arial"/>
          <w:sz w:val="15"/>
          <w:szCs w:val="15"/>
          <w:color w:val="000000"/>
        </w:rPr>
        <w:t>Revenues in France decreased 32.6% (-29.2% in constant currency) to $4.7 billion. This constant currency decline was due to a decline in the demand for our</w:t>
      </w:r>
      <w:r>
        <w:rPr>
          <w:rFonts w:ascii="Arial" w:cs="Arial" w:eastAsia="Arial" w:hAnsi="Arial"/>
          <w:sz w:val="15"/>
          <w:szCs w:val="15"/>
          <w:b w:val="1"/>
          <w:bCs w:val="1"/>
          <w:color w:val="939598"/>
        </w:rPr>
        <w:t xml:space="preserve"> </w:t>
      </w:r>
      <w:r>
        <w:rPr>
          <w:rFonts w:ascii="Arial" w:cs="Arial" w:eastAsia="Arial" w:hAnsi="Arial"/>
          <w:sz w:val="15"/>
          <w:szCs w:val="15"/>
          <w:color w:val="000000"/>
        </w:rPr>
        <w:t>services as a result of softening in the manufacturing and construction industries, which is a large portion of our staffing business in France. Revenue trends improved through the year, with declines of 36.1% in the first half of 2009 improving to a decline of 13.8% in the fourth quarter. We continue to see modestly improving year-over-year revenue trends continuing into 2010 as our clients remain cautious as they move through this difficult market. Permanent recruitment revenues declined 37.8% in constant currency in 2009 compared to 2008.</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Gross Profit Margin decreased in 2009 compared to 2008 primarily due to the $68.2 million impact of the modification to the calculation of payroll taxes recorded in 2008.</w:t>
      </w:r>
    </w:p>
    <w:p>
      <w:pPr>
        <w:spacing w:after="0"/>
        <w:rPr>
          <w:sz w:val="20"/>
          <w:szCs w:val="20"/>
          <w:color w:val="auto"/>
        </w:rPr>
      </w:pPr>
      <w:r>
        <w:rPr>
          <w:rFonts w:ascii="Arial" w:cs="Arial" w:eastAsia="Arial" w:hAnsi="Arial"/>
          <w:sz w:val="15"/>
          <w:szCs w:val="15"/>
          <w:color w:val="auto"/>
        </w:rPr>
        <w:t>Excluding this impact, Gross Profit Margin decreased in 2009 due to pricing pressures and the decline in the permanent recruitment business.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Selling and Administrative Expenses decreased 18.7% in constant currency partly due to unusual items in both years and partly as a result of our cost reduction efforts throughout the year. Included in Selling and Administrative Expenses in 2009 was the reversal of a $3.9 million (€3.0 million) cost recorded in the first quarter of 2009 related to the French competition investigation, offset by $5.6 million of reorganization charges, most of which were recorded in the fourth quarter.</w:t>
      </w:r>
    </w:p>
    <w:p>
      <w:pPr>
        <w:spacing w:after="0" w:line="175"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24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287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60" w:name="page61"/>
    <w:bookmarkEnd w:id="60"/>
    <w:p>
      <w:pPr>
        <w:jc w:val="both"/>
        <w:spacing w:after="0" w:line="244" w:lineRule="auto"/>
        <w:rPr>
          <w:sz w:val="20"/>
          <w:szCs w:val="20"/>
          <w:color w:val="auto"/>
        </w:rPr>
      </w:pPr>
      <w:r>
        <w:rPr>
          <w:rFonts w:ascii="Arial" w:cs="Arial" w:eastAsia="Arial" w:hAnsi="Arial"/>
          <w:sz w:val="15"/>
          <w:szCs w:val="15"/>
          <w:color w:val="auto"/>
        </w:rPr>
        <w:t>Included in the Selling and Administrative Expenses in 2008 was $54.1 million of costs recorded for a legal reserve related to the French competition investigation. Excluding these one-time items in 2009 and 2008, Selling and Administrative Expenses as a percentage of revenue increased in 2009 as compared to 2008 as we avoided expense reductions that would have a negative impact on the long-term potential of our branch network.</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OUP Margin for 2009 was 0.4% compared to 4.3% in 2008. Included in OUP Margin for 2008 was the impact of the modification to the payroll tax calculation and the legal reserve related to the French competition investigation. Excluding these 2008 items, OUP Margin decreased in 2009 due to the decline in Gross Profit Margin, coupled with the expense deleveraging resulting from the significant decline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809750" cy="170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09750" cy="170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939598"/>
        </w:rPr>
        <w:t xml:space="preserve">EMEA – </w:t>
      </w:r>
      <w:r>
        <w:rPr>
          <w:rFonts w:ascii="Arial" w:cs="Arial" w:eastAsia="Arial" w:hAnsi="Arial"/>
          <w:sz w:val="15"/>
          <w:szCs w:val="15"/>
          <w:color w:val="000000"/>
        </w:rPr>
        <w:t>The EMEA region includes operations throughout Europe, the Middle East and Africa (excluding France), which covers a total of 30 countries delivering services</w:t>
      </w:r>
      <w:r>
        <w:rPr>
          <w:rFonts w:ascii="Arial" w:cs="Arial" w:eastAsia="Arial" w:hAnsi="Arial"/>
          <w:sz w:val="15"/>
          <w:szCs w:val="15"/>
          <w:b w:val="1"/>
          <w:bCs w:val="1"/>
          <w:color w:val="939598"/>
        </w:rPr>
        <w:t xml:space="preserve"> </w:t>
      </w:r>
      <w:r>
        <w:rPr>
          <w:rFonts w:ascii="Arial" w:cs="Arial" w:eastAsia="Arial" w:hAnsi="Arial"/>
          <w:sz w:val="15"/>
          <w:szCs w:val="15"/>
          <w:color w:val="000000"/>
        </w:rPr>
        <w:t>through approximately 1,487 offices. In addition to employment services delivered under the Manpower and Manpower Professional brands, this region also includes Elan, which is a leading IT recruitment and managed services firm operating across 16 countries in the region, and Brook Street, which provides recruitment services in the United Kingdom. The largest operations in this segment are in Italy, the Nordics, Elan, the United Kingdom, the Netherlands and Germany which comprise 15.0%, 14.3%, 14.1%, 11.0%, 9.5% and 9.4% of EMEA Revenues, respectively.</w:t>
      </w:r>
    </w:p>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Revenues in EMEA decreased 29.3% (-21.7% in constant currency) in 2009 compared to 2008. Italy had revenue declines of 37.4%, or 34.2% in constant currency. Constant currency revenue declines were experienced in all major markets throughout the year. Most markets are showing year-over-year improvements in the second half of 2009 compared to the first half of 2009, with the exception of Elan and the Netherlands, which have yet to see significant improvement. This is expected for Elan, as it is fairly typical to see the IT professional market lag the recovery of the more traditional skills. Permanent recruitment revenues in EMEA decreased 47.0% in constant currency during 2009 due to continuing declining trends in most of our markets.</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Gross Profit Margin decreased from prior year primarily due to the increase in pricing pressures in most of our markets, the shift in the mix of business to countries with lower profit margins and the decline in the permanent recruitment business.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Selling and Administrative Expenses decreased 18.0% in constant currency due to cost reduction efforts in response to the slowing revenue levels. Included in Selling and Administrative Expenses were $15.7 million of reorganization charges in EMEA, of which $4.9 million occurred in Italy, primarily related to severances and office closures. Offsetting these amounts was a $4.9 million (€3.8 million) reversal of a reserve that we determined was no longer necessary. Expenses as a percent of revenues increased in 2009 compared to 2008 due to the expense deleveraging across the region, as revenues declined more than expenses. Despite the decreases in expenses, we are continuing to maintain a structure and office network that we believe is appropriate given the future opportunity in the European geographies.</w:t>
      </w:r>
    </w:p>
    <w:p>
      <w:pPr>
        <w:spacing w:after="0" w:line="196"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OUP Margin for EMEA was 0.9% and 4.0% for 2009 and 2008, respectively. The decline was seen across the region, as OUP Margin for Italy was 2.9% in 2009 compared to 7.9% in 2008. The declines in OUP Margin were due to the Gross Profit Margin decline and the expense deleveraging as revenues declined more than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1831340" cy="17221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31340"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939598"/>
        </w:rPr>
        <w:t xml:space="preserve">Asia Pacific – </w:t>
      </w:r>
      <w:r>
        <w:rPr>
          <w:rFonts w:ascii="Arial" w:cs="Arial" w:eastAsia="Arial" w:hAnsi="Arial"/>
          <w:sz w:val="15"/>
          <w:szCs w:val="15"/>
          <w:color w:val="000000"/>
        </w:rPr>
        <w:t>Revenues for Asia Pacific decreased 6.2%, or 9.2% in constant currency, in 2009 compared to 2008. In Japan (which represents 59.6% of Asia Pacific’s</w:t>
      </w:r>
      <w:r>
        <w:rPr>
          <w:rFonts w:ascii="Arial" w:cs="Arial" w:eastAsia="Arial" w:hAnsi="Arial"/>
          <w:sz w:val="15"/>
          <w:szCs w:val="15"/>
          <w:b w:val="1"/>
          <w:bCs w:val="1"/>
          <w:color w:val="939598"/>
        </w:rPr>
        <w:t xml:space="preserve"> </w:t>
      </w:r>
      <w:r>
        <w:rPr>
          <w:rFonts w:ascii="Arial" w:cs="Arial" w:eastAsia="Arial" w:hAnsi="Arial"/>
          <w:sz w:val="15"/>
          <w:szCs w:val="15"/>
          <w:color w:val="000000"/>
        </w:rPr>
        <w:t>revenues), revenues declined 12.0% in constant currency in 2009 compared to 2008. Australia (17.9% of Asia Pacific’s revenues) saw improving revenue trends throughout the year, with a decline of 3.2% in constant currency during the second half of 2009, compared to the 18.9% decline in constant currency experienced in the first half of 2009. Revenues also showed improvement in India, with growth of 10.1% in constant currency in the second half of 2009 compared to flat revenue growth in the first half of 2009. Permanent recruitment revenues have decreased 58.2% in constant currency in 2009, as this business has been impacted more than the staffing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Gross Profit Margin decreased in 2009 compared to 2008 primarily due to a change in the mix of our staffing business as we are seeing our higher-margin small/medium sized businesses decline at a faster rate than our key account business, and a change in the geographic mix of our staffing business as countries with higher gross profit margins reported larger declines in business than countries with relatively lower gross profit margins; and the decline in the permanent recruitment business.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Selling and Administrative Expenses decreased in 2009 compared to 2008 primarily due to the continued cost reduction efforts in response to the slowing revenue levels. Included in Selling and Administrative Expenses in 2009 were $2.6 million of reorganization charges, primarily related to severances and office closures, offset by a $4.3 million (¥392.4 million) gain in Japan related to the termination of a defined benefit pension plan. Expenses as a percent of revenues decreased in 2009 compared to 2008, as we were able to reduce operating expenses to compensate for the decline in revenues in these markets.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OUP Margin for Asia Pacific remained flat at 1.5% for 2009 compared to 1.6% for 2008, as we were able to reduce expenses at a similar rate compared to our decline in revenues and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1918970" cy="1678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18970"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color w:val="939598"/>
        </w:rPr>
        <w:t xml:space="preserve">Right Management – </w:t>
      </w:r>
      <w:r>
        <w:rPr>
          <w:rFonts w:ascii="Arial" w:cs="Arial" w:eastAsia="Arial" w:hAnsi="Arial"/>
          <w:sz w:val="15"/>
          <w:szCs w:val="15"/>
          <w:color w:val="000000"/>
        </w:rPr>
        <w:t>Right Management is the world’s leading provider of integrated human capital consulting services and solutions across the employment lifecycle</w:t>
      </w:r>
      <w:r>
        <w:rPr>
          <w:rFonts w:ascii="Arial" w:cs="Arial" w:eastAsia="Arial" w:hAnsi="Arial"/>
          <w:sz w:val="15"/>
          <w:szCs w:val="15"/>
          <w:b w:val="1"/>
          <w:bCs w:val="1"/>
          <w:color w:val="939598"/>
        </w:rPr>
        <w:t xml:space="preserve"> </w:t>
      </w:r>
      <w:r>
        <w:rPr>
          <w:rFonts w:ascii="Arial" w:cs="Arial" w:eastAsia="Arial" w:hAnsi="Arial"/>
          <w:sz w:val="15"/>
          <w:szCs w:val="15"/>
          <w:color w:val="000000"/>
        </w:rPr>
        <w:t>operating through over 300 offices in 50 countries.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Revenues increased 23.7% in 2009 to $559.4 million, or 28.5% in constant currency, as the demand for our counter-cyclical outplacement services grew considerably due to the economic slowdown we are currently experiencing. Right Management did see some slowing during the second half of the year, as demand for our outplacement services slowed as the economies started to stabilize and mass layoffs declined. The constant currency revenue increase for Right Management in the second half of 2009 was 12.8% in constant currency compared to the 45.0% constant currency increase experienced in the first half of 2009.</w:t>
      </w:r>
    </w:p>
    <w:p>
      <w:pPr>
        <w:spacing w:after="0" w:line="20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Gross Profit Margin increased in 2009 from 2008 as we effectively managed our variable direct costs given the significant increase in revenues. Also, the increase is due to a change in our business mix as we saw an increase in our higher-margin outplacement business.</w:t>
      </w:r>
    </w:p>
    <w:p>
      <w:pPr>
        <w:spacing w:after="0" w:line="194"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Selling and Administrative Expenses increased 14.5% in constant currency to support the increased levels of business activity. However, as a percentage of revenue, expenses decreased in 2009 compared to 2008, as we focused on leveraging our expense base to service the increased demand without a proportionate increase in expenses.</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OUP Margin for Right Management was 20.3% for 2009 compared to 9.9% for 2008 due to the increase in Gross Profit Margin and the better leveraging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1948180" cy="1685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48180" cy="168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b w:val="1"/>
          <w:bCs w:val="1"/>
          <w:color w:val="939598"/>
        </w:rPr>
        <w:t xml:space="preserve">Jefferson Wells – </w:t>
      </w:r>
      <w:r>
        <w:rPr>
          <w:rFonts w:ascii="Arial" w:cs="Arial" w:eastAsia="Arial" w:hAnsi="Arial"/>
          <w:sz w:val="15"/>
          <w:szCs w:val="15"/>
          <w:color w:val="000000"/>
        </w:rPr>
        <w:t>Jefferson Wells delivers professional services in the areas of risk advisory, tax, and finance and accounting. In partnership with its business alliances,</w:t>
      </w:r>
      <w:r>
        <w:rPr>
          <w:rFonts w:ascii="Arial" w:cs="Arial" w:eastAsia="Arial" w:hAnsi="Arial"/>
          <w:sz w:val="15"/>
          <w:szCs w:val="15"/>
          <w:b w:val="1"/>
          <w:bCs w:val="1"/>
          <w:color w:val="939598"/>
        </w:rPr>
        <w:t xml:space="preserve"> </w:t>
      </w:r>
      <w:r>
        <w:rPr>
          <w:rFonts w:ascii="Arial" w:cs="Arial" w:eastAsia="Arial" w:hAnsi="Arial"/>
          <w:sz w:val="15"/>
          <w:szCs w:val="15"/>
          <w:color w:val="000000"/>
        </w:rPr>
        <w:t>Jefferson Wells delivers services in more than 40 countries and markets worldwide. In the fourth quarter of 2008, we transitioned a number of employees into project-based roles to reduce our fixed direct costs and improve our utilization of professional staff. Due to the continued decline in revenue levels in the second quarter of 2009, we made further changes to our business model and have transitioned the majority of professionals into project-based roles.</w:t>
      </w:r>
    </w:p>
    <w:p>
      <w:pPr>
        <w:spacing w:after="0" w:line="193"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Revenues decreased during the year, to $192.3 million from $291.0 million in 2008, primarily due to declines in discretionary spending by our clients because of the current economic environment.</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Gross Profit Margin has declined from the 2008 level. We shifted our model in June 2009 to a variable workforce pay model, and transitioned a number of employees into project-based roles, improving our margins in the second half of 2009. However, overall margins were still below 2008 levels due to the impact of the lower utilization in the first half of the year.</w:t>
      </w:r>
    </w:p>
    <w:p>
      <w:pPr>
        <w:spacing w:after="0" w:line="181"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26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62" w:name="page63"/>
    <w:bookmarkEnd w:id="62"/>
    <w:p>
      <w:pPr>
        <w:jc w:val="both"/>
        <w:ind w:left="20" w:right="20"/>
        <w:spacing w:after="0" w:line="242" w:lineRule="auto"/>
        <w:rPr>
          <w:sz w:val="20"/>
          <w:szCs w:val="20"/>
          <w:color w:val="auto"/>
        </w:rPr>
      </w:pPr>
      <w:r>
        <w:rPr>
          <w:rFonts w:ascii="Arial" w:cs="Arial" w:eastAsia="Arial" w:hAnsi="Arial"/>
          <w:sz w:val="15"/>
          <w:szCs w:val="15"/>
          <w:color w:val="auto"/>
        </w:rPr>
        <w:t>Selling and Administrative Expenses decreased 29.3% due to a reorganization that occurred in the fourth quarter of 2008 and second quarter of 2009 to realign the business in response to the lower revenue levels. We recorded reorganization charges of $6.6 million and $4.0 million in 2009 and 2008, respectively, primarily related to severances and office closures. As a percent of revenues, expenses increased in 2009 compared to 2008, as we could not decrease expenses to the extent of the revenue decline without negatively impacting the long-term potential of our brand.</w:t>
      </w:r>
    </w:p>
    <w:p>
      <w:pPr>
        <w:spacing w:after="0" w:line="201" w:lineRule="exact"/>
        <w:rPr>
          <w:sz w:val="20"/>
          <w:szCs w:val="20"/>
          <w:color w:val="auto"/>
        </w:rPr>
      </w:pPr>
    </w:p>
    <w:p>
      <w:pPr>
        <w:jc w:val="both"/>
        <w:ind w:left="20" w:right="40"/>
        <w:spacing w:after="0" w:line="249" w:lineRule="auto"/>
        <w:rPr>
          <w:sz w:val="20"/>
          <w:szCs w:val="20"/>
          <w:color w:val="auto"/>
        </w:rPr>
      </w:pPr>
      <w:r>
        <w:rPr>
          <w:rFonts w:ascii="Arial" w:cs="Arial" w:eastAsia="Arial" w:hAnsi="Arial"/>
          <w:sz w:val="15"/>
          <w:szCs w:val="15"/>
          <w:color w:val="auto"/>
        </w:rPr>
        <w:t>2009 OUP was a loss of $22.0 million compared to a loss of $19.6 million in 2008, as expense reductions did not fully compensate for the declines in Revenues and Gross Profit.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1"/>
          <w:szCs w:val="21"/>
          <w:color w:val="4D8ABE"/>
        </w:rPr>
        <w:t>Financial Measures – Constant Currency And Organic Constant Currency Reconciliation</w:t>
      </w:r>
    </w:p>
    <w:p>
      <w:pPr>
        <w:spacing w:after="0" w:line="213" w:lineRule="exact"/>
        <w:rPr>
          <w:sz w:val="20"/>
          <w:szCs w:val="20"/>
          <w:color w:val="auto"/>
        </w:rPr>
      </w:pPr>
    </w:p>
    <w:p>
      <w:pPr>
        <w:jc w:val="both"/>
        <w:ind w:left="20" w:right="20"/>
        <w:spacing w:after="0" w:line="249" w:lineRule="auto"/>
        <w:rPr>
          <w:sz w:val="20"/>
          <w:szCs w:val="20"/>
          <w:color w:val="auto"/>
        </w:rPr>
      </w:pPr>
      <w:r>
        <w:rPr>
          <w:rFonts w:ascii="Arial" w:cs="Arial" w:eastAsia="Arial" w:hAnsi="Arial"/>
          <w:sz w:val="15"/>
          <w:szCs w:val="15"/>
          <w:color w:val="auto"/>
        </w:rPr>
        <w:t>Certain constant currency and organic constant currency percent variances are discussed throughout this annual report. A reconciliation to the percent variances calculated based on our annual financial results is provided below. (See Constant Currency And Organic Constant Currency on page 19 for further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right"/>
              <w:ind w:right="266"/>
              <w:spacing w:after="0"/>
              <w:rPr>
                <w:sz w:val="20"/>
                <w:szCs w:val="20"/>
                <w:color w:val="auto"/>
              </w:rPr>
            </w:pPr>
            <w:r>
              <w:rPr>
                <w:rFonts w:ascii="Arial" w:cs="Arial" w:eastAsia="Arial" w:hAnsi="Arial"/>
                <w:sz w:val="14"/>
                <w:szCs w:val="14"/>
                <w:b w:val="1"/>
                <w:bCs w:val="1"/>
                <w:color w:val="4D8ABE"/>
              </w:rPr>
              <w:t>Impact of</w:t>
            </w:r>
          </w:p>
        </w:tc>
        <w:tc>
          <w:tcPr>
            <w:tcW w:w="1000" w:type="dxa"/>
            <w:vAlign w:val="bottom"/>
          </w:tcPr>
          <w:p>
            <w:pPr>
              <w:jc w:val="right"/>
              <w:ind w:right="146"/>
              <w:spacing w:after="0"/>
              <w:rPr>
                <w:sz w:val="20"/>
                <w:szCs w:val="20"/>
                <w:color w:val="auto"/>
              </w:rPr>
            </w:pPr>
            <w:r>
              <w:rPr>
                <w:rFonts w:ascii="Arial" w:cs="Arial" w:eastAsia="Arial" w:hAnsi="Arial"/>
                <w:sz w:val="14"/>
                <w:szCs w:val="14"/>
                <w:b w:val="1"/>
                <w:bCs w:val="1"/>
                <w:color w:val="4D8ABE"/>
              </w:rPr>
              <w:t>Organic</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4"/>
                <w:szCs w:val="14"/>
                <w:b w:val="1"/>
                <w:bCs w:val="1"/>
                <w:color w:val="4D8ABE"/>
              </w:rPr>
              <w:t>Reported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206"/>
              <w:spacing w:after="0"/>
              <w:rPr>
                <w:sz w:val="20"/>
                <w:szCs w:val="20"/>
                <w:color w:val="auto"/>
              </w:rPr>
            </w:pPr>
            <w:r>
              <w:rPr>
                <w:rFonts w:ascii="Arial" w:cs="Arial" w:eastAsia="Arial" w:hAnsi="Arial"/>
                <w:sz w:val="14"/>
                <w:szCs w:val="14"/>
                <w:b w:val="1"/>
                <w:bCs w:val="1"/>
                <w:color w:val="4D8ABE"/>
              </w:rPr>
              <w:t>Variance</w:t>
            </w:r>
          </w:p>
        </w:tc>
        <w:tc>
          <w:tcPr>
            <w:tcW w:w="1220" w:type="dxa"/>
            <w:vAlign w:val="bottom"/>
          </w:tcPr>
          <w:p>
            <w:pPr>
              <w:jc w:val="right"/>
              <w:ind w:right="266"/>
              <w:spacing w:after="0"/>
              <w:rPr>
                <w:sz w:val="20"/>
                <w:szCs w:val="20"/>
                <w:color w:val="auto"/>
              </w:rPr>
            </w:pPr>
            <w:r>
              <w:rPr>
                <w:rFonts w:ascii="Arial" w:cs="Arial" w:eastAsia="Arial" w:hAnsi="Arial"/>
                <w:sz w:val="14"/>
                <w:szCs w:val="14"/>
                <w:b w:val="1"/>
                <w:bCs w:val="1"/>
                <w:color w:val="4D8ABE"/>
              </w:rPr>
              <w:t>Acquisitions</w:t>
            </w:r>
          </w:p>
        </w:tc>
        <w:tc>
          <w:tcPr>
            <w:tcW w:w="1000" w:type="dxa"/>
            <w:vAlign w:val="bottom"/>
          </w:tcPr>
          <w:p>
            <w:pPr>
              <w:jc w:val="right"/>
              <w:ind w:right="146"/>
              <w:spacing w:after="0"/>
              <w:rPr>
                <w:sz w:val="20"/>
                <w:szCs w:val="20"/>
                <w:color w:val="auto"/>
              </w:rPr>
            </w:pPr>
            <w:r>
              <w:rPr>
                <w:rFonts w:ascii="Arial" w:cs="Arial" w:eastAsia="Arial" w:hAnsi="Arial"/>
                <w:sz w:val="14"/>
                <w:szCs w:val="14"/>
                <w:b w:val="1"/>
                <w:bCs w:val="1"/>
                <w:color w:val="4D8ABE"/>
              </w:rPr>
              <w:t>Constant</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4D8ABE"/>
              </w:rPr>
              <w:t>Amounts represent 2009</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4"/>
                <w:szCs w:val="14"/>
                <w:b w:val="1"/>
                <w:bCs w:val="1"/>
                <w:color w:val="4D8ABE"/>
              </w:rPr>
              <w:t>Amount</w:t>
            </w:r>
          </w:p>
        </w:tc>
        <w:tc>
          <w:tcPr>
            <w:tcW w:w="1180" w:type="dxa"/>
            <w:vAlign w:val="bottom"/>
          </w:tcPr>
          <w:p>
            <w:pPr>
              <w:jc w:val="right"/>
              <w:ind w:right="266"/>
              <w:spacing w:after="0"/>
              <w:rPr>
                <w:sz w:val="20"/>
                <w:szCs w:val="20"/>
                <w:color w:val="auto"/>
              </w:rPr>
            </w:pPr>
            <w:r>
              <w:rPr>
                <w:rFonts w:ascii="Arial" w:cs="Arial" w:eastAsia="Arial" w:hAnsi="Arial"/>
                <w:sz w:val="14"/>
                <w:szCs w:val="14"/>
                <w:b w:val="1"/>
                <w:bCs w:val="1"/>
                <w:color w:val="4D8ABE"/>
              </w:rPr>
              <w:t>Reported</w:t>
            </w:r>
          </w:p>
        </w:tc>
        <w:tc>
          <w:tcPr>
            <w:tcW w:w="1040" w:type="dxa"/>
            <w:vAlign w:val="bottom"/>
          </w:tcPr>
          <w:p>
            <w:pPr>
              <w:jc w:val="right"/>
              <w:ind w:right="206"/>
              <w:spacing w:after="0"/>
              <w:rPr>
                <w:sz w:val="20"/>
                <w:szCs w:val="20"/>
                <w:color w:val="auto"/>
              </w:rPr>
            </w:pPr>
            <w:r>
              <w:rPr>
                <w:rFonts w:ascii="Arial" w:cs="Arial" w:eastAsia="Arial" w:hAnsi="Arial"/>
                <w:sz w:val="14"/>
                <w:szCs w:val="14"/>
                <w:b w:val="1"/>
                <w:bCs w:val="1"/>
                <w:color w:val="4D8ABE"/>
              </w:rPr>
              <w:t>Impact of</w:t>
            </w:r>
          </w:p>
        </w:tc>
        <w:tc>
          <w:tcPr>
            <w:tcW w:w="1120" w:type="dxa"/>
            <w:vAlign w:val="bottom"/>
          </w:tcPr>
          <w:p>
            <w:pPr>
              <w:jc w:val="right"/>
              <w:ind w:right="206"/>
              <w:spacing w:after="0"/>
              <w:rPr>
                <w:sz w:val="20"/>
                <w:szCs w:val="20"/>
                <w:color w:val="auto"/>
              </w:rPr>
            </w:pPr>
            <w:r>
              <w:rPr>
                <w:rFonts w:ascii="Arial" w:cs="Arial" w:eastAsia="Arial" w:hAnsi="Arial"/>
                <w:sz w:val="14"/>
                <w:szCs w:val="14"/>
                <w:b w:val="1"/>
                <w:bCs w:val="1"/>
                <w:color w:val="4D8ABE"/>
              </w:rPr>
              <w:t>in Constant</w:t>
            </w:r>
          </w:p>
        </w:tc>
        <w:tc>
          <w:tcPr>
            <w:tcW w:w="1220" w:type="dxa"/>
            <w:vAlign w:val="bottom"/>
          </w:tcPr>
          <w:p>
            <w:pPr>
              <w:jc w:val="right"/>
              <w:ind w:right="266"/>
              <w:spacing w:after="0"/>
              <w:rPr>
                <w:sz w:val="20"/>
                <w:szCs w:val="20"/>
                <w:color w:val="auto"/>
              </w:rPr>
            </w:pPr>
            <w:r>
              <w:rPr>
                <w:rFonts w:ascii="Arial" w:cs="Arial" w:eastAsia="Arial" w:hAnsi="Arial"/>
                <w:sz w:val="14"/>
                <w:szCs w:val="14"/>
                <w:b w:val="1"/>
                <w:bCs w:val="1"/>
                <w:color w:val="4D8ABE"/>
              </w:rPr>
              <w:t>(In Constant</w:t>
            </w:r>
          </w:p>
        </w:tc>
        <w:tc>
          <w:tcPr>
            <w:tcW w:w="1000" w:type="dxa"/>
            <w:vAlign w:val="bottom"/>
          </w:tcPr>
          <w:p>
            <w:pPr>
              <w:jc w:val="right"/>
              <w:ind w:right="146"/>
              <w:spacing w:after="0"/>
              <w:rPr>
                <w:sz w:val="20"/>
                <w:szCs w:val="20"/>
                <w:color w:val="auto"/>
              </w:rPr>
            </w:pPr>
            <w:r>
              <w:rPr>
                <w:rFonts w:ascii="Arial" w:cs="Arial" w:eastAsia="Arial" w:hAnsi="Arial"/>
                <w:sz w:val="14"/>
                <w:szCs w:val="14"/>
                <w:b w:val="1"/>
                <w:bCs w:val="1"/>
                <w:color w:val="4D8ABE"/>
              </w:rPr>
              <w:t>Currency</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86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Percentages represent 2009 compared to 2008</w:t>
            </w:r>
          </w:p>
        </w:tc>
        <w:tc>
          <w:tcPr>
            <w:tcW w:w="940" w:type="dxa"/>
            <w:vAlign w:val="bottom"/>
            <w:tcBorders>
              <w:bottom w:val="single" w:sz="8" w:color="4D8ABE"/>
            </w:tcBorders>
          </w:tcPr>
          <w:p>
            <w:pPr>
              <w:spacing w:after="0"/>
              <w:rPr>
                <w:sz w:val="15"/>
                <w:szCs w:val="15"/>
                <w:color w:val="auto"/>
              </w:rPr>
            </w:pPr>
          </w:p>
        </w:tc>
        <w:tc>
          <w:tcPr>
            <w:tcW w:w="1080" w:type="dxa"/>
            <w:vAlign w:val="bottom"/>
            <w:tcBorders>
              <w:bottom w:val="single" w:sz="8" w:color="4D8ABE"/>
            </w:tcBorders>
          </w:tcPr>
          <w:p>
            <w:pPr>
              <w:jc w:val="right"/>
              <w:ind w:right="206"/>
              <w:spacing w:after="0"/>
              <w:rPr>
                <w:sz w:val="20"/>
                <w:szCs w:val="20"/>
                <w:color w:val="auto"/>
              </w:rPr>
            </w:pPr>
            <w:r>
              <w:rPr>
                <w:rFonts w:ascii="Arial" w:cs="Arial" w:eastAsia="Arial" w:hAnsi="Arial"/>
                <w:sz w:val="14"/>
                <w:szCs w:val="14"/>
                <w:b w:val="1"/>
                <w:bCs w:val="1"/>
                <w:color w:val="4D8ABE"/>
                <w:w w:val="99"/>
              </w:rPr>
              <w:t>(in millions)</w:t>
            </w:r>
          </w:p>
        </w:tc>
        <w:tc>
          <w:tcPr>
            <w:tcW w:w="1180" w:type="dxa"/>
            <w:vAlign w:val="bottom"/>
            <w:tcBorders>
              <w:bottom w:val="single" w:sz="8" w:color="4D8ABE"/>
            </w:tcBorders>
          </w:tcPr>
          <w:p>
            <w:pPr>
              <w:jc w:val="right"/>
              <w:ind w:right="266"/>
              <w:spacing w:after="0"/>
              <w:rPr>
                <w:sz w:val="20"/>
                <w:szCs w:val="20"/>
                <w:color w:val="auto"/>
              </w:rPr>
            </w:pPr>
            <w:r>
              <w:rPr>
                <w:rFonts w:ascii="Arial" w:cs="Arial" w:eastAsia="Arial" w:hAnsi="Arial"/>
                <w:sz w:val="14"/>
                <w:szCs w:val="14"/>
                <w:b w:val="1"/>
                <w:bCs w:val="1"/>
                <w:color w:val="4D8ABE"/>
              </w:rPr>
              <w:t>Variance</w:t>
            </w:r>
          </w:p>
        </w:tc>
        <w:tc>
          <w:tcPr>
            <w:tcW w:w="1040" w:type="dxa"/>
            <w:vAlign w:val="bottom"/>
            <w:tcBorders>
              <w:bottom w:val="single" w:sz="8" w:color="4D8ABE"/>
            </w:tcBorders>
          </w:tcPr>
          <w:p>
            <w:pPr>
              <w:jc w:val="right"/>
              <w:ind w:right="206"/>
              <w:spacing w:after="0"/>
              <w:rPr>
                <w:sz w:val="20"/>
                <w:szCs w:val="20"/>
                <w:color w:val="auto"/>
              </w:rPr>
            </w:pPr>
            <w:r>
              <w:rPr>
                <w:rFonts w:ascii="Arial" w:cs="Arial" w:eastAsia="Arial" w:hAnsi="Arial"/>
                <w:sz w:val="14"/>
                <w:szCs w:val="14"/>
                <w:b w:val="1"/>
                <w:bCs w:val="1"/>
                <w:color w:val="4D8ABE"/>
              </w:rPr>
              <w:t>Currency</w:t>
            </w:r>
          </w:p>
        </w:tc>
        <w:tc>
          <w:tcPr>
            <w:tcW w:w="1120" w:type="dxa"/>
            <w:vAlign w:val="bottom"/>
            <w:tcBorders>
              <w:bottom w:val="single" w:sz="8" w:color="4D8ABE"/>
            </w:tcBorders>
          </w:tcPr>
          <w:p>
            <w:pPr>
              <w:jc w:val="right"/>
              <w:ind w:right="206"/>
              <w:spacing w:after="0"/>
              <w:rPr>
                <w:sz w:val="20"/>
                <w:szCs w:val="20"/>
                <w:color w:val="auto"/>
              </w:rPr>
            </w:pPr>
            <w:r>
              <w:rPr>
                <w:rFonts w:ascii="Arial" w:cs="Arial" w:eastAsia="Arial" w:hAnsi="Arial"/>
                <w:sz w:val="14"/>
                <w:szCs w:val="14"/>
                <w:b w:val="1"/>
                <w:bCs w:val="1"/>
                <w:color w:val="4D8ABE"/>
              </w:rPr>
              <w:t>Currency</w:t>
            </w:r>
          </w:p>
        </w:tc>
        <w:tc>
          <w:tcPr>
            <w:tcW w:w="1220" w:type="dxa"/>
            <w:vAlign w:val="bottom"/>
            <w:tcBorders>
              <w:bottom w:val="single" w:sz="8" w:color="4D8ABE"/>
            </w:tcBorders>
          </w:tcPr>
          <w:p>
            <w:pPr>
              <w:jc w:val="right"/>
              <w:ind w:right="266"/>
              <w:spacing w:after="0"/>
              <w:rPr>
                <w:sz w:val="20"/>
                <w:szCs w:val="20"/>
                <w:color w:val="auto"/>
              </w:rPr>
            </w:pPr>
            <w:r>
              <w:rPr>
                <w:rFonts w:ascii="Arial" w:cs="Arial" w:eastAsia="Arial" w:hAnsi="Arial"/>
                <w:sz w:val="14"/>
                <w:szCs w:val="14"/>
                <w:b w:val="1"/>
                <w:bCs w:val="1"/>
                <w:color w:val="4D8ABE"/>
              </w:rPr>
              <w:t>Currency)</w:t>
            </w:r>
          </w:p>
        </w:tc>
        <w:tc>
          <w:tcPr>
            <w:tcW w:w="1000" w:type="dxa"/>
            <w:vAlign w:val="bottom"/>
            <w:tcBorders>
              <w:bottom w:val="single" w:sz="8" w:color="4D8ABE"/>
            </w:tcBorders>
          </w:tcPr>
          <w:p>
            <w:pPr>
              <w:jc w:val="right"/>
              <w:ind w:right="146"/>
              <w:spacing w:after="0"/>
              <w:rPr>
                <w:sz w:val="20"/>
                <w:szCs w:val="20"/>
                <w:color w:val="auto"/>
              </w:rPr>
            </w:pPr>
            <w:r>
              <w:rPr>
                <w:rFonts w:ascii="Arial" w:cs="Arial" w:eastAsia="Arial" w:hAnsi="Arial"/>
                <w:sz w:val="14"/>
                <w:szCs w:val="14"/>
                <w:b w:val="1"/>
                <w:bCs w:val="1"/>
                <w:color w:val="4D8ABE"/>
              </w:rPr>
              <w:t>Variance</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Revenues from Services</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Americas:</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United States</w:t>
            </w:r>
          </w:p>
        </w:tc>
        <w:tc>
          <w:tcPr>
            <w:tcW w:w="9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1,593.7</w:t>
            </w:r>
          </w:p>
        </w:tc>
        <w:tc>
          <w:tcPr>
            <w:tcW w:w="1180" w:type="dxa"/>
            <w:vAlign w:val="bottom"/>
            <w:shd w:val="clear" w:color="auto" w:fill="E6EFFF"/>
          </w:tcPr>
          <w:p>
            <w:pPr>
              <w:jc w:val="right"/>
              <w:ind w:right="86"/>
              <w:spacing w:after="0"/>
              <w:rPr>
                <w:sz w:val="20"/>
                <w:szCs w:val="20"/>
                <w:color w:val="auto"/>
              </w:rPr>
            </w:pPr>
            <w:r>
              <w:rPr>
                <w:rFonts w:ascii="Arial" w:cs="Arial" w:eastAsia="Arial" w:hAnsi="Arial"/>
                <w:sz w:val="15"/>
                <w:szCs w:val="15"/>
                <w:color w:val="auto"/>
              </w:rPr>
              <w:t>(18.1)%</w:t>
            </w:r>
          </w:p>
        </w:tc>
        <w:tc>
          <w:tcPr>
            <w:tcW w:w="1040" w:type="dxa"/>
            <w:vAlign w:val="bottom"/>
            <w:shd w:val="clear" w:color="auto" w:fill="E6EFFF"/>
          </w:tcPr>
          <w:p>
            <w:pPr>
              <w:ind w:left="6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(18.1)%</w:t>
            </w:r>
          </w:p>
        </w:tc>
        <w:tc>
          <w:tcPr>
            <w:tcW w:w="122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4.8%</w:t>
            </w:r>
          </w:p>
        </w:tc>
        <w:tc>
          <w:tcPr>
            <w:tcW w:w="10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(22.9)%</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Americas</w:t>
            </w: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967.3</w:t>
            </w: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(14.4)</w:t>
            </w: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(11.3)</w:t>
            </w: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(3.1)</w:t>
            </w:r>
          </w:p>
        </w:tc>
        <w:tc>
          <w:tcPr>
            <w:tcW w:w="12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2,561.0</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(16.7)</w:t>
            </w:r>
          </w:p>
        </w:tc>
        <w:tc>
          <w:tcPr>
            <w:tcW w:w="104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(4.1)</w:t>
            </w:r>
          </w:p>
        </w:tc>
        <w:tc>
          <w:tcPr>
            <w:tcW w:w="112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(12.6)</w:t>
            </w:r>
          </w:p>
        </w:tc>
        <w:tc>
          <w:tcPr>
            <w:tcW w:w="122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3.0</w:t>
            </w:r>
          </w:p>
        </w:tc>
        <w:tc>
          <w:tcPr>
            <w:tcW w:w="100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(15.6)</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France</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4,675.5</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(32.6)</w:t>
            </w:r>
          </w:p>
        </w:tc>
        <w:tc>
          <w:tcPr>
            <w:tcW w:w="1040" w:type="dxa"/>
            <w:vAlign w:val="bottom"/>
          </w:tcPr>
          <w:p>
            <w:pPr>
              <w:jc w:val="right"/>
              <w:ind w:right="146"/>
              <w:spacing w:after="0"/>
              <w:rPr>
                <w:sz w:val="20"/>
                <w:szCs w:val="20"/>
                <w:color w:val="auto"/>
              </w:rPr>
            </w:pPr>
            <w:r>
              <w:rPr>
                <w:rFonts w:ascii="Arial" w:cs="Arial" w:eastAsia="Arial" w:hAnsi="Arial"/>
                <w:sz w:val="15"/>
                <w:szCs w:val="15"/>
                <w:color w:val="auto"/>
              </w:rPr>
              <w:t>(3.4)</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(29.2)</w:t>
            </w:r>
          </w:p>
        </w:tc>
        <w:tc>
          <w:tcPr>
            <w:tcW w:w="12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(29.2)</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EMEA:</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ind w:left="140"/>
              <w:spacing w:after="0"/>
              <w:rPr>
                <w:sz w:val="20"/>
                <w:szCs w:val="20"/>
                <w:color w:val="auto"/>
              </w:rPr>
            </w:pPr>
            <w:r>
              <w:rPr>
                <w:rFonts w:ascii="Arial" w:cs="Arial" w:eastAsia="Arial" w:hAnsi="Arial"/>
                <w:sz w:val="15"/>
                <w:szCs w:val="15"/>
                <w:color w:val="auto"/>
              </w:rPr>
              <w:t>Italy</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950.8</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(37.4)</w:t>
            </w:r>
          </w:p>
        </w:tc>
        <w:tc>
          <w:tcPr>
            <w:tcW w:w="1040" w:type="dxa"/>
            <w:vAlign w:val="bottom"/>
          </w:tcPr>
          <w:p>
            <w:pPr>
              <w:jc w:val="right"/>
              <w:ind w:right="146"/>
              <w:spacing w:after="0"/>
              <w:rPr>
                <w:sz w:val="20"/>
                <w:szCs w:val="20"/>
                <w:color w:val="auto"/>
              </w:rPr>
            </w:pPr>
            <w:r>
              <w:rPr>
                <w:rFonts w:ascii="Arial" w:cs="Arial" w:eastAsia="Arial" w:hAnsi="Arial"/>
                <w:sz w:val="15"/>
                <w:szCs w:val="15"/>
                <w:color w:val="auto"/>
              </w:rPr>
              <w:t>(3.2)</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(34.2)</w:t>
            </w:r>
          </w:p>
        </w:tc>
        <w:tc>
          <w:tcPr>
            <w:tcW w:w="12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(34.2)</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Other EMEA</w:t>
            </w: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5,371.7</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(27.6)</w:t>
            </w:r>
          </w:p>
        </w:tc>
        <w:tc>
          <w:tcPr>
            <w:tcW w:w="104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(8.4)</w:t>
            </w:r>
          </w:p>
        </w:tc>
        <w:tc>
          <w:tcPr>
            <w:tcW w:w="112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(19.2)</w:t>
            </w:r>
          </w:p>
        </w:tc>
        <w:tc>
          <w:tcPr>
            <w:tcW w:w="122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0.5</w:t>
            </w:r>
          </w:p>
        </w:tc>
        <w:tc>
          <w:tcPr>
            <w:tcW w:w="100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(19.7)</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6,322.5</w:t>
            </w: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(29.3)</w:t>
            </w: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(7.6)</w:t>
            </w: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(21.7)</w:t>
            </w:r>
          </w:p>
        </w:tc>
        <w:tc>
          <w:tcPr>
            <w:tcW w:w="12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0.4</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(22.1)</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Asia Pacific</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1,728.0</w:t>
            </w:r>
          </w:p>
        </w:tc>
        <w:tc>
          <w:tcPr>
            <w:tcW w:w="1180" w:type="dxa"/>
            <w:vAlign w:val="bottom"/>
            <w:shd w:val="clear" w:color="auto" w:fill="E6EFFF"/>
          </w:tcPr>
          <w:p>
            <w:pPr>
              <w:jc w:val="right"/>
              <w:ind w:right="226"/>
              <w:spacing w:after="0"/>
              <w:rPr>
                <w:sz w:val="20"/>
                <w:szCs w:val="20"/>
                <w:color w:val="auto"/>
              </w:rPr>
            </w:pPr>
            <w:r>
              <w:rPr>
                <w:rFonts w:ascii="Arial" w:cs="Arial" w:eastAsia="Arial" w:hAnsi="Arial"/>
                <w:sz w:val="15"/>
                <w:szCs w:val="15"/>
                <w:color w:val="auto"/>
              </w:rPr>
              <w:t>(6.2)</w:t>
            </w:r>
          </w:p>
        </w:tc>
        <w:tc>
          <w:tcPr>
            <w:tcW w:w="104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3.0</w:t>
            </w:r>
          </w:p>
        </w:tc>
        <w:tc>
          <w:tcPr>
            <w:tcW w:w="112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(9.2)</w:t>
            </w:r>
          </w:p>
        </w:tc>
        <w:tc>
          <w:tcPr>
            <w:tcW w:w="122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(9.2)</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Right Management</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559.4</w:t>
            </w:r>
          </w:p>
        </w:tc>
        <w:tc>
          <w:tcPr>
            <w:tcW w:w="1180" w:type="dxa"/>
            <w:vAlign w:val="bottom"/>
          </w:tcPr>
          <w:p>
            <w:pPr>
              <w:jc w:val="right"/>
              <w:ind w:right="266"/>
              <w:spacing w:after="0"/>
              <w:rPr>
                <w:sz w:val="20"/>
                <w:szCs w:val="20"/>
                <w:color w:val="auto"/>
              </w:rPr>
            </w:pPr>
            <w:r>
              <w:rPr>
                <w:rFonts w:ascii="Arial" w:cs="Arial" w:eastAsia="Arial" w:hAnsi="Arial"/>
                <w:sz w:val="15"/>
                <w:szCs w:val="15"/>
                <w:color w:val="auto"/>
              </w:rPr>
              <w:t>23.7</w:t>
            </w:r>
          </w:p>
        </w:tc>
        <w:tc>
          <w:tcPr>
            <w:tcW w:w="1040" w:type="dxa"/>
            <w:vAlign w:val="bottom"/>
          </w:tcPr>
          <w:p>
            <w:pPr>
              <w:jc w:val="right"/>
              <w:ind w:right="146"/>
              <w:spacing w:after="0"/>
              <w:rPr>
                <w:sz w:val="20"/>
                <w:szCs w:val="20"/>
                <w:color w:val="auto"/>
              </w:rPr>
            </w:pPr>
            <w:r>
              <w:rPr>
                <w:rFonts w:ascii="Arial" w:cs="Arial" w:eastAsia="Arial" w:hAnsi="Arial"/>
                <w:sz w:val="15"/>
                <w:szCs w:val="15"/>
                <w:color w:val="auto"/>
              </w:rPr>
              <w:t>(4.8)</w:t>
            </w:r>
          </w:p>
        </w:tc>
        <w:tc>
          <w:tcPr>
            <w:tcW w:w="1120" w:type="dxa"/>
            <w:vAlign w:val="bottom"/>
          </w:tcPr>
          <w:p>
            <w:pPr>
              <w:jc w:val="right"/>
              <w:ind w:right="206"/>
              <w:spacing w:after="0"/>
              <w:rPr>
                <w:sz w:val="20"/>
                <w:szCs w:val="20"/>
                <w:color w:val="auto"/>
              </w:rPr>
            </w:pPr>
            <w:r>
              <w:rPr>
                <w:rFonts w:ascii="Arial" w:cs="Arial" w:eastAsia="Arial" w:hAnsi="Arial"/>
                <w:sz w:val="15"/>
                <w:szCs w:val="15"/>
                <w:color w:val="auto"/>
              </w:rPr>
              <w:t>28.5</w:t>
            </w:r>
          </w:p>
        </w:tc>
        <w:tc>
          <w:tcPr>
            <w:tcW w:w="12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28.5</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192.3</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(33.9)</w:t>
            </w:r>
          </w:p>
        </w:tc>
        <w:tc>
          <w:tcPr>
            <w:tcW w:w="104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(33.9)</w:t>
            </w:r>
          </w:p>
        </w:tc>
        <w:tc>
          <w:tcPr>
            <w:tcW w:w="122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1.1</w:t>
            </w:r>
          </w:p>
        </w:tc>
        <w:tc>
          <w:tcPr>
            <w:tcW w:w="100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(35.0)</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Manpower Inc.</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16,038.7</w:t>
            </w:r>
          </w:p>
        </w:tc>
        <w:tc>
          <w:tcPr>
            <w:tcW w:w="11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(25.5)%</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(4.6)%</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(20.9)%</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0.6%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Gross Profit - Manpower Inc.</w:t>
            </w:r>
          </w:p>
        </w:tc>
        <w:tc>
          <w:tcPr>
            <w:tcW w:w="9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2,818.2</w:t>
            </w:r>
          </w:p>
        </w:tc>
        <w:tc>
          <w:tcPr>
            <w:tcW w:w="1180" w:type="dxa"/>
            <w:vAlign w:val="bottom"/>
            <w:shd w:val="clear" w:color="auto" w:fill="E6EFFF"/>
          </w:tcPr>
          <w:p>
            <w:pPr>
              <w:jc w:val="right"/>
              <w:ind w:right="86"/>
              <w:spacing w:after="0"/>
              <w:rPr>
                <w:sz w:val="20"/>
                <w:szCs w:val="20"/>
                <w:color w:val="auto"/>
              </w:rPr>
            </w:pPr>
            <w:r>
              <w:rPr>
                <w:rFonts w:ascii="Arial" w:cs="Arial" w:eastAsia="Arial" w:hAnsi="Arial"/>
                <w:sz w:val="15"/>
                <w:szCs w:val="15"/>
                <w:color w:val="auto"/>
              </w:rPr>
              <w:t>(31.0)%</w:t>
            </w:r>
          </w:p>
        </w:tc>
        <w:tc>
          <w:tcPr>
            <w:tcW w:w="104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(4.0)%</w:t>
            </w:r>
          </w:p>
        </w:tc>
        <w:tc>
          <w:tcPr>
            <w:tcW w:w="112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(27.0)%</w:t>
            </w:r>
          </w:p>
        </w:tc>
        <w:tc>
          <w:tcPr>
            <w:tcW w:w="122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0.7%</w:t>
            </w:r>
          </w:p>
        </w:tc>
        <w:tc>
          <w:tcPr>
            <w:tcW w:w="10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(27.7)%</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b w:val="1"/>
                <w:bCs w:val="1"/>
                <w:color w:val="939598"/>
              </w:rPr>
              <w:t>Operating Unit (Loss) Profit</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Americas:</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ind w:left="140"/>
              <w:spacing w:after="0"/>
              <w:rPr>
                <w:sz w:val="20"/>
                <w:szCs w:val="20"/>
                <w:color w:val="auto"/>
              </w:rPr>
            </w:pPr>
            <w:r>
              <w:rPr>
                <w:rFonts w:ascii="Arial" w:cs="Arial" w:eastAsia="Arial" w:hAnsi="Arial"/>
                <w:sz w:val="15"/>
                <w:szCs w:val="15"/>
                <w:color w:val="auto"/>
              </w:rPr>
              <w:t>United States</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66"/>
              <w:spacing w:after="0"/>
              <w:rPr>
                <w:sz w:val="20"/>
                <w:szCs w:val="20"/>
                <w:color w:val="auto"/>
              </w:rPr>
            </w:pPr>
            <w:r>
              <w:rPr>
                <w:rFonts w:ascii="Arial" w:cs="Arial" w:eastAsia="Arial" w:hAnsi="Arial"/>
                <w:sz w:val="15"/>
                <w:szCs w:val="15"/>
                <w:color w:val="auto"/>
              </w:rPr>
              <w:t>(26.2)</w:t>
            </w:r>
          </w:p>
        </w:tc>
        <w:tc>
          <w:tcPr>
            <w:tcW w:w="1180" w:type="dxa"/>
            <w:vAlign w:val="bottom"/>
          </w:tcPr>
          <w:p>
            <w:pPr>
              <w:jc w:val="right"/>
              <w:ind w:right="86"/>
              <w:spacing w:after="0"/>
              <w:rPr>
                <w:sz w:val="20"/>
                <w:szCs w:val="20"/>
                <w:color w:val="auto"/>
              </w:rPr>
            </w:pPr>
            <w:r>
              <w:rPr>
                <w:rFonts w:ascii="Arial" w:cs="Arial" w:eastAsia="Arial" w:hAnsi="Arial"/>
                <w:sz w:val="15"/>
                <w:szCs w:val="15"/>
                <w:color w:val="auto"/>
              </w:rPr>
              <w:t>(181.3)%</w:t>
            </w:r>
          </w:p>
        </w:tc>
        <w:tc>
          <w:tcPr>
            <w:tcW w:w="1040" w:type="dxa"/>
            <w:vAlign w:val="bottom"/>
          </w:tcPr>
          <w:p>
            <w:pPr>
              <w:ind w:left="680"/>
              <w:spacing w:after="0"/>
              <w:rPr>
                <w:sz w:val="20"/>
                <w:szCs w:val="20"/>
                <w:color w:val="auto"/>
              </w:rPr>
            </w:pPr>
            <w:r>
              <w:rPr>
                <w:rFonts w:ascii="Arial" w:cs="Arial" w:eastAsia="Arial" w:hAnsi="Arial"/>
                <w:sz w:val="15"/>
                <w:szCs w:val="15"/>
                <w:color w:val="auto"/>
              </w:rPr>
              <w:t>– %</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(181.3)%</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(10.2)%</w:t>
            </w:r>
          </w:p>
        </w:tc>
        <w:tc>
          <w:tcPr>
            <w:tcW w:w="1000" w:type="dxa"/>
            <w:vAlign w:val="bottom"/>
          </w:tcPr>
          <w:p>
            <w:pPr>
              <w:jc w:val="right"/>
              <w:spacing w:after="0"/>
              <w:rPr>
                <w:sz w:val="20"/>
                <w:szCs w:val="20"/>
                <w:color w:val="auto"/>
              </w:rPr>
            </w:pPr>
            <w:r>
              <w:rPr>
                <w:rFonts w:ascii="Arial" w:cs="Arial" w:eastAsia="Arial" w:hAnsi="Arial"/>
                <w:sz w:val="15"/>
                <w:szCs w:val="15"/>
                <w:color w:val="auto"/>
              </w:rPr>
              <w:t>(171.1)%</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Other Americas</w:t>
            </w: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20.1</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(22.4)</w:t>
            </w:r>
          </w:p>
        </w:tc>
        <w:tc>
          <w:tcPr>
            <w:tcW w:w="104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(11.7)</w:t>
            </w:r>
          </w:p>
        </w:tc>
        <w:tc>
          <w:tcPr>
            <w:tcW w:w="112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(10.7)</w:t>
            </w:r>
          </w:p>
        </w:tc>
        <w:tc>
          <w:tcPr>
            <w:tcW w:w="122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(6.1)</w:t>
            </w: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(110.6)</w:t>
            </w: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(5.2)</w:t>
            </w: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(105.4)</w:t>
            </w:r>
          </w:p>
        </w:tc>
        <w:tc>
          <w:tcPr>
            <w:tcW w:w="12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(5.7)</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(99.7)</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France</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20.8</w:t>
            </w:r>
          </w:p>
        </w:tc>
        <w:tc>
          <w:tcPr>
            <w:tcW w:w="1180" w:type="dxa"/>
            <w:vAlign w:val="bottom"/>
            <w:shd w:val="clear" w:color="auto" w:fill="E6EFFF"/>
          </w:tcPr>
          <w:p>
            <w:pPr>
              <w:jc w:val="right"/>
              <w:ind w:right="226"/>
              <w:spacing w:after="0"/>
              <w:rPr>
                <w:sz w:val="20"/>
                <w:szCs w:val="20"/>
                <w:color w:val="auto"/>
              </w:rPr>
            </w:pPr>
            <w:r>
              <w:rPr>
                <w:rFonts w:ascii="Arial" w:cs="Arial" w:eastAsia="Arial" w:hAnsi="Arial"/>
                <w:sz w:val="15"/>
                <w:szCs w:val="15"/>
                <w:color w:val="auto"/>
              </w:rPr>
              <w:t>(93.0)</w:t>
            </w:r>
          </w:p>
        </w:tc>
        <w:tc>
          <w:tcPr>
            <w:tcW w:w="104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(0.4)</w:t>
            </w:r>
          </w:p>
        </w:tc>
        <w:tc>
          <w:tcPr>
            <w:tcW w:w="112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(92.6)</w:t>
            </w:r>
          </w:p>
        </w:tc>
        <w:tc>
          <w:tcPr>
            <w:tcW w:w="122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(92.6)</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EMEA:</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Italy</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27.9</w:t>
            </w:r>
          </w:p>
        </w:tc>
        <w:tc>
          <w:tcPr>
            <w:tcW w:w="1180" w:type="dxa"/>
            <w:vAlign w:val="bottom"/>
            <w:shd w:val="clear" w:color="auto" w:fill="E6EFFF"/>
          </w:tcPr>
          <w:p>
            <w:pPr>
              <w:jc w:val="right"/>
              <w:ind w:right="226"/>
              <w:spacing w:after="0"/>
              <w:rPr>
                <w:sz w:val="20"/>
                <w:szCs w:val="20"/>
                <w:color w:val="auto"/>
              </w:rPr>
            </w:pPr>
            <w:r>
              <w:rPr>
                <w:rFonts w:ascii="Arial" w:cs="Arial" w:eastAsia="Arial" w:hAnsi="Arial"/>
                <w:sz w:val="15"/>
                <w:szCs w:val="15"/>
                <w:color w:val="auto"/>
              </w:rPr>
              <w:t>(76.8)</w:t>
            </w:r>
          </w:p>
        </w:tc>
        <w:tc>
          <w:tcPr>
            <w:tcW w:w="104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(0.3)</w:t>
            </w:r>
          </w:p>
        </w:tc>
        <w:tc>
          <w:tcPr>
            <w:tcW w:w="112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(76.5)</w:t>
            </w:r>
          </w:p>
        </w:tc>
        <w:tc>
          <w:tcPr>
            <w:tcW w:w="122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(76.5)</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EMEA</w:t>
            </w: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29.4</w:t>
            </w: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(87.4)</w:t>
            </w:r>
          </w:p>
        </w:tc>
        <w:tc>
          <w:tcPr>
            <w:tcW w:w="104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1.2</w:t>
            </w: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(88.6)</w:t>
            </w:r>
          </w:p>
        </w:tc>
        <w:tc>
          <w:tcPr>
            <w:tcW w:w="12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2.6</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(91.2)</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57.3</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(83.8)</w:t>
            </w:r>
          </w:p>
        </w:tc>
        <w:tc>
          <w:tcPr>
            <w:tcW w:w="104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0.7</w:t>
            </w:r>
          </w:p>
        </w:tc>
        <w:tc>
          <w:tcPr>
            <w:tcW w:w="112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(84.5)</w:t>
            </w:r>
          </w:p>
        </w:tc>
        <w:tc>
          <w:tcPr>
            <w:tcW w:w="122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1.7</w:t>
            </w:r>
          </w:p>
        </w:tc>
        <w:tc>
          <w:tcPr>
            <w:tcW w:w="100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(86.2)</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Asia Pacific</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26.5</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(9.3)</w:t>
            </w:r>
          </w:p>
        </w:tc>
        <w:tc>
          <w:tcPr>
            <w:tcW w:w="1040" w:type="dxa"/>
            <w:vAlign w:val="bottom"/>
          </w:tcPr>
          <w:p>
            <w:pPr>
              <w:jc w:val="right"/>
              <w:ind w:right="206"/>
              <w:spacing w:after="0"/>
              <w:rPr>
                <w:sz w:val="20"/>
                <w:szCs w:val="20"/>
                <w:color w:val="auto"/>
              </w:rPr>
            </w:pPr>
            <w:r>
              <w:rPr>
                <w:rFonts w:ascii="Arial" w:cs="Arial" w:eastAsia="Arial" w:hAnsi="Arial"/>
                <w:sz w:val="15"/>
                <w:szCs w:val="15"/>
                <w:color w:val="auto"/>
              </w:rPr>
              <w:t>10.6</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(19.9)</w:t>
            </w:r>
          </w:p>
        </w:tc>
        <w:tc>
          <w:tcPr>
            <w:tcW w:w="12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(19.9)</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Right Management</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113.4</w:t>
            </w:r>
          </w:p>
        </w:tc>
        <w:tc>
          <w:tcPr>
            <w:tcW w:w="118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153.6</w:t>
            </w:r>
          </w:p>
        </w:tc>
        <w:tc>
          <w:tcPr>
            <w:tcW w:w="104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(5.2)</w:t>
            </w:r>
          </w:p>
        </w:tc>
        <w:tc>
          <w:tcPr>
            <w:tcW w:w="112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158.8</w:t>
            </w:r>
          </w:p>
        </w:tc>
        <w:tc>
          <w:tcPr>
            <w:tcW w:w="122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158.8</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Jefferson Wells</w:t>
            </w:r>
          </w:p>
        </w:tc>
        <w:tc>
          <w:tcPr>
            <w:tcW w:w="940" w:type="dxa"/>
            <w:vAlign w:val="bottom"/>
          </w:tcPr>
          <w:p>
            <w:pPr>
              <w:spacing w:after="0"/>
              <w:rPr>
                <w:sz w:val="15"/>
                <w:szCs w:val="15"/>
                <w:color w:val="auto"/>
              </w:rPr>
            </w:pPr>
          </w:p>
        </w:tc>
        <w:tc>
          <w:tcPr>
            <w:tcW w:w="1080" w:type="dxa"/>
            <w:vAlign w:val="bottom"/>
          </w:tcPr>
          <w:p>
            <w:pPr>
              <w:jc w:val="right"/>
              <w:ind w:right="166"/>
              <w:spacing w:after="0"/>
              <w:rPr>
                <w:sz w:val="20"/>
                <w:szCs w:val="20"/>
                <w:color w:val="auto"/>
              </w:rPr>
            </w:pPr>
            <w:r>
              <w:rPr>
                <w:rFonts w:ascii="Arial" w:cs="Arial" w:eastAsia="Arial" w:hAnsi="Arial"/>
                <w:sz w:val="15"/>
                <w:szCs w:val="15"/>
                <w:color w:val="auto"/>
              </w:rPr>
              <w:t>(22.0)</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(12.5)</w:t>
            </w:r>
          </w:p>
        </w:tc>
        <w:tc>
          <w:tcPr>
            <w:tcW w:w="10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6"/>
              <w:spacing w:after="0"/>
              <w:rPr>
                <w:sz w:val="20"/>
                <w:szCs w:val="20"/>
                <w:color w:val="auto"/>
              </w:rPr>
            </w:pPr>
            <w:r>
              <w:rPr>
                <w:rFonts w:ascii="Arial" w:cs="Arial" w:eastAsia="Arial" w:hAnsi="Arial"/>
                <w:sz w:val="15"/>
                <w:szCs w:val="15"/>
                <w:color w:val="auto"/>
              </w:rPr>
              <w:t>(12.5)</w:t>
            </w:r>
          </w:p>
        </w:tc>
        <w:tc>
          <w:tcPr>
            <w:tcW w:w="1220" w:type="dxa"/>
            <w:vAlign w:val="bottom"/>
          </w:tcPr>
          <w:p>
            <w:pPr>
              <w:jc w:val="right"/>
              <w:ind w:right="206"/>
              <w:spacing w:after="0"/>
              <w:rPr>
                <w:sz w:val="20"/>
                <w:szCs w:val="20"/>
                <w:color w:val="auto"/>
              </w:rPr>
            </w:pPr>
            <w:r>
              <w:rPr>
                <w:rFonts w:ascii="Arial" w:cs="Arial" w:eastAsia="Arial" w:hAnsi="Arial"/>
                <w:sz w:val="15"/>
                <w:szCs w:val="15"/>
                <w:color w:val="auto"/>
              </w:rPr>
              <w:t>(0.4)</w:t>
            </w: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(12.1)</w:t>
            </w: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b w:val="1"/>
                <w:bCs w:val="1"/>
                <w:color w:val="939598"/>
              </w:rPr>
              <w:t>Operating Profit – Manpower Inc.</w:t>
            </w:r>
          </w:p>
        </w:tc>
        <w:tc>
          <w:tcPr>
            <w:tcW w:w="940" w:type="dxa"/>
            <w:vAlign w:val="bottom"/>
            <w:tcBorders>
              <w:bottom w:val="single" w:sz="8" w:color="auto"/>
            </w:tcBorders>
            <w:shd w:val="clear" w:color="auto" w:fill="E6EFFF"/>
          </w:tcPr>
          <w:p>
            <w:pPr>
              <w:spacing w:after="0"/>
              <w:rPr>
                <w:sz w:val="16"/>
                <w:szCs w:val="16"/>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41.7</w:t>
            </w:r>
          </w:p>
        </w:tc>
        <w:tc>
          <w:tcPr>
            <w:tcW w:w="1180" w:type="dxa"/>
            <w:vAlign w:val="bottom"/>
            <w:tcBorders>
              <w:bottom w:val="single" w:sz="8" w:color="auto"/>
            </w:tcBorders>
            <w:shd w:val="clear" w:color="auto" w:fill="E6EFFF"/>
          </w:tcPr>
          <w:p>
            <w:pPr>
              <w:jc w:val="right"/>
              <w:ind w:right="86"/>
              <w:spacing w:after="0"/>
              <w:rPr>
                <w:sz w:val="20"/>
                <w:szCs w:val="20"/>
                <w:color w:val="auto"/>
              </w:rPr>
            </w:pPr>
            <w:r>
              <w:rPr>
                <w:rFonts w:ascii="Arial" w:cs="Arial" w:eastAsia="Arial" w:hAnsi="Arial"/>
                <w:sz w:val="15"/>
                <w:szCs w:val="15"/>
                <w:color w:val="auto"/>
              </w:rPr>
              <w:t>(91.5)%</w:t>
            </w:r>
          </w:p>
        </w:tc>
        <w:tc>
          <w:tcPr>
            <w:tcW w:w="1040" w:type="dxa"/>
            <w:vAlign w:val="bottom"/>
            <w:tcBorders>
              <w:bottom w:val="single" w:sz="8" w:color="auto"/>
            </w:tcBorders>
            <w:shd w:val="clear" w:color="auto" w:fill="E6EFFF"/>
          </w:tcPr>
          <w:p>
            <w:pPr>
              <w:jc w:val="right"/>
              <w:ind w:right="6"/>
              <w:spacing w:after="0"/>
              <w:rPr>
                <w:sz w:val="20"/>
                <w:szCs w:val="20"/>
                <w:color w:val="auto"/>
              </w:rPr>
            </w:pPr>
            <w:r>
              <w:rPr>
                <w:rFonts w:ascii="Arial" w:cs="Arial" w:eastAsia="Arial" w:hAnsi="Arial"/>
                <w:sz w:val="15"/>
                <w:szCs w:val="15"/>
                <w:color w:val="auto"/>
              </w:rPr>
              <w:t>(0.2)%</w:t>
            </w:r>
          </w:p>
        </w:tc>
        <w:tc>
          <w:tcPr>
            <w:tcW w:w="112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(91.3)%</w:t>
            </w:r>
          </w:p>
        </w:tc>
        <w:tc>
          <w:tcPr>
            <w:tcW w:w="122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0.6 %</w:t>
            </w:r>
          </w:p>
        </w:tc>
        <w:tc>
          <w:tcPr>
            <w:tcW w:w="10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(91.9)%</w:t>
            </w:r>
          </w:p>
        </w:tc>
        <w:tc>
          <w:tcPr>
            <w:tcW w:w="20" w:type="dxa"/>
            <w:vAlign w:val="bottom"/>
          </w:tcPr>
          <w:p>
            <w:pPr>
              <w:spacing w:after="0"/>
              <w:rPr>
                <w:sz w:val="16"/>
                <w:szCs w:val="16"/>
                <w:color w:val="auto"/>
              </w:rPr>
            </w:pPr>
          </w:p>
        </w:tc>
      </w:tr>
      <w:tr>
        <w:trPr>
          <w:trHeight w:val="32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40" w:type="dxa"/>
            <w:vAlign w:val="bottom"/>
            <w:gridSpan w:val="3"/>
          </w:tcPr>
          <w:p>
            <w:pPr>
              <w:jc w:val="right"/>
              <w:ind w:right="6"/>
              <w:spacing w:after="0"/>
              <w:rPr>
                <w:sz w:val="20"/>
                <w:szCs w:val="20"/>
                <w:color w:val="auto"/>
              </w:rPr>
            </w:pPr>
            <w:r>
              <w:rPr>
                <w:rFonts w:ascii="Arial" w:cs="Arial" w:eastAsia="Arial" w:hAnsi="Arial"/>
                <w:sz w:val="14"/>
                <w:szCs w:val="14"/>
                <w:b w:val="1"/>
                <w:bCs w:val="1"/>
                <w:color w:val="939598"/>
              </w:rPr>
              <w:t>Management’s Discussion &amp; Analysis</w:t>
            </w: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 xml:space="preserve">Manpower 2009 Annual Report </w:t>
            </w:r>
            <w:r>
              <w:rPr>
                <w:rFonts w:ascii="Arial" w:cs="Arial" w:eastAsia="Arial" w:hAnsi="Arial"/>
                <w:sz w:val="14"/>
                <w:szCs w:val="14"/>
                <w:b w:val="1"/>
                <w:bCs w:val="1"/>
                <w:color w:val="auto"/>
              </w:rPr>
              <w:t>27</w:t>
            </w:r>
          </w:p>
        </w:tc>
        <w:tc>
          <w:tcPr>
            <w:tcW w:w="2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20" w:type="dxa"/>
            <w:vAlign w:val="bottom"/>
            <w:shd w:val="clear" w:color="auto" w:fill="808080"/>
          </w:tcPr>
          <w:p>
            <w:pPr>
              <w:spacing w:after="0"/>
              <w:rPr>
                <w:sz w:val="5"/>
                <w:szCs w:val="5"/>
                <w:color w:val="auto"/>
              </w:rPr>
            </w:pPr>
          </w:p>
        </w:tc>
        <w:tc>
          <w:tcPr>
            <w:tcW w:w="38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80"/>
          </w:cols>
          <w:pgMar w:left="220" w:top="142" w:right="1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right"/>
              <w:ind w:right="246"/>
              <w:spacing w:after="0"/>
              <w:rPr>
                <w:sz w:val="20"/>
                <w:szCs w:val="20"/>
                <w:color w:val="auto"/>
              </w:rPr>
            </w:pPr>
            <w:r>
              <w:rPr>
                <w:rFonts w:ascii="Arial" w:cs="Arial" w:eastAsia="Arial" w:hAnsi="Arial"/>
                <w:sz w:val="14"/>
                <w:szCs w:val="14"/>
                <w:b w:val="1"/>
                <w:bCs w:val="1"/>
                <w:color w:val="4D8ABE"/>
              </w:rPr>
              <w:t>Impact of</w:t>
            </w:r>
          </w:p>
        </w:tc>
        <w:tc>
          <w:tcPr>
            <w:tcW w:w="1020" w:type="dxa"/>
            <w:vAlign w:val="bottom"/>
          </w:tcPr>
          <w:p>
            <w:pPr>
              <w:jc w:val="right"/>
              <w:ind w:right="146"/>
              <w:spacing w:after="0"/>
              <w:rPr>
                <w:sz w:val="20"/>
                <w:szCs w:val="20"/>
                <w:color w:val="auto"/>
              </w:rPr>
            </w:pPr>
            <w:r>
              <w:rPr>
                <w:rFonts w:ascii="Arial" w:cs="Arial" w:eastAsia="Arial" w:hAnsi="Arial"/>
                <w:sz w:val="14"/>
                <w:szCs w:val="14"/>
                <w:b w:val="1"/>
                <w:bCs w:val="1"/>
                <w:color w:val="4D8ABE"/>
              </w:rPr>
              <w:t>Organic</w:t>
            </w:r>
          </w:p>
        </w:tc>
      </w:tr>
      <w:tr>
        <w:trPr>
          <w:trHeight w:val="184"/>
        </w:trPr>
        <w:tc>
          <w:tcPr>
            <w:tcW w:w="3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4"/>
                <w:szCs w:val="14"/>
                <w:b w:val="1"/>
                <w:bCs w:val="1"/>
                <w:color w:val="4D8ABE"/>
              </w:rPr>
              <w:t>Reported</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jc w:val="right"/>
              <w:ind w:right="186"/>
              <w:spacing w:after="0"/>
              <w:rPr>
                <w:sz w:val="20"/>
                <w:szCs w:val="20"/>
                <w:color w:val="auto"/>
              </w:rPr>
            </w:pPr>
            <w:r>
              <w:rPr>
                <w:rFonts w:ascii="Arial" w:cs="Arial" w:eastAsia="Arial" w:hAnsi="Arial"/>
                <w:sz w:val="14"/>
                <w:szCs w:val="14"/>
                <w:b w:val="1"/>
                <w:bCs w:val="1"/>
                <w:color w:val="4D8ABE"/>
              </w:rPr>
              <w:t>Variance</w:t>
            </w:r>
          </w:p>
        </w:tc>
        <w:tc>
          <w:tcPr>
            <w:tcW w:w="1220" w:type="dxa"/>
            <w:vAlign w:val="bottom"/>
          </w:tcPr>
          <w:p>
            <w:pPr>
              <w:jc w:val="right"/>
              <w:ind w:right="246"/>
              <w:spacing w:after="0"/>
              <w:rPr>
                <w:sz w:val="20"/>
                <w:szCs w:val="20"/>
                <w:color w:val="auto"/>
              </w:rPr>
            </w:pPr>
            <w:r>
              <w:rPr>
                <w:rFonts w:ascii="Arial" w:cs="Arial" w:eastAsia="Arial" w:hAnsi="Arial"/>
                <w:sz w:val="14"/>
                <w:szCs w:val="14"/>
                <w:b w:val="1"/>
                <w:bCs w:val="1"/>
                <w:color w:val="4D8ABE"/>
              </w:rPr>
              <w:t>Acquisitions</w:t>
            </w:r>
          </w:p>
        </w:tc>
        <w:tc>
          <w:tcPr>
            <w:tcW w:w="1020" w:type="dxa"/>
            <w:vAlign w:val="bottom"/>
          </w:tcPr>
          <w:p>
            <w:pPr>
              <w:jc w:val="right"/>
              <w:ind w:right="146"/>
              <w:spacing w:after="0"/>
              <w:rPr>
                <w:sz w:val="20"/>
                <w:szCs w:val="20"/>
                <w:color w:val="auto"/>
              </w:rPr>
            </w:pPr>
            <w:r>
              <w:rPr>
                <w:rFonts w:ascii="Arial" w:cs="Arial" w:eastAsia="Arial" w:hAnsi="Arial"/>
                <w:sz w:val="14"/>
                <w:szCs w:val="14"/>
                <w:b w:val="1"/>
                <w:bCs w:val="1"/>
                <w:color w:val="4D8ABE"/>
              </w:rPr>
              <w:t>Constant</w:t>
            </w:r>
          </w:p>
        </w:tc>
      </w:tr>
      <w:tr>
        <w:trPr>
          <w:trHeight w:val="184"/>
        </w:trPr>
        <w:tc>
          <w:tcPr>
            <w:tcW w:w="3860" w:type="dxa"/>
            <w:vAlign w:val="bottom"/>
          </w:tcPr>
          <w:p>
            <w:pPr>
              <w:spacing w:after="0"/>
              <w:rPr>
                <w:sz w:val="20"/>
                <w:szCs w:val="20"/>
                <w:color w:val="auto"/>
              </w:rPr>
            </w:pPr>
            <w:r>
              <w:rPr>
                <w:rFonts w:ascii="Arial" w:cs="Arial" w:eastAsia="Arial" w:hAnsi="Arial"/>
                <w:sz w:val="14"/>
                <w:szCs w:val="14"/>
                <w:b w:val="1"/>
                <w:bCs w:val="1"/>
                <w:color w:val="4D8ABE"/>
              </w:rPr>
              <w:t>Amounts represent 2008</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4"/>
                <w:szCs w:val="14"/>
                <w:b w:val="1"/>
                <w:bCs w:val="1"/>
                <w:color w:val="4D8ABE"/>
              </w:rPr>
              <w:t>Amount</w:t>
            </w:r>
          </w:p>
        </w:tc>
        <w:tc>
          <w:tcPr>
            <w:tcW w:w="1180" w:type="dxa"/>
            <w:vAlign w:val="bottom"/>
          </w:tcPr>
          <w:p>
            <w:pPr>
              <w:jc w:val="right"/>
              <w:ind w:right="266"/>
              <w:spacing w:after="0"/>
              <w:rPr>
                <w:sz w:val="20"/>
                <w:szCs w:val="20"/>
                <w:color w:val="auto"/>
              </w:rPr>
            </w:pPr>
            <w:r>
              <w:rPr>
                <w:rFonts w:ascii="Arial" w:cs="Arial" w:eastAsia="Arial" w:hAnsi="Arial"/>
                <w:sz w:val="14"/>
                <w:szCs w:val="14"/>
                <w:b w:val="1"/>
                <w:bCs w:val="1"/>
                <w:color w:val="4D8ABE"/>
              </w:rPr>
              <w:t>Reported</w:t>
            </w:r>
          </w:p>
        </w:tc>
        <w:tc>
          <w:tcPr>
            <w:tcW w:w="1020" w:type="dxa"/>
            <w:vAlign w:val="bottom"/>
          </w:tcPr>
          <w:p>
            <w:pPr>
              <w:jc w:val="right"/>
              <w:ind w:right="186"/>
              <w:spacing w:after="0"/>
              <w:rPr>
                <w:sz w:val="20"/>
                <w:szCs w:val="20"/>
                <w:color w:val="auto"/>
              </w:rPr>
            </w:pPr>
            <w:r>
              <w:rPr>
                <w:rFonts w:ascii="Arial" w:cs="Arial" w:eastAsia="Arial" w:hAnsi="Arial"/>
                <w:sz w:val="14"/>
                <w:szCs w:val="14"/>
                <w:b w:val="1"/>
                <w:bCs w:val="1"/>
                <w:color w:val="4D8ABE"/>
              </w:rPr>
              <w:t>Impact of</w:t>
            </w:r>
          </w:p>
        </w:tc>
        <w:tc>
          <w:tcPr>
            <w:tcW w:w="1120" w:type="dxa"/>
            <w:vAlign w:val="bottom"/>
          </w:tcPr>
          <w:p>
            <w:pPr>
              <w:jc w:val="right"/>
              <w:ind w:right="186"/>
              <w:spacing w:after="0"/>
              <w:rPr>
                <w:sz w:val="20"/>
                <w:szCs w:val="20"/>
                <w:color w:val="auto"/>
              </w:rPr>
            </w:pPr>
            <w:r>
              <w:rPr>
                <w:rFonts w:ascii="Arial" w:cs="Arial" w:eastAsia="Arial" w:hAnsi="Arial"/>
                <w:sz w:val="14"/>
                <w:szCs w:val="14"/>
                <w:b w:val="1"/>
                <w:bCs w:val="1"/>
                <w:color w:val="4D8ABE"/>
              </w:rPr>
              <w:t>in Constant</w:t>
            </w:r>
          </w:p>
        </w:tc>
        <w:tc>
          <w:tcPr>
            <w:tcW w:w="1220" w:type="dxa"/>
            <w:vAlign w:val="bottom"/>
          </w:tcPr>
          <w:p>
            <w:pPr>
              <w:jc w:val="right"/>
              <w:ind w:right="246"/>
              <w:spacing w:after="0"/>
              <w:rPr>
                <w:sz w:val="20"/>
                <w:szCs w:val="20"/>
                <w:color w:val="auto"/>
              </w:rPr>
            </w:pPr>
            <w:r>
              <w:rPr>
                <w:rFonts w:ascii="Arial" w:cs="Arial" w:eastAsia="Arial" w:hAnsi="Arial"/>
                <w:sz w:val="14"/>
                <w:szCs w:val="14"/>
                <w:b w:val="1"/>
                <w:bCs w:val="1"/>
                <w:color w:val="4D8ABE"/>
              </w:rPr>
              <w:t>(In Constant</w:t>
            </w:r>
          </w:p>
        </w:tc>
        <w:tc>
          <w:tcPr>
            <w:tcW w:w="1020" w:type="dxa"/>
            <w:vAlign w:val="bottom"/>
          </w:tcPr>
          <w:p>
            <w:pPr>
              <w:jc w:val="right"/>
              <w:ind w:right="146"/>
              <w:spacing w:after="0"/>
              <w:rPr>
                <w:sz w:val="20"/>
                <w:szCs w:val="20"/>
                <w:color w:val="auto"/>
              </w:rPr>
            </w:pPr>
            <w:r>
              <w:rPr>
                <w:rFonts w:ascii="Arial" w:cs="Arial" w:eastAsia="Arial" w:hAnsi="Arial"/>
                <w:sz w:val="14"/>
                <w:szCs w:val="14"/>
                <w:b w:val="1"/>
                <w:bCs w:val="1"/>
                <w:color w:val="4D8ABE"/>
              </w:rPr>
              <w:t>Currency</w:t>
            </w:r>
          </w:p>
        </w:tc>
      </w:tr>
      <w:tr>
        <w:trPr>
          <w:trHeight w:val="193"/>
        </w:trPr>
        <w:tc>
          <w:tcPr>
            <w:tcW w:w="386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Percentages represent 2008 compared to 2007</w:t>
            </w:r>
          </w:p>
        </w:tc>
        <w:tc>
          <w:tcPr>
            <w:tcW w:w="940" w:type="dxa"/>
            <w:vAlign w:val="bottom"/>
            <w:tcBorders>
              <w:bottom w:val="single" w:sz="8" w:color="4D8ABE"/>
            </w:tcBorders>
          </w:tcPr>
          <w:p>
            <w:pPr>
              <w:spacing w:after="0"/>
              <w:rPr>
                <w:sz w:val="16"/>
                <w:szCs w:val="16"/>
                <w:color w:val="auto"/>
              </w:rPr>
            </w:pPr>
          </w:p>
        </w:tc>
        <w:tc>
          <w:tcPr>
            <w:tcW w:w="1080" w:type="dxa"/>
            <w:vAlign w:val="bottom"/>
            <w:tcBorders>
              <w:bottom w:val="single" w:sz="8" w:color="4D8ABE"/>
            </w:tcBorders>
          </w:tcPr>
          <w:p>
            <w:pPr>
              <w:jc w:val="right"/>
              <w:ind w:right="206"/>
              <w:spacing w:after="0"/>
              <w:rPr>
                <w:sz w:val="20"/>
                <w:szCs w:val="20"/>
                <w:color w:val="auto"/>
              </w:rPr>
            </w:pPr>
            <w:r>
              <w:rPr>
                <w:rFonts w:ascii="Arial" w:cs="Arial" w:eastAsia="Arial" w:hAnsi="Arial"/>
                <w:sz w:val="14"/>
                <w:szCs w:val="14"/>
                <w:b w:val="1"/>
                <w:bCs w:val="1"/>
                <w:color w:val="4D8ABE"/>
                <w:w w:val="99"/>
              </w:rPr>
              <w:t>(in millions)</w:t>
            </w:r>
          </w:p>
        </w:tc>
        <w:tc>
          <w:tcPr>
            <w:tcW w:w="1180" w:type="dxa"/>
            <w:vAlign w:val="bottom"/>
            <w:tcBorders>
              <w:bottom w:val="single" w:sz="8" w:color="4D8ABE"/>
            </w:tcBorders>
          </w:tcPr>
          <w:p>
            <w:pPr>
              <w:jc w:val="right"/>
              <w:ind w:right="266"/>
              <w:spacing w:after="0"/>
              <w:rPr>
                <w:sz w:val="20"/>
                <w:szCs w:val="20"/>
                <w:color w:val="auto"/>
              </w:rPr>
            </w:pPr>
            <w:r>
              <w:rPr>
                <w:rFonts w:ascii="Arial" w:cs="Arial" w:eastAsia="Arial" w:hAnsi="Arial"/>
                <w:sz w:val="14"/>
                <w:szCs w:val="14"/>
                <w:b w:val="1"/>
                <w:bCs w:val="1"/>
                <w:color w:val="4D8ABE"/>
              </w:rPr>
              <w:t>Variance</w:t>
            </w:r>
          </w:p>
        </w:tc>
        <w:tc>
          <w:tcPr>
            <w:tcW w:w="1020" w:type="dxa"/>
            <w:vAlign w:val="bottom"/>
            <w:tcBorders>
              <w:bottom w:val="single" w:sz="8" w:color="4D8ABE"/>
            </w:tcBorders>
          </w:tcPr>
          <w:p>
            <w:pPr>
              <w:jc w:val="right"/>
              <w:ind w:right="186"/>
              <w:spacing w:after="0"/>
              <w:rPr>
                <w:sz w:val="20"/>
                <w:szCs w:val="20"/>
                <w:color w:val="auto"/>
              </w:rPr>
            </w:pPr>
            <w:r>
              <w:rPr>
                <w:rFonts w:ascii="Arial" w:cs="Arial" w:eastAsia="Arial" w:hAnsi="Arial"/>
                <w:sz w:val="14"/>
                <w:szCs w:val="14"/>
                <w:b w:val="1"/>
                <w:bCs w:val="1"/>
                <w:color w:val="4D8ABE"/>
              </w:rPr>
              <w:t>Currency</w:t>
            </w:r>
          </w:p>
        </w:tc>
        <w:tc>
          <w:tcPr>
            <w:tcW w:w="1120" w:type="dxa"/>
            <w:vAlign w:val="bottom"/>
            <w:tcBorders>
              <w:bottom w:val="single" w:sz="8" w:color="4D8ABE"/>
            </w:tcBorders>
          </w:tcPr>
          <w:p>
            <w:pPr>
              <w:jc w:val="right"/>
              <w:ind w:right="186"/>
              <w:spacing w:after="0"/>
              <w:rPr>
                <w:sz w:val="20"/>
                <w:szCs w:val="20"/>
                <w:color w:val="auto"/>
              </w:rPr>
            </w:pPr>
            <w:r>
              <w:rPr>
                <w:rFonts w:ascii="Arial" w:cs="Arial" w:eastAsia="Arial" w:hAnsi="Arial"/>
                <w:sz w:val="14"/>
                <w:szCs w:val="14"/>
                <w:b w:val="1"/>
                <w:bCs w:val="1"/>
                <w:color w:val="4D8ABE"/>
              </w:rPr>
              <w:t>Currency</w:t>
            </w:r>
          </w:p>
        </w:tc>
        <w:tc>
          <w:tcPr>
            <w:tcW w:w="1220" w:type="dxa"/>
            <w:vAlign w:val="bottom"/>
            <w:tcBorders>
              <w:bottom w:val="single" w:sz="8" w:color="4D8ABE"/>
            </w:tcBorders>
          </w:tcPr>
          <w:p>
            <w:pPr>
              <w:jc w:val="right"/>
              <w:ind w:right="246"/>
              <w:spacing w:after="0"/>
              <w:rPr>
                <w:sz w:val="20"/>
                <w:szCs w:val="20"/>
                <w:color w:val="auto"/>
              </w:rPr>
            </w:pPr>
            <w:r>
              <w:rPr>
                <w:rFonts w:ascii="Arial" w:cs="Arial" w:eastAsia="Arial" w:hAnsi="Arial"/>
                <w:sz w:val="14"/>
                <w:szCs w:val="14"/>
                <w:b w:val="1"/>
                <w:bCs w:val="1"/>
                <w:color w:val="4D8ABE"/>
              </w:rPr>
              <w:t>Currency)</w:t>
            </w:r>
          </w:p>
        </w:tc>
        <w:tc>
          <w:tcPr>
            <w:tcW w:w="1020" w:type="dxa"/>
            <w:vAlign w:val="bottom"/>
            <w:tcBorders>
              <w:bottom w:val="single" w:sz="8" w:color="4D8ABE"/>
            </w:tcBorders>
          </w:tcPr>
          <w:p>
            <w:pPr>
              <w:jc w:val="right"/>
              <w:ind w:right="146"/>
              <w:spacing w:after="0"/>
              <w:rPr>
                <w:sz w:val="20"/>
                <w:szCs w:val="20"/>
                <w:color w:val="auto"/>
              </w:rPr>
            </w:pPr>
            <w:r>
              <w:rPr>
                <w:rFonts w:ascii="Arial" w:cs="Arial" w:eastAsia="Arial" w:hAnsi="Arial"/>
                <w:sz w:val="14"/>
                <w:szCs w:val="14"/>
                <w:b w:val="1"/>
                <w:bCs w:val="1"/>
                <w:color w:val="4D8ABE"/>
              </w:rPr>
              <w:t>Variance</w:t>
            </w:r>
          </w:p>
        </w:tc>
      </w:tr>
      <w:tr>
        <w:trPr>
          <w:trHeight w:val="184"/>
        </w:trPr>
        <w:tc>
          <w:tcPr>
            <w:tcW w:w="386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Revenues from Services</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Arial" w:cs="Arial" w:eastAsia="Arial" w:hAnsi="Arial"/>
                <w:sz w:val="15"/>
                <w:szCs w:val="15"/>
                <w:color w:val="auto"/>
              </w:rPr>
              <w:t>Americas:</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38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United States</w:t>
            </w:r>
          </w:p>
        </w:tc>
        <w:tc>
          <w:tcPr>
            <w:tcW w:w="9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1,945.4</w:t>
            </w:r>
          </w:p>
        </w:tc>
        <w:tc>
          <w:tcPr>
            <w:tcW w:w="1180" w:type="dxa"/>
            <w:vAlign w:val="bottom"/>
            <w:shd w:val="clear" w:color="auto" w:fill="E6EFFF"/>
          </w:tcPr>
          <w:p>
            <w:pPr>
              <w:jc w:val="right"/>
              <w:ind w:right="86"/>
              <w:spacing w:after="0"/>
              <w:rPr>
                <w:sz w:val="20"/>
                <w:szCs w:val="20"/>
                <w:color w:val="auto"/>
              </w:rPr>
            </w:pPr>
            <w:r>
              <w:rPr>
                <w:rFonts w:ascii="Arial" w:cs="Arial" w:eastAsia="Arial" w:hAnsi="Arial"/>
                <w:sz w:val="15"/>
                <w:szCs w:val="15"/>
                <w:color w:val="auto"/>
              </w:rPr>
              <w:t>(0.9)%</w:t>
            </w:r>
          </w:p>
        </w:tc>
        <w:tc>
          <w:tcPr>
            <w:tcW w:w="10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(0.9)%</w:t>
            </w:r>
          </w:p>
        </w:tc>
        <w:tc>
          <w:tcPr>
            <w:tcW w:w="122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10.4%</w:t>
            </w:r>
          </w:p>
        </w:tc>
        <w:tc>
          <w:tcPr>
            <w:tcW w:w="10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(11.3)%</w:t>
            </w:r>
          </w:p>
        </w:tc>
      </w:tr>
      <w:tr>
        <w:trPr>
          <w:trHeight w:val="183"/>
        </w:trPr>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Americas</w:t>
            </w: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1,129.8</w:t>
            </w:r>
          </w:p>
        </w:tc>
        <w:tc>
          <w:tcPr>
            <w:tcW w:w="11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12.2</w:t>
            </w: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3.7</w:t>
            </w: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8.5</w:t>
            </w:r>
          </w:p>
        </w:tc>
        <w:tc>
          <w:tcPr>
            <w:tcW w:w="12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8.5</w:t>
            </w:r>
          </w:p>
        </w:tc>
      </w:tr>
      <w:tr>
        <w:trPr>
          <w:trHeight w:val="175"/>
        </w:trPr>
        <w:tc>
          <w:tcPr>
            <w:tcW w:w="386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3,075.2</w:t>
            </w:r>
          </w:p>
        </w:tc>
        <w:tc>
          <w:tcPr>
            <w:tcW w:w="118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3.6</w:t>
            </w:r>
          </w:p>
        </w:tc>
        <w:tc>
          <w:tcPr>
            <w:tcW w:w="10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1.3</w:t>
            </w:r>
          </w:p>
        </w:tc>
        <w:tc>
          <w:tcPr>
            <w:tcW w:w="11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2.3</w:t>
            </w:r>
          </w:p>
        </w:tc>
        <w:tc>
          <w:tcPr>
            <w:tcW w:w="1220" w:type="dxa"/>
            <w:vAlign w:val="bottom"/>
            <w:tcBorders>
              <w:bottom w:val="single" w:sz="8" w:color="auto"/>
            </w:tcBorders>
            <w:shd w:val="clear" w:color="auto" w:fill="E6EFFF"/>
          </w:tcPr>
          <w:p>
            <w:pPr>
              <w:jc w:val="right"/>
              <w:ind w:right="246"/>
              <w:spacing w:after="0"/>
              <w:rPr>
                <w:sz w:val="20"/>
                <w:szCs w:val="20"/>
                <w:color w:val="auto"/>
              </w:rPr>
            </w:pPr>
            <w:r>
              <w:rPr>
                <w:rFonts w:ascii="Arial" w:cs="Arial" w:eastAsia="Arial" w:hAnsi="Arial"/>
                <w:sz w:val="15"/>
                <w:szCs w:val="15"/>
                <w:color w:val="auto"/>
              </w:rPr>
              <w:t>6.9</w:t>
            </w:r>
          </w:p>
        </w:tc>
        <w:tc>
          <w:tcPr>
            <w:tcW w:w="102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(4.6)</w:t>
            </w:r>
          </w:p>
        </w:tc>
      </w:tr>
      <w:tr>
        <w:trPr>
          <w:trHeight w:val="175"/>
        </w:trPr>
        <w:tc>
          <w:tcPr>
            <w:tcW w:w="3860" w:type="dxa"/>
            <w:vAlign w:val="bottom"/>
          </w:tcPr>
          <w:p>
            <w:pPr>
              <w:spacing w:after="0"/>
              <w:rPr>
                <w:sz w:val="20"/>
                <w:szCs w:val="20"/>
                <w:color w:val="auto"/>
              </w:rPr>
            </w:pPr>
            <w:r>
              <w:rPr>
                <w:rFonts w:ascii="Arial" w:cs="Arial" w:eastAsia="Arial" w:hAnsi="Arial"/>
                <w:sz w:val="15"/>
                <w:szCs w:val="15"/>
                <w:color w:val="auto"/>
              </w:rPr>
              <w:t>France</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6,935.6</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(1.3)</w:t>
            </w:r>
          </w:p>
        </w:tc>
        <w:tc>
          <w:tcPr>
            <w:tcW w:w="1020" w:type="dxa"/>
            <w:vAlign w:val="bottom"/>
          </w:tcPr>
          <w:p>
            <w:pPr>
              <w:jc w:val="right"/>
              <w:ind w:right="186"/>
              <w:spacing w:after="0"/>
              <w:rPr>
                <w:sz w:val="20"/>
                <w:szCs w:val="20"/>
                <w:color w:val="auto"/>
              </w:rPr>
            </w:pPr>
            <w:r>
              <w:rPr>
                <w:rFonts w:ascii="Arial" w:cs="Arial" w:eastAsia="Arial" w:hAnsi="Arial"/>
                <w:sz w:val="15"/>
                <w:szCs w:val="15"/>
                <w:color w:val="auto"/>
              </w:rPr>
              <w:t>7.4</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(8.7)</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06"/>
              <w:spacing w:after="0"/>
              <w:rPr>
                <w:sz w:val="20"/>
                <w:szCs w:val="20"/>
                <w:color w:val="auto"/>
              </w:rPr>
            </w:pPr>
            <w:r>
              <w:rPr>
                <w:rFonts w:ascii="Arial" w:cs="Arial" w:eastAsia="Arial" w:hAnsi="Arial"/>
                <w:sz w:val="15"/>
                <w:szCs w:val="15"/>
                <w:color w:val="auto"/>
              </w:rPr>
              <w:t>(8.7)</w:t>
            </w:r>
          </w:p>
        </w:tc>
      </w:tr>
      <w:tr>
        <w:trPr>
          <w:trHeight w:val="185"/>
        </w:trPr>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EMEA:</w:t>
            </w:r>
          </w:p>
        </w:tc>
        <w:tc>
          <w:tcPr>
            <w:tcW w:w="940" w:type="dxa"/>
            <w:vAlign w:val="bottom"/>
            <w:shd w:val="clear" w:color="auto" w:fill="E6EFFF"/>
          </w:tcPr>
          <w:p>
            <w:pPr>
              <w:spacing w:after="0"/>
              <w:rPr>
                <w:sz w:val="16"/>
                <w:szCs w:val="16"/>
                <w:color w:val="auto"/>
              </w:rPr>
            </w:pPr>
          </w:p>
        </w:tc>
        <w:tc>
          <w:tcPr>
            <w:tcW w:w="1080" w:type="dxa"/>
            <w:vAlign w:val="bottom"/>
            <w:shd w:val="clear" w:color="auto" w:fill="E6EFFF"/>
          </w:tcPr>
          <w:p>
            <w:pPr>
              <w:spacing w:after="0"/>
              <w:rPr>
                <w:sz w:val="16"/>
                <w:szCs w:val="16"/>
                <w:color w:val="auto"/>
              </w:rPr>
            </w:pPr>
          </w:p>
        </w:tc>
        <w:tc>
          <w:tcPr>
            <w:tcW w:w="118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c>
          <w:tcPr>
            <w:tcW w:w="1120" w:type="dxa"/>
            <w:vAlign w:val="bottom"/>
            <w:shd w:val="clear" w:color="auto" w:fill="E6EFFF"/>
          </w:tcPr>
          <w:p>
            <w:pPr>
              <w:spacing w:after="0"/>
              <w:rPr>
                <w:sz w:val="16"/>
                <w:szCs w:val="16"/>
                <w:color w:val="auto"/>
              </w:rPr>
            </w:pPr>
          </w:p>
        </w:tc>
        <w:tc>
          <w:tcPr>
            <w:tcW w:w="122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r>
      <w:tr>
        <w:trPr>
          <w:trHeight w:val="183"/>
        </w:trPr>
        <w:tc>
          <w:tcPr>
            <w:tcW w:w="3860" w:type="dxa"/>
            <w:vAlign w:val="bottom"/>
          </w:tcPr>
          <w:p>
            <w:pPr>
              <w:ind w:left="140"/>
              <w:spacing w:after="0"/>
              <w:rPr>
                <w:sz w:val="20"/>
                <w:szCs w:val="20"/>
                <w:color w:val="auto"/>
              </w:rPr>
            </w:pPr>
            <w:r>
              <w:rPr>
                <w:rFonts w:ascii="Arial" w:cs="Arial" w:eastAsia="Arial" w:hAnsi="Arial"/>
                <w:sz w:val="15"/>
                <w:szCs w:val="15"/>
                <w:color w:val="auto"/>
              </w:rPr>
              <w:t>Italy</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1,519.5</w:t>
            </w:r>
          </w:p>
        </w:tc>
        <w:tc>
          <w:tcPr>
            <w:tcW w:w="1180" w:type="dxa"/>
            <w:vAlign w:val="bottom"/>
          </w:tcPr>
          <w:p>
            <w:pPr>
              <w:jc w:val="right"/>
              <w:ind w:right="266"/>
              <w:spacing w:after="0"/>
              <w:rPr>
                <w:sz w:val="20"/>
                <w:szCs w:val="20"/>
                <w:color w:val="auto"/>
              </w:rPr>
            </w:pPr>
            <w:r>
              <w:rPr>
                <w:rFonts w:ascii="Arial" w:cs="Arial" w:eastAsia="Arial" w:hAnsi="Arial"/>
                <w:sz w:val="15"/>
                <w:szCs w:val="15"/>
                <w:color w:val="auto"/>
              </w:rPr>
              <w:t>8.7</w:t>
            </w:r>
          </w:p>
        </w:tc>
        <w:tc>
          <w:tcPr>
            <w:tcW w:w="1020" w:type="dxa"/>
            <w:vAlign w:val="bottom"/>
          </w:tcPr>
          <w:p>
            <w:pPr>
              <w:jc w:val="right"/>
              <w:ind w:right="186"/>
              <w:spacing w:after="0"/>
              <w:rPr>
                <w:sz w:val="20"/>
                <w:szCs w:val="20"/>
                <w:color w:val="auto"/>
              </w:rPr>
            </w:pPr>
            <w:r>
              <w:rPr>
                <w:rFonts w:ascii="Arial" w:cs="Arial" w:eastAsia="Arial" w:hAnsi="Arial"/>
                <w:sz w:val="15"/>
                <w:szCs w:val="15"/>
                <w:color w:val="auto"/>
              </w:rPr>
              <w:t>8.2</w:t>
            </w:r>
          </w:p>
        </w:tc>
        <w:tc>
          <w:tcPr>
            <w:tcW w:w="1120" w:type="dxa"/>
            <w:vAlign w:val="bottom"/>
          </w:tcPr>
          <w:p>
            <w:pPr>
              <w:jc w:val="right"/>
              <w:ind w:right="186"/>
              <w:spacing w:after="0"/>
              <w:rPr>
                <w:sz w:val="20"/>
                <w:szCs w:val="20"/>
                <w:color w:val="auto"/>
              </w:rPr>
            </w:pPr>
            <w:r>
              <w:rPr>
                <w:rFonts w:ascii="Arial" w:cs="Arial" w:eastAsia="Arial" w:hAnsi="Arial"/>
                <w:sz w:val="15"/>
                <w:szCs w:val="15"/>
                <w:color w:val="auto"/>
              </w:rPr>
              <w:t>0.5</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46"/>
              <w:spacing w:after="0"/>
              <w:rPr>
                <w:sz w:val="20"/>
                <w:szCs w:val="20"/>
                <w:color w:val="auto"/>
              </w:rPr>
            </w:pPr>
            <w:r>
              <w:rPr>
                <w:rFonts w:ascii="Arial" w:cs="Arial" w:eastAsia="Arial" w:hAnsi="Arial"/>
                <w:sz w:val="15"/>
                <w:szCs w:val="15"/>
                <w:color w:val="auto"/>
              </w:rPr>
              <w:t>0.5</w:t>
            </w:r>
          </w:p>
        </w:tc>
      </w:tr>
      <w:tr>
        <w:trPr>
          <w:trHeight w:val="184"/>
        </w:trPr>
        <w:tc>
          <w:tcPr>
            <w:tcW w:w="386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Other EMEA</w:t>
            </w: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7,422.0</w:t>
            </w:r>
          </w:p>
        </w:tc>
        <w:tc>
          <w:tcPr>
            <w:tcW w:w="118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10.2</w:t>
            </w:r>
          </w:p>
        </w:tc>
        <w:tc>
          <w:tcPr>
            <w:tcW w:w="10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2.1</w:t>
            </w:r>
          </w:p>
        </w:tc>
        <w:tc>
          <w:tcPr>
            <w:tcW w:w="11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8.1</w:t>
            </w:r>
          </w:p>
        </w:tc>
        <w:tc>
          <w:tcPr>
            <w:tcW w:w="1220" w:type="dxa"/>
            <w:vAlign w:val="bottom"/>
            <w:tcBorders>
              <w:bottom w:val="single" w:sz="8" w:color="auto"/>
            </w:tcBorders>
            <w:shd w:val="clear" w:color="auto" w:fill="E6EFFF"/>
          </w:tcPr>
          <w:p>
            <w:pPr>
              <w:jc w:val="right"/>
              <w:ind w:right="246"/>
              <w:spacing w:after="0"/>
              <w:rPr>
                <w:sz w:val="20"/>
                <w:szCs w:val="20"/>
                <w:color w:val="auto"/>
              </w:rPr>
            </w:pPr>
            <w:r>
              <w:rPr>
                <w:rFonts w:ascii="Arial" w:cs="Arial" w:eastAsia="Arial" w:hAnsi="Arial"/>
                <w:sz w:val="15"/>
                <w:szCs w:val="15"/>
                <w:color w:val="auto"/>
              </w:rPr>
              <w:t>1.6</w:t>
            </w:r>
          </w:p>
        </w:tc>
        <w:tc>
          <w:tcPr>
            <w:tcW w:w="102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6.5</w:t>
            </w:r>
          </w:p>
        </w:tc>
      </w:tr>
      <w:tr>
        <w:trPr>
          <w:trHeight w:val="175"/>
        </w:trPr>
        <w:tc>
          <w:tcPr>
            <w:tcW w:w="3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8,941.5</w:t>
            </w:r>
          </w:p>
        </w:tc>
        <w:tc>
          <w:tcPr>
            <w:tcW w:w="11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9.9</w:t>
            </w: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3.1</w:t>
            </w: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6.8</w:t>
            </w:r>
          </w:p>
        </w:tc>
        <w:tc>
          <w:tcPr>
            <w:tcW w:w="12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1.3</w:t>
            </w:r>
          </w:p>
        </w:tc>
        <w:tc>
          <w:tcPr>
            <w:tcW w:w="1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5.5</w:t>
            </w:r>
          </w:p>
        </w:tc>
      </w:tr>
      <w:tr>
        <w:trPr>
          <w:trHeight w:val="176"/>
        </w:trPr>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Asia Pacific</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1,841.6</w:t>
            </w:r>
          </w:p>
        </w:tc>
        <w:tc>
          <w:tcPr>
            <w:tcW w:w="118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14.2</w:t>
            </w:r>
          </w:p>
        </w:tc>
        <w:tc>
          <w:tcPr>
            <w:tcW w:w="1020" w:type="dxa"/>
            <w:vAlign w:val="bottom"/>
            <w:shd w:val="clear" w:color="auto" w:fill="E6EFFF"/>
          </w:tcPr>
          <w:p>
            <w:pPr>
              <w:jc w:val="right"/>
              <w:ind w:right="186"/>
              <w:spacing w:after="0"/>
              <w:rPr>
                <w:sz w:val="20"/>
                <w:szCs w:val="20"/>
                <w:color w:val="auto"/>
              </w:rPr>
            </w:pPr>
            <w:r>
              <w:rPr>
                <w:rFonts w:ascii="Arial" w:cs="Arial" w:eastAsia="Arial" w:hAnsi="Arial"/>
                <w:sz w:val="15"/>
                <w:szCs w:val="15"/>
                <w:color w:val="auto"/>
              </w:rPr>
              <w:t>8.3</w:t>
            </w:r>
          </w:p>
        </w:tc>
        <w:tc>
          <w:tcPr>
            <w:tcW w:w="1120" w:type="dxa"/>
            <w:vAlign w:val="bottom"/>
            <w:shd w:val="clear" w:color="auto" w:fill="E6EFFF"/>
          </w:tcPr>
          <w:p>
            <w:pPr>
              <w:jc w:val="right"/>
              <w:ind w:right="186"/>
              <w:spacing w:after="0"/>
              <w:rPr>
                <w:sz w:val="20"/>
                <w:szCs w:val="20"/>
                <w:color w:val="auto"/>
              </w:rPr>
            </w:pPr>
            <w:r>
              <w:rPr>
                <w:rFonts w:ascii="Arial" w:cs="Arial" w:eastAsia="Arial" w:hAnsi="Arial"/>
                <w:sz w:val="15"/>
                <w:szCs w:val="15"/>
                <w:color w:val="auto"/>
              </w:rPr>
              <w:t>5.9</w:t>
            </w:r>
          </w:p>
        </w:tc>
        <w:tc>
          <w:tcPr>
            <w:tcW w:w="1220" w:type="dxa"/>
            <w:vAlign w:val="bottom"/>
            <w:shd w:val="clear" w:color="auto" w:fill="E6EFFF"/>
          </w:tcPr>
          <w:p>
            <w:pPr>
              <w:jc w:val="right"/>
              <w:ind w:right="246"/>
              <w:spacing w:after="0"/>
              <w:rPr>
                <w:sz w:val="20"/>
                <w:szCs w:val="20"/>
                <w:color w:val="auto"/>
              </w:rPr>
            </w:pPr>
            <w:r>
              <w:rPr>
                <w:rFonts w:ascii="Arial" w:cs="Arial" w:eastAsia="Arial" w:hAnsi="Arial"/>
                <w:sz w:val="15"/>
                <w:szCs w:val="15"/>
                <w:color w:val="auto"/>
              </w:rPr>
              <w:t>1.5</w:t>
            </w:r>
          </w:p>
        </w:tc>
        <w:tc>
          <w:tcPr>
            <w:tcW w:w="102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4.4</w:t>
            </w:r>
          </w:p>
        </w:tc>
      </w:tr>
      <w:tr>
        <w:trPr>
          <w:trHeight w:val="183"/>
        </w:trPr>
        <w:tc>
          <w:tcPr>
            <w:tcW w:w="3860" w:type="dxa"/>
            <w:vAlign w:val="bottom"/>
          </w:tcPr>
          <w:p>
            <w:pPr>
              <w:spacing w:after="0"/>
              <w:rPr>
                <w:sz w:val="20"/>
                <w:szCs w:val="20"/>
                <w:color w:val="auto"/>
              </w:rPr>
            </w:pPr>
            <w:r>
              <w:rPr>
                <w:rFonts w:ascii="Arial" w:cs="Arial" w:eastAsia="Arial" w:hAnsi="Arial"/>
                <w:sz w:val="15"/>
                <w:szCs w:val="15"/>
                <w:color w:val="auto"/>
              </w:rPr>
              <w:t>Right Management</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452.2</w:t>
            </w:r>
          </w:p>
        </w:tc>
        <w:tc>
          <w:tcPr>
            <w:tcW w:w="1180" w:type="dxa"/>
            <w:vAlign w:val="bottom"/>
          </w:tcPr>
          <w:p>
            <w:pPr>
              <w:jc w:val="right"/>
              <w:ind w:right="266"/>
              <w:spacing w:after="0"/>
              <w:rPr>
                <w:sz w:val="20"/>
                <w:szCs w:val="20"/>
                <w:color w:val="auto"/>
              </w:rPr>
            </w:pPr>
            <w:r>
              <w:rPr>
                <w:rFonts w:ascii="Arial" w:cs="Arial" w:eastAsia="Arial" w:hAnsi="Arial"/>
                <w:sz w:val="15"/>
                <w:szCs w:val="15"/>
                <w:color w:val="auto"/>
              </w:rPr>
              <w:t>9.7</w:t>
            </w:r>
          </w:p>
        </w:tc>
        <w:tc>
          <w:tcPr>
            <w:tcW w:w="1020" w:type="dxa"/>
            <w:vAlign w:val="bottom"/>
          </w:tcPr>
          <w:p>
            <w:pPr>
              <w:jc w:val="right"/>
              <w:ind w:right="186"/>
              <w:spacing w:after="0"/>
              <w:rPr>
                <w:sz w:val="20"/>
                <w:szCs w:val="20"/>
                <w:color w:val="auto"/>
              </w:rPr>
            </w:pPr>
            <w:r>
              <w:rPr>
                <w:rFonts w:ascii="Arial" w:cs="Arial" w:eastAsia="Arial" w:hAnsi="Arial"/>
                <w:sz w:val="15"/>
                <w:szCs w:val="15"/>
                <w:color w:val="auto"/>
              </w:rPr>
              <w:t>0.3</w:t>
            </w:r>
          </w:p>
        </w:tc>
        <w:tc>
          <w:tcPr>
            <w:tcW w:w="1120" w:type="dxa"/>
            <w:vAlign w:val="bottom"/>
          </w:tcPr>
          <w:p>
            <w:pPr>
              <w:jc w:val="right"/>
              <w:ind w:right="186"/>
              <w:spacing w:after="0"/>
              <w:rPr>
                <w:sz w:val="20"/>
                <w:szCs w:val="20"/>
                <w:color w:val="auto"/>
              </w:rPr>
            </w:pPr>
            <w:r>
              <w:rPr>
                <w:rFonts w:ascii="Arial" w:cs="Arial" w:eastAsia="Arial" w:hAnsi="Arial"/>
                <w:sz w:val="15"/>
                <w:szCs w:val="15"/>
                <w:color w:val="auto"/>
              </w:rPr>
              <w:t>9.4</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0.6</w:t>
            </w:r>
          </w:p>
        </w:tc>
        <w:tc>
          <w:tcPr>
            <w:tcW w:w="1020" w:type="dxa"/>
            <w:vAlign w:val="bottom"/>
          </w:tcPr>
          <w:p>
            <w:pPr>
              <w:jc w:val="right"/>
              <w:ind w:right="146"/>
              <w:spacing w:after="0"/>
              <w:rPr>
                <w:sz w:val="20"/>
                <w:szCs w:val="20"/>
                <w:color w:val="auto"/>
              </w:rPr>
            </w:pPr>
            <w:r>
              <w:rPr>
                <w:rFonts w:ascii="Arial" w:cs="Arial" w:eastAsia="Arial" w:hAnsi="Arial"/>
                <w:sz w:val="15"/>
                <w:szCs w:val="15"/>
                <w:color w:val="auto"/>
              </w:rPr>
              <w:t>8.8</w:t>
            </w:r>
          </w:p>
        </w:tc>
      </w:tr>
      <w:tr>
        <w:trPr>
          <w:trHeight w:val="184"/>
        </w:trPr>
        <w:tc>
          <w:tcPr>
            <w:tcW w:w="38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291.0</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(12.4)</w:t>
            </w:r>
          </w:p>
        </w:tc>
        <w:tc>
          <w:tcPr>
            <w:tcW w:w="10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E6EFFF"/>
          </w:tcPr>
          <w:p>
            <w:pPr>
              <w:jc w:val="right"/>
              <w:ind w:right="126"/>
              <w:spacing w:after="0"/>
              <w:rPr>
                <w:sz w:val="20"/>
                <w:szCs w:val="20"/>
                <w:color w:val="auto"/>
              </w:rPr>
            </w:pPr>
            <w:r>
              <w:rPr>
                <w:rFonts w:ascii="Arial" w:cs="Arial" w:eastAsia="Arial" w:hAnsi="Arial"/>
                <w:sz w:val="15"/>
                <w:szCs w:val="15"/>
                <w:color w:val="auto"/>
              </w:rPr>
              <w:t>(12.4)</w:t>
            </w:r>
          </w:p>
        </w:tc>
        <w:tc>
          <w:tcPr>
            <w:tcW w:w="1220" w:type="dxa"/>
            <w:vAlign w:val="bottom"/>
            <w:tcBorders>
              <w:bottom w:val="single" w:sz="8" w:color="auto"/>
            </w:tcBorders>
            <w:shd w:val="clear" w:color="auto" w:fill="E6EFFF"/>
          </w:tcPr>
          <w:p>
            <w:pPr>
              <w:jc w:val="right"/>
              <w:ind w:right="246"/>
              <w:spacing w:after="0"/>
              <w:rPr>
                <w:sz w:val="20"/>
                <w:szCs w:val="20"/>
                <w:color w:val="auto"/>
              </w:rPr>
            </w:pPr>
            <w:r>
              <w:rPr>
                <w:rFonts w:ascii="Arial" w:cs="Arial" w:eastAsia="Arial" w:hAnsi="Arial"/>
                <w:sz w:val="15"/>
                <w:szCs w:val="15"/>
                <w:color w:val="auto"/>
              </w:rPr>
              <w:t>0.2</w:t>
            </w:r>
          </w:p>
        </w:tc>
        <w:tc>
          <w:tcPr>
            <w:tcW w:w="102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(12.6)</w:t>
            </w:r>
          </w:p>
        </w:tc>
      </w:tr>
      <w:tr>
        <w:trPr>
          <w:trHeight w:val="179"/>
        </w:trPr>
        <w:tc>
          <w:tcPr>
            <w:tcW w:w="3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Manpower Inc.</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21,537.1</w:t>
            </w:r>
          </w:p>
        </w:tc>
        <w:tc>
          <w:tcPr>
            <w:tcW w:w="11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5.1%</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4.6%</w:t>
            </w: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0.5%</w:t>
            </w: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184"/>
        </w:trPr>
        <w:tc>
          <w:tcPr>
            <w:tcW w:w="386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Gross Profit – Manpower Inc.</w:t>
            </w:r>
          </w:p>
        </w:tc>
        <w:tc>
          <w:tcPr>
            <w:tcW w:w="9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4,086.9</w:t>
            </w:r>
          </w:p>
        </w:tc>
        <w:tc>
          <w:tcPr>
            <w:tcW w:w="11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6.6%</w:t>
            </w:r>
          </w:p>
        </w:tc>
        <w:tc>
          <w:tcPr>
            <w:tcW w:w="10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4.3%</w:t>
            </w:r>
          </w:p>
        </w:tc>
        <w:tc>
          <w:tcPr>
            <w:tcW w:w="11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2.3%</w:t>
            </w:r>
          </w:p>
        </w:tc>
        <w:tc>
          <w:tcPr>
            <w:tcW w:w="122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2.5%</w:t>
            </w:r>
          </w:p>
        </w:tc>
        <w:tc>
          <w:tcPr>
            <w:tcW w:w="10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(0.2)%</w:t>
            </w:r>
          </w:p>
        </w:tc>
      </w:tr>
      <w:tr>
        <w:trPr>
          <w:trHeight w:val="184"/>
        </w:trPr>
        <w:tc>
          <w:tcPr>
            <w:tcW w:w="3860" w:type="dxa"/>
            <w:vAlign w:val="bottom"/>
          </w:tcPr>
          <w:p>
            <w:pPr>
              <w:spacing w:after="0"/>
              <w:rPr>
                <w:sz w:val="20"/>
                <w:szCs w:val="20"/>
                <w:color w:val="auto"/>
              </w:rPr>
            </w:pPr>
            <w:r>
              <w:rPr>
                <w:rFonts w:ascii="Arial" w:cs="Arial" w:eastAsia="Arial" w:hAnsi="Arial"/>
                <w:sz w:val="15"/>
                <w:szCs w:val="15"/>
                <w:b w:val="1"/>
                <w:bCs w:val="1"/>
                <w:color w:val="939598"/>
              </w:rPr>
              <w:t>Operating Unit Profit (Loss)</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Americas:</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3"/>
        </w:trPr>
        <w:tc>
          <w:tcPr>
            <w:tcW w:w="3860" w:type="dxa"/>
            <w:vAlign w:val="bottom"/>
          </w:tcPr>
          <w:p>
            <w:pPr>
              <w:ind w:left="140"/>
              <w:spacing w:after="0"/>
              <w:rPr>
                <w:sz w:val="20"/>
                <w:szCs w:val="20"/>
                <w:color w:val="auto"/>
              </w:rPr>
            </w:pPr>
            <w:r>
              <w:rPr>
                <w:rFonts w:ascii="Arial" w:cs="Arial" w:eastAsia="Arial" w:hAnsi="Arial"/>
                <w:sz w:val="15"/>
                <w:szCs w:val="15"/>
                <w:color w:val="auto"/>
              </w:rPr>
              <w:t>United States</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32.2</w:t>
            </w:r>
          </w:p>
        </w:tc>
        <w:tc>
          <w:tcPr>
            <w:tcW w:w="1180" w:type="dxa"/>
            <w:vAlign w:val="bottom"/>
          </w:tcPr>
          <w:p>
            <w:pPr>
              <w:jc w:val="right"/>
              <w:ind w:right="86"/>
              <w:spacing w:after="0"/>
              <w:rPr>
                <w:sz w:val="20"/>
                <w:szCs w:val="20"/>
                <w:color w:val="auto"/>
              </w:rPr>
            </w:pPr>
            <w:r>
              <w:rPr>
                <w:rFonts w:ascii="Arial" w:cs="Arial" w:eastAsia="Arial" w:hAnsi="Arial"/>
                <w:sz w:val="15"/>
                <w:szCs w:val="15"/>
                <w:color w:val="auto"/>
              </w:rPr>
              <w:t>(59.8)%</w:t>
            </w: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(59.8)%</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2.9%</w:t>
            </w:r>
          </w:p>
        </w:tc>
        <w:tc>
          <w:tcPr>
            <w:tcW w:w="1020" w:type="dxa"/>
            <w:vAlign w:val="bottom"/>
          </w:tcPr>
          <w:p>
            <w:pPr>
              <w:jc w:val="right"/>
              <w:spacing w:after="0"/>
              <w:rPr>
                <w:sz w:val="20"/>
                <w:szCs w:val="20"/>
                <w:color w:val="auto"/>
              </w:rPr>
            </w:pPr>
            <w:r>
              <w:rPr>
                <w:rFonts w:ascii="Arial" w:cs="Arial" w:eastAsia="Arial" w:hAnsi="Arial"/>
                <w:sz w:val="15"/>
                <w:szCs w:val="15"/>
                <w:color w:val="auto"/>
              </w:rPr>
              <w:t>(62.7)%</w:t>
            </w:r>
          </w:p>
        </w:tc>
      </w:tr>
      <w:tr>
        <w:trPr>
          <w:trHeight w:val="184"/>
        </w:trPr>
        <w:tc>
          <w:tcPr>
            <w:tcW w:w="386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Other Americas</w:t>
            </w: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25.9</w:t>
            </w:r>
          </w:p>
        </w:tc>
        <w:tc>
          <w:tcPr>
            <w:tcW w:w="1180" w:type="dxa"/>
            <w:vAlign w:val="bottom"/>
            <w:tcBorders>
              <w:bottom w:val="single" w:sz="8" w:color="auto"/>
            </w:tcBorders>
            <w:shd w:val="clear" w:color="auto" w:fill="E6EFFF"/>
          </w:tcPr>
          <w:p>
            <w:pPr>
              <w:jc w:val="right"/>
              <w:ind w:right="226"/>
              <w:spacing w:after="0"/>
              <w:rPr>
                <w:sz w:val="20"/>
                <w:szCs w:val="20"/>
                <w:color w:val="auto"/>
              </w:rPr>
            </w:pPr>
            <w:r>
              <w:rPr>
                <w:rFonts w:ascii="Arial" w:cs="Arial" w:eastAsia="Arial" w:hAnsi="Arial"/>
                <w:sz w:val="15"/>
                <w:szCs w:val="15"/>
                <w:color w:val="auto"/>
              </w:rPr>
              <w:t>(20.7)</w:t>
            </w:r>
          </w:p>
        </w:tc>
        <w:tc>
          <w:tcPr>
            <w:tcW w:w="10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4.2</w:t>
            </w:r>
          </w:p>
        </w:tc>
        <w:tc>
          <w:tcPr>
            <w:tcW w:w="1120" w:type="dxa"/>
            <w:vAlign w:val="bottom"/>
            <w:tcBorders>
              <w:bottom w:val="single" w:sz="8" w:color="auto"/>
            </w:tcBorders>
            <w:shd w:val="clear" w:color="auto" w:fill="E6EFFF"/>
          </w:tcPr>
          <w:p>
            <w:pPr>
              <w:jc w:val="right"/>
              <w:ind w:right="126"/>
              <w:spacing w:after="0"/>
              <w:rPr>
                <w:sz w:val="20"/>
                <w:szCs w:val="20"/>
                <w:color w:val="auto"/>
              </w:rPr>
            </w:pPr>
            <w:r>
              <w:rPr>
                <w:rFonts w:ascii="Arial" w:cs="Arial" w:eastAsia="Arial" w:hAnsi="Arial"/>
                <w:sz w:val="15"/>
                <w:szCs w:val="15"/>
                <w:color w:val="auto"/>
              </w:rPr>
              <w:t>(24.9)</w:t>
            </w:r>
          </w:p>
        </w:tc>
        <w:tc>
          <w:tcPr>
            <w:tcW w:w="1220" w:type="dxa"/>
            <w:vAlign w:val="bottom"/>
            <w:tcBorders>
              <w:bottom w:val="single" w:sz="8" w:color="auto"/>
            </w:tcBorders>
            <w:shd w:val="clear" w:color="auto" w:fill="E6EFFF"/>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(24.9)</w:t>
            </w:r>
          </w:p>
        </w:tc>
      </w:tr>
      <w:tr>
        <w:trPr>
          <w:trHeight w:val="175"/>
        </w:trPr>
        <w:tc>
          <w:tcPr>
            <w:tcW w:w="3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58.1</w:t>
            </w: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(48.5)</w:t>
            </w: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1.2</w:t>
            </w:r>
          </w:p>
        </w:tc>
        <w:tc>
          <w:tcPr>
            <w:tcW w:w="11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(49.7)</w:t>
            </w:r>
          </w:p>
        </w:tc>
        <w:tc>
          <w:tcPr>
            <w:tcW w:w="12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2.1</w:t>
            </w: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(51.8)</w:t>
            </w:r>
          </w:p>
        </w:tc>
      </w:tr>
      <w:tr>
        <w:trPr>
          <w:trHeight w:val="176"/>
        </w:trPr>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France</w:t>
            </w:r>
          </w:p>
        </w:tc>
        <w:tc>
          <w:tcPr>
            <w:tcW w:w="94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299.0</w:t>
            </w:r>
          </w:p>
        </w:tc>
        <w:tc>
          <w:tcPr>
            <w:tcW w:w="1180" w:type="dxa"/>
            <w:vAlign w:val="bottom"/>
            <w:shd w:val="clear" w:color="auto" w:fill="E6EFFF"/>
          </w:tcPr>
          <w:p>
            <w:pPr>
              <w:jc w:val="right"/>
              <w:ind w:right="226"/>
              <w:spacing w:after="0"/>
              <w:rPr>
                <w:sz w:val="20"/>
                <w:szCs w:val="20"/>
                <w:color w:val="auto"/>
              </w:rPr>
            </w:pPr>
            <w:r>
              <w:rPr>
                <w:rFonts w:ascii="Arial" w:cs="Arial" w:eastAsia="Arial" w:hAnsi="Arial"/>
                <w:sz w:val="15"/>
                <w:szCs w:val="15"/>
                <w:color w:val="auto"/>
              </w:rPr>
              <w:t>(23.4)</w:t>
            </w:r>
          </w:p>
        </w:tc>
        <w:tc>
          <w:tcPr>
            <w:tcW w:w="1020" w:type="dxa"/>
            <w:vAlign w:val="bottom"/>
            <w:shd w:val="clear" w:color="auto" w:fill="E6EFFF"/>
          </w:tcPr>
          <w:p>
            <w:pPr>
              <w:jc w:val="right"/>
              <w:ind w:right="186"/>
              <w:spacing w:after="0"/>
              <w:rPr>
                <w:sz w:val="20"/>
                <w:szCs w:val="20"/>
                <w:color w:val="auto"/>
              </w:rPr>
            </w:pPr>
            <w:r>
              <w:rPr>
                <w:rFonts w:ascii="Arial" w:cs="Arial" w:eastAsia="Arial" w:hAnsi="Arial"/>
                <w:sz w:val="15"/>
                <w:szCs w:val="15"/>
                <w:color w:val="auto"/>
              </w:rPr>
              <w:t>3.5</w:t>
            </w:r>
          </w:p>
        </w:tc>
        <w:tc>
          <w:tcPr>
            <w:tcW w:w="112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(26.9)</w:t>
            </w:r>
          </w:p>
        </w:tc>
        <w:tc>
          <w:tcPr>
            <w:tcW w:w="1220" w:type="dxa"/>
            <w:vAlign w:val="bottom"/>
            <w:shd w:val="clear" w:color="auto" w:fill="E6EFFF"/>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(26.9)</w:t>
            </w:r>
          </w:p>
        </w:tc>
      </w:tr>
      <w:tr>
        <w:trPr>
          <w:trHeight w:val="183"/>
        </w:trPr>
        <w:tc>
          <w:tcPr>
            <w:tcW w:w="3860" w:type="dxa"/>
            <w:vAlign w:val="bottom"/>
          </w:tcPr>
          <w:p>
            <w:pPr>
              <w:spacing w:after="0"/>
              <w:rPr>
                <w:sz w:val="20"/>
                <w:szCs w:val="20"/>
                <w:color w:val="auto"/>
              </w:rPr>
            </w:pPr>
            <w:r>
              <w:rPr>
                <w:rFonts w:ascii="Arial" w:cs="Arial" w:eastAsia="Arial" w:hAnsi="Arial"/>
                <w:sz w:val="15"/>
                <w:szCs w:val="15"/>
                <w:color w:val="auto"/>
              </w:rPr>
              <w:t>EMEA:</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38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Italy</w:t>
            </w:r>
          </w:p>
        </w:tc>
        <w:tc>
          <w:tcPr>
            <w:tcW w:w="940" w:type="dxa"/>
            <w:vAlign w:val="bottom"/>
            <w:shd w:val="clear" w:color="auto" w:fill="E6EFFF"/>
          </w:tcPr>
          <w:p>
            <w:pPr>
              <w:spacing w:after="0"/>
              <w:rPr>
                <w:sz w:val="16"/>
                <w:szCs w:val="16"/>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120.3</w:t>
            </w:r>
          </w:p>
        </w:tc>
        <w:tc>
          <w:tcPr>
            <w:tcW w:w="118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16.0</w:t>
            </w:r>
          </w:p>
        </w:tc>
        <w:tc>
          <w:tcPr>
            <w:tcW w:w="1020" w:type="dxa"/>
            <w:vAlign w:val="bottom"/>
            <w:shd w:val="clear" w:color="auto" w:fill="E6EFFF"/>
          </w:tcPr>
          <w:p>
            <w:pPr>
              <w:jc w:val="right"/>
              <w:ind w:right="186"/>
              <w:spacing w:after="0"/>
              <w:rPr>
                <w:sz w:val="20"/>
                <w:szCs w:val="20"/>
                <w:color w:val="auto"/>
              </w:rPr>
            </w:pPr>
            <w:r>
              <w:rPr>
                <w:rFonts w:ascii="Arial" w:cs="Arial" w:eastAsia="Arial" w:hAnsi="Arial"/>
                <w:sz w:val="15"/>
                <w:szCs w:val="15"/>
                <w:color w:val="auto"/>
              </w:rPr>
              <w:t>8.7</w:t>
            </w:r>
          </w:p>
        </w:tc>
        <w:tc>
          <w:tcPr>
            <w:tcW w:w="1120" w:type="dxa"/>
            <w:vAlign w:val="bottom"/>
            <w:shd w:val="clear" w:color="auto" w:fill="E6EFFF"/>
          </w:tcPr>
          <w:p>
            <w:pPr>
              <w:jc w:val="right"/>
              <w:ind w:right="186"/>
              <w:spacing w:after="0"/>
              <w:rPr>
                <w:sz w:val="20"/>
                <w:szCs w:val="20"/>
                <w:color w:val="auto"/>
              </w:rPr>
            </w:pPr>
            <w:r>
              <w:rPr>
                <w:rFonts w:ascii="Arial" w:cs="Arial" w:eastAsia="Arial" w:hAnsi="Arial"/>
                <w:sz w:val="15"/>
                <w:szCs w:val="15"/>
                <w:color w:val="auto"/>
              </w:rPr>
              <w:t>7.3</w:t>
            </w:r>
          </w:p>
        </w:tc>
        <w:tc>
          <w:tcPr>
            <w:tcW w:w="1220" w:type="dxa"/>
            <w:vAlign w:val="bottom"/>
            <w:shd w:val="clear" w:color="auto" w:fill="E6EFFF"/>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7.3</w:t>
            </w:r>
          </w:p>
        </w:tc>
      </w:tr>
      <w:tr>
        <w:trPr>
          <w:trHeight w:val="183"/>
        </w:trPr>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EMEA</w:t>
            </w: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233.8</w:t>
            </w: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(3.6)</w:t>
            </w: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3.7</w:t>
            </w:r>
          </w:p>
        </w:tc>
        <w:tc>
          <w:tcPr>
            <w:tcW w:w="11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(7.3)</w:t>
            </w:r>
          </w:p>
        </w:tc>
        <w:tc>
          <w:tcPr>
            <w:tcW w:w="12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3.4</w:t>
            </w: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(10.7)</w:t>
            </w:r>
          </w:p>
        </w:tc>
      </w:tr>
      <w:tr>
        <w:trPr>
          <w:trHeight w:val="175"/>
        </w:trPr>
        <w:tc>
          <w:tcPr>
            <w:tcW w:w="386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354.1</w:t>
            </w:r>
          </w:p>
        </w:tc>
        <w:tc>
          <w:tcPr>
            <w:tcW w:w="1180" w:type="dxa"/>
            <w:vAlign w:val="bottom"/>
            <w:tcBorders>
              <w:bottom w:val="single" w:sz="8" w:color="auto"/>
            </w:tcBorders>
            <w:shd w:val="clear" w:color="auto" w:fill="E6EFFF"/>
          </w:tcPr>
          <w:p>
            <w:pPr>
              <w:jc w:val="right"/>
              <w:ind w:right="266"/>
              <w:spacing w:after="0"/>
              <w:rPr>
                <w:sz w:val="20"/>
                <w:szCs w:val="20"/>
                <w:color w:val="auto"/>
              </w:rPr>
            </w:pPr>
            <w:r>
              <w:rPr>
                <w:rFonts w:ascii="Arial" w:cs="Arial" w:eastAsia="Arial" w:hAnsi="Arial"/>
                <w:sz w:val="15"/>
                <w:szCs w:val="15"/>
                <w:color w:val="auto"/>
              </w:rPr>
              <w:t>2.3</w:t>
            </w:r>
          </w:p>
        </w:tc>
        <w:tc>
          <w:tcPr>
            <w:tcW w:w="1020" w:type="dxa"/>
            <w:vAlign w:val="bottom"/>
            <w:tcBorders>
              <w:bottom w:val="single" w:sz="8" w:color="auto"/>
            </w:tcBorders>
            <w:shd w:val="clear" w:color="auto" w:fill="E6EFFF"/>
          </w:tcPr>
          <w:p>
            <w:pPr>
              <w:jc w:val="right"/>
              <w:ind w:right="186"/>
              <w:spacing w:after="0"/>
              <w:rPr>
                <w:sz w:val="20"/>
                <w:szCs w:val="20"/>
                <w:color w:val="auto"/>
              </w:rPr>
            </w:pPr>
            <w:r>
              <w:rPr>
                <w:rFonts w:ascii="Arial" w:cs="Arial" w:eastAsia="Arial" w:hAnsi="Arial"/>
                <w:sz w:val="15"/>
                <w:szCs w:val="15"/>
                <w:color w:val="auto"/>
              </w:rPr>
              <w:t>5.3</w:t>
            </w:r>
          </w:p>
        </w:tc>
        <w:tc>
          <w:tcPr>
            <w:tcW w:w="1120" w:type="dxa"/>
            <w:vAlign w:val="bottom"/>
            <w:tcBorders>
              <w:bottom w:val="single" w:sz="8" w:color="auto"/>
            </w:tcBorders>
            <w:shd w:val="clear" w:color="auto" w:fill="E6EFFF"/>
          </w:tcPr>
          <w:p>
            <w:pPr>
              <w:jc w:val="right"/>
              <w:ind w:right="126"/>
              <w:spacing w:after="0"/>
              <w:rPr>
                <w:sz w:val="20"/>
                <w:szCs w:val="20"/>
                <w:color w:val="auto"/>
              </w:rPr>
            </w:pPr>
            <w:r>
              <w:rPr>
                <w:rFonts w:ascii="Arial" w:cs="Arial" w:eastAsia="Arial" w:hAnsi="Arial"/>
                <w:sz w:val="15"/>
                <w:szCs w:val="15"/>
                <w:color w:val="auto"/>
              </w:rPr>
              <w:t>(3.0)</w:t>
            </w:r>
          </w:p>
        </w:tc>
        <w:tc>
          <w:tcPr>
            <w:tcW w:w="1220" w:type="dxa"/>
            <w:vAlign w:val="bottom"/>
            <w:tcBorders>
              <w:bottom w:val="single" w:sz="8" w:color="auto"/>
            </w:tcBorders>
            <w:shd w:val="clear" w:color="auto" w:fill="E6EFFF"/>
          </w:tcPr>
          <w:p>
            <w:pPr>
              <w:jc w:val="right"/>
              <w:ind w:right="246"/>
              <w:spacing w:after="0"/>
              <w:rPr>
                <w:sz w:val="20"/>
                <w:szCs w:val="20"/>
                <w:color w:val="auto"/>
              </w:rPr>
            </w:pPr>
            <w:r>
              <w:rPr>
                <w:rFonts w:ascii="Arial" w:cs="Arial" w:eastAsia="Arial" w:hAnsi="Arial"/>
                <w:sz w:val="15"/>
                <w:szCs w:val="15"/>
                <w:color w:val="auto"/>
              </w:rPr>
              <w:t>2.3</w:t>
            </w:r>
          </w:p>
        </w:tc>
        <w:tc>
          <w:tcPr>
            <w:tcW w:w="102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(5.3)</w:t>
            </w:r>
          </w:p>
        </w:tc>
      </w:tr>
      <w:tr>
        <w:trPr>
          <w:trHeight w:val="175"/>
        </w:trPr>
        <w:tc>
          <w:tcPr>
            <w:tcW w:w="3860" w:type="dxa"/>
            <w:vAlign w:val="bottom"/>
          </w:tcPr>
          <w:p>
            <w:pPr>
              <w:spacing w:after="0"/>
              <w:rPr>
                <w:sz w:val="20"/>
                <w:szCs w:val="20"/>
                <w:color w:val="auto"/>
              </w:rPr>
            </w:pPr>
            <w:r>
              <w:rPr>
                <w:rFonts w:ascii="Arial" w:cs="Arial" w:eastAsia="Arial" w:hAnsi="Arial"/>
                <w:sz w:val="15"/>
                <w:szCs w:val="15"/>
                <w:color w:val="auto"/>
              </w:rPr>
              <w:t>Asia Pacific</w:t>
            </w:r>
          </w:p>
        </w:tc>
        <w:tc>
          <w:tcPr>
            <w:tcW w:w="940" w:type="dxa"/>
            <w:vAlign w:val="bottom"/>
          </w:tcPr>
          <w:p>
            <w:pPr>
              <w:spacing w:after="0"/>
              <w:rPr>
                <w:sz w:val="15"/>
                <w:szCs w:val="15"/>
                <w:color w:val="auto"/>
              </w:rPr>
            </w:pP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29.2</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(29.5)</w:t>
            </w:r>
          </w:p>
        </w:tc>
        <w:tc>
          <w:tcPr>
            <w:tcW w:w="1020" w:type="dxa"/>
            <w:vAlign w:val="bottom"/>
          </w:tcPr>
          <w:p>
            <w:pPr>
              <w:jc w:val="right"/>
              <w:ind w:right="186"/>
              <w:spacing w:after="0"/>
              <w:rPr>
                <w:sz w:val="20"/>
                <w:szCs w:val="20"/>
                <w:color w:val="auto"/>
              </w:rPr>
            </w:pPr>
            <w:r>
              <w:rPr>
                <w:rFonts w:ascii="Arial" w:cs="Arial" w:eastAsia="Arial" w:hAnsi="Arial"/>
                <w:sz w:val="15"/>
                <w:szCs w:val="15"/>
                <w:color w:val="auto"/>
              </w:rPr>
              <w:t>11.8</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(41.3)</w:t>
            </w: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(11.2)</w:t>
            </w:r>
          </w:p>
        </w:tc>
        <w:tc>
          <w:tcPr>
            <w:tcW w:w="1020" w:type="dxa"/>
            <w:vAlign w:val="bottom"/>
          </w:tcPr>
          <w:p>
            <w:pPr>
              <w:jc w:val="right"/>
              <w:ind w:right="106"/>
              <w:spacing w:after="0"/>
              <w:rPr>
                <w:sz w:val="20"/>
                <w:szCs w:val="20"/>
                <w:color w:val="auto"/>
              </w:rPr>
            </w:pPr>
            <w:r>
              <w:rPr>
                <w:rFonts w:ascii="Arial" w:cs="Arial" w:eastAsia="Arial" w:hAnsi="Arial"/>
                <w:sz w:val="15"/>
                <w:szCs w:val="15"/>
                <w:color w:val="auto"/>
              </w:rPr>
              <w:t>(30.1)</w:t>
            </w:r>
          </w:p>
        </w:tc>
      </w:tr>
      <w:tr>
        <w:trPr>
          <w:trHeight w:val="185"/>
        </w:trPr>
        <w:tc>
          <w:tcPr>
            <w:tcW w:w="3860" w:type="dxa"/>
            <w:vAlign w:val="bottom"/>
            <w:shd w:val="clear" w:color="auto" w:fill="E6EFFF"/>
          </w:tcPr>
          <w:p>
            <w:pPr>
              <w:spacing w:after="0"/>
              <w:rPr>
                <w:sz w:val="20"/>
                <w:szCs w:val="20"/>
                <w:color w:val="auto"/>
              </w:rPr>
            </w:pPr>
            <w:r>
              <w:rPr>
                <w:rFonts w:ascii="Arial" w:cs="Arial" w:eastAsia="Arial" w:hAnsi="Arial"/>
                <w:sz w:val="15"/>
                <w:szCs w:val="15"/>
                <w:color w:val="auto"/>
              </w:rPr>
              <w:t>Right Management</w:t>
            </w:r>
          </w:p>
        </w:tc>
        <w:tc>
          <w:tcPr>
            <w:tcW w:w="940" w:type="dxa"/>
            <w:vAlign w:val="bottom"/>
            <w:shd w:val="clear" w:color="auto" w:fill="E6EFFF"/>
          </w:tcPr>
          <w:p>
            <w:pPr>
              <w:spacing w:after="0"/>
              <w:rPr>
                <w:sz w:val="16"/>
                <w:szCs w:val="16"/>
                <w:color w:val="auto"/>
              </w:rPr>
            </w:pPr>
          </w:p>
        </w:tc>
        <w:tc>
          <w:tcPr>
            <w:tcW w:w="1080" w:type="dxa"/>
            <w:vAlign w:val="bottom"/>
            <w:shd w:val="clear" w:color="auto" w:fill="E6EFFF"/>
          </w:tcPr>
          <w:p>
            <w:pPr>
              <w:jc w:val="right"/>
              <w:ind w:right="206"/>
              <w:spacing w:after="0"/>
              <w:rPr>
                <w:sz w:val="20"/>
                <w:szCs w:val="20"/>
                <w:color w:val="auto"/>
              </w:rPr>
            </w:pPr>
            <w:r>
              <w:rPr>
                <w:rFonts w:ascii="Arial" w:cs="Arial" w:eastAsia="Arial" w:hAnsi="Arial"/>
                <w:sz w:val="15"/>
                <w:szCs w:val="15"/>
                <w:color w:val="auto"/>
              </w:rPr>
              <w:t>44.7</w:t>
            </w:r>
          </w:p>
        </w:tc>
        <w:tc>
          <w:tcPr>
            <w:tcW w:w="1180" w:type="dxa"/>
            <w:vAlign w:val="bottom"/>
            <w:shd w:val="clear" w:color="auto" w:fill="E6EFFF"/>
          </w:tcPr>
          <w:p>
            <w:pPr>
              <w:jc w:val="right"/>
              <w:ind w:right="266"/>
              <w:spacing w:after="0"/>
              <w:rPr>
                <w:sz w:val="20"/>
                <w:szCs w:val="20"/>
                <w:color w:val="auto"/>
              </w:rPr>
            </w:pPr>
            <w:r>
              <w:rPr>
                <w:rFonts w:ascii="Arial" w:cs="Arial" w:eastAsia="Arial" w:hAnsi="Arial"/>
                <w:sz w:val="15"/>
                <w:szCs w:val="15"/>
                <w:color w:val="auto"/>
              </w:rPr>
              <w:t>28.2</w:t>
            </w:r>
          </w:p>
        </w:tc>
        <w:tc>
          <w:tcPr>
            <w:tcW w:w="102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(1.1)</w:t>
            </w:r>
          </w:p>
        </w:tc>
        <w:tc>
          <w:tcPr>
            <w:tcW w:w="1120" w:type="dxa"/>
            <w:vAlign w:val="bottom"/>
            <w:shd w:val="clear" w:color="auto" w:fill="E6EFFF"/>
          </w:tcPr>
          <w:p>
            <w:pPr>
              <w:jc w:val="right"/>
              <w:ind w:right="186"/>
              <w:spacing w:after="0"/>
              <w:rPr>
                <w:sz w:val="20"/>
                <w:szCs w:val="20"/>
                <w:color w:val="auto"/>
              </w:rPr>
            </w:pPr>
            <w:r>
              <w:rPr>
                <w:rFonts w:ascii="Arial" w:cs="Arial" w:eastAsia="Arial" w:hAnsi="Arial"/>
                <w:sz w:val="15"/>
                <w:szCs w:val="15"/>
                <w:color w:val="auto"/>
              </w:rPr>
              <w:t>29.3</w:t>
            </w:r>
          </w:p>
        </w:tc>
        <w:tc>
          <w:tcPr>
            <w:tcW w:w="1220" w:type="dxa"/>
            <w:vAlign w:val="bottom"/>
            <w:shd w:val="clear" w:color="auto" w:fill="E6EFFF"/>
          </w:tcPr>
          <w:p>
            <w:pPr>
              <w:jc w:val="right"/>
              <w:ind w:right="246"/>
              <w:spacing w:after="0"/>
              <w:rPr>
                <w:sz w:val="20"/>
                <w:szCs w:val="20"/>
                <w:color w:val="auto"/>
              </w:rPr>
            </w:pPr>
            <w:r>
              <w:rPr>
                <w:rFonts w:ascii="Arial" w:cs="Arial" w:eastAsia="Arial" w:hAnsi="Arial"/>
                <w:sz w:val="15"/>
                <w:szCs w:val="15"/>
                <w:color w:val="auto"/>
              </w:rPr>
              <w:t>1.6</w:t>
            </w:r>
          </w:p>
        </w:tc>
        <w:tc>
          <w:tcPr>
            <w:tcW w:w="102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27.7</w:t>
            </w:r>
          </w:p>
        </w:tc>
      </w:tr>
      <w:tr>
        <w:trPr>
          <w:trHeight w:val="183"/>
        </w:trPr>
        <w:tc>
          <w:tcPr>
            <w:tcW w:w="3860" w:type="dxa"/>
            <w:vAlign w:val="bottom"/>
          </w:tcPr>
          <w:p>
            <w:pPr>
              <w:spacing w:after="0"/>
              <w:rPr>
                <w:sz w:val="20"/>
                <w:szCs w:val="20"/>
                <w:color w:val="auto"/>
              </w:rPr>
            </w:pPr>
            <w:r>
              <w:rPr>
                <w:rFonts w:ascii="Arial" w:cs="Arial" w:eastAsia="Arial" w:hAnsi="Arial"/>
                <w:sz w:val="15"/>
                <w:szCs w:val="15"/>
                <w:color w:val="auto"/>
              </w:rPr>
              <w:t>Jefferson Wells</w:t>
            </w:r>
          </w:p>
        </w:tc>
        <w:tc>
          <w:tcPr>
            <w:tcW w:w="940" w:type="dxa"/>
            <w:vAlign w:val="bottom"/>
          </w:tcPr>
          <w:p>
            <w:pPr>
              <w:spacing w:after="0"/>
              <w:rPr>
                <w:sz w:val="15"/>
                <w:szCs w:val="15"/>
                <w:color w:val="auto"/>
              </w:rPr>
            </w:pPr>
          </w:p>
        </w:tc>
        <w:tc>
          <w:tcPr>
            <w:tcW w:w="1080" w:type="dxa"/>
            <w:vAlign w:val="bottom"/>
          </w:tcPr>
          <w:p>
            <w:pPr>
              <w:jc w:val="right"/>
              <w:ind w:right="166"/>
              <w:spacing w:after="0"/>
              <w:rPr>
                <w:sz w:val="20"/>
                <w:szCs w:val="20"/>
                <w:color w:val="auto"/>
              </w:rPr>
            </w:pPr>
            <w:r>
              <w:rPr>
                <w:rFonts w:ascii="Arial" w:cs="Arial" w:eastAsia="Arial" w:hAnsi="Arial"/>
                <w:sz w:val="15"/>
                <w:szCs w:val="15"/>
                <w:color w:val="auto"/>
              </w:rPr>
              <w:t>(19.6)</w:t>
            </w:r>
          </w:p>
        </w:tc>
        <w:tc>
          <w:tcPr>
            <w:tcW w:w="1180" w:type="dxa"/>
            <w:vAlign w:val="bottom"/>
          </w:tcPr>
          <w:p>
            <w:pPr>
              <w:jc w:val="right"/>
              <w:ind w:right="226"/>
              <w:spacing w:after="0"/>
              <w:rPr>
                <w:sz w:val="20"/>
                <w:szCs w:val="20"/>
                <w:color w:val="auto"/>
              </w:rPr>
            </w:pPr>
            <w:r>
              <w:rPr>
                <w:rFonts w:ascii="Arial" w:cs="Arial" w:eastAsia="Arial" w:hAnsi="Arial"/>
                <w:sz w:val="15"/>
                <w:szCs w:val="15"/>
                <w:color w:val="auto"/>
              </w:rPr>
              <w:t>(278.2)</w:t>
            </w:r>
          </w:p>
        </w:tc>
        <w:tc>
          <w:tcPr>
            <w:tcW w:w="10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(278.2)</w:t>
            </w: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(5.1)</w:t>
            </w:r>
          </w:p>
        </w:tc>
        <w:tc>
          <w:tcPr>
            <w:tcW w:w="1020" w:type="dxa"/>
            <w:vAlign w:val="bottom"/>
          </w:tcPr>
          <w:p>
            <w:pPr>
              <w:jc w:val="right"/>
              <w:ind w:right="106"/>
              <w:spacing w:after="0"/>
              <w:rPr>
                <w:sz w:val="20"/>
                <w:szCs w:val="20"/>
                <w:color w:val="auto"/>
              </w:rPr>
            </w:pPr>
            <w:r>
              <w:rPr>
                <w:rFonts w:ascii="Arial" w:cs="Arial" w:eastAsia="Arial" w:hAnsi="Arial"/>
                <w:sz w:val="15"/>
                <w:szCs w:val="15"/>
                <w:color w:val="auto"/>
              </w:rPr>
              <w:t>(273.1)</w:t>
            </w:r>
          </w:p>
        </w:tc>
      </w:tr>
      <w:tr>
        <w:trPr>
          <w:trHeight w:val="188"/>
        </w:trPr>
        <w:tc>
          <w:tcPr>
            <w:tcW w:w="38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b w:val="1"/>
                <w:bCs w:val="1"/>
                <w:color w:val="939598"/>
              </w:rPr>
              <w:t>Operating Profit – Manpower Inc.</w:t>
            </w:r>
          </w:p>
        </w:tc>
        <w:tc>
          <w:tcPr>
            <w:tcW w:w="940" w:type="dxa"/>
            <w:vAlign w:val="bottom"/>
            <w:tcBorders>
              <w:bottom w:val="single" w:sz="8" w:color="auto"/>
            </w:tcBorders>
            <w:shd w:val="clear" w:color="auto" w:fill="E6EFFF"/>
          </w:tcPr>
          <w:p>
            <w:pPr>
              <w:spacing w:after="0"/>
              <w:rPr>
                <w:sz w:val="16"/>
                <w:szCs w:val="16"/>
                <w:color w:val="auto"/>
              </w:rPr>
            </w:pPr>
          </w:p>
        </w:tc>
        <w:tc>
          <w:tcPr>
            <w:tcW w:w="1080" w:type="dxa"/>
            <w:vAlign w:val="bottom"/>
            <w:tcBorders>
              <w:bottom w:val="single" w:sz="8" w:color="auto"/>
            </w:tcBorders>
            <w:shd w:val="clear" w:color="auto" w:fill="E6EFFF"/>
          </w:tcPr>
          <w:p>
            <w:pPr>
              <w:jc w:val="right"/>
              <w:ind w:right="206"/>
              <w:spacing w:after="0"/>
              <w:rPr>
                <w:sz w:val="20"/>
                <w:szCs w:val="20"/>
                <w:color w:val="auto"/>
              </w:rPr>
            </w:pPr>
            <w:r>
              <w:rPr>
                <w:rFonts w:ascii="Arial" w:cs="Arial" w:eastAsia="Arial" w:hAnsi="Arial"/>
                <w:sz w:val="15"/>
                <w:szCs w:val="15"/>
                <w:color w:val="auto"/>
              </w:rPr>
              <w:t>493.5</w:t>
            </w:r>
          </w:p>
        </w:tc>
        <w:tc>
          <w:tcPr>
            <w:tcW w:w="1180" w:type="dxa"/>
            <w:vAlign w:val="bottom"/>
            <w:tcBorders>
              <w:bottom w:val="single" w:sz="8" w:color="auto"/>
            </w:tcBorders>
            <w:shd w:val="clear" w:color="auto" w:fill="E6EFFF"/>
          </w:tcPr>
          <w:p>
            <w:pPr>
              <w:jc w:val="right"/>
              <w:ind w:right="86"/>
              <w:spacing w:after="0"/>
              <w:rPr>
                <w:sz w:val="20"/>
                <w:szCs w:val="20"/>
                <w:color w:val="auto"/>
              </w:rPr>
            </w:pPr>
            <w:r>
              <w:rPr>
                <w:rFonts w:ascii="Arial" w:cs="Arial" w:eastAsia="Arial" w:hAnsi="Arial"/>
                <w:sz w:val="15"/>
                <w:szCs w:val="15"/>
                <w:color w:val="auto"/>
              </w:rPr>
              <w:t>(39.2)%</w:t>
            </w:r>
          </w:p>
        </w:tc>
        <w:tc>
          <w:tcPr>
            <w:tcW w:w="1020" w:type="dxa"/>
            <w:vAlign w:val="bottom"/>
            <w:tcBorders>
              <w:bottom w:val="single" w:sz="8" w:color="auto"/>
            </w:tcBorders>
            <w:shd w:val="clear" w:color="auto" w:fill="E6EFFF"/>
          </w:tcPr>
          <w:p>
            <w:pPr>
              <w:jc w:val="right"/>
              <w:ind w:right="46"/>
              <w:spacing w:after="0"/>
              <w:rPr>
                <w:sz w:val="20"/>
                <w:szCs w:val="20"/>
                <w:color w:val="auto"/>
              </w:rPr>
            </w:pPr>
            <w:r>
              <w:rPr>
                <w:rFonts w:ascii="Arial" w:cs="Arial" w:eastAsia="Arial" w:hAnsi="Arial"/>
                <w:sz w:val="15"/>
                <w:szCs w:val="15"/>
                <w:color w:val="auto"/>
              </w:rPr>
              <w:t>4.6%</w:t>
            </w:r>
          </w:p>
        </w:tc>
        <w:tc>
          <w:tcPr>
            <w:tcW w:w="1120" w:type="dxa"/>
            <w:vAlign w:val="bottom"/>
            <w:tcBorders>
              <w:bottom w:val="single" w:sz="8" w:color="auto"/>
            </w:tcBorders>
            <w:shd w:val="clear" w:color="auto" w:fill="E6EFFF"/>
          </w:tcPr>
          <w:p>
            <w:pPr>
              <w:jc w:val="right"/>
              <w:ind w:right="6"/>
              <w:spacing w:after="0"/>
              <w:rPr>
                <w:sz w:val="20"/>
                <w:szCs w:val="20"/>
                <w:color w:val="auto"/>
              </w:rPr>
            </w:pPr>
            <w:r>
              <w:rPr>
                <w:rFonts w:ascii="Arial" w:cs="Arial" w:eastAsia="Arial" w:hAnsi="Arial"/>
                <w:sz w:val="15"/>
                <w:szCs w:val="15"/>
                <w:color w:val="auto"/>
              </w:rPr>
              <w:t>(43.8)%</w:t>
            </w:r>
          </w:p>
        </w:tc>
        <w:tc>
          <w:tcPr>
            <w:tcW w:w="122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0.8%</w:t>
            </w: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(44.6)%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4D8ABE"/>
        </w:rPr>
        <w:t>Cash Sources And Uses</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Cash used to fund our operations is primarily generated through operating activities and our existing credit facilities. We believe that our available cash and our existing credit facilities are sufficient to cover our future cash needs for the forseeable future. We assess and monitor our liquidity and capital resources globally. We use a global cash pooling arrangement, intercompany lending, and some local credit lines to meet funding needs and allocate our capital resources among our various entities. We anticipate cash repatriations to the United States from certain international subsidiaries and have provided for deferred taxes related to those foreign earnings not considered to be permanently invested. As of December 31, 2009 we have identified approximately $580.7 million of non-U.S. funds that will likely be repatriated, the majority of which is related to Manpower France. We may repatriate additional funds in the future as cash needs arise.</w:t>
      </w:r>
    </w:p>
    <w:p>
      <w:pPr>
        <w:spacing w:after="0" w:line="202"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Our principal ongoing cash needs are to finance working capital, capital expenditures, debt payments, interest expense, share repurchases, dividends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During 2009, cash provided by operating activities was $414.3 million, compared to $792.0 million for 2008 and $432.2 million for 2007. The decrease in 2009 from 2008 is primarily attributable to the lower operating earnings. The increase in 2008 from 2007 was primarily due to the change in working capital, as accounts receivable declined significantly in the fourth quarter of 2008 as a result of a decrease in business volumes.</w:t>
      </w:r>
    </w:p>
    <w:p>
      <w:pPr>
        <w:spacing w:after="0" w:line="181"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28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64" w:name="page65"/>
    <w:bookmarkEnd w:id="64"/>
    <w:p>
      <w:pPr>
        <w:jc w:val="both"/>
        <w:spacing w:after="0" w:line="241" w:lineRule="auto"/>
        <w:rPr>
          <w:sz w:val="20"/>
          <w:szCs w:val="20"/>
          <w:color w:val="auto"/>
        </w:rPr>
      </w:pPr>
      <w:r>
        <w:rPr>
          <w:rFonts w:ascii="Arial" w:cs="Arial" w:eastAsia="Arial" w:hAnsi="Arial"/>
          <w:sz w:val="15"/>
          <w:szCs w:val="15"/>
          <w:color w:val="auto"/>
        </w:rPr>
        <w:t>Accounts Receivable decreased to $3,070.8 million as of December 31, 2009 from $3,629.7 million as of December 31, 2008. This decrease is due primarily to decreased business volumes and a lower DSO (Days Sales Outstanding) offset by changes in foreign currency exchange rates. As business volumes decline, we receive payment on accounts receivable but do not add new accounts receivable at the same rate. In addition, our DSO for the fourth quarter of 2009 improved by seven days compared to the fourth quarter of 2008. This improvement resulted from a law change in France as well as DSO reductions in a number of countries, as we have focused on accounts receivable collections in the current economic environment. The French law change was effective January 1, 2009 and requires all invoices in France to be paid within 60 days. At December 31, 2009, this had a six day favorable impact on our overall DSO compared to the prior year. At constant exchange rates, the Accounts Receivable balance at December 31, 2009 would have been approximately $131.5 million lower than reported.</w:t>
      </w:r>
    </w:p>
    <w:p>
      <w:pPr>
        <w:spacing w:after="0" w:line="201"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In addition to the cyclical factors impacting our cash flow and the improvements in accounts receivable, working capital was also impacted by our transition of our temporary staff in France from a weekly payroll to a monthly payroll. This change had an $85.0 million favorable impact on our working capital needs as the transition was implemented during the first half of 2009.</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Offsetting these working capital reductions was the unfavorable impact of the €42.0 million ($55.6 million) competition investigation fine in France, which was paid in April of 2009.</w:t>
      </w:r>
    </w:p>
    <w:p>
      <w:pPr>
        <w:spacing w:after="0" w:line="173"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Capital expenditures were $35.1 million, $93.1 million and $91.6 million during 2009, 2008 and 2007, respectively. These expenditures were primarily comprised of purchases of computer equipment, office furniture and other costs related to office openings and refurbishments, as well as capitalized software costs of $2.0 million, $6.3 million and $7.5 million in 2009, 2008 and 2007, respectively.</w:t>
      </w:r>
    </w:p>
    <w:p>
      <w:pPr>
        <w:spacing w:after="0" w:line="198"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From time to time, we acquire and invest in companies throughout the world, including franchises. The total cash consideration paid for acquisitions, net of cash acquired, was $21.6 million, $242.0 million and $122.8 million in 2009, 2008 and 2007, respectively. Goodwill and intangible assets resulting from these 2009 acquisitions were $15.9 million and $3.8 million, respectively, as of December 31, 2009.</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April 2008, we acquired Vitae, a leading professional placement firm in the Netherlands, for total consideration, net of cash acquired, of $114.7 million (€72.6 million). Goodwill and intangible assets related to this transaction were $87.6 million and $15.9 million, respectively, as of December 31, 2009 and $85.4 million and $23.6 million, respectively, as of December 31, 2008.</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In September 2009, we sold an equity investment in Japan for cash proceeds of $13.3 million.</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February 2010, we entered into an agreement to acquire COMSYS IT Partners, Inc., a leading professional staffing firm. Subject to the terms of the agreement, the value of the consideration of each outstanding share of COMSYS common stock would be $17.65, for a total enterprise value of $431.0 million, including net debt retired by us at closing. The consideration is expected to be approximately 50% Manpower common stock and approximately 50% cash, unless we elect to pay all cash. This acquisition is expected to close in the second quarter of 2010.</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Repayments of debt were $227.4 million for 2009 compared to borrowings of $79.0 million and $4.9 million for 2008 and 2007, respectively. We use excess cash to pay down borrowings under various facilities when appropriate.</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In August 2007 and October 2006, the Board of Directors authorized the repurchase of 5.0 million shares of our common stock, not to exceed a total purchase price of $400.0 million and $325.0 million,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repurchased 2.2 million and 1.7 million shares of common stock at a total cost of $112.2 million and $105.7 million during 2008 and 2007, respectively. No shares were repurchased in 2009. There are 1.1 million shares, at a cost of up to $182.1 million, remaining authorized for repurchase under this authorization as of December 31, 2009. Under the 2006 authorization, we repurchased 4.4 million shares of common stock during 2007 at a total cost of $325.0 million.</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During each of 2009, 2008 and 2007, the Board of Directors declared total cash dividends of $0.74, $0.74 and $0.69 per share, respectively, resulting in total dividend payments of $58.0 million, $58.1 million and $57.1 million, respectively.</w:t>
      </w:r>
    </w:p>
    <w:p>
      <w:pPr>
        <w:spacing w:after="0" w:line="177" w:lineRule="exact"/>
        <w:rPr>
          <w:sz w:val="20"/>
          <w:szCs w:val="20"/>
          <w:color w:val="auto"/>
        </w:rPr>
      </w:pPr>
    </w:p>
    <w:p>
      <w:pPr>
        <w:ind w:left="6680"/>
        <w:spacing w:after="0"/>
        <w:tabs>
          <w:tab w:leader="none" w:pos="932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We have aggregate commitments of $1,758.6 million related to debt, operating leases, severances and office closure costs, and certain other commitments,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(in millions)</w:t>
            </w:r>
          </w:p>
        </w:tc>
        <w:tc>
          <w:tcPr>
            <w:tcW w:w="1900" w:type="dxa"/>
            <w:vAlign w:val="bottom"/>
            <w:tcBorders>
              <w:bottom w:val="single" w:sz="8" w:color="4D8ABE"/>
            </w:tcBorders>
          </w:tcPr>
          <w:p>
            <w:pPr>
              <w:spacing w:after="0"/>
              <w:rPr>
                <w:sz w:val="16"/>
                <w:szCs w:val="16"/>
                <w:color w:val="auto"/>
              </w:rPr>
            </w:pPr>
          </w:p>
        </w:tc>
        <w:tc>
          <w:tcPr>
            <w:tcW w:w="860" w:type="dxa"/>
            <w:vAlign w:val="bottom"/>
            <w:tcBorders>
              <w:bottom w:val="single" w:sz="8" w:color="4D8ABE"/>
            </w:tcBorders>
          </w:tcPr>
          <w:p>
            <w:pPr>
              <w:jc w:val="right"/>
              <w:ind w:right="26"/>
              <w:spacing w:after="0"/>
              <w:rPr>
                <w:sz w:val="20"/>
                <w:szCs w:val="20"/>
                <w:color w:val="auto"/>
              </w:rPr>
            </w:pPr>
            <w:r>
              <w:rPr>
                <w:rFonts w:ascii="Arial" w:cs="Arial" w:eastAsia="Arial" w:hAnsi="Arial"/>
                <w:sz w:val="14"/>
                <w:szCs w:val="14"/>
                <w:b w:val="1"/>
                <w:bCs w:val="1"/>
                <w:color w:val="4D8ABE"/>
              </w:rPr>
              <w:t>2010</w:t>
            </w:r>
          </w:p>
        </w:tc>
        <w:tc>
          <w:tcPr>
            <w:tcW w:w="46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26"/>
              <w:spacing w:after="0"/>
              <w:rPr>
                <w:sz w:val="20"/>
                <w:szCs w:val="20"/>
                <w:color w:val="auto"/>
              </w:rPr>
            </w:pPr>
            <w:r>
              <w:rPr>
                <w:rFonts w:ascii="Arial" w:cs="Arial" w:eastAsia="Arial" w:hAnsi="Arial"/>
                <w:sz w:val="14"/>
                <w:szCs w:val="14"/>
                <w:b w:val="1"/>
                <w:bCs w:val="1"/>
                <w:color w:val="4D8ABE"/>
              </w:rPr>
              <w:t>2011-2012</w:t>
            </w:r>
          </w:p>
        </w:tc>
        <w:tc>
          <w:tcPr>
            <w:tcW w:w="440" w:type="dxa"/>
            <w:vAlign w:val="bottom"/>
            <w:tcBorders>
              <w:bottom w:val="single" w:sz="8" w:color="4D8ABE"/>
            </w:tcBorders>
          </w:tcPr>
          <w:p>
            <w:pPr>
              <w:spacing w:after="0"/>
              <w:rPr>
                <w:sz w:val="16"/>
                <w:szCs w:val="16"/>
                <w:color w:val="auto"/>
              </w:rPr>
            </w:pPr>
          </w:p>
        </w:tc>
        <w:tc>
          <w:tcPr>
            <w:tcW w:w="1020" w:type="dxa"/>
            <w:vAlign w:val="bottom"/>
            <w:tcBorders>
              <w:bottom w:val="single" w:sz="8" w:color="4D8ABE"/>
            </w:tcBorders>
          </w:tcPr>
          <w:p>
            <w:pPr>
              <w:jc w:val="right"/>
              <w:ind w:right="26"/>
              <w:spacing w:after="0"/>
              <w:rPr>
                <w:sz w:val="20"/>
                <w:szCs w:val="20"/>
                <w:color w:val="auto"/>
              </w:rPr>
            </w:pPr>
            <w:r>
              <w:rPr>
                <w:rFonts w:ascii="Arial" w:cs="Arial" w:eastAsia="Arial" w:hAnsi="Arial"/>
                <w:sz w:val="14"/>
                <w:szCs w:val="14"/>
                <w:b w:val="1"/>
                <w:bCs w:val="1"/>
                <w:color w:val="4D8ABE"/>
              </w:rPr>
              <w:t>2013-2014</w:t>
            </w:r>
          </w:p>
        </w:tc>
        <w:tc>
          <w:tcPr>
            <w:tcW w:w="440" w:type="dxa"/>
            <w:vAlign w:val="bottom"/>
            <w:tcBorders>
              <w:bottom w:val="single" w:sz="8" w:color="4D8ABE"/>
            </w:tcBorders>
          </w:tcPr>
          <w:p>
            <w:pPr>
              <w:spacing w:after="0"/>
              <w:rPr>
                <w:sz w:val="16"/>
                <w:szCs w:val="16"/>
                <w:color w:val="auto"/>
              </w:rPr>
            </w:pPr>
          </w:p>
        </w:tc>
        <w:tc>
          <w:tcPr>
            <w:tcW w:w="1140" w:type="dxa"/>
            <w:vAlign w:val="bottom"/>
            <w:tcBorders>
              <w:bottom w:val="single" w:sz="8" w:color="4D8ABE"/>
            </w:tcBorders>
          </w:tcPr>
          <w:p>
            <w:pPr>
              <w:jc w:val="right"/>
              <w:ind w:right="146"/>
              <w:spacing w:after="0"/>
              <w:rPr>
                <w:sz w:val="20"/>
                <w:szCs w:val="20"/>
                <w:color w:val="auto"/>
              </w:rPr>
            </w:pPr>
            <w:r>
              <w:rPr>
                <w:rFonts w:ascii="Arial" w:cs="Arial" w:eastAsia="Arial" w:hAnsi="Arial"/>
                <w:sz w:val="14"/>
                <w:szCs w:val="14"/>
                <w:b w:val="1"/>
                <w:bCs w:val="1"/>
                <w:color w:val="4D8ABE"/>
              </w:rPr>
              <w:t>Thereafter</w:t>
            </w:r>
          </w:p>
        </w:tc>
      </w:tr>
      <w:tr>
        <w:trPr>
          <w:trHeight w:val="184"/>
        </w:trPr>
        <w:tc>
          <w:tcPr>
            <w:tcW w:w="4180" w:type="dxa"/>
            <w:vAlign w:val="bottom"/>
            <w:shd w:val="clear" w:color="auto" w:fill="E6EFFF"/>
          </w:tcPr>
          <w:p>
            <w:pPr>
              <w:spacing w:after="0"/>
              <w:rPr>
                <w:sz w:val="20"/>
                <w:szCs w:val="20"/>
                <w:color w:val="auto"/>
              </w:rPr>
            </w:pPr>
            <w:r>
              <w:rPr>
                <w:rFonts w:ascii="Arial" w:cs="Arial" w:eastAsia="Arial" w:hAnsi="Arial"/>
                <w:sz w:val="15"/>
                <w:szCs w:val="15"/>
                <w:color w:val="auto"/>
              </w:rPr>
              <w:t>Long-term debt including interest</w:t>
            </w:r>
          </w:p>
        </w:tc>
        <w:tc>
          <w:tcPr>
            <w:tcW w:w="1900" w:type="dxa"/>
            <w:vAlign w:val="bottom"/>
            <w:shd w:val="clear" w:color="auto" w:fill="E6EFFF"/>
          </w:tcPr>
          <w:p>
            <w:pPr>
              <w:jc w:val="right"/>
              <w:ind w:right="325"/>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33.9</w:t>
            </w:r>
          </w:p>
        </w:tc>
        <w:tc>
          <w:tcPr>
            <w:tcW w:w="460" w:type="dxa"/>
            <w:vAlign w:val="bottom"/>
            <w:shd w:val="clear" w:color="auto" w:fill="E6EFFF"/>
          </w:tcPr>
          <w:p>
            <w:pPr>
              <w:jc w:val="right"/>
              <w:ind w:right="185"/>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485.5</w:t>
            </w:r>
          </w:p>
        </w:tc>
        <w:tc>
          <w:tcPr>
            <w:tcW w:w="440" w:type="dxa"/>
            <w:vAlign w:val="bottom"/>
            <w:shd w:val="clear" w:color="auto" w:fill="E6EFFF"/>
          </w:tcPr>
          <w:p>
            <w:pPr>
              <w:jc w:val="right"/>
              <w:ind w:right="165"/>
              <w:spacing w:after="0"/>
              <w:rPr>
                <w:sz w:val="20"/>
                <w:szCs w:val="20"/>
                <w:color w:val="auto"/>
              </w:rPr>
            </w:pPr>
            <w:r>
              <w:rPr>
                <w:rFonts w:ascii="Arial" w:cs="Arial" w:eastAsia="Arial" w:hAnsi="Arial"/>
                <w:sz w:val="15"/>
                <w:szCs w:val="15"/>
                <w:color w:val="auto"/>
              </w:rPr>
              <w:t>$</w:t>
            </w:r>
          </w:p>
        </w:tc>
        <w:tc>
          <w:tcPr>
            <w:tcW w:w="102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292.0</w:t>
            </w:r>
          </w:p>
        </w:tc>
        <w:tc>
          <w:tcPr>
            <w:tcW w:w="440" w:type="dxa"/>
            <w:vAlign w:val="bottom"/>
            <w:shd w:val="clear" w:color="auto" w:fill="E6EFFF"/>
          </w:tcPr>
          <w:p>
            <w:pPr>
              <w:jc w:val="right"/>
              <w:ind w:right="165"/>
              <w:spacing w:after="0"/>
              <w:rPr>
                <w:sz w:val="20"/>
                <w:szCs w:val="20"/>
                <w:color w:val="auto"/>
              </w:rPr>
            </w:pPr>
            <w:r>
              <w:rPr>
                <w:rFonts w:ascii="Arial" w:cs="Arial" w:eastAsia="Arial" w:hAnsi="Arial"/>
                <w:sz w:val="15"/>
                <w:szCs w:val="15"/>
                <w:color w:val="auto"/>
              </w:rPr>
              <w:t>$</w:t>
            </w:r>
          </w:p>
        </w:tc>
        <w:tc>
          <w:tcPr>
            <w:tcW w:w="114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w:t>
            </w:r>
          </w:p>
        </w:tc>
      </w:tr>
      <w:tr>
        <w:trPr>
          <w:trHeight w:val="183"/>
        </w:trPr>
        <w:tc>
          <w:tcPr>
            <w:tcW w:w="4180" w:type="dxa"/>
            <w:vAlign w:val="bottom"/>
          </w:tcPr>
          <w:p>
            <w:pPr>
              <w:spacing w:after="0"/>
              <w:rPr>
                <w:sz w:val="20"/>
                <w:szCs w:val="20"/>
                <w:color w:val="auto"/>
              </w:rPr>
            </w:pPr>
            <w:r>
              <w:rPr>
                <w:rFonts w:ascii="Arial" w:cs="Arial" w:eastAsia="Arial" w:hAnsi="Arial"/>
                <w:sz w:val="15"/>
                <w:szCs w:val="15"/>
                <w:color w:val="auto"/>
              </w:rPr>
              <w:t>Short-term borrowings</w:t>
            </w:r>
          </w:p>
        </w:tc>
        <w:tc>
          <w:tcPr>
            <w:tcW w:w="1900" w:type="dxa"/>
            <w:vAlign w:val="bottom"/>
          </w:tcPr>
          <w:p>
            <w:pPr>
              <w:spacing w:after="0"/>
              <w:rPr>
                <w:sz w:val="15"/>
                <w:szCs w:val="15"/>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41.3</w:t>
            </w:r>
          </w:p>
        </w:tc>
        <w:tc>
          <w:tcPr>
            <w:tcW w:w="46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140" w:type="dxa"/>
            <w:vAlign w:val="bottom"/>
          </w:tcPr>
          <w:p>
            <w:pPr>
              <w:jc w:val="right"/>
              <w:ind w:right="146"/>
              <w:spacing w:after="0"/>
              <w:rPr>
                <w:sz w:val="20"/>
                <w:szCs w:val="20"/>
                <w:color w:val="auto"/>
              </w:rPr>
            </w:pPr>
            <w:r>
              <w:rPr>
                <w:rFonts w:ascii="Arial" w:cs="Arial" w:eastAsia="Arial" w:hAnsi="Arial"/>
                <w:sz w:val="15"/>
                <w:szCs w:val="15"/>
                <w:color w:val="auto"/>
              </w:rPr>
              <w:t>–</w:t>
            </w:r>
          </w:p>
        </w:tc>
      </w:tr>
      <w:tr>
        <w:trPr>
          <w:trHeight w:val="185"/>
        </w:trPr>
        <w:tc>
          <w:tcPr>
            <w:tcW w:w="4180" w:type="dxa"/>
            <w:vAlign w:val="bottom"/>
            <w:shd w:val="clear" w:color="auto" w:fill="E6EFFF"/>
          </w:tcPr>
          <w:p>
            <w:pPr>
              <w:spacing w:after="0"/>
              <w:rPr>
                <w:sz w:val="20"/>
                <w:szCs w:val="20"/>
                <w:color w:val="auto"/>
              </w:rPr>
            </w:pPr>
            <w:r>
              <w:rPr>
                <w:rFonts w:ascii="Arial" w:cs="Arial" w:eastAsia="Arial" w:hAnsi="Arial"/>
                <w:sz w:val="15"/>
                <w:szCs w:val="15"/>
                <w:color w:val="auto"/>
              </w:rPr>
              <w:t>Operating leases</w:t>
            </w:r>
          </w:p>
        </w:tc>
        <w:tc>
          <w:tcPr>
            <w:tcW w:w="1900" w:type="dxa"/>
            <w:vAlign w:val="bottom"/>
            <w:shd w:val="clear" w:color="auto" w:fill="E6EFFF"/>
          </w:tcPr>
          <w:p>
            <w:pPr>
              <w:spacing w:after="0"/>
              <w:rPr>
                <w:sz w:val="16"/>
                <w:szCs w:val="16"/>
                <w:color w:val="auto"/>
              </w:rPr>
            </w:pPr>
          </w:p>
        </w:tc>
        <w:tc>
          <w:tcPr>
            <w:tcW w:w="86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209.6</w:t>
            </w:r>
          </w:p>
        </w:tc>
        <w:tc>
          <w:tcPr>
            <w:tcW w:w="460" w:type="dxa"/>
            <w:vAlign w:val="bottom"/>
            <w:shd w:val="clear" w:color="auto" w:fill="E6EFFF"/>
          </w:tcPr>
          <w:p>
            <w:pPr>
              <w:spacing w:after="0"/>
              <w:rPr>
                <w:sz w:val="16"/>
                <w:szCs w:val="16"/>
                <w:color w:val="auto"/>
              </w:rPr>
            </w:pPr>
          </w:p>
        </w:tc>
        <w:tc>
          <w:tcPr>
            <w:tcW w:w="100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269.9</w:t>
            </w:r>
          </w:p>
        </w:tc>
        <w:tc>
          <w:tcPr>
            <w:tcW w:w="440" w:type="dxa"/>
            <w:vAlign w:val="bottom"/>
            <w:shd w:val="clear" w:color="auto" w:fill="E6EFFF"/>
          </w:tcPr>
          <w:p>
            <w:pPr>
              <w:spacing w:after="0"/>
              <w:rPr>
                <w:sz w:val="16"/>
                <w:szCs w:val="16"/>
                <w:color w:val="auto"/>
              </w:rPr>
            </w:pPr>
          </w:p>
        </w:tc>
        <w:tc>
          <w:tcPr>
            <w:tcW w:w="102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153.5</w:t>
            </w:r>
          </w:p>
        </w:tc>
        <w:tc>
          <w:tcPr>
            <w:tcW w:w="440" w:type="dxa"/>
            <w:vAlign w:val="bottom"/>
            <w:shd w:val="clear" w:color="auto" w:fill="E6EFFF"/>
          </w:tcPr>
          <w:p>
            <w:pPr>
              <w:spacing w:after="0"/>
              <w:rPr>
                <w:sz w:val="16"/>
                <w:szCs w:val="16"/>
                <w:color w:val="auto"/>
              </w:rPr>
            </w:pPr>
          </w:p>
        </w:tc>
        <w:tc>
          <w:tcPr>
            <w:tcW w:w="114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156.2</w:t>
            </w:r>
          </w:p>
        </w:tc>
      </w:tr>
      <w:tr>
        <w:trPr>
          <w:trHeight w:val="183"/>
        </w:trPr>
        <w:tc>
          <w:tcPr>
            <w:tcW w:w="4180" w:type="dxa"/>
            <w:vAlign w:val="bottom"/>
          </w:tcPr>
          <w:p>
            <w:pPr>
              <w:spacing w:after="0"/>
              <w:rPr>
                <w:sz w:val="20"/>
                <w:szCs w:val="20"/>
                <w:color w:val="auto"/>
              </w:rPr>
            </w:pPr>
            <w:r>
              <w:rPr>
                <w:rFonts w:ascii="Arial" w:cs="Arial" w:eastAsia="Arial" w:hAnsi="Arial"/>
                <w:sz w:val="15"/>
                <w:szCs w:val="15"/>
                <w:color w:val="auto"/>
              </w:rPr>
              <w:t>Severances and other office closure costs</w:t>
            </w:r>
          </w:p>
        </w:tc>
        <w:tc>
          <w:tcPr>
            <w:tcW w:w="1900" w:type="dxa"/>
            <w:vAlign w:val="bottom"/>
          </w:tcPr>
          <w:p>
            <w:pPr>
              <w:spacing w:after="0"/>
              <w:rPr>
                <w:sz w:val="15"/>
                <w:szCs w:val="15"/>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14.3</w:t>
            </w:r>
          </w:p>
        </w:tc>
        <w:tc>
          <w:tcPr>
            <w:tcW w:w="46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5.1</w:t>
            </w:r>
          </w:p>
        </w:tc>
        <w:tc>
          <w:tcPr>
            <w:tcW w:w="44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1.9</w:t>
            </w:r>
          </w:p>
        </w:tc>
        <w:tc>
          <w:tcPr>
            <w:tcW w:w="440" w:type="dxa"/>
            <w:vAlign w:val="bottom"/>
          </w:tcPr>
          <w:p>
            <w:pPr>
              <w:spacing w:after="0"/>
              <w:rPr>
                <w:sz w:val="15"/>
                <w:szCs w:val="15"/>
                <w:color w:val="auto"/>
              </w:rPr>
            </w:pPr>
          </w:p>
        </w:tc>
        <w:tc>
          <w:tcPr>
            <w:tcW w:w="1140" w:type="dxa"/>
            <w:vAlign w:val="bottom"/>
          </w:tcPr>
          <w:p>
            <w:pPr>
              <w:jc w:val="right"/>
              <w:ind w:right="146"/>
              <w:spacing w:after="0"/>
              <w:rPr>
                <w:sz w:val="20"/>
                <w:szCs w:val="20"/>
                <w:color w:val="auto"/>
              </w:rPr>
            </w:pPr>
            <w:r>
              <w:rPr>
                <w:rFonts w:ascii="Arial" w:cs="Arial" w:eastAsia="Arial" w:hAnsi="Arial"/>
                <w:sz w:val="15"/>
                <w:szCs w:val="15"/>
                <w:color w:val="auto"/>
              </w:rPr>
              <w:t>–</w:t>
            </w:r>
          </w:p>
        </w:tc>
      </w:tr>
      <w:tr>
        <w:trPr>
          <w:trHeight w:val="184"/>
        </w:trPr>
        <w:tc>
          <w:tcPr>
            <w:tcW w:w="41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Other</w:t>
            </w:r>
          </w:p>
        </w:tc>
        <w:tc>
          <w:tcPr>
            <w:tcW w:w="190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27.1</w:t>
            </w:r>
          </w:p>
        </w:tc>
        <w:tc>
          <w:tcPr>
            <w:tcW w:w="46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29.2</w:t>
            </w:r>
          </w:p>
        </w:tc>
        <w:tc>
          <w:tcPr>
            <w:tcW w:w="4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16.4</w:t>
            </w:r>
          </w:p>
        </w:tc>
        <w:tc>
          <w:tcPr>
            <w:tcW w:w="440" w:type="dxa"/>
            <w:vAlign w:val="bottom"/>
            <w:tcBorders>
              <w:bottom w:val="single" w:sz="8" w:color="auto"/>
            </w:tcBorders>
            <w:shd w:val="clear" w:color="auto" w:fill="E6EFFF"/>
          </w:tcPr>
          <w:p>
            <w:pPr>
              <w:spacing w:after="0"/>
              <w:rPr>
                <w:sz w:val="15"/>
                <w:szCs w:val="15"/>
                <w:color w:val="auto"/>
              </w:rPr>
            </w:pPr>
          </w:p>
        </w:tc>
        <w:tc>
          <w:tcPr>
            <w:tcW w:w="114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22.7</w:t>
            </w:r>
          </w:p>
        </w:tc>
      </w:tr>
      <w:tr>
        <w:trPr>
          <w:trHeight w:val="179"/>
        </w:trPr>
        <w:tc>
          <w:tcPr>
            <w:tcW w:w="4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326.2</w:t>
            </w:r>
          </w:p>
        </w:tc>
        <w:tc>
          <w:tcPr>
            <w:tcW w:w="4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789.7</w:t>
            </w:r>
          </w:p>
        </w:tc>
        <w:tc>
          <w:tcPr>
            <w:tcW w:w="4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463.8</w:t>
            </w:r>
          </w:p>
        </w:tc>
        <w:tc>
          <w:tcPr>
            <w:tcW w:w="4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178.9</w:t>
            </w:r>
          </w:p>
        </w:tc>
      </w:tr>
    </w:tbl>
    <w:p>
      <w:pPr>
        <w:spacing w:after="0" w:line="175"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Obligations arising from the pending acquisition of COMSYS IT Partners are excluded from the commitments above. Also excluded is our liability for unrecognized tax benefits, including related interest and penalties of $31.0 million, as we cannot determine the years in which these positions might ultimately be settled.</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recorded reorganization costs of $33.5 million, $37.2 million and $8.4 million in 2009, 2008 and 2007, respectively, in Selling and Administrative Expenses, primarily related to severances as well as office closures and consolidations in several countries. As of December 31, 2009, $57.8 million has been paid out of these reserves, of which $43.2 million was paid during 2009. We expect a majority of the remaining $21.2 million will be paid in 2010. (See Note 1 to the Consolidated Financial Statements for further information.)</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also have entered into guarantee contracts and stand-by letters of credit that total approximately $163.3 million and $158.0 million as of December 31, 2009 and 2008, respectively ($120.3 million and $107.6 million for guarantees, respectively, and $43.0 million and $50.4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$1.6 million and $1.0 million in 2009 and 2008,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4D8ABE"/>
        </w:rPr>
        <w:t>Capital Resources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Total capitalization as of December 31, 2009 was $3,293.8 million, comprised of $757.3 million in debt and $2,536.5 million in equity. Debt as a percentage of total capitalization was 23% as of December 31, 2009 compared to 28% as of December 31,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EURO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2050415" cy="926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04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We have €300.0 million aggregate principal amount of 4.50% notes due June 1, 2012 (the “€300.0 million Notes”). The €300.0 million Notes were issued at a price of 99.518% to yield an effective interest rate of 4.58%. The discount of €1.4 million ($1.8 million) is being amortized to interest expense over the term of the €300.0 million Notes. Interest is payable annually on June 1.</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also have €200.0 million aggregate principal amount of 4.75% notes due June 14, 2013 (the “€200.0 million Notes”). The €200.0 million Notes were issued at a price of 99.349% to yield an effective interest rate of 4.862%. The discount of €1.3 million ($1.6 million) is being amortized to interest expense over the term of the €200.0 million Notes. Interest is payable annually on June 14.</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Both the €300.0 million Notes and the €200.0 million Notes are unsecured senior obligations and rank equally with all of our existing and future senior unsecured debt and other liabilities. We may redeem these notes, in whole but not in part, at our option at any time for a redemption price determined in accordance with the term of the notes. These notes also contain certain customary non-financial restrictive covenants and events of default.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When these facilities mature, we plan to repay these amounts with available cash or refinance them with new long-term facilities. In the event that the economy continues to decline for an extended period of time, we may be unable to repay these amounts with available cash and, as such, we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30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66" w:name="page67"/>
    <w:bookmarkEnd w:id="66"/>
    <w:p>
      <w:pPr>
        <w:jc w:val="both"/>
        <w:spacing w:after="0" w:line="242" w:lineRule="auto"/>
        <w:rPr>
          <w:sz w:val="20"/>
          <w:szCs w:val="20"/>
          <w:color w:val="auto"/>
        </w:rPr>
      </w:pPr>
      <w:r>
        <w:rPr>
          <w:rFonts w:ascii="Arial" w:cs="Arial" w:eastAsia="Arial" w:hAnsi="Arial"/>
          <w:sz w:val="15"/>
          <w:szCs w:val="15"/>
          <w:color w:val="auto"/>
        </w:rPr>
        <w:t>Our Euro-denominated notes have been designated as a hedge of our net investment in subsidiaries with a Euro-functional currency. Since our net investment in these subsidiaries exceeds the respective amount of the designated borrowings, all foreign exchange gains or losses related to these borrowings are included as a component of Accumulated Other Comprehensive Income (Loss). (See Significant Matters Affecting Results of Operations and Notes 8 and 13 to the Consolidated Financial Statements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REVOLVING CREDIT AGREEMENT</w:t>
      </w:r>
    </w:p>
    <w:p>
      <w:pPr>
        <w:spacing w:after="0" w:line="237"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We have a $400.0 million revolving credit agreement (the “credit agreement”) with a syndicate of commercial banks that expires November 2012. The credit agreement allows for borrowings in various currencies and up to $150.0 million may be used for the issuance of standby letters of credit.</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On October 16, 2009, we amended our revolving credit agreement to revise certain terms and financial covenants. The amended revolving credit agreement (“Amended Revolving Credit Agreement”) reduced the size of the facility from $625.0 million to $400.0 million. In addition, the Amended Revolving Credit Agreement requires that we comply with maximum Debt-to-EBITDA ratios, ranging from 3.25 to 1 to 6.00 to 1 beginning with the quarter ended September 30, 2009 through the quarter ending June 30, 2011, returning to a ratio of 3.25 to 1 for the quarter ending September 30, 2011 and each quarter thereafter. The Amended Revolving Credit Agreement also requires that we comply with minimum Fixed Charge Coverage ratios, ranging from 1.25 to 1 to 2.00 to 1 beginning with the quarter ended September 30, 2009 through the quarter ending December 31, 2011, returning to a ratio of 2.0 to 1 for the quarter ending March 31, 2012 and each quarter thereafter.</w:t>
      </w:r>
    </w:p>
    <w:p>
      <w:pPr>
        <w:spacing w:after="0" w:line="202"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As defined in the Amended Revolving Credit Agreement, we had a Debt-to-EBITDA ratio of 3.64 to 1 (compared to a maximum allowable ratio of 5.25 to 1) as of December 31, 2009 and a Fixed Charge Coverage ratio of 1.55 to 1 (compared to a minimum required ratio of 1.25 to 1) as of December 31, 2009. Based on our current forecast, we expect to be in compliance with our financial covenants for the next 12 months.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Under our Amended Revolving Credit Agreement, we have a ratings-based pricing grid which determines the facility fee and the credit spread that we add to the applicable interbank borrowing rate on all borrowings. At our current credit ratings, the facility fee is 45 bps, and the credit spread is 255 bps. Any further downgrades from the credit agencies would unfavorably impact our facility fees and result in additional costs ranging from approximately $0.6 million to $1.3 million annually. As of December 31, 2009, the interest rate under the agreement was Libor plus 2.55% (for U.S. Dollar borrowings, or alternative base rate for foreign currency borrowings).</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On October 16, 2009, we repaid the €100.0 million ($146.4 million) borrowings outstanding under our Amended Revolving Credit Agreement, and terminated the related interest rate swap agreements. As a result, we incurred approximately $7.5 million in fees classified as interest expense, which was recorded in the third quarter ended September 30, 2009. We have no borrowings under this credit agreement as of December 31, 2009. (See Significant Matters Affecting Results of Operations for further information.)</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Outstanding letters of credit issued under the credit agreement totaled $8.6 million and $3.8 million as of December 31, 2009 and 2008, respectively. Additional borrowings of $391.4 million were available to us under the credit agreement as of December 31, 2009, however total additional borrowings under all facilities would be limited to $334.3 million at December 31, 2009 by the financial covenants.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ACCOUNTS RECEIVABLE SECURITIZATION</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One of our wholly-owned U.S. subsidiaries had an agreement to transfer to a third party, on an ongoing basis, an interest in up to $100.0 million of its accounts receivable. In June 2009, we terminated this program, which would have expired in July 2009, as we did not anticipate a need for this liquidity and anticipated a significant increase in associated fees and borrowing costs. The terms of this agreement were such that transfers did not qualify as a sale of accounts receivable. Accordingly, any advances under this agreement were reflected as debt on the consolidated balance sheets.</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interest rate for the facility was variable and tied to A1+/P1 rated commercial paper. In 2009 and 2008, the average interest rate was 1.8% and 3.1%, respectively, and we made total interest payments of $0.1 million and $0.9 million, respectively. As of December 31, 2008, there were borrowings of $64.0 million outstanding under this program at an interest rate of 2.4%, which were recorded as current maturities of long-term debt. These borrowings were repaid in March 2009.</w:t>
      </w:r>
    </w:p>
    <w:p>
      <w:pPr>
        <w:spacing w:after="0" w:line="181" w:lineRule="exact"/>
        <w:rPr>
          <w:sz w:val="20"/>
          <w:szCs w:val="20"/>
          <w:color w:val="auto"/>
        </w:rPr>
      </w:pPr>
    </w:p>
    <w:p>
      <w:pPr>
        <w:ind w:left="6680"/>
        <w:spacing w:after="0"/>
        <w:tabs>
          <w:tab w:leader="none" w:pos="932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OTHER</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addition to the previously mentioned facilities, we maintain separate bank credit lines with financial institutions to meet working capital needs of our subsidiary operations. As of December 31, 2009, such uncommitted credit lines totaled $408.4 million, of which $367.1 million was unused. Under the credit agreement, total subsidiary borrowings cannot exceed $300.0 million in the first, second and fourth quarters, and $600.0 million in the third quarter of each year. Due to these limitations, additional borrowings of $257.7 million could have been made under these lines as of December 31, 2009.</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August 2009, our credit rating from Moody’s Investors Services was downgraded from Baa2 with a negative outlook to Baa3 with a stable outlook. Our credit rating from Standard and Poor’s is BBB- with a negative outlook. The rating agencies use a proprietary methodology in determining their ratings and outlook which includes, among other things, financial ratios based upon debt levels and earnings performance. Both of the current credit ratings are investment grade.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4D8ABE"/>
        </w:rPr>
        <w:t>Application Of Critical Accounting Policies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ALLOWANCE FOR DOUBTFUL ACCOUNTS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Bad Debt Expense, which increases our Allowance for Doubtful Accounts, is recorded as a Selling and Administrative Expense and was $27.8 million, $23.4 million and $21.8 million for 2009, 2008 and 2007,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Write-offs, which decrease our Allowance for Doubtful Accounts, are recorded as a reduction to our Accounts Receivable balance and were $39.0 million, $21.5 million and $20.8 million for 2009, 2008 and 2007,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EMPLOYMENT-RELATED ITEMS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939598"/>
        </w:rPr>
        <w:t>Defined Benefit Pension Plans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sponsor several qualified and nonqualified pension plans covering permanent employees. The most significant plans are located in the U.S., France, the United Kingdom and other European countries. Annual expense relating to these plans is recorded as Selling and Administrative Expense and is estimated to be approximately $9.9 million in 2010, compared to $6.7 million, $15.5 million and $19.2 million in 2009, 2008 and 2007, respectively. A relatively lower expense is recognized subsequent to 2008 as we terminated our Japanese plan in January 2009 and replaced it with a defined contribution plan. The termination resulted in a curtailment and settlement gain of $4.3 million in 2009, which decreased the 2009 expense.</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calculations of annual pension expense and the pension liability required at year-end include various actuarial assumptions such as discount rates, expected rate of return on plan assets, compensation increases and employee turnover rates. We determine our assumption for the discount rate to be used for purposes of computing annual service and interest costs based on an index of high-quality corporate bond yields and matched-funding yield curve analysis as of the measurement date. We review the actuarial assumptions on an annual basis and make modifications to the assumptions as necessary. We review peer data and historical rates, on a country-by-country basis, to check for reasonableness in setting both the discount rate and the expected return on plan assets.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84"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32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68" w:name="page69"/>
    <w:bookmarkEnd w:id="68"/>
    <w:p>
      <w:pPr>
        <w:jc w:val="both"/>
        <w:spacing w:after="0"/>
        <w:rPr>
          <w:sz w:val="20"/>
          <w:szCs w:val="20"/>
          <w:color w:val="auto"/>
        </w:rPr>
      </w:pPr>
      <w:r>
        <w:rPr>
          <w:rFonts w:ascii="Arial" w:cs="Arial" w:eastAsia="Arial" w:hAnsi="Arial"/>
          <w:sz w:val="15"/>
          <w:szCs w:val="15"/>
          <w:color w:val="auto"/>
        </w:rPr>
        <w:t>We used a weighted-average discount rate of 5.7% for the U.S. plans and 5.5% for the non-U.S. plans in determining the estimated pension expense for 2010. These rates compare to the 6.4% and 5.2% weighted-average discount rates for the U.S. plans and non-U.S. plans, respectively, used in determining the estimated pension expense for 2009, and reflect the current interest rate environment. Absent any other changes, a 25 basis point change in the weighted-average discount rate would impact 2010 consolidated pension expense by approximately $1.0 million for the non-U.S. plans. The change would have a minimal impact for the U.S. plans. We have selected a weighted-average expected return on plan assets of 7.3% for the U.S. plans and 5.7% for the non-U.S. plans in determining the estimated pension expense for 2010. The comparable rates used for the calculation of the 2009 pension expense were 7.5% and 5.4% for the U.S. plans and non-U.S. plans, respectively. A 25 basis point change in the weighted-average expected return on plan assets would impact 2010 consolidated pension expense by approximately $0.1 million for the U.S. plans and $0.5 million for the non-U.S plans.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939598"/>
        </w:rPr>
        <w:t>U.S. Workers’ Compensation</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the U.S., we are self-insured in most states for workers’ compensation claims for our contingent workers. We determine the proper reserve balance using an actuarial valuation, which considers our historical payment experience and current employee demographics. Our reserve for such claims as of December 31, 2009 and 2008 was $71.3 million and $79.2 million, respectively. Workers’ compensation expense is recorded as a component of Cost of Services.</w:t>
      </w:r>
    </w:p>
    <w:p>
      <w:pPr>
        <w:spacing w:after="0" w:line="198"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U.S. by approximately $3.1 million.</w:t>
      </w:r>
    </w:p>
    <w:p>
      <w:pPr>
        <w:spacing w:after="0" w:line="201"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Historically, we have not had significant changes in our assumptions used in calculating our reserve balance or significant adjustments to our reserve level. During 2009 we experienced a reduction in workers’ compensation expense, primarily as a result of our continued focus on safety, which includes training of contingent workers and client site reviews, and reduced volumes. Given our current claims experience and cost per claim, we do not expect a significant change in our workers’ compensation reserve in the near future. However, we have historically experienced an increase in the number of claims following a recessionary period. Should this pattern reoccur, we could potentially experience higher costs for a 2 to 3 year period starting in 2010.</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939598"/>
        </w:rPr>
        <w:t>Social Program Remittances and Payroll Tax Audit Exposure</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On a routine basis, various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 During 2007, there was a change in the payroll tax calculation under certain French social programs, retroactive to January 1, 2006 and effective through September 30, 2007. During 2008, we learned that this same change was applicable to 2005. (See Note 1 to the Consolidated Financial Statements for further information.)</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85"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France, we currently maintain a reserve for the unaudited years of 2007 through 2009, which has been estimated based on the results of past audits and changes in business volumes. We do not expect any significant adjustments to the recorded amount in the near term, however we are currently under audit for 2007 and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DEFERRED REVENUE</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recognize revenue under the current accounting guidance on revenue recognition. The accounting guidance generally provides that revenue for time-based services be recognized over the average length of the services being provided. For the outplacement line of business, we recognize revenue from individual programs over the estimated period in which services are rendered to candidates. For large projects within the outplacement line of business, we recognize revenue over the period in which the services are provided. In our consulting business, revenue is recognized upon the performance of the service under the consulting service contract. For performance-based contracts, we defer recognizing revenue until the performance criteria has been met.</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amount billed for outplacement, consulting services and performance-based contracts in excess of the amount recognized as revenue is recorded as Deferred Revenue and included in Accrued Liabilities for the current portion and Other Long-Term Liabilities for the long-term portion in our Consolidated Balance Sheets.</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Significant factors impacting Deferred Revenue are the type of programs and projects sold and the volume of current billings for new programs and projects. Over time, an increasing volume of new billings will generally result in higher amounts of Deferred Revenue, while decreasing levels of new billings will generally result in lower amounts of Deferred Revenue. As of December 31, 2009 and 2008, the current portion of Deferred Revenue was $54.3 million and $57.4 million, respectively, and the long-term portion of Deferred Revenue was $25.2 million and $27.5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INCOME TAXES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will not be recognized in the financial statements unless it is more likely than not of being sustained.</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To the extent these items are settled for an amount different than we currently expect, the unrecognized tax benefit will be adjusted.</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GOODWILL AND INDEFINITE-LIVED INTANGIBLE ASSET IMPAIRMENT</w:t>
      </w:r>
    </w:p>
    <w:p>
      <w:pPr>
        <w:spacing w:after="0" w:line="237"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81"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34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70" w:name="page71"/>
    <w:bookmarkEnd w:id="70"/>
    <w:p>
      <w:pPr>
        <w:jc w:val="both"/>
        <w:spacing w:after="0" w:line="242" w:lineRule="auto"/>
        <w:rPr>
          <w:sz w:val="20"/>
          <w:szCs w:val="20"/>
          <w:color w:val="auto"/>
        </w:rPr>
      </w:pPr>
      <w:r>
        <w:rPr>
          <w:rFonts w:ascii="Arial" w:cs="Arial" w:eastAsia="Arial" w:hAnsi="Arial"/>
          <w:sz w:val="15"/>
          <w:szCs w:val="15"/>
          <w:color w:val="auto"/>
        </w:rPr>
        <w:t>We performed our annual impairment test of our goodwill and indefinite-lived intangible assets during the third quarter of 2009 and 2008, which resulted in non-cash impairment charge of $61.0 million in 2009 for goodwill associated with our Jefferson Wells reporting unit and $163.1 million in 2008 for goodwill ($140.8 million) and tradename ($22.3 million) associated with our Right Management reporting unit. We also recorded an $8.5 million deferred tax asset related to the tradename impairment in 2008.</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2009 impairment was due in part to continued deterioration in market conditions, which has resulted in Jefferson Wells experiencing a significant revenue decline during the current year as compared to the prior year. The discount rate was also impacted unfavorably by a 1% increase to our equity risk premium as a result of current market conditions and economic uncertainty.</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2008 impairment was a result of deteriorating market conditions and general economic uncertainty. Market comparables and forecasted cash flows for the Right Management reporting unit were lower than in previous years, which led to a determination that the goodwill and tradename recorded for Right Management was impaired.</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Significant assumptions used in our annual goodwill impairment test during the third quarter of 2009 included: expected revenue growth rates, operating unit profit margins, and working capital levels; discount rates ranging from 10.7% to 22.2%; and a terminal value multiple. The discount rate was impacted unfavorably by a 1% increase to our equity risk premium as a result of current market conditions and economic uncertainty. The expected future revenue growth rates were determined after taking into consideration our historical revenue growth rates, our assessment of future market potential, our expectations of future business performance as well as an assumed modest economic recovery beginning in the middle of 2010.</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table below provides select reporting units’ estimated fair values and carrying values, which were determined as part of our annual goodwill impairment test performed in the third quarter ended September 30, 2009. Only those reporting units that have a significant amount of goodwill have been included. As noted in the table below, a 1% reduction in earnings and revenue growth rates would result in two of our reporting units, U.S. and Elan, having projected fair values less than their respective carrying values. Hence, if we were to experience further economic contraction within these reporting units or other reporting units, we may have to record a material impairment charge in future periods. We have also included the sensitivity analysis of the estimated fair values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b w:val="1"/>
                <w:bCs w:val="1"/>
                <w:color w:val="4D8ABE"/>
              </w:rPr>
              <w:t>Right</w:t>
            </w:r>
          </w:p>
        </w:tc>
        <w:tc>
          <w:tcPr>
            <w:tcW w:w="380" w:type="dxa"/>
            <w:vAlign w:val="bottom"/>
          </w:tcPr>
          <w:p>
            <w:pPr>
              <w:spacing w:after="0"/>
              <w:rPr>
                <w:sz w:val="15"/>
                <w:szCs w:val="15"/>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b w:val="1"/>
                <w:bCs w:val="1"/>
                <w:color w:val="4D8ABE"/>
              </w:rPr>
              <w:t>United</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b w:val="1"/>
                <w:bCs w:val="1"/>
                <w:color w:val="4D8ABE"/>
                <w:w w:val="96"/>
              </w:rPr>
              <w:t>Netherlands</w:t>
            </w:r>
          </w:p>
        </w:tc>
        <w:tc>
          <w:tcPr>
            <w:tcW w:w="280" w:type="dxa"/>
            <w:vAlign w:val="bottom"/>
          </w:tcPr>
          <w:p>
            <w:pPr>
              <w:spacing w:after="0"/>
              <w:rPr>
                <w:sz w:val="15"/>
                <w:szCs w:val="15"/>
                <w:color w:val="auto"/>
              </w:rPr>
            </w:pPr>
          </w:p>
        </w:tc>
        <w:tc>
          <w:tcPr>
            <w:tcW w:w="940" w:type="dxa"/>
            <w:vAlign w:val="bottom"/>
          </w:tcPr>
          <w:p>
            <w:pPr>
              <w:jc w:val="right"/>
              <w:ind w:right="147"/>
              <w:spacing w:after="0"/>
              <w:rPr>
                <w:sz w:val="20"/>
                <w:szCs w:val="20"/>
                <w:color w:val="auto"/>
              </w:rPr>
            </w:pPr>
            <w:r>
              <w:rPr>
                <w:rFonts w:ascii="Arial" w:cs="Arial" w:eastAsia="Arial" w:hAnsi="Arial"/>
                <w:sz w:val="14"/>
                <w:szCs w:val="14"/>
                <w:b w:val="1"/>
                <w:bCs w:val="1"/>
                <w:color w:val="4D8ABE"/>
              </w:rPr>
              <w:t>Jefferson</w:t>
            </w:r>
          </w:p>
        </w:tc>
      </w:tr>
      <w:tr>
        <w:trPr>
          <w:trHeight w:val="178"/>
        </w:trPr>
        <w:tc>
          <w:tcPr>
            <w:tcW w:w="574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(in millions)</w:t>
            </w:r>
          </w:p>
        </w:tc>
        <w:tc>
          <w:tcPr>
            <w:tcW w:w="160" w:type="dxa"/>
            <w:vAlign w:val="bottom"/>
            <w:tcBorders>
              <w:bottom w:val="single" w:sz="8" w:color="4D8ABE"/>
            </w:tcBorders>
          </w:tcPr>
          <w:p>
            <w:pPr>
              <w:spacing w:after="0"/>
              <w:rPr>
                <w:sz w:val="15"/>
                <w:szCs w:val="15"/>
                <w:color w:val="auto"/>
              </w:rPr>
            </w:pPr>
          </w:p>
        </w:tc>
        <w:tc>
          <w:tcPr>
            <w:tcW w:w="960" w:type="dxa"/>
            <w:vAlign w:val="bottom"/>
            <w:tcBorders>
              <w:bottom w:val="single" w:sz="8" w:color="4D8ABE"/>
            </w:tcBorders>
          </w:tcPr>
          <w:p>
            <w:pPr>
              <w:jc w:val="right"/>
              <w:ind w:right="47"/>
              <w:spacing w:after="0"/>
              <w:rPr>
                <w:sz w:val="20"/>
                <w:szCs w:val="20"/>
                <w:color w:val="auto"/>
              </w:rPr>
            </w:pPr>
            <w:r>
              <w:rPr>
                <w:rFonts w:ascii="Arial" w:cs="Arial" w:eastAsia="Arial" w:hAnsi="Arial"/>
                <w:sz w:val="14"/>
                <w:szCs w:val="14"/>
                <w:b w:val="1"/>
                <w:bCs w:val="1"/>
                <w:color w:val="4D8ABE"/>
                <w:w w:val="95"/>
              </w:rPr>
              <w:t>Management</w:t>
            </w:r>
          </w:p>
        </w:tc>
        <w:tc>
          <w:tcPr>
            <w:tcW w:w="380" w:type="dxa"/>
            <w:vAlign w:val="bottom"/>
            <w:tcBorders>
              <w:bottom w:val="single" w:sz="8" w:color="4D8ABE"/>
            </w:tcBorders>
          </w:tcPr>
          <w:p>
            <w:pPr>
              <w:spacing w:after="0"/>
              <w:rPr>
                <w:sz w:val="15"/>
                <w:szCs w:val="15"/>
                <w:color w:val="auto"/>
              </w:rPr>
            </w:pPr>
          </w:p>
        </w:tc>
        <w:tc>
          <w:tcPr>
            <w:tcW w:w="740" w:type="dxa"/>
            <w:vAlign w:val="bottom"/>
            <w:tcBorders>
              <w:bottom w:val="single" w:sz="8" w:color="4D8ABE"/>
            </w:tcBorders>
          </w:tcPr>
          <w:p>
            <w:pPr>
              <w:jc w:val="right"/>
              <w:ind w:right="47"/>
              <w:spacing w:after="0"/>
              <w:rPr>
                <w:sz w:val="20"/>
                <w:szCs w:val="20"/>
                <w:color w:val="auto"/>
              </w:rPr>
            </w:pPr>
            <w:r>
              <w:rPr>
                <w:rFonts w:ascii="Arial" w:cs="Arial" w:eastAsia="Arial" w:hAnsi="Arial"/>
                <w:sz w:val="14"/>
                <w:szCs w:val="14"/>
                <w:b w:val="1"/>
                <w:bCs w:val="1"/>
                <w:color w:val="4D8ABE"/>
              </w:rPr>
              <w:t>States</w:t>
            </w:r>
          </w:p>
        </w:tc>
        <w:tc>
          <w:tcPr>
            <w:tcW w:w="400" w:type="dxa"/>
            <w:vAlign w:val="bottom"/>
            <w:tcBorders>
              <w:bottom w:val="single" w:sz="8" w:color="4D8ABE"/>
            </w:tcBorders>
          </w:tcPr>
          <w:p>
            <w:pPr>
              <w:spacing w:after="0"/>
              <w:rPr>
                <w:sz w:val="15"/>
                <w:szCs w:val="15"/>
                <w:color w:val="auto"/>
              </w:rPr>
            </w:pPr>
          </w:p>
        </w:tc>
        <w:tc>
          <w:tcPr>
            <w:tcW w:w="700" w:type="dxa"/>
            <w:vAlign w:val="bottom"/>
            <w:tcBorders>
              <w:bottom w:val="single" w:sz="8" w:color="4D8ABE"/>
            </w:tcBorders>
          </w:tcPr>
          <w:p>
            <w:pPr>
              <w:jc w:val="right"/>
              <w:ind w:right="26"/>
              <w:spacing w:after="0"/>
              <w:rPr>
                <w:sz w:val="20"/>
                <w:szCs w:val="20"/>
                <w:color w:val="auto"/>
              </w:rPr>
            </w:pPr>
            <w:r>
              <w:rPr>
                <w:rFonts w:ascii="Arial" w:cs="Arial" w:eastAsia="Arial" w:hAnsi="Arial"/>
                <w:sz w:val="14"/>
                <w:szCs w:val="14"/>
                <w:b w:val="1"/>
                <w:bCs w:val="1"/>
                <w:color w:val="4D8ABE"/>
              </w:rPr>
              <w:t>Elan</w:t>
            </w:r>
          </w:p>
        </w:tc>
        <w:tc>
          <w:tcPr>
            <w:tcW w:w="220" w:type="dxa"/>
            <w:vAlign w:val="bottom"/>
            <w:tcBorders>
              <w:bottom w:val="single" w:sz="8" w:color="4D8ABE"/>
            </w:tcBorders>
          </w:tcPr>
          <w:p>
            <w:pPr>
              <w:spacing w:after="0"/>
              <w:rPr>
                <w:sz w:val="15"/>
                <w:szCs w:val="15"/>
                <w:color w:val="auto"/>
              </w:rPr>
            </w:pPr>
          </w:p>
        </w:tc>
        <w:tc>
          <w:tcPr>
            <w:tcW w:w="920" w:type="dxa"/>
            <w:vAlign w:val="bottom"/>
            <w:tcBorders>
              <w:bottom w:val="single" w:sz="8" w:color="4D8ABE"/>
            </w:tcBorders>
          </w:tcPr>
          <w:p>
            <w:pPr>
              <w:jc w:val="right"/>
              <w:ind w:right="47"/>
              <w:spacing w:after="0"/>
              <w:rPr>
                <w:sz w:val="20"/>
                <w:szCs w:val="20"/>
                <w:color w:val="auto"/>
              </w:rPr>
            </w:pPr>
            <w:r>
              <w:rPr>
                <w:rFonts w:ascii="Arial" w:cs="Arial" w:eastAsia="Arial" w:hAnsi="Arial"/>
                <w:sz w:val="14"/>
                <w:szCs w:val="14"/>
                <w:b w:val="1"/>
                <w:bCs w:val="1"/>
                <w:color w:val="4D8ABE"/>
              </w:rPr>
              <w:t>(Vitae)</w:t>
            </w:r>
          </w:p>
        </w:tc>
        <w:tc>
          <w:tcPr>
            <w:tcW w:w="280" w:type="dxa"/>
            <w:vAlign w:val="bottom"/>
            <w:tcBorders>
              <w:bottom w:val="single" w:sz="8" w:color="4D8ABE"/>
            </w:tcBorders>
          </w:tcPr>
          <w:p>
            <w:pPr>
              <w:spacing w:after="0"/>
              <w:rPr>
                <w:sz w:val="15"/>
                <w:szCs w:val="15"/>
                <w:color w:val="auto"/>
              </w:rPr>
            </w:pPr>
          </w:p>
        </w:tc>
        <w:tc>
          <w:tcPr>
            <w:tcW w:w="940" w:type="dxa"/>
            <w:vAlign w:val="bottom"/>
            <w:tcBorders>
              <w:bottom w:val="single" w:sz="8" w:color="4D8ABE"/>
            </w:tcBorders>
          </w:tcPr>
          <w:p>
            <w:pPr>
              <w:jc w:val="right"/>
              <w:ind w:right="147"/>
              <w:spacing w:after="0"/>
              <w:rPr>
                <w:sz w:val="20"/>
                <w:szCs w:val="20"/>
                <w:color w:val="auto"/>
              </w:rPr>
            </w:pPr>
            <w:r>
              <w:rPr>
                <w:rFonts w:ascii="Arial" w:cs="Arial" w:eastAsia="Arial" w:hAnsi="Arial"/>
                <w:sz w:val="14"/>
                <w:szCs w:val="14"/>
                <w:b w:val="1"/>
                <w:bCs w:val="1"/>
                <w:color w:val="4D8ABE"/>
              </w:rPr>
              <w:t>Wells</w:t>
            </w:r>
          </w:p>
        </w:tc>
      </w:tr>
      <w:tr>
        <w:trPr>
          <w:trHeight w:val="175"/>
        </w:trPr>
        <w:tc>
          <w:tcPr>
            <w:tcW w:w="5740" w:type="dxa"/>
            <w:vAlign w:val="bottom"/>
            <w:shd w:val="clear" w:color="auto" w:fill="E6EFFF"/>
          </w:tcPr>
          <w:p>
            <w:pPr>
              <w:spacing w:after="0"/>
              <w:rPr>
                <w:sz w:val="20"/>
                <w:szCs w:val="20"/>
                <w:color w:val="auto"/>
              </w:rPr>
            </w:pPr>
            <w:r>
              <w:rPr>
                <w:rFonts w:ascii="Arial" w:cs="Arial" w:eastAsia="Arial" w:hAnsi="Arial"/>
                <w:sz w:val="15"/>
                <w:szCs w:val="15"/>
                <w:color w:val="auto"/>
              </w:rPr>
              <w:t>Estimated fair values</w:t>
            </w:r>
          </w:p>
        </w:tc>
        <w:tc>
          <w:tcPr>
            <w:tcW w:w="16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E6EFFF"/>
          </w:tcPr>
          <w:p>
            <w:pPr>
              <w:jc w:val="right"/>
              <w:ind w:right="47"/>
              <w:spacing w:after="0"/>
              <w:rPr>
                <w:sz w:val="20"/>
                <w:szCs w:val="20"/>
                <w:color w:val="auto"/>
              </w:rPr>
            </w:pPr>
            <w:r>
              <w:rPr>
                <w:rFonts w:ascii="Arial" w:cs="Arial" w:eastAsia="Arial" w:hAnsi="Arial"/>
                <w:sz w:val="15"/>
                <w:szCs w:val="15"/>
                <w:color w:val="auto"/>
              </w:rPr>
              <w:t>614.3</w:t>
            </w:r>
          </w:p>
        </w:tc>
        <w:tc>
          <w:tcPr>
            <w:tcW w:w="380" w:type="dxa"/>
            <w:vAlign w:val="bottom"/>
            <w:shd w:val="clear" w:color="auto" w:fill="E6EFFF"/>
          </w:tcPr>
          <w:p>
            <w:pPr>
              <w:jc w:val="right"/>
              <w:ind w:right="125"/>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FFF"/>
          </w:tcPr>
          <w:p>
            <w:pPr>
              <w:jc w:val="right"/>
              <w:ind w:right="47"/>
              <w:spacing w:after="0"/>
              <w:rPr>
                <w:sz w:val="20"/>
                <w:szCs w:val="20"/>
                <w:color w:val="auto"/>
              </w:rPr>
            </w:pPr>
            <w:r>
              <w:rPr>
                <w:rFonts w:ascii="Arial" w:cs="Arial" w:eastAsia="Arial" w:hAnsi="Arial"/>
                <w:sz w:val="15"/>
                <w:szCs w:val="15"/>
                <w:color w:val="auto"/>
              </w:rPr>
              <w:t>444.2</w:t>
            </w:r>
          </w:p>
        </w:tc>
        <w:tc>
          <w:tcPr>
            <w:tcW w:w="40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343.1</w:t>
            </w:r>
          </w:p>
        </w:tc>
        <w:tc>
          <w:tcPr>
            <w:tcW w:w="2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E6EFFF"/>
          </w:tcPr>
          <w:p>
            <w:pPr>
              <w:jc w:val="right"/>
              <w:ind w:right="47"/>
              <w:spacing w:after="0"/>
              <w:rPr>
                <w:sz w:val="20"/>
                <w:szCs w:val="20"/>
                <w:color w:val="auto"/>
              </w:rPr>
            </w:pPr>
            <w:r>
              <w:rPr>
                <w:rFonts w:ascii="Arial" w:cs="Arial" w:eastAsia="Arial" w:hAnsi="Arial"/>
                <w:sz w:val="15"/>
                <w:szCs w:val="15"/>
                <w:color w:val="auto"/>
              </w:rPr>
              <w:t>206.0</w:t>
            </w:r>
          </w:p>
        </w:tc>
        <w:tc>
          <w:tcPr>
            <w:tcW w:w="28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147"/>
              <w:spacing w:after="0"/>
              <w:rPr>
                <w:sz w:val="20"/>
                <w:szCs w:val="20"/>
                <w:color w:val="auto"/>
              </w:rPr>
            </w:pPr>
            <w:r>
              <w:rPr>
                <w:rFonts w:ascii="Arial" w:cs="Arial" w:eastAsia="Arial" w:hAnsi="Arial"/>
                <w:sz w:val="15"/>
                <w:szCs w:val="15"/>
                <w:color w:val="auto"/>
              </w:rPr>
              <w:t>148.8</w:t>
            </w:r>
          </w:p>
        </w:tc>
      </w:tr>
      <w:tr>
        <w:trPr>
          <w:trHeight w:val="184"/>
        </w:trPr>
        <w:tc>
          <w:tcPr>
            <w:tcW w:w="5740" w:type="dxa"/>
            <w:vAlign w:val="bottom"/>
          </w:tcPr>
          <w:p>
            <w:pPr>
              <w:spacing w:after="0"/>
              <w:rPr>
                <w:sz w:val="20"/>
                <w:szCs w:val="20"/>
                <w:color w:val="auto"/>
              </w:rPr>
            </w:pPr>
            <w:r>
              <w:rPr>
                <w:rFonts w:ascii="Arial" w:cs="Arial" w:eastAsia="Arial" w:hAnsi="Arial"/>
                <w:sz w:val="15"/>
                <w:szCs w:val="15"/>
                <w:color w:val="auto"/>
              </w:rPr>
              <w:t>Carrying values</w:t>
            </w:r>
          </w:p>
        </w:tc>
        <w:tc>
          <w:tcPr>
            <w:tcW w:w="160" w:type="dxa"/>
            <w:vAlign w:val="bottom"/>
          </w:tcPr>
          <w:p>
            <w:pPr>
              <w:spacing w:after="0"/>
              <w:rPr>
                <w:sz w:val="15"/>
                <w:szCs w:val="15"/>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475.5</w:t>
            </w:r>
          </w:p>
        </w:tc>
        <w:tc>
          <w:tcPr>
            <w:tcW w:w="380" w:type="dxa"/>
            <w:vAlign w:val="bottom"/>
          </w:tcPr>
          <w:p>
            <w:pPr>
              <w:spacing w:after="0"/>
              <w:rPr>
                <w:sz w:val="15"/>
                <w:szCs w:val="15"/>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340.2</w:t>
            </w:r>
          </w:p>
        </w:tc>
        <w:tc>
          <w:tcPr>
            <w:tcW w:w="400" w:type="dxa"/>
            <w:vAlign w:val="bottom"/>
          </w:tcPr>
          <w:p>
            <w:pPr>
              <w:spacing w:after="0"/>
              <w:rPr>
                <w:sz w:val="15"/>
                <w:szCs w:val="15"/>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252.1</w:t>
            </w:r>
          </w:p>
        </w:tc>
        <w:tc>
          <w:tcPr>
            <w:tcW w:w="220" w:type="dxa"/>
            <w:vAlign w:val="bottom"/>
          </w:tcPr>
          <w:p>
            <w:pPr>
              <w:spacing w:after="0"/>
              <w:rPr>
                <w:sz w:val="15"/>
                <w:szCs w:val="15"/>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58.1</w:t>
            </w:r>
          </w:p>
        </w:tc>
        <w:tc>
          <w:tcPr>
            <w:tcW w:w="280" w:type="dxa"/>
            <w:vAlign w:val="bottom"/>
          </w:tcPr>
          <w:p>
            <w:pPr>
              <w:spacing w:after="0"/>
              <w:rPr>
                <w:sz w:val="15"/>
                <w:szCs w:val="15"/>
                <w:color w:val="auto"/>
              </w:rPr>
            </w:pPr>
          </w:p>
        </w:tc>
        <w:tc>
          <w:tcPr>
            <w:tcW w:w="940" w:type="dxa"/>
            <w:vAlign w:val="bottom"/>
          </w:tcPr>
          <w:p>
            <w:pPr>
              <w:jc w:val="right"/>
              <w:ind w:right="147"/>
              <w:spacing w:after="0"/>
              <w:rPr>
                <w:sz w:val="20"/>
                <w:szCs w:val="20"/>
                <w:color w:val="auto"/>
              </w:rPr>
            </w:pPr>
            <w:r>
              <w:rPr>
                <w:rFonts w:ascii="Arial" w:cs="Arial" w:eastAsia="Arial" w:hAnsi="Arial"/>
                <w:sz w:val="15"/>
                <w:szCs w:val="15"/>
                <w:color w:val="auto"/>
              </w:rPr>
              <w:t>92.9</w:t>
            </w:r>
          </w:p>
        </w:tc>
      </w:tr>
      <w:tr>
        <w:trPr>
          <w:trHeight w:val="184"/>
        </w:trPr>
        <w:tc>
          <w:tcPr>
            <w:tcW w:w="5740" w:type="dxa"/>
            <w:vAlign w:val="bottom"/>
            <w:shd w:val="clear" w:color="auto" w:fill="E6EFFF"/>
          </w:tcPr>
          <w:p>
            <w:pPr>
              <w:spacing w:after="0"/>
              <w:rPr>
                <w:sz w:val="20"/>
                <w:szCs w:val="20"/>
                <w:color w:val="auto"/>
              </w:rPr>
            </w:pPr>
            <w:r>
              <w:rPr>
                <w:rFonts w:ascii="Arial" w:cs="Arial" w:eastAsia="Arial" w:hAnsi="Arial"/>
                <w:sz w:val="15"/>
                <w:szCs w:val="15"/>
                <w:color w:val="auto"/>
              </w:rPr>
              <w:t>Sensitivity of estimated fair values:</w:t>
            </w:r>
          </w:p>
        </w:tc>
        <w:tc>
          <w:tcPr>
            <w:tcW w:w="16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c>
          <w:tcPr>
            <w:tcW w:w="380" w:type="dxa"/>
            <w:vAlign w:val="bottom"/>
            <w:shd w:val="clear" w:color="auto" w:fill="E6EFFF"/>
          </w:tcPr>
          <w:p>
            <w:pPr>
              <w:spacing w:after="0"/>
              <w:rPr>
                <w:sz w:val="15"/>
                <w:szCs w:val="15"/>
                <w:color w:val="auto"/>
              </w:rPr>
            </w:pPr>
          </w:p>
        </w:tc>
        <w:tc>
          <w:tcPr>
            <w:tcW w:w="740" w:type="dxa"/>
            <w:vAlign w:val="bottom"/>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70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2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r>
      <w:tr>
        <w:trPr>
          <w:trHeight w:val="175"/>
        </w:trPr>
        <w:tc>
          <w:tcPr>
            <w:tcW w:w="5740" w:type="dxa"/>
            <w:vAlign w:val="bottom"/>
          </w:tcPr>
          <w:p>
            <w:pPr>
              <w:ind w:left="140"/>
              <w:spacing w:after="0"/>
              <w:rPr>
                <w:sz w:val="20"/>
                <w:szCs w:val="20"/>
                <w:color w:val="auto"/>
              </w:rPr>
            </w:pPr>
            <w:r>
              <w:rPr>
                <w:rFonts w:ascii="Arial" w:cs="Arial" w:eastAsia="Arial" w:hAnsi="Arial"/>
                <w:sz w:val="15"/>
                <w:szCs w:val="15"/>
                <w:color w:val="auto"/>
              </w:rPr>
              <w:t>Estimated fair values in the event of a 1% reduction in earnings and revenue growth</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0"/>
        </w:trPr>
        <w:tc>
          <w:tcPr>
            <w:tcW w:w="5740" w:type="dxa"/>
            <w:vAlign w:val="bottom"/>
          </w:tcPr>
          <w:p>
            <w:pPr>
              <w:ind w:left="140"/>
              <w:spacing w:after="0" w:line="170" w:lineRule="exact"/>
              <w:rPr>
                <w:sz w:val="20"/>
                <w:szCs w:val="20"/>
                <w:color w:val="auto"/>
              </w:rPr>
            </w:pPr>
            <w:r>
              <w:rPr>
                <w:rFonts w:ascii="Arial" w:cs="Arial" w:eastAsia="Arial" w:hAnsi="Arial"/>
                <w:sz w:val="15"/>
                <w:szCs w:val="15"/>
                <w:color w:val="auto"/>
              </w:rPr>
              <w:t>rates</w:t>
            </w:r>
          </w:p>
        </w:tc>
        <w:tc>
          <w:tcPr>
            <w:tcW w:w="160" w:type="dxa"/>
            <w:vAlign w:val="bottom"/>
          </w:tcPr>
          <w:p>
            <w:pPr>
              <w:spacing w:after="0"/>
              <w:rPr>
                <w:sz w:val="14"/>
                <w:szCs w:val="14"/>
                <w:color w:val="auto"/>
              </w:rPr>
            </w:pPr>
          </w:p>
        </w:tc>
        <w:tc>
          <w:tcPr>
            <w:tcW w:w="960" w:type="dxa"/>
            <w:vAlign w:val="bottom"/>
          </w:tcPr>
          <w:p>
            <w:pPr>
              <w:jc w:val="right"/>
              <w:ind w:right="47"/>
              <w:spacing w:after="0" w:line="170" w:lineRule="exact"/>
              <w:rPr>
                <w:sz w:val="20"/>
                <w:szCs w:val="20"/>
                <w:color w:val="auto"/>
              </w:rPr>
            </w:pPr>
            <w:r>
              <w:rPr>
                <w:rFonts w:ascii="Arial" w:cs="Arial" w:eastAsia="Arial" w:hAnsi="Arial"/>
                <w:sz w:val="15"/>
                <w:szCs w:val="15"/>
                <w:color w:val="auto"/>
              </w:rPr>
              <w:t>522.8</w:t>
            </w:r>
          </w:p>
        </w:tc>
        <w:tc>
          <w:tcPr>
            <w:tcW w:w="380" w:type="dxa"/>
            <w:vAlign w:val="bottom"/>
          </w:tcPr>
          <w:p>
            <w:pPr>
              <w:spacing w:after="0"/>
              <w:rPr>
                <w:sz w:val="14"/>
                <w:szCs w:val="14"/>
                <w:color w:val="auto"/>
              </w:rPr>
            </w:pPr>
          </w:p>
        </w:tc>
        <w:tc>
          <w:tcPr>
            <w:tcW w:w="740" w:type="dxa"/>
            <w:vAlign w:val="bottom"/>
          </w:tcPr>
          <w:p>
            <w:pPr>
              <w:jc w:val="right"/>
              <w:ind w:right="47"/>
              <w:spacing w:after="0" w:line="170" w:lineRule="exact"/>
              <w:rPr>
                <w:sz w:val="20"/>
                <w:szCs w:val="20"/>
                <w:color w:val="auto"/>
              </w:rPr>
            </w:pPr>
            <w:r>
              <w:rPr>
                <w:rFonts w:ascii="Arial" w:cs="Arial" w:eastAsia="Arial" w:hAnsi="Arial"/>
                <w:sz w:val="15"/>
                <w:szCs w:val="15"/>
                <w:color w:val="auto"/>
              </w:rPr>
              <w:t>285.2</w:t>
            </w:r>
          </w:p>
        </w:tc>
        <w:tc>
          <w:tcPr>
            <w:tcW w:w="400" w:type="dxa"/>
            <w:vAlign w:val="bottom"/>
          </w:tcPr>
          <w:p>
            <w:pPr>
              <w:spacing w:after="0"/>
              <w:rPr>
                <w:sz w:val="14"/>
                <w:szCs w:val="14"/>
                <w:color w:val="auto"/>
              </w:rPr>
            </w:pPr>
          </w:p>
        </w:tc>
        <w:tc>
          <w:tcPr>
            <w:tcW w:w="700" w:type="dxa"/>
            <w:vAlign w:val="bottom"/>
          </w:tcPr>
          <w:p>
            <w:pPr>
              <w:jc w:val="right"/>
              <w:ind w:right="26"/>
              <w:spacing w:after="0" w:line="170" w:lineRule="exact"/>
              <w:rPr>
                <w:sz w:val="20"/>
                <w:szCs w:val="20"/>
                <w:color w:val="auto"/>
              </w:rPr>
            </w:pPr>
            <w:r>
              <w:rPr>
                <w:rFonts w:ascii="Arial" w:cs="Arial" w:eastAsia="Arial" w:hAnsi="Arial"/>
                <w:sz w:val="15"/>
                <w:szCs w:val="15"/>
                <w:color w:val="auto"/>
              </w:rPr>
              <w:t>220.1</w:t>
            </w:r>
          </w:p>
        </w:tc>
        <w:tc>
          <w:tcPr>
            <w:tcW w:w="220" w:type="dxa"/>
            <w:vAlign w:val="bottom"/>
          </w:tcPr>
          <w:p>
            <w:pPr>
              <w:spacing w:after="0"/>
              <w:rPr>
                <w:sz w:val="14"/>
                <w:szCs w:val="14"/>
                <w:color w:val="auto"/>
              </w:rPr>
            </w:pPr>
          </w:p>
        </w:tc>
        <w:tc>
          <w:tcPr>
            <w:tcW w:w="920" w:type="dxa"/>
            <w:vAlign w:val="bottom"/>
          </w:tcPr>
          <w:p>
            <w:pPr>
              <w:jc w:val="right"/>
              <w:ind w:right="47"/>
              <w:spacing w:after="0" w:line="170" w:lineRule="exact"/>
              <w:rPr>
                <w:sz w:val="20"/>
                <w:szCs w:val="20"/>
                <w:color w:val="auto"/>
              </w:rPr>
            </w:pPr>
            <w:r>
              <w:rPr>
                <w:rFonts w:ascii="Arial" w:cs="Arial" w:eastAsia="Arial" w:hAnsi="Arial"/>
                <w:sz w:val="15"/>
                <w:szCs w:val="15"/>
                <w:color w:val="auto"/>
              </w:rPr>
              <w:t>165.8</w:t>
            </w:r>
          </w:p>
        </w:tc>
        <w:tc>
          <w:tcPr>
            <w:tcW w:w="280" w:type="dxa"/>
            <w:vAlign w:val="bottom"/>
          </w:tcPr>
          <w:p>
            <w:pPr>
              <w:spacing w:after="0"/>
              <w:rPr>
                <w:sz w:val="14"/>
                <w:szCs w:val="14"/>
                <w:color w:val="auto"/>
              </w:rPr>
            </w:pPr>
          </w:p>
        </w:tc>
        <w:tc>
          <w:tcPr>
            <w:tcW w:w="940" w:type="dxa"/>
            <w:vAlign w:val="bottom"/>
          </w:tcPr>
          <w:p>
            <w:pPr>
              <w:jc w:val="right"/>
              <w:ind w:right="147"/>
              <w:spacing w:after="0" w:line="170" w:lineRule="exact"/>
              <w:rPr>
                <w:sz w:val="20"/>
                <w:szCs w:val="20"/>
                <w:color w:val="auto"/>
              </w:rPr>
            </w:pPr>
            <w:r>
              <w:rPr>
                <w:rFonts w:ascii="Arial" w:cs="Arial" w:eastAsia="Arial" w:hAnsi="Arial"/>
                <w:sz w:val="15"/>
                <w:szCs w:val="15"/>
                <w:color w:val="auto"/>
              </w:rPr>
              <w:t>124.1</w:t>
            </w:r>
          </w:p>
        </w:tc>
      </w:tr>
      <w:tr>
        <w:trPr>
          <w:trHeight w:val="175"/>
        </w:trPr>
        <w:tc>
          <w:tcPr>
            <w:tcW w:w="57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Estimated fair value in the event of a 1% increase in the market participant discount</w:t>
            </w:r>
          </w:p>
        </w:tc>
        <w:tc>
          <w:tcPr>
            <w:tcW w:w="16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c>
          <w:tcPr>
            <w:tcW w:w="380" w:type="dxa"/>
            <w:vAlign w:val="bottom"/>
            <w:shd w:val="clear" w:color="auto" w:fill="E6EFFF"/>
          </w:tcPr>
          <w:p>
            <w:pPr>
              <w:spacing w:after="0"/>
              <w:rPr>
                <w:sz w:val="15"/>
                <w:szCs w:val="15"/>
                <w:color w:val="auto"/>
              </w:rPr>
            </w:pPr>
          </w:p>
        </w:tc>
        <w:tc>
          <w:tcPr>
            <w:tcW w:w="740" w:type="dxa"/>
            <w:vAlign w:val="bottom"/>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70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2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r>
      <w:tr>
        <w:trPr>
          <w:trHeight w:val="173"/>
        </w:trPr>
        <w:tc>
          <w:tcPr>
            <w:tcW w:w="5740" w:type="dxa"/>
            <w:vAlign w:val="bottom"/>
            <w:tcBorders>
              <w:bottom w:val="single" w:sz="8" w:color="auto"/>
            </w:tcBorders>
            <w:shd w:val="clear" w:color="auto" w:fill="E6EFFF"/>
          </w:tcPr>
          <w:p>
            <w:pPr>
              <w:ind w:left="140"/>
              <w:spacing w:after="0" w:line="170" w:lineRule="exact"/>
              <w:rPr>
                <w:sz w:val="20"/>
                <w:szCs w:val="20"/>
                <w:color w:val="auto"/>
              </w:rPr>
            </w:pPr>
            <w:r>
              <w:rPr>
                <w:rFonts w:ascii="Arial" w:cs="Arial" w:eastAsia="Arial" w:hAnsi="Arial"/>
                <w:sz w:val="15"/>
                <w:szCs w:val="15"/>
                <w:color w:val="auto"/>
              </w:rPr>
              <w:t>rate</w:t>
            </w:r>
          </w:p>
        </w:tc>
        <w:tc>
          <w:tcPr>
            <w:tcW w:w="16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47"/>
              <w:spacing w:after="0" w:line="170" w:lineRule="exact"/>
              <w:rPr>
                <w:sz w:val="20"/>
                <w:szCs w:val="20"/>
                <w:color w:val="auto"/>
              </w:rPr>
            </w:pPr>
            <w:r>
              <w:rPr>
                <w:rFonts w:ascii="Arial" w:cs="Arial" w:eastAsia="Arial" w:hAnsi="Arial"/>
                <w:sz w:val="15"/>
                <w:szCs w:val="15"/>
                <w:color w:val="auto"/>
              </w:rPr>
              <w:t>558.4</w:t>
            </w:r>
          </w:p>
        </w:tc>
        <w:tc>
          <w:tcPr>
            <w:tcW w:w="380" w:type="dxa"/>
            <w:vAlign w:val="bottom"/>
            <w:tcBorders>
              <w:bottom w:val="single" w:sz="8" w:color="auto"/>
            </w:tcBorders>
            <w:shd w:val="clear" w:color="auto" w:fill="E6EFFF"/>
          </w:tcPr>
          <w:p>
            <w:pPr>
              <w:spacing w:after="0"/>
              <w:rPr>
                <w:sz w:val="15"/>
                <w:szCs w:val="15"/>
                <w:color w:val="auto"/>
              </w:rPr>
            </w:pPr>
          </w:p>
        </w:tc>
        <w:tc>
          <w:tcPr>
            <w:tcW w:w="740" w:type="dxa"/>
            <w:vAlign w:val="bottom"/>
            <w:tcBorders>
              <w:bottom w:val="single" w:sz="8" w:color="auto"/>
            </w:tcBorders>
            <w:shd w:val="clear" w:color="auto" w:fill="E6EFFF"/>
          </w:tcPr>
          <w:p>
            <w:pPr>
              <w:jc w:val="right"/>
              <w:ind w:right="47"/>
              <w:spacing w:after="0" w:line="170" w:lineRule="exact"/>
              <w:rPr>
                <w:sz w:val="20"/>
                <w:szCs w:val="20"/>
                <w:color w:val="auto"/>
              </w:rPr>
            </w:pPr>
            <w:r>
              <w:rPr>
                <w:rFonts w:ascii="Arial" w:cs="Arial" w:eastAsia="Arial" w:hAnsi="Arial"/>
                <w:sz w:val="15"/>
                <w:szCs w:val="15"/>
                <w:color w:val="auto"/>
              </w:rPr>
              <w:t>393.6</w:t>
            </w:r>
          </w:p>
        </w:tc>
        <w:tc>
          <w:tcPr>
            <w:tcW w:w="400" w:type="dxa"/>
            <w:vAlign w:val="bottom"/>
            <w:tcBorders>
              <w:bottom w:val="single" w:sz="8" w:color="auto"/>
            </w:tcBorders>
            <w:shd w:val="clear" w:color="auto" w:fill="E6EFFF"/>
          </w:tcPr>
          <w:p>
            <w:pPr>
              <w:spacing w:after="0"/>
              <w:rPr>
                <w:sz w:val="15"/>
                <w:szCs w:val="15"/>
                <w:color w:val="auto"/>
              </w:rPr>
            </w:pPr>
          </w:p>
        </w:tc>
        <w:tc>
          <w:tcPr>
            <w:tcW w:w="700" w:type="dxa"/>
            <w:vAlign w:val="bottom"/>
            <w:tcBorders>
              <w:bottom w:val="single" w:sz="8" w:color="auto"/>
            </w:tcBorders>
            <w:shd w:val="clear" w:color="auto" w:fill="E6EFFF"/>
          </w:tcPr>
          <w:p>
            <w:pPr>
              <w:jc w:val="right"/>
              <w:ind w:right="26"/>
              <w:spacing w:after="0" w:line="170" w:lineRule="exact"/>
              <w:rPr>
                <w:sz w:val="20"/>
                <w:szCs w:val="20"/>
                <w:color w:val="auto"/>
              </w:rPr>
            </w:pPr>
            <w:r>
              <w:rPr>
                <w:rFonts w:ascii="Arial" w:cs="Arial" w:eastAsia="Arial" w:hAnsi="Arial"/>
                <w:sz w:val="15"/>
                <w:szCs w:val="15"/>
                <w:color w:val="auto"/>
              </w:rPr>
              <w:t>304.7</w:t>
            </w:r>
          </w:p>
        </w:tc>
        <w:tc>
          <w:tcPr>
            <w:tcW w:w="22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47"/>
              <w:spacing w:after="0" w:line="170" w:lineRule="exact"/>
              <w:rPr>
                <w:sz w:val="20"/>
                <w:szCs w:val="20"/>
                <w:color w:val="auto"/>
              </w:rPr>
            </w:pPr>
            <w:r>
              <w:rPr>
                <w:rFonts w:ascii="Arial" w:cs="Arial" w:eastAsia="Arial" w:hAnsi="Arial"/>
                <w:sz w:val="15"/>
                <w:szCs w:val="15"/>
                <w:color w:val="auto"/>
              </w:rPr>
              <w:t>181.6</w:t>
            </w:r>
          </w:p>
        </w:tc>
        <w:tc>
          <w:tcPr>
            <w:tcW w:w="28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147"/>
              <w:spacing w:after="0" w:line="170" w:lineRule="exact"/>
              <w:rPr>
                <w:sz w:val="20"/>
                <w:szCs w:val="20"/>
                <w:color w:val="auto"/>
              </w:rPr>
            </w:pPr>
            <w:r>
              <w:rPr>
                <w:rFonts w:ascii="Arial" w:cs="Arial" w:eastAsia="Arial" w:hAnsi="Arial"/>
                <w:sz w:val="15"/>
                <w:szCs w:val="15"/>
                <w:color w:val="auto"/>
              </w:rPr>
              <w:t>136.3</w:t>
            </w:r>
          </w:p>
        </w:tc>
      </w:tr>
    </w:tbl>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If the reporting unit’s fair value is less than its carrying value, as was the case for Jefferson Wells in 2009 and Right Management in 2008, we are required to perform a second step. In the second step, we allocate the fair value of the reporting unit to all of the assets and liabilities of the reporting unit, including any unrecognized intangibles assets, in a “hypothetical” calculation to determine the implied fair value of the goodwill. The impairment charge, if any, is measured as the difference between the implied fair value of the goodwill and its carrying value.</w:t>
      </w:r>
    </w:p>
    <w:p>
      <w:pPr>
        <w:spacing w:after="0" w:line="183"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 There was no significant impairment of our indefinite-lived intangible assets recorded in 2009.</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We did not perform an interim impairment test of our goodwill and indefinite-lived intangible assets in the fourth quarter of 2009 as we noted no significant indicators of impairment as of December 31, 2009.</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goodwill and intangible asset impairment charge is non-cash in nature and does not impact our liquidity, cash flows provided by operating activities or future operations. (See Note 1 to the Consolidated Financial Statements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4D8ABE"/>
        </w:rPr>
        <w:t>Significant Matters Affecting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MARKET RISKS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We are exposed to the impact of foreign currency exchange rate fluctuations and interest rate changes.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b w:val="1"/>
          <w:bCs w:val="1"/>
          <w:color w:val="939598"/>
        </w:rPr>
        <w:t xml:space="preserve">Exchange Rates </w:t>
      </w:r>
      <w:r>
        <w:rPr>
          <w:rFonts w:ascii="Arial" w:cs="Arial" w:eastAsia="Arial" w:hAnsi="Arial"/>
          <w:sz w:val="15"/>
          <w:szCs w:val="15"/>
          <w:b w:val="1"/>
          <w:bCs w:val="1"/>
          <w:color w:val="000000"/>
        </w:rPr>
        <w:t>–</w:t>
      </w:r>
      <w:r>
        <w:rPr>
          <w:rFonts w:ascii="Arial" w:cs="Arial" w:eastAsia="Arial" w:hAnsi="Arial"/>
          <w:sz w:val="15"/>
          <w:szCs w:val="15"/>
          <w:b w:val="1"/>
          <w:bCs w:val="1"/>
          <w:color w:val="939598"/>
        </w:rPr>
        <w:t xml:space="preserve"> </w:t>
      </w:r>
      <w:r>
        <w:rPr>
          <w:rFonts w:ascii="Arial" w:cs="Arial" w:eastAsia="Arial" w:hAnsi="Arial"/>
          <w:sz w:val="15"/>
          <w:szCs w:val="15"/>
          <w:color w:val="000000"/>
        </w:rPr>
        <w:t>Our exposure to foreign currency exchange rates relates primarily to our foreign subsidiaries and our Euro-denominated borrowings. For our foreign</w:t>
      </w:r>
      <w:r>
        <w:rPr>
          <w:rFonts w:ascii="Arial" w:cs="Arial" w:eastAsia="Arial" w:hAnsi="Arial"/>
          <w:sz w:val="15"/>
          <w:szCs w:val="15"/>
          <w:b w:val="1"/>
          <w:bCs w:val="1"/>
          <w:color w:val="939598"/>
        </w:rPr>
        <w:t xml:space="preserve"> </w:t>
      </w:r>
      <w:r>
        <w:rPr>
          <w:rFonts w:ascii="Arial" w:cs="Arial" w:eastAsia="Arial" w:hAnsi="Arial"/>
          <w:sz w:val="15"/>
          <w:szCs w:val="15"/>
          <w:color w:val="000000"/>
        </w:rPr>
        <w:t>subsidiaries, exchange rates impact the U.S. Dollar value of our reported earnings, our investments in the subsidiaries and the intercompany transactions with the subsidiaries.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Approximately 87% of our revenues and profits are generated outside of the U.S., with approximately 49%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monthly weighted-average exchange rates for the year. Consequently, as the value of the U.S. Dollar changes relative to the currencies of our major markets, our reported results vary.</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Throughout 2009, the U.S. Dollar was volatile against many of the currencies of our major markets. Revenues from Services and Operating Profit in constant currency were approximately 4.6% and 0.2% higher than reported. If the U.S. Dollar had strengthened an additional 10% during 2009, Revenues from Services would have decreased by approximately 8.7% and Operating Profit would have decreased by approximately 17.0% from the amounts reported.</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(Loss). The U.S. Dollar weakened relative to many foreign currencies as of December 31, 2009 compared to December 31, 2008. Consequently, Shareholders’ Equity increased by $107.0 million as a result of the foreign currency translation during the year. If the U.S. Dollar had weakened an additional 10% as of December 31, 2009, resulting translation adjustments recorded in Shareholders’ Equity would have increased by approximately $288.7 million from the amounts reported.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U.S. for payment of license fees and interest expense on intercompany loans, working capital loans made between the U.S.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enter into a forward contract to hedge the transfer.</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As of December 31, 2009, there were £7.4 million ($12.0 million) of net forward contracts that relate to cash flows owed to our foreign subsidiaries in 2010. In addition, there were €6.9 million ($9.9 million) of net forward contracts outstanding relating to the interest due on our €200.0 million Notes and €300.0 million Notes in June 2010. Our forward contracts are not designated as hedges. Consequently, any gain or loss resulting from the change in fair value is recognized in the current period earnings.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As of December 31, 2009, we had $714.6 million of long-term borrowings denominated in Euros (€500.0 million) which have been designated as a hedge of our net investment in subsidiaries with the Euro-functional currency. Since our net investment in these subsidiaries exceeds the respective amount of the designated borrowings, all translation gains or losses related to these borrowings are included as a component of Accumulated Other Comprehensive Income (Loss). Shareholders’ Equity increased by $15.1 million, net of tax, due to changes in Accumulated Other Comprehensive Income (Loss) during the year due to the currency impact on these borrowings.</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36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72" w:name="page73"/>
    <w:bookmarkEnd w:id="72"/>
    <w:p>
      <w:pPr>
        <w:jc w:val="both"/>
        <w:ind w:left="8"/>
        <w:spacing w:after="0" w:line="244" w:lineRule="auto"/>
        <w:rPr>
          <w:sz w:val="20"/>
          <w:szCs w:val="20"/>
          <w:color w:val="auto"/>
        </w:rPr>
      </w:pPr>
      <w:r>
        <w:rPr>
          <w:rFonts w:ascii="Arial" w:cs="Arial" w:eastAsia="Arial" w:hAnsi="Arial"/>
          <w:sz w:val="15"/>
          <w:szCs w:val="15"/>
          <w:color w:val="auto"/>
        </w:rPr>
        <w:t>On January 7, 2010, Venezuela’s National Consumer Price Index for December 2009 was released, which noted that the cumulative three-year inflation rates for both of Venezuela’s inflation indices were over 100%. Under the current accounting guidance, since the country’s economy is considered highly inflationary, the functional currency of the foreign entity (Bolivar Fuerte) must be remeasured to the functional currency of the reporting entity (U.S. Dollar) effective January 1, 2010.</w:t>
      </w:r>
    </w:p>
    <w:p>
      <w:pPr>
        <w:spacing w:after="0" w:line="198" w:lineRule="exact"/>
        <w:rPr>
          <w:sz w:val="20"/>
          <w:szCs w:val="20"/>
          <w:color w:val="auto"/>
        </w:rPr>
      </w:pPr>
    </w:p>
    <w:p>
      <w:pPr>
        <w:jc w:val="both"/>
        <w:ind w:left="8"/>
        <w:spacing w:after="0" w:line="249" w:lineRule="auto"/>
        <w:rPr>
          <w:sz w:val="20"/>
          <w:szCs w:val="20"/>
          <w:color w:val="auto"/>
        </w:rPr>
      </w:pPr>
      <w:r>
        <w:rPr>
          <w:rFonts w:ascii="Arial" w:cs="Arial" w:eastAsia="Arial" w:hAnsi="Arial"/>
          <w:sz w:val="15"/>
          <w:szCs w:val="15"/>
          <w:color w:val="auto"/>
        </w:rPr>
        <w:t>In addition, the Venezuela government announced on January 8, 2010 that it was devaluing their currency in half as compared to the U.S. Dollar. As a result, we will be unfavorably impacted by these events during our first quarter of 2010. We do not expect this impact to be material.</w:t>
      </w:r>
    </w:p>
    <w:p>
      <w:pPr>
        <w:spacing w:after="0" w:line="176" w:lineRule="exact"/>
        <w:rPr>
          <w:sz w:val="20"/>
          <w:szCs w:val="20"/>
          <w:color w:val="auto"/>
        </w:rPr>
      </w:pPr>
    </w:p>
    <w:p>
      <w:pPr>
        <w:jc w:val="both"/>
        <w:ind w:left="8"/>
        <w:spacing w:after="0" w:line="257" w:lineRule="auto"/>
        <w:rPr>
          <w:sz w:val="20"/>
          <w:szCs w:val="20"/>
          <w:color w:val="auto"/>
        </w:rPr>
      </w:pPr>
      <w:r>
        <w:rPr>
          <w:rFonts w:ascii="Arial" w:cs="Arial" w:eastAsia="Arial" w:hAnsi="Arial"/>
          <w:sz w:val="15"/>
          <w:szCs w:val="15"/>
          <w:b w:val="1"/>
          <w:bCs w:val="1"/>
          <w:color w:val="939598"/>
        </w:rPr>
        <w:t xml:space="preserve">Interest Rates </w:t>
      </w:r>
      <w:r>
        <w:rPr>
          <w:rFonts w:ascii="Arial" w:cs="Arial" w:eastAsia="Arial" w:hAnsi="Arial"/>
          <w:sz w:val="15"/>
          <w:szCs w:val="15"/>
          <w:b w:val="1"/>
          <w:bCs w:val="1"/>
          <w:color w:val="000000"/>
        </w:rPr>
        <w:t>–</w:t>
      </w:r>
      <w:r>
        <w:rPr>
          <w:rFonts w:ascii="Arial" w:cs="Arial" w:eastAsia="Arial" w:hAnsi="Arial"/>
          <w:sz w:val="15"/>
          <w:szCs w:val="15"/>
          <w:b w:val="1"/>
          <w:bCs w:val="1"/>
          <w:color w:val="939598"/>
        </w:rPr>
        <w:t xml:space="preserve"> </w:t>
      </w:r>
      <w:r>
        <w:rPr>
          <w:rFonts w:ascii="Arial" w:cs="Arial" w:eastAsia="Arial" w:hAnsi="Arial"/>
          <w:sz w:val="15"/>
          <w:szCs w:val="15"/>
          <w:color w:val="000000"/>
        </w:rPr>
        <w:t>Our exposure to market risk for changes in interest rates relates primarily to our variable rate long-term debt obligations. We have historically managed</w:t>
      </w:r>
      <w:r>
        <w:rPr>
          <w:rFonts w:ascii="Arial" w:cs="Arial" w:eastAsia="Arial" w:hAnsi="Arial"/>
          <w:sz w:val="15"/>
          <w:szCs w:val="15"/>
          <w:b w:val="1"/>
          <w:bCs w:val="1"/>
          <w:color w:val="939598"/>
        </w:rPr>
        <w:t xml:space="preserve"> </w:t>
      </w:r>
      <w:r>
        <w:rPr>
          <w:rFonts w:ascii="Arial" w:cs="Arial" w:eastAsia="Arial" w:hAnsi="Arial"/>
          <w:sz w:val="15"/>
          <w:szCs w:val="15"/>
          <w:color w:val="000000"/>
        </w:rPr>
        <w:t>interest rates through the use of a combination of fixed- and variable-rate borrowings and interest rate swap agreements. As of December 31, 2009, we had the following fixed- and variable-rate borrowings:</w:t>
      </w:r>
    </w:p>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44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jc w:val="right"/>
              <w:ind w:right="147"/>
              <w:spacing w:after="0"/>
              <w:rPr>
                <w:sz w:val="20"/>
                <w:szCs w:val="20"/>
                <w:color w:val="auto"/>
              </w:rPr>
            </w:pPr>
            <w:r>
              <w:rPr>
                <w:rFonts w:ascii="Arial" w:cs="Arial" w:eastAsia="Arial" w:hAnsi="Arial"/>
                <w:sz w:val="14"/>
                <w:szCs w:val="14"/>
                <w:b w:val="1"/>
                <w:bCs w:val="1"/>
                <w:color w:val="4D8ABE"/>
              </w:rPr>
              <w:t>Weighted-</w:t>
            </w:r>
          </w:p>
        </w:tc>
      </w:tr>
      <w:tr>
        <w:trPr>
          <w:trHeight w:val="184"/>
        </w:trPr>
        <w:tc>
          <w:tcPr>
            <w:tcW w:w="44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jc w:val="right"/>
              <w:ind w:right="147"/>
              <w:spacing w:after="0"/>
              <w:rPr>
                <w:sz w:val="20"/>
                <w:szCs w:val="20"/>
                <w:color w:val="auto"/>
              </w:rPr>
            </w:pPr>
            <w:r>
              <w:rPr>
                <w:rFonts w:ascii="Arial" w:cs="Arial" w:eastAsia="Arial" w:hAnsi="Arial"/>
                <w:sz w:val="14"/>
                <w:szCs w:val="14"/>
                <w:b w:val="1"/>
                <w:bCs w:val="1"/>
                <w:color w:val="4D8ABE"/>
              </w:rPr>
              <w:t>Average</w:t>
            </w:r>
          </w:p>
        </w:tc>
      </w:tr>
      <w:tr>
        <w:trPr>
          <w:trHeight w:val="201"/>
        </w:trPr>
        <w:tc>
          <w:tcPr>
            <w:tcW w:w="442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(in millions)</w:t>
            </w:r>
          </w:p>
        </w:tc>
        <w:tc>
          <w:tcPr>
            <w:tcW w:w="4160" w:type="dxa"/>
            <w:vAlign w:val="bottom"/>
            <w:tcBorders>
              <w:bottom w:val="single" w:sz="8" w:color="4D8ABE"/>
            </w:tcBorders>
          </w:tcPr>
          <w:p>
            <w:pPr>
              <w:spacing w:after="0"/>
              <w:rPr>
                <w:sz w:val="17"/>
                <w:szCs w:val="17"/>
                <w:color w:val="auto"/>
              </w:rPr>
            </w:pPr>
          </w:p>
        </w:tc>
        <w:tc>
          <w:tcPr>
            <w:tcW w:w="1340" w:type="dxa"/>
            <w:vAlign w:val="bottom"/>
            <w:tcBorders>
              <w:bottom w:val="single" w:sz="8" w:color="4D8ABE"/>
            </w:tcBorders>
          </w:tcPr>
          <w:p>
            <w:pPr>
              <w:jc w:val="right"/>
              <w:ind w:right="325"/>
              <w:spacing w:after="0"/>
              <w:rPr>
                <w:sz w:val="20"/>
                <w:szCs w:val="20"/>
                <w:color w:val="auto"/>
              </w:rPr>
            </w:pPr>
            <w:r>
              <w:rPr>
                <w:rFonts w:ascii="Arial" w:cs="Arial" w:eastAsia="Arial" w:hAnsi="Arial"/>
                <w:sz w:val="14"/>
                <w:szCs w:val="14"/>
                <w:b w:val="1"/>
                <w:bCs w:val="1"/>
                <w:color w:val="4D8ABE"/>
              </w:rPr>
              <w:t>Amount</w:t>
            </w:r>
          </w:p>
        </w:tc>
        <w:tc>
          <w:tcPr>
            <w:tcW w:w="1520" w:type="dxa"/>
            <w:vAlign w:val="bottom"/>
            <w:tcBorders>
              <w:bottom w:val="single" w:sz="8" w:color="4D8ABE"/>
            </w:tcBorders>
          </w:tcPr>
          <w:p>
            <w:pPr>
              <w:jc w:val="right"/>
              <w:ind w:right="127"/>
              <w:spacing w:after="0" w:line="202" w:lineRule="exact"/>
              <w:rPr>
                <w:sz w:val="20"/>
                <w:szCs w:val="20"/>
                <w:color w:val="auto"/>
              </w:rPr>
            </w:pPr>
            <w:r>
              <w:rPr>
                <w:rFonts w:ascii="Arial" w:cs="Arial" w:eastAsia="Arial" w:hAnsi="Arial"/>
                <w:sz w:val="14"/>
                <w:szCs w:val="14"/>
                <w:b w:val="1"/>
                <w:bCs w:val="1"/>
                <w:color w:val="4D8ABE"/>
              </w:rPr>
              <w:t>Interest Rate</w:t>
            </w:r>
            <w:r>
              <w:rPr>
                <w:rFonts w:ascii="Arial" w:cs="Arial" w:eastAsia="Arial" w:hAnsi="Arial"/>
                <w:sz w:val="19"/>
                <w:szCs w:val="19"/>
                <w:b w:val="1"/>
                <w:bCs w:val="1"/>
                <w:color w:val="4D8ABE"/>
                <w:vertAlign w:val="superscript"/>
              </w:rPr>
              <w:t>(1)</w:t>
            </w:r>
          </w:p>
        </w:tc>
      </w:tr>
      <w:tr>
        <w:trPr>
          <w:trHeight w:val="175"/>
        </w:trPr>
        <w:tc>
          <w:tcPr>
            <w:tcW w:w="4420" w:type="dxa"/>
            <w:vAlign w:val="bottom"/>
            <w:shd w:val="clear" w:color="auto" w:fill="E6EFFF"/>
          </w:tcPr>
          <w:p>
            <w:pPr>
              <w:spacing w:after="0"/>
              <w:rPr>
                <w:sz w:val="20"/>
                <w:szCs w:val="20"/>
                <w:color w:val="auto"/>
              </w:rPr>
            </w:pPr>
            <w:r>
              <w:rPr>
                <w:rFonts w:ascii="Arial" w:cs="Arial" w:eastAsia="Arial" w:hAnsi="Arial"/>
                <w:sz w:val="15"/>
                <w:szCs w:val="15"/>
                <w:color w:val="auto"/>
              </w:rPr>
              <w:t>Variable</w:t>
            </w:r>
          </w:p>
        </w:tc>
        <w:tc>
          <w:tcPr>
            <w:tcW w:w="4160" w:type="dxa"/>
            <w:vAlign w:val="bottom"/>
            <w:shd w:val="clear" w:color="auto" w:fill="E6EFFF"/>
          </w:tcPr>
          <w:p>
            <w:pPr>
              <w:jc w:val="right"/>
              <w:ind w:right="363"/>
              <w:spacing w:after="0"/>
              <w:rPr>
                <w:sz w:val="20"/>
                <w:szCs w:val="20"/>
                <w:color w:val="auto"/>
              </w:rPr>
            </w:pPr>
            <w:r>
              <w:rPr>
                <w:rFonts w:ascii="Arial" w:cs="Arial" w:eastAsia="Arial" w:hAnsi="Arial"/>
                <w:sz w:val="15"/>
                <w:szCs w:val="15"/>
                <w:color w:val="auto"/>
              </w:rPr>
              <w:t>$</w:t>
            </w:r>
          </w:p>
        </w:tc>
        <w:tc>
          <w:tcPr>
            <w:tcW w:w="1340" w:type="dxa"/>
            <w:vAlign w:val="bottom"/>
            <w:shd w:val="clear" w:color="auto" w:fill="E6EFFF"/>
          </w:tcPr>
          <w:p>
            <w:pPr>
              <w:jc w:val="right"/>
              <w:ind w:right="325"/>
              <w:spacing w:after="0"/>
              <w:rPr>
                <w:sz w:val="20"/>
                <w:szCs w:val="20"/>
                <w:color w:val="auto"/>
              </w:rPr>
            </w:pPr>
            <w:r>
              <w:rPr>
                <w:rFonts w:ascii="Arial" w:cs="Arial" w:eastAsia="Arial" w:hAnsi="Arial"/>
                <w:sz w:val="15"/>
                <w:szCs w:val="15"/>
                <w:color w:val="auto"/>
              </w:rPr>
              <w:t>41.3</w:t>
            </w:r>
          </w:p>
        </w:tc>
        <w:tc>
          <w:tcPr>
            <w:tcW w:w="1520" w:type="dxa"/>
            <w:vAlign w:val="bottom"/>
            <w:shd w:val="clear" w:color="auto" w:fill="E6EFFF"/>
          </w:tcPr>
          <w:p>
            <w:pPr>
              <w:jc w:val="right"/>
              <w:ind w:right="147"/>
              <w:spacing w:after="0"/>
              <w:rPr>
                <w:sz w:val="20"/>
                <w:szCs w:val="20"/>
                <w:color w:val="auto"/>
              </w:rPr>
            </w:pPr>
            <w:r>
              <w:rPr>
                <w:rFonts w:ascii="Arial" w:cs="Arial" w:eastAsia="Arial" w:hAnsi="Arial"/>
                <w:sz w:val="15"/>
                <w:szCs w:val="15"/>
                <w:color w:val="auto"/>
              </w:rPr>
              <w:t>8.10%</w:t>
            </w:r>
          </w:p>
        </w:tc>
      </w:tr>
      <w:tr>
        <w:trPr>
          <w:trHeight w:val="184"/>
        </w:trPr>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Fixed</w:t>
            </w:r>
          </w:p>
        </w:tc>
        <w:tc>
          <w:tcPr>
            <w:tcW w:w="4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rPr>
              <w:t>716.0</w:t>
            </w:r>
          </w:p>
        </w:tc>
        <w:tc>
          <w:tcPr>
            <w:tcW w:w="15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4.56%</w:t>
            </w:r>
          </w:p>
        </w:tc>
      </w:tr>
      <w:tr>
        <w:trPr>
          <w:trHeight w:val="178"/>
        </w:trPr>
        <w:tc>
          <w:tcPr>
            <w:tcW w:w="44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Total</w:t>
            </w:r>
          </w:p>
        </w:tc>
        <w:tc>
          <w:tcPr>
            <w:tcW w:w="4160" w:type="dxa"/>
            <w:vAlign w:val="bottom"/>
            <w:tcBorders>
              <w:bottom w:val="single" w:sz="8" w:color="auto"/>
            </w:tcBorders>
            <w:shd w:val="clear" w:color="auto" w:fill="E6EFFF"/>
          </w:tcPr>
          <w:p>
            <w:pPr>
              <w:jc w:val="right"/>
              <w:ind w:right="36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E6EFFF"/>
          </w:tcPr>
          <w:p>
            <w:pPr>
              <w:jc w:val="right"/>
              <w:ind w:right="325"/>
              <w:spacing w:after="0"/>
              <w:rPr>
                <w:sz w:val="20"/>
                <w:szCs w:val="20"/>
                <w:color w:val="auto"/>
              </w:rPr>
            </w:pPr>
            <w:r>
              <w:rPr>
                <w:rFonts w:ascii="Arial" w:cs="Arial" w:eastAsia="Arial" w:hAnsi="Arial"/>
                <w:sz w:val="15"/>
                <w:szCs w:val="15"/>
                <w:color w:val="auto"/>
              </w:rPr>
              <w:t>757.3</w:t>
            </w:r>
          </w:p>
        </w:tc>
        <w:tc>
          <w:tcPr>
            <w:tcW w:w="1520" w:type="dxa"/>
            <w:vAlign w:val="bottom"/>
            <w:tcBorders>
              <w:bottom w:val="single" w:sz="8" w:color="auto"/>
            </w:tcBorders>
            <w:shd w:val="clear" w:color="auto" w:fill="E6EFFF"/>
          </w:tcPr>
          <w:p>
            <w:pPr>
              <w:jc w:val="right"/>
              <w:ind w:right="147"/>
              <w:spacing w:after="0"/>
              <w:rPr>
                <w:sz w:val="20"/>
                <w:szCs w:val="20"/>
                <w:color w:val="auto"/>
              </w:rPr>
            </w:pPr>
            <w:r>
              <w:rPr>
                <w:rFonts w:ascii="Arial" w:cs="Arial" w:eastAsia="Arial" w:hAnsi="Arial"/>
                <w:sz w:val="15"/>
                <w:szCs w:val="15"/>
                <w:color w:val="auto"/>
              </w:rPr>
              <w:t>4.75%</w:t>
            </w:r>
          </w:p>
        </w:tc>
      </w:tr>
    </w:tbl>
    <w:p>
      <w:pPr>
        <w:spacing w:after="0" w:line="4" w:lineRule="exact"/>
        <w:rPr>
          <w:sz w:val="20"/>
          <w:szCs w:val="20"/>
          <w:color w:val="auto"/>
        </w:rPr>
      </w:pPr>
    </w:p>
    <w:p>
      <w:pPr>
        <w:ind w:left="8"/>
        <w:spacing w:after="0"/>
        <w:rPr>
          <w:sz w:val="20"/>
          <w:szCs w:val="20"/>
          <w:color w:val="auto"/>
        </w:rPr>
      </w:pPr>
      <w:r>
        <w:rPr>
          <w:rFonts w:ascii="Arial" w:cs="Arial" w:eastAsia="Arial" w:hAnsi="Arial"/>
          <w:sz w:val="12"/>
          <w:szCs w:val="12"/>
          <w:color w:val="auto"/>
        </w:rPr>
        <w:t>(1) The rates are impacted by currency exchange rate movements.</w:t>
      </w:r>
    </w:p>
    <w:p>
      <w:pPr>
        <w:spacing w:after="0" w:line="202" w:lineRule="exact"/>
        <w:rPr>
          <w:sz w:val="20"/>
          <w:szCs w:val="20"/>
          <w:color w:val="auto"/>
        </w:rPr>
      </w:pPr>
    </w:p>
    <w:p>
      <w:pPr>
        <w:jc w:val="both"/>
        <w:ind w:left="8"/>
        <w:spacing w:after="0" w:line="256" w:lineRule="auto"/>
        <w:rPr>
          <w:sz w:val="20"/>
          <w:szCs w:val="20"/>
          <w:color w:val="auto"/>
        </w:rPr>
      </w:pPr>
      <w:r>
        <w:rPr>
          <w:rFonts w:ascii="Arial" w:cs="Arial" w:eastAsia="Arial" w:hAnsi="Arial"/>
          <w:sz w:val="15"/>
          <w:szCs w:val="15"/>
          <w:color w:val="auto"/>
        </w:rPr>
        <w:t>Prior to the fourth quarter of 2009, we had various interest rate swap agreements in order to fix our interest costs on our €100.0 million Euro-denominated variable rate borrowings. We repaid the borrowings and terminated the related interest rate swap agreements in the fourth quarter of 2009.</w:t>
      </w:r>
    </w:p>
    <w:p>
      <w:pPr>
        <w:spacing w:after="0" w:line="166"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5"/>
          <w:szCs w:val="15"/>
          <w:b w:val="1"/>
          <w:bCs w:val="1"/>
          <w:color w:val="939598"/>
        </w:rPr>
        <w:t xml:space="preserve">Sensitivity Analysis </w:t>
      </w:r>
      <w:r>
        <w:rPr>
          <w:rFonts w:ascii="Arial" w:cs="Arial" w:eastAsia="Arial" w:hAnsi="Arial"/>
          <w:sz w:val="14"/>
          <w:szCs w:val="14"/>
          <w:b w:val="1"/>
          <w:bCs w:val="1"/>
          <w:color w:val="000000"/>
        </w:rPr>
        <w:t>–</w:t>
      </w:r>
      <w:r>
        <w:rPr>
          <w:rFonts w:ascii="Arial" w:cs="Arial" w:eastAsia="Arial" w:hAnsi="Arial"/>
          <w:sz w:val="15"/>
          <w:szCs w:val="15"/>
          <w:b w:val="1"/>
          <w:bCs w:val="1"/>
          <w:color w:val="939598"/>
        </w:rPr>
        <w:t xml:space="preserve"> </w:t>
      </w:r>
      <w:r>
        <w:rPr>
          <w:rFonts w:ascii="Arial" w:cs="Arial" w:eastAsia="Arial" w:hAnsi="Arial"/>
          <w:sz w:val="14"/>
          <w:szCs w:val="14"/>
          <w:color w:val="000000"/>
        </w:rPr>
        <w:t>The following table summarizes our debt and derivative instruments that are sensitive to foreign currency exchange rate and interest rate</w:t>
      </w:r>
      <w:r>
        <w:rPr>
          <w:rFonts w:ascii="Arial" w:cs="Arial" w:eastAsia="Arial" w:hAnsi="Arial"/>
          <w:sz w:val="15"/>
          <w:szCs w:val="15"/>
          <w:b w:val="1"/>
          <w:bCs w:val="1"/>
          <w:color w:val="939598"/>
        </w:rPr>
        <w:t xml:space="preserve"> </w:t>
      </w:r>
      <w:r>
        <w:rPr>
          <w:rFonts w:ascii="Arial" w:cs="Arial" w:eastAsia="Arial" w:hAnsi="Arial"/>
          <w:sz w:val="14"/>
          <w:szCs w:val="14"/>
          <w:color w:val="000000"/>
        </w:rPr>
        <w:t>movements. All computations below are based on the U.S. Dollar spot rate as of December 31, 2009. The exchange rate computations assume a 10% appreciation or 10% depreciation of the Euro and British Pound to the U.S. Dollar.</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The hypothetical impact on 2009 earnings and Accumulated Other Comprehensive </w:t>
      </w:r>
      <w:r>
        <w:rPr>
          <w:rFonts w:ascii="Arial" w:cs="Arial" w:eastAsia="Arial" w:hAnsi="Arial"/>
          <w:sz w:val="14"/>
          <w:szCs w:val="14"/>
          <w:color w:val="auto"/>
        </w:rPr>
        <w:t>Income (Loss) of the stated change in rates is as follows:</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147"/>
              <w:spacing w:after="0"/>
              <w:rPr>
                <w:sz w:val="20"/>
                <w:szCs w:val="20"/>
                <w:color w:val="auto"/>
              </w:rPr>
            </w:pPr>
            <w:r>
              <w:rPr>
                <w:rFonts w:ascii="Arial" w:cs="Arial" w:eastAsia="Arial" w:hAnsi="Arial"/>
                <w:sz w:val="14"/>
                <w:szCs w:val="14"/>
                <w:b w:val="1"/>
                <w:bCs w:val="1"/>
                <w:color w:val="4D8ABE"/>
              </w:rPr>
              <w:t>Movements In</w:t>
            </w:r>
          </w:p>
        </w:tc>
      </w:tr>
      <w:tr>
        <w:trPr>
          <w:trHeight w:val="193"/>
        </w:trPr>
        <w:tc>
          <w:tcPr>
            <w:tcW w:w="528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(in millions)</w:t>
            </w:r>
          </w:p>
        </w:tc>
        <w:tc>
          <w:tcPr>
            <w:tcW w:w="2980" w:type="dxa"/>
            <w:vAlign w:val="bottom"/>
            <w:tcBorders>
              <w:bottom w:val="single" w:sz="8" w:color="4D8ABE"/>
            </w:tcBorders>
          </w:tcPr>
          <w:p>
            <w:pPr>
              <w:spacing w:after="0"/>
              <w:rPr>
                <w:sz w:val="16"/>
                <w:szCs w:val="16"/>
                <w:color w:val="auto"/>
              </w:rPr>
            </w:pPr>
          </w:p>
        </w:tc>
        <w:tc>
          <w:tcPr>
            <w:tcW w:w="1440" w:type="dxa"/>
            <w:vAlign w:val="bottom"/>
            <w:tcBorders>
              <w:bottom w:val="single" w:sz="8" w:color="4D8ABE"/>
            </w:tcBorders>
          </w:tcPr>
          <w:p>
            <w:pPr>
              <w:spacing w:after="0"/>
              <w:rPr>
                <w:sz w:val="16"/>
                <w:szCs w:val="16"/>
                <w:color w:val="auto"/>
              </w:rPr>
            </w:pPr>
          </w:p>
        </w:tc>
        <w:tc>
          <w:tcPr>
            <w:tcW w:w="240" w:type="dxa"/>
            <w:vAlign w:val="bottom"/>
            <w:tcBorders>
              <w:bottom w:val="single" w:sz="8" w:color="4D8ABE"/>
            </w:tcBorders>
          </w:tcPr>
          <w:p>
            <w:pPr>
              <w:spacing w:after="0"/>
              <w:rPr>
                <w:sz w:val="16"/>
                <w:szCs w:val="16"/>
                <w:color w:val="auto"/>
              </w:rPr>
            </w:pPr>
          </w:p>
        </w:tc>
        <w:tc>
          <w:tcPr>
            <w:tcW w:w="1500" w:type="dxa"/>
            <w:vAlign w:val="bottom"/>
            <w:tcBorders>
              <w:bottom w:val="single" w:sz="8" w:color="4D8ABE"/>
            </w:tcBorders>
          </w:tcPr>
          <w:p>
            <w:pPr>
              <w:jc w:val="right"/>
              <w:ind w:right="147"/>
              <w:spacing w:after="0"/>
              <w:rPr>
                <w:sz w:val="20"/>
                <w:szCs w:val="20"/>
                <w:color w:val="auto"/>
              </w:rPr>
            </w:pPr>
            <w:r>
              <w:rPr>
                <w:rFonts w:ascii="Arial" w:cs="Arial" w:eastAsia="Arial" w:hAnsi="Arial"/>
                <w:sz w:val="14"/>
                <w:szCs w:val="14"/>
                <w:b w:val="1"/>
                <w:bCs w:val="1"/>
                <w:color w:val="4D8ABE"/>
              </w:rPr>
              <w:t>Exchange Rates</w:t>
            </w:r>
          </w:p>
        </w:tc>
      </w:tr>
      <w:tr>
        <w:trPr>
          <w:trHeight w:val="182"/>
        </w:trPr>
        <w:tc>
          <w:tcPr>
            <w:tcW w:w="528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Market Sensitive Instrument</w:t>
            </w:r>
          </w:p>
        </w:tc>
        <w:tc>
          <w:tcPr>
            <w:tcW w:w="2980" w:type="dxa"/>
            <w:vAlign w:val="bottom"/>
            <w:tcBorders>
              <w:bottom w:val="single" w:sz="8" w:color="4D8ABE"/>
            </w:tcBorders>
          </w:tcPr>
          <w:p>
            <w:pPr>
              <w:spacing w:after="0"/>
              <w:rPr>
                <w:sz w:val="15"/>
                <w:szCs w:val="15"/>
                <w:color w:val="auto"/>
              </w:rPr>
            </w:pPr>
          </w:p>
        </w:tc>
        <w:tc>
          <w:tcPr>
            <w:tcW w:w="1440" w:type="dxa"/>
            <w:vAlign w:val="bottom"/>
            <w:tcBorders>
              <w:bottom w:val="single" w:sz="8" w:color="4D8ABE"/>
            </w:tcBorders>
          </w:tcPr>
          <w:p>
            <w:pPr>
              <w:jc w:val="right"/>
              <w:ind w:right="106"/>
              <w:spacing w:after="0"/>
              <w:rPr>
                <w:sz w:val="20"/>
                <w:szCs w:val="20"/>
                <w:color w:val="auto"/>
              </w:rPr>
            </w:pPr>
            <w:r>
              <w:rPr>
                <w:rFonts w:ascii="Arial" w:cs="Arial" w:eastAsia="Arial" w:hAnsi="Arial"/>
                <w:sz w:val="14"/>
                <w:szCs w:val="14"/>
                <w:b w:val="1"/>
                <w:bCs w:val="1"/>
                <w:color w:val="4D8ABE"/>
              </w:rPr>
              <w:t>10% Depreciation</w:t>
            </w:r>
          </w:p>
        </w:tc>
        <w:tc>
          <w:tcPr>
            <w:tcW w:w="240" w:type="dxa"/>
            <w:vAlign w:val="bottom"/>
            <w:tcBorders>
              <w:bottom w:val="single" w:sz="8" w:color="4D8ABE"/>
            </w:tcBorders>
          </w:tcPr>
          <w:p>
            <w:pPr>
              <w:spacing w:after="0"/>
              <w:rPr>
                <w:sz w:val="15"/>
                <w:szCs w:val="15"/>
                <w:color w:val="auto"/>
              </w:rPr>
            </w:pPr>
          </w:p>
        </w:tc>
        <w:tc>
          <w:tcPr>
            <w:tcW w:w="1500" w:type="dxa"/>
            <w:vAlign w:val="bottom"/>
            <w:tcBorders>
              <w:bottom w:val="single" w:sz="8" w:color="4D8ABE"/>
            </w:tcBorders>
          </w:tcPr>
          <w:p>
            <w:pPr>
              <w:jc w:val="right"/>
              <w:ind w:right="147"/>
              <w:spacing w:after="0"/>
              <w:rPr>
                <w:sz w:val="20"/>
                <w:szCs w:val="20"/>
                <w:color w:val="auto"/>
              </w:rPr>
            </w:pPr>
            <w:r>
              <w:rPr>
                <w:rFonts w:ascii="Arial" w:cs="Arial" w:eastAsia="Arial" w:hAnsi="Arial"/>
                <w:sz w:val="14"/>
                <w:szCs w:val="14"/>
                <w:b w:val="1"/>
                <w:bCs w:val="1"/>
                <w:color w:val="4D8ABE"/>
              </w:rPr>
              <w:t>10% Appreciation</w:t>
            </w:r>
          </w:p>
        </w:tc>
      </w:tr>
      <w:tr>
        <w:trPr>
          <w:trHeight w:val="177"/>
        </w:trPr>
        <w:tc>
          <w:tcPr>
            <w:tcW w:w="528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Euro notes:</w:t>
            </w:r>
          </w:p>
        </w:tc>
        <w:tc>
          <w:tcPr>
            <w:tcW w:w="2980" w:type="dxa"/>
            <w:vAlign w:val="bottom"/>
            <w:shd w:val="clear" w:color="auto" w:fill="E6EFFF"/>
          </w:tcPr>
          <w:p>
            <w:pPr>
              <w:spacing w:after="0"/>
              <w:rPr>
                <w:sz w:val="15"/>
                <w:szCs w:val="15"/>
                <w:color w:val="auto"/>
              </w:rPr>
            </w:pPr>
          </w:p>
        </w:tc>
        <w:tc>
          <w:tcPr>
            <w:tcW w:w="1440" w:type="dxa"/>
            <w:vAlign w:val="bottom"/>
            <w:shd w:val="clear" w:color="auto" w:fill="E6EFFF"/>
          </w:tcPr>
          <w:p>
            <w:pPr>
              <w:spacing w:after="0"/>
              <w:rPr>
                <w:sz w:val="15"/>
                <w:szCs w:val="15"/>
                <w:color w:val="auto"/>
              </w:rPr>
            </w:pPr>
          </w:p>
        </w:tc>
        <w:tc>
          <w:tcPr>
            <w:tcW w:w="240" w:type="dxa"/>
            <w:vAlign w:val="bottom"/>
            <w:shd w:val="clear" w:color="auto" w:fill="E6EFFF"/>
          </w:tcPr>
          <w:p>
            <w:pPr>
              <w:spacing w:after="0"/>
              <w:rPr>
                <w:sz w:val="15"/>
                <w:szCs w:val="15"/>
                <w:color w:val="auto"/>
              </w:rPr>
            </w:pPr>
          </w:p>
        </w:tc>
        <w:tc>
          <w:tcPr>
            <w:tcW w:w="1500" w:type="dxa"/>
            <w:vAlign w:val="bottom"/>
            <w:shd w:val="clear" w:color="auto" w:fill="E6EFFF"/>
          </w:tcPr>
          <w:p>
            <w:pPr>
              <w:spacing w:after="0"/>
              <w:rPr>
                <w:sz w:val="15"/>
                <w:szCs w:val="15"/>
                <w:color w:val="auto"/>
              </w:rPr>
            </w:pPr>
          </w:p>
        </w:tc>
      </w:tr>
      <w:tr>
        <w:trPr>
          <w:trHeight w:val="172"/>
        </w:trPr>
        <w:tc>
          <w:tcPr>
            <w:tcW w:w="5280" w:type="dxa"/>
            <w:vAlign w:val="bottom"/>
          </w:tcPr>
          <w:p>
            <w:pPr>
              <w:ind w:left="140"/>
              <w:spacing w:after="0"/>
              <w:rPr>
                <w:sz w:val="20"/>
                <w:szCs w:val="20"/>
                <w:color w:val="auto"/>
              </w:rPr>
            </w:pPr>
            <w:r>
              <w:rPr>
                <w:rFonts w:ascii="Arial" w:cs="Arial" w:eastAsia="Arial" w:hAnsi="Arial"/>
                <w:sz w:val="15"/>
                <w:szCs w:val="15"/>
                <w:color w:val="auto"/>
              </w:rPr>
              <w:t>€200, 4.86% Notes due June 2013</w:t>
            </w:r>
          </w:p>
        </w:tc>
        <w:tc>
          <w:tcPr>
            <w:tcW w:w="2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73" w:lineRule="exact"/>
              <w:rPr>
                <w:sz w:val="20"/>
                <w:szCs w:val="20"/>
                <w:color w:val="auto"/>
              </w:rPr>
            </w:pPr>
            <w:r>
              <w:rPr>
                <w:rFonts w:ascii="Arial" w:cs="Arial" w:eastAsia="Arial" w:hAnsi="Arial"/>
                <w:sz w:val="14"/>
                <w:szCs w:val="14"/>
                <w:color w:val="auto"/>
              </w:rPr>
              <w:t>28.6</w:t>
            </w:r>
            <w:r>
              <w:rPr>
                <w:rFonts w:ascii="Arial" w:cs="Arial" w:eastAsia="Arial" w:hAnsi="Arial"/>
                <w:sz w:val="19"/>
                <w:szCs w:val="19"/>
                <w:color w:val="auto"/>
                <w:vertAlign w:val="superscript"/>
              </w:rPr>
              <w:t>(1)</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line="173" w:lineRule="exact"/>
              <w:rPr>
                <w:sz w:val="20"/>
                <w:szCs w:val="20"/>
                <w:color w:val="auto"/>
              </w:rPr>
            </w:pPr>
            <w:r>
              <w:rPr>
                <w:rFonts w:ascii="Arial" w:cs="Arial" w:eastAsia="Arial" w:hAnsi="Arial"/>
                <w:sz w:val="14"/>
                <w:szCs w:val="14"/>
                <w:color w:val="auto"/>
              </w:rPr>
              <w:t>(28.6)</w:t>
            </w:r>
            <w:r>
              <w:rPr>
                <w:rFonts w:ascii="Arial" w:cs="Arial" w:eastAsia="Arial" w:hAnsi="Arial"/>
                <w:sz w:val="19"/>
                <w:szCs w:val="19"/>
                <w:color w:val="auto"/>
                <w:vertAlign w:val="superscript"/>
              </w:rPr>
              <w:t>(1)</w:t>
            </w:r>
          </w:p>
        </w:tc>
      </w:tr>
      <w:tr>
        <w:trPr>
          <w:trHeight w:val="184"/>
        </w:trPr>
        <w:tc>
          <w:tcPr>
            <w:tcW w:w="5280" w:type="dxa"/>
            <w:vAlign w:val="bottom"/>
            <w:shd w:val="clear" w:color="auto" w:fill="E6EFFF"/>
          </w:tcPr>
          <w:p>
            <w:pPr>
              <w:ind w:left="140"/>
              <w:spacing w:after="0"/>
              <w:rPr>
                <w:sz w:val="20"/>
                <w:szCs w:val="20"/>
                <w:color w:val="auto"/>
              </w:rPr>
            </w:pPr>
            <w:r>
              <w:rPr>
                <w:rFonts w:ascii="Arial" w:cs="Arial" w:eastAsia="Arial" w:hAnsi="Arial"/>
                <w:sz w:val="15"/>
                <w:szCs w:val="15"/>
                <w:color w:val="auto"/>
              </w:rPr>
              <w:t>€300, 4.58% Notes due June 2012</w:t>
            </w:r>
          </w:p>
        </w:tc>
        <w:tc>
          <w:tcPr>
            <w:tcW w:w="2980" w:type="dxa"/>
            <w:vAlign w:val="bottom"/>
            <w:shd w:val="clear" w:color="auto" w:fill="E6EFFF"/>
          </w:tcPr>
          <w:p>
            <w:pPr>
              <w:spacing w:after="0"/>
              <w:rPr>
                <w:sz w:val="15"/>
                <w:szCs w:val="15"/>
                <w:color w:val="auto"/>
              </w:rPr>
            </w:pPr>
          </w:p>
        </w:tc>
        <w:tc>
          <w:tcPr>
            <w:tcW w:w="1440" w:type="dxa"/>
            <w:vAlign w:val="bottom"/>
            <w:shd w:val="clear" w:color="auto" w:fill="E6EFFF"/>
          </w:tcPr>
          <w:p>
            <w:pPr>
              <w:jc w:val="right"/>
              <w:spacing w:after="0" w:line="184" w:lineRule="exact"/>
              <w:rPr>
                <w:sz w:val="20"/>
                <w:szCs w:val="20"/>
                <w:color w:val="auto"/>
              </w:rPr>
            </w:pPr>
            <w:r>
              <w:rPr>
                <w:rFonts w:ascii="Arial" w:cs="Arial" w:eastAsia="Arial" w:hAnsi="Arial"/>
                <w:sz w:val="15"/>
                <w:szCs w:val="15"/>
                <w:color w:val="auto"/>
              </w:rPr>
              <w:t>43.0</w:t>
            </w:r>
            <w:r>
              <w:rPr>
                <w:rFonts w:ascii="Arial" w:cs="Arial" w:eastAsia="Arial" w:hAnsi="Arial"/>
                <w:sz w:val="21"/>
                <w:szCs w:val="21"/>
                <w:color w:val="auto"/>
                <w:vertAlign w:val="superscript"/>
              </w:rPr>
              <w:t>(1)</w:t>
            </w:r>
          </w:p>
        </w:tc>
        <w:tc>
          <w:tcPr>
            <w:tcW w:w="240" w:type="dxa"/>
            <w:vAlign w:val="bottom"/>
            <w:shd w:val="clear" w:color="auto" w:fill="E6EFFF"/>
          </w:tcPr>
          <w:p>
            <w:pPr>
              <w:spacing w:after="0"/>
              <w:rPr>
                <w:sz w:val="15"/>
                <w:szCs w:val="15"/>
                <w:color w:val="auto"/>
              </w:rPr>
            </w:pPr>
          </w:p>
        </w:tc>
        <w:tc>
          <w:tcPr>
            <w:tcW w:w="1500" w:type="dxa"/>
            <w:vAlign w:val="bottom"/>
            <w:shd w:val="clear" w:color="auto" w:fill="E6EFFF"/>
          </w:tcPr>
          <w:p>
            <w:pPr>
              <w:jc w:val="right"/>
              <w:spacing w:after="0" w:line="184" w:lineRule="exact"/>
              <w:rPr>
                <w:sz w:val="20"/>
                <w:szCs w:val="20"/>
                <w:color w:val="auto"/>
              </w:rPr>
            </w:pPr>
            <w:r>
              <w:rPr>
                <w:rFonts w:ascii="Arial" w:cs="Arial" w:eastAsia="Arial" w:hAnsi="Arial"/>
                <w:sz w:val="15"/>
                <w:szCs w:val="15"/>
                <w:color w:val="auto"/>
              </w:rPr>
              <w:t>(43.0)</w:t>
            </w:r>
            <w:r>
              <w:rPr>
                <w:rFonts w:ascii="Arial" w:cs="Arial" w:eastAsia="Arial" w:hAnsi="Arial"/>
                <w:sz w:val="21"/>
                <w:szCs w:val="21"/>
                <w:color w:val="auto"/>
                <w:vertAlign w:val="superscript"/>
              </w:rPr>
              <w:t>(1)</w:t>
            </w:r>
          </w:p>
        </w:tc>
      </w:tr>
      <w:tr>
        <w:trPr>
          <w:trHeight w:val="184"/>
        </w:trPr>
        <w:tc>
          <w:tcPr>
            <w:tcW w:w="5280" w:type="dxa"/>
            <w:vAlign w:val="bottom"/>
          </w:tcPr>
          <w:p>
            <w:pPr>
              <w:spacing w:after="0"/>
              <w:rPr>
                <w:sz w:val="20"/>
                <w:szCs w:val="20"/>
                <w:color w:val="auto"/>
              </w:rPr>
            </w:pPr>
            <w:r>
              <w:rPr>
                <w:rFonts w:ascii="Arial" w:cs="Arial" w:eastAsia="Arial" w:hAnsi="Arial"/>
                <w:sz w:val="15"/>
                <w:szCs w:val="15"/>
                <w:b w:val="1"/>
                <w:bCs w:val="1"/>
                <w:color w:val="939598"/>
              </w:rPr>
              <w:t>Forward contracts:</w:t>
            </w:r>
          </w:p>
        </w:tc>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4"/>
        </w:trPr>
        <w:tc>
          <w:tcPr>
            <w:tcW w:w="5280" w:type="dxa"/>
            <w:vAlign w:val="bottom"/>
            <w:shd w:val="clear" w:color="auto" w:fill="E6EFFF"/>
          </w:tcPr>
          <w:p>
            <w:pPr>
              <w:ind w:left="140"/>
              <w:spacing w:after="0"/>
              <w:rPr>
                <w:sz w:val="20"/>
                <w:szCs w:val="20"/>
                <w:color w:val="auto"/>
              </w:rPr>
            </w:pPr>
            <w:r>
              <w:rPr>
                <w:rFonts w:ascii="Arial" w:cs="Arial" w:eastAsia="Arial" w:hAnsi="Arial"/>
                <w:sz w:val="15"/>
                <w:szCs w:val="15"/>
                <w:color w:val="auto"/>
              </w:rPr>
              <w:t>$9.9 to € 6.9</w:t>
            </w:r>
          </w:p>
        </w:tc>
        <w:tc>
          <w:tcPr>
            <w:tcW w:w="2980" w:type="dxa"/>
            <w:vAlign w:val="bottom"/>
            <w:shd w:val="clear" w:color="auto" w:fill="E6EFFF"/>
          </w:tcPr>
          <w:p>
            <w:pPr>
              <w:spacing w:after="0"/>
              <w:rPr>
                <w:sz w:val="15"/>
                <w:szCs w:val="15"/>
                <w:color w:val="auto"/>
              </w:rPr>
            </w:pPr>
          </w:p>
        </w:tc>
        <w:tc>
          <w:tcPr>
            <w:tcW w:w="144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(1.0)</w:t>
            </w:r>
          </w:p>
        </w:tc>
        <w:tc>
          <w:tcPr>
            <w:tcW w:w="240" w:type="dxa"/>
            <w:vAlign w:val="bottom"/>
            <w:shd w:val="clear" w:color="auto" w:fill="E6EFFF"/>
          </w:tcPr>
          <w:p>
            <w:pPr>
              <w:spacing w:after="0"/>
              <w:rPr>
                <w:sz w:val="15"/>
                <w:szCs w:val="15"/>
                <w:color w:val="auto"/>
              </w:rPr>
            </w:pPr>
          </w:p>
        </w:tc>
        <w:tc>
          <w:tcPr>
            <w:tcW w:w="1500" w:type="dxa"/>
            <w:vAlign w:val="bottom"/>
            <w:shd w:val="clear" w:color="auto" w:fill="E6EFFF"/>
          </w:tcPr>
          <w:p>
            <w:pPr>
              <w:jc w:val="right"/>
              <w:ind w:right="147"/>
              <w:spacing w:after="0"/>
              <w:rPr>
                <w:sz w:val="20"/>
                <w:szCs w:val="20"/>
                <w:color w:val="auto"/>
              </w:rPr>
            </w:pPr>
            <w:r>
              <w:rPr>
                <w:rFonts w:ascii="Arial" w:cs="Arial" w:eastAsia="Arial" w:hAnsi="Arial"/>
                <w:sz w:val="15"/>
                <w:szCs w:val="15"/>
                <w:color w:val="auto"/>
              </w:rPr>
              <w:t>1.0</w:t>
            </w:r>
          </w:p>
        </w:tc>
      </w:tr>
      <w:tr>
        <w:trPr>
          <w:trHeight w:val="184"/>
        </w:trPr>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$12.0 to £7.4</w:t>
            </w:r>
          </w:p>
        </w:tc>
        <w:tc>
          <w:tcPr>
            <w:tcW w:w="2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1.2</w:t>
            </w:r>
          </w:p>
        </w:tc>
      </w:tr>
      <w:tr>
        <w:trPr>
          <w:trHeight w:val="178"/>
        </w:trPr>
        <w:tc>
          <w:tcPr>
            <w:tcW w:w="5280" w:type="dxa"/>
            <w:vAlign w:val="bottom"/>
            <w:tcBorders>
              <w:bottom w:val="single" w:sz="8" w:color="auto"/>
            </w:tcBorders>
            <w:shd w:val="clear" w:color="auto" w:fill="E6EFFF"/>
          </w:tcPr>
          <w:p>
            <w:pPr>
              <w:spacing w:after="0"/>
              <w:rPr>
                <w:sz w:val="15"/>
                <w:szCs w:val="15"/>
                <w:color w:val="auto"/>
              </w:rPr>
            </w:pPr>
          </w:p>
        </w:tc>
        <w:tc>
          <w:tcPr>
            <w:tcW w:w="2980" w:type="dxa"/>
            <w:vAlign w:val="bottom"/>
            <w:tcBorders>
              <w:bottom w:val="single" w:sz="8" w:color="auto"/>
            </w:tcBorders>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69.4</w:t>
            </w:r>
          </w:p>
        </w:tc>
        <w:tc>
          <w:tcPr>
            <w:tcW w:w="24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shd w:val="clear" w:color="auto" w:fill="E6EFFF"/>
          </w:tcPr>
          <w:p>
            <w:pPr>
              <w:jc w:val="right"/>
              <w:ind w:right="107"/>
              <w:spacing w:after="0"/>
              <w:rPr>
                <w:sz w:val="20"/>
                <w:szCs w:val="20"/>
                <w:color w:val="auto"/>
              </w:rPr>
            </w:pPr>
            <w:r>
              <w:rPr>
                <w:rFonts w:ascii="Arial" w:cs="Arial" w:eastAsia="Arial" w:hAnsi="Arial"/>
                <w:sz w:val="15"/>
                <w:szCs w:val="15"/>
                <w:color w:val="auto"/>
              </w:rPr>
              <w:t>(69.4)</w:t>
            </w:r>
          </w:p>
        </w:tc>
      </w:tr>
    </w:tbl>
    <w:p>
      <w:pPr>
        <w:spacing w:after="0" w:line="4" w:lineRule="exact"/>
        <w:rPr>
          <w:sz w:val="20"/>
          <w:szCs w:val="20"/>
          <w:color w:val="auto"/>
        </w:rPr>
      </w:pPr>
    </w:p>
    <w:p>
      <w:pPr>
        <w:ind w:left="8" w:hanging="8"/>
        <w:spacing w:after="0" w:line="255" w:lineRule="auto"/>
        <w:tabs>
          <w:tab w:leader="none" w:pos="192" w:val="left"/>
        </w:tabs>
        <w:numPr>
          <w:ilvl w:val="0"/>
          <w:numId w:val="26"/>
        </w:numPr>
        <w:rPr>
          <w:rFonts w:ascii="Arial" w:cs="Arial" w:eastAsia="Arial" w:hAnsi="Arial"/>
          <w:sz w:val="12"/>
          <w:szCs w:val="12"/>
          <w:color w:val="auto"/>
        </w:rPr>
      </w:pPr>
      <w:r>
        <w:rPr>
          <w:rFonts w:ascii="Arial" w:cs="Arial" w:eastAsia="Arial" w:hAnsi="Arial"/>
          <w:sz w:val="12"/>
          <w:szCs w:val="12"/>
          <w:color w:val="auto"/>
        </w:rPr>
        <w:t>Exchange rate movements are recorded through Accumulated Other Comprehensive Income (Loss) as these instruments have been designated as an economic hedge of our net investment in subsidiaries with a Euro functional currency.</w:t>
      </w:r>
    </w:p>
    <w:p>
      <w:pPr>
        <w:spacing w:after="0" w:line="187" w:lineRule="exact"/>
        <w:rPr>
          <w:sz w:val="20"/>
          <w:szCs w:val="20"/>
          <w:color w:val="auto"/>
        </w:rPr>
      </w:pPr>
    </w:p>
    <w:p>
      <w:pPr>
        <w:ind w:left="8" w:right="20"/>
        <w:spacing w:after="0" w:line="245" w:lineRule="auto"/>
        <w:rPr>
          <w:sz w:val="20"/>
          <w:szCs w:val="20"/>
          <w:color w:val="auto"/>
        </w:rPr>
      </w:pPr>
      <w:r>
        <w:rPr>
          <w:rFonts w:ascii="Arial" w:cs="Arial" w:eastAsia="Arial" w:hAnsi="Arial"/>
          <w:sz w:val="14"/>
          <w:szCs w:val="14"/>
          <w:color w:val="auto"/>
        </w:rPr>
        <w:t>The hypothetical changes in the fair value of our market sensitive instruments due to changes in interest rates, and changes in foreign currency exchange rates for the foreign contracts, are as follows: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4D8ABE"/>
        </w:rPr>
        <w:t>(in millions)</w:t>
      </w:r>
    </w:p>
    <w:p>
      <w:pPr>
        <w:spacing w:after="0" w:line="20" w:lineRule="exact"/>
        <w:rPr>
          <w:sz w:val="20"/>
          <w:szCs w:val="20"/>
          <w:color w:val="auto"/>
        </w:rPr>
      </w:pPr>
    </w:p>
    <w:tbl>
      <w:tblPr>
        <w:tblLayout w:type="fixed"/>
        <w:tblInd w:w="8" w:type="dxa"/>
        <w:tblCellMar>
          <w:top w:w="0" w:type="dxa"/>
          <w:left w:w="0" w:type="dxa"/>
          <w:bottom w:w="0" w:type="dxa"/>
          <w:right w:w="0" w:type="dxa"/>
        </w:tblCellMar>
      </w:tblPr>
      <w:tr>
        <w:trPr>
          <w:trHeight w:val="191"/>
        </w:trPr>
        <w:tc>
          <w:tcPr>
            <w:tcW w:w="5280" w:type="dxa"/>
            <w:vAlign w:val="bottom"/>
            <w:tcBorders>
              <w:top w:val="single" w:sz="8" w:color="4D8ABE"/>
              <w:bottom w:val="single" w:sz="8" w:color="4D8ABE"/>
            </w:tcBorders>
          </w:tcPr>
          <w:p>
            <w:pPr>
              <w:spacing w:after="0"/>
              <w:rPr>
                <w:sz w:val="20"/>
                <w:szCs w:val="20"/>
                <w:color w:val="auto"/>
              </w:rPr>
            </w:pPr>
            <w:r>
              <w:rPr>
                <w:rFonts w:ascii="Arial" w:cs="Arial" w:eastAsia="Arial" w:hAnsi="Arial"/>
                <w:sz w:val="14"/>
                <w:szCs w:val="14"/>
                <w:b w:val="1"/>
                <w:bCs w:val="1"/>
                <w:color w:val="4D8ABE"/>
              </w:rPr>
              <w:t>Market Sensitive Instrument</w:t>
            </w:r>
          </w:p>
        </w:tc>
        <w:tc>
          <w:tcPr>
            <w:tcW w:w="3100" w:type="dxa"/>
            <w:vAlign w:val="bottom"/>
            <w:tcBorders>
              <w:top w:val="single" w:sz="8" w:color="4D8ABE"/>
              <w:bottom w:val="single" w:sz="8" w:color="4D8ABE"/>
            </w:tcBorders>
          </w:tcPr>
          <w:p>
            <w:pPr>
              <w:spacing w:after="0"/>
              <w:rPr>
                <w:sz w:val="16"/>
                <w:szCs w:val="16"/>
                <w:color w:val="auto"/>
              </w:rPr>
            </w:pPr>
          </w:p>
        </w:tc>
        <w:tc>
          <w:tcPr>
            <w:tcW w:w="1320" w:type="dxa"/>
            <w:vAlign w:val="bottom"/>
            <w:tcBorders>
              <w:top w:val="single" w:sz="8" w:color="4D8ABE"/>
              <w:bottom w:val="single" w:sz="8" w:color="4D8ABE"/>
            </w:tcBorders>
          </w:tcPr>
          <w:p>
            <w:pPr>
              <w:jc w:val="right"/>
              <w:ind w:right="106"/>
              <w:spacing w:after="0"/>
              <w:rPr>
                <w:sz w:val="20"/>
                <w:szCs w:val="20"/>
                <w:color w:val="auto"/>
              </w:rPr>
            </w:pPr>
            <w:r>
              <w:rPr>
                <w:rFonts w:ascii="Arial" w:cs="Arial" w:eastAsia="Arial" w:hAnsi="Arial"/>
                <w:sz w:val="14"/>
                <w:szCs w:val="14"/>
                <w:b w:val="1"/>
                <w:bCs w:val="1"/>
                <w:color w:val="4D8ABE"/>
              </w:rPr>
              <w:t>10% Decrease</w:t>
            </w:r>
          </w:p>
        </w:tc>
        <w:tc>
          <w:tcPr>
            <w:tcW w:w="380" w:type="dxa"/>
            <w:vAlign w:val="bottom"/>
            <w:tcBorders>
              <w:top w:val="single" w:sz="8" w:color="4D8ABE"/>
              <w:bottom w:val="single" w:sz="8" w:color="4D8ABE"/>
            </w:tcBorders>
          </w:tcPr>
          <w:p>
            <w:pPr>
              <w:spacing w:after="0"/>
              <w:rPr>
                <w:sz w:val="16"/>
                <w:szCs w:val="16"/>
                <w:color w:val="auto"/>
              </w:rPr>
            </w:pPr>
          </w:p>
        </w:tc>
        <w:tc>
          <w:tcPr>
            <w:tcW w:w="1360" w:type="dxa"/>
            <w:vAlign w:val="bottom"/>
            <w:tcBorders>
              <w:top w:val="single" w:sz="8" w:color="4D8ABE"/>
              <w:bottom w:val="single" w:sz="8" w:color="4D8ABE"/>
            </w:tcBorders>
          </w:tcPr>
          <w:p>
            <w:pPr>
              <w:jc w:val="right"/>
              <w:ind w:right="146"/>
              <w:spacing w:after="0"/>
              <w:rPr>
                <w:sz w:val="20"/>
                <w:szCs w:val="20"/>
                <w:color w:val="auto"/>
              </w:rPr>
            </w:pPr>
            <w:r>
              <w:rPr>
                <w:rFonts w:ascii="Arial" w:cs="Arial" w:eastAsia="Arial" w:hAnsi="Arial"/>
                <w:sz w:val="14"/>
                <w:szCs w:val="14"/>
                <w:b w:val="1"/>
                <w:bCs w:val="1"/>
                <w:color w:val="4D8ABE"/>
              </w:rPr>
              <w:t>10% Increase</w:t>
            </w:r>
          </w:p>
        </w:tc>
      </w:tr>
      <w:tr>
        <w:trPr>
          <w:trHeight w:val="177"/>
        </w:trPr>
        <w:tc>
          <w:tcPr>
            <w:tcW w:w="528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Fixed rate debt:</w:t>
            </w:r>
          </w:p>
        </w:tc>
        <w:tc>
          <w:tcPr>
            <w:tcW w:w="3100" w:type="dxa"/>
            <w:vAlign w:val="bottom"/>
            <w:shd w:val="clear" w:color="auto" w:fill="E6EFFF"/>
          </w:tcPr>
          <w:p>
            <w:pPr>
              <w:spacing w:after="0"/>
              <w:rPr>
                <w:sz w:val="15"/>
                <w:szCs w:val="15"/>
                <w:color w:val="auto"/>
              </w:rPr>
            </w:pPr>
          </w:p>
        </w:tc>
        <w:tc>
          <w:tcPr>
            <w:tcW w:w="1320" w:type="dxa"/>
            <w:vAlign w:val="bottom"/>
            <w:shd w:val="clear" w:color="auto" w:fill="E6EFFF"/>
          </w:tcPr>
          <w:p>
            <w:pPr>
              <w:spacing w:after="0"/>
              <w:rPr>
                <w:sz w:val="15"/>
                <w:szCs w:val="15"/>
                <w:color w:val="auto"/>
              </w:rPr>
            </w:pPr>
          </w:p>
        </w:tc>
        <w:tc>
          <w:tcPr>
            <w:tcW w:w="380" w:type="dxa"/>
            <w:vAlign w:val="bottom"/>
            <w:shd w:val="clear" w:color="auto" w:fill="E6EFFF"/>
          </w:tcPr>
          <w:p>
            <w:pPr>
              <w:spacing w:after="0"/>
              <w:rPr>
                <w:sz w:val="15"/>
                <w:szCs w:val="15"/>
                <w:color w:val="auto"/>
              </w:rPr>
            </w:pPr>
          </w:p>
        </w:tc>
        <w:tc>
          <w:tcPr>
            <w:tcW w:w="1360" w:type="dxa"/>
            <w:vAlign w:val="bottom"/>
            <w:shd w:val="clear" w:color="auto" w:fill="E6EFFF"/>
          </w:tcPr>
          <w:p>
            <w:pPr>
              <w:spacing w:after="0"/>
              <w:rPr>
                <w:sz w:val="15"/>
                <w:szCs w:val="15"/>
                <w:color w:val="auto"/>
              </w:rPr>
            </w:pPr>
          </w:p>
        </w:tc>
      </w:tr>
      <w:tr>
        <w:trPr>
          <w:trHeight w:val="172"/>
        </w:trPr>
        <w:tc>
          <w:tcPr>
            <w:tcW w:w="5280" w:type="dxa"/>
            <w:vAlign w:val="bottom"/>
          </w:tcPr>
          <w:p>
            <w:pPr>
              <w:ind w:left="140"/>
              <w:spacing w:after="0"/>
              <w:rPr>
                <w:sz w:val="20"/>
                <w:szCs w:val="20"/>
                <w:color w:val="auto"/>
              </w:rPr>
            </w:pPr>
            <w:r>
              <w:rPr>
                <w:rFonts w:ascii="Arial" w:cs="Arial" w:eastAsia="Arial" w:hAnsi="Arial"/>
                <w:sz w:val="15"/>
                <w:szCs w:val="15"/>
                <w:color w:val="auto"/>
              </w:rPr>
              <w:t>€200, 4.86% Notes due June 2013</w:t>
            </w:r>
          </w:p>
        </w:tc>
        <w:tc>
          <w:tcPr>
            <w:tcW w:w="3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4"/>
                <w:szCs w:val="14"/>
                <w:color w:val="auto"/>
              </w:rPr>
              <w:t>28.4</w:t>
            </w:r>
            <w:r>
              <w:rPr>
                <w:rFonts w:ascii="Arial" w:cs="Arial" w:eastAsia="Arial" w:hAnsi="Arial"/>
                <w:sz w:val="19"/>
                <w:szCs w:val="19"/>
                <w:color w:val="auto"/>
                <w:vertAlign w:val="superscript"/>
              </w:rPr>
              <w:t>(1)</w:t>
            </w:r>
          </w:p>
        </w:tc>
        <w:tc>
          <w:tcPr>
            <w:tcW w:w="38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line="173" w:lineRule="exact"/>
              <w:rPr>
                <w:sz w:val="20"/>
                <w:szCs w:val="20"/>
                <w:color w:val="auto"/>
              </w:rPr>
            </w:pPr>
            <w:r>
              <w:rPr>
                <w:rFonts w:ascii="Arial" w:cs="Arial" w:eastAsia="Arial" w:hAnsi="Arial"/>
                <w:sz w:val="14"/>
                <w:szCs w:val="14"/>
                <w:color w:val="auto"/>
              </w:rPr>
              <w:t>(28.4)</w:t>
            </w:r>
            <w:r>
              <w:rPr>
                <w:rFonts w:ascii="Arial" w:cs="Arial" w:eastAsia="Arial" w:hAnsi="Arial"/>
                <w:sz w:val="19"/>
                <w:szCs w:val="19"/>
                <w:color w:val="auto"/>
                <w:vertAlign w:val="superscript"/>
              </w:rPr>
              <w:t>(1)</w:t>
            </w:r>
          </w:p>
        </w:tc>
      </w:tr>
      <w:tr>
        <w:trPr>
          <w:trHeight w:val="184"/>
        </w:trPr>
        <w:tc>
          <w:tcPr>
            <w:tcW w:w="5280" w:type="dxa"/>
            <w:vAlign w:val="bottom"/>
            <w:shd w:val="clear" w:color="auto" w:fill="E6EFFF"/>
          </w:tcPr>
          <w:p>
            <w:pPr>
              <w:ind w:left="140"/>
              <w:spacing w:after="0"/>
              <w:rPr>
                <w:sz w:val="20"/>
                <w:szCs w:val="20"/>
                <w:color w:val="auto"/>
              </w:rPr>
            </w:pPr>
            <w:r>
              <w:rPr>
                <w:rFonts w:ascii="Arial" w:cs="Arial" w:eastAsia="Arial" w:hAnsi="Arial"/>
                <w:sz w:val="15"/>
                <w:szCs w:val="15"/>
                <w:color w:val="auto"/>
              </w:rPr>
              <w:t>€300, 4.58% Notes due June 2012</w:t>
            </w:r>
          </w:p>
        </w:tc>
        <w:tc>
          <w:tcPr>
            <w:tcW w:w="3100" w:type="dxa"/>
            <w:vAlign w:val="bottom"/>
            <w:shd w:val="clear" w:color="auto" w:fill="E6EFFF"/>
          </w:tcPr>
          <w:p>
            <w:pPr>
              <w:spacing w:after="0"/>
              <w:rPr>
                <w:sz w:val="15"/>
                <w:szCs w:val="15"/>
                <w:color w:val="auto"/>
              </w:rPr>
            </w:pPr>
          </w:p>
        </w:tc>
        <w:tc>
          <w:tcPr>
            <w:tcW w:w="1320" w:type="dxa"/>
            <w:vAlign w:val="bottom"/>
            <w:shd w:val="clear" w:color="auto" w:fill="E6EFFF"/>
          </w:tcPr>
          <w:p>
            <w:pPr>
              <w:jc w:val="right"/>
              <w:spacing w:after="0" w:line="184" w:lineRule="exact"/>
              <w:rPr>
                <w:sz w:val="20"/>
                <w:szCs w:val="20"/>
                <w:color w:val="auto"/>
              </w:rPr>
            </w:pPr>
            <w:r>
              <w:rPr>
                <w:rFonts w:ascii="Arial" w:cs="Arial" w:eastAsia="Arial" w:hAnsi="Arial"/>
                <w:sz w:val="15"/>
                <w:szCs w:val="15"/>
                <w:color w:val="auto"/>
              </w:rPr>
              <w:t>43.3</w:t>
            </w:r>
            <w:r>
              <w:rPr>
                <w:rFonts w:ascii="Arial" w:cs="Arial" w:eastAsia="Arial" w:hAnsi="Arial"/>
                <w:sz w:val="21"/>
                <w:szCs w:val="21"/>
                <w:color w:val="auto"/>
                <w:vertAlign w:val="superscript"/>
              </w:rPr>
              <w:t>(1)</w:t>
            </w:r>
          </w:p>
        </w:tc>
        <w:tc>
          <w:tcPr>
            <w:tcW w:w="380" w:type="dxa"/>
            <w:vAlign w:val="bottom"/>
            <w:shd w:val="clear" w:color="auto" w:fill="E6EFFF"/>
          </w:tcPr>
          <w:p>
            <w:pPr>
              <w:spacing w:after="0"/>
              <w:rPr>
                <w:sz w:val="15"/>
                <w:szCs w:val="15"/>
                <w:color w:val="auto"/>
              </w:rPr>
            </w:pPr>
          </w:p>
        </w:tc>
        <w:tc>
          <w:tcPr>
            <w:tcW w:w="1360" w:type="dxa"/>
            <w:vAlign w:val="bottom"/>
            <w:shd w:val="clear" w:color="auto" w:fill="E6EFFF"/>
          </w:tcPr>
          <w:p>
            <w:pPr>
              <w:jc w:val="right"/>
              <w:spacing w:after="0" w:line="184" w:lineRule="exact"/>
              <w:rPr>
                <w:sz w:val="20"/>
                <w:szCs w:val="20"/>
                <w:color w:val="auto"/>
              </w:rPr>
            </w:pPr>
            <w:r>
              <w:rPr>
                <w:rFonts w:ascii="Arial" w:cs="Arial" w:eastAsia="Arial" w:hAnsi="Arial"/>
                <w:sz w:val="15"/>
                <w:szCs w:val="15"/>
                <w:color w:val="auto"/>
              </w:rPr>
              <w:t>(43.3)</w:t>
            </w:r>
            <w:r>
              <w:rPr>
                <w:rFonts w:ascii="Arial" w:cs="Arial" w:eastAsia="Arial" w:hAnsi="Arial"/>
                <w:sz w:val="21"/>
                <w:szCs w:val="21"/>
                <w:color w:val="auto"/>
                <w:vertAlign w:val="superscript"/>
              </w:rPr>
              <w:t>(1)</w:t>
            </w:r>
          </w:p>
        </w:tc>
      </w:tr>
      <w:tr>
        <w:trPr>
          <w:trHeight w:val="184"/>
        </w:trPr>
        <w:tc>
          <w:tcPr>
            <w:tcW w:w="5280" w:type="dxa"/>
            <w:vAlign w:val="bottom"/>
          </w:tcPr>
          <w:p>
            <w:pPr>
              <w:spacing w:after="0"/>
              <w:rPr>
                <w:sz w:val="20"/>
                <w:szCs w:val="20"/>
                <w:color w:val="auto"/>
              </w:rPr>
            </w:pPr>
            <w:r>
              <w:rPr>
                <w:rFonts w:ascii="Arial" w:cs="Arial" w:eastAsia="Arial" w:hAnsi="Arial"/>
                <w:sz w:val="15"/>
                <w:szCs w:val="15"/>
                <w:b w:val="1"/>
                <w:bCs w:val="1"/>
                <w:color w:val="939598"/>
              </w:rPr>
              <w:t>Forward contacts:</w:t>
            </w:r>
          </w:p>
        </w:tc>
        <w:tc>
          <w:tcPr>
            <w:tcW w:w="3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4"/>
        </w:trPr>
        <w:tc>
          <w:tcPr>
            <w:tcW w:w="5280" w:type="dxa"/>
            <w:vAlign w:val="bottom"/>
            <w:shd w:val="clear" w:color="auto" w:fill="E6EFFF"/>
          </w:tcPr>
          <w:p>
            <w:pPr>
              <w:ind w:left="140"/>
              <w:spacing w:after="0"/>
              <w:rPr>
                <w:sz w:val="20"/>
                <w:szCs w:val="20"/>
                <w:color w:val="auto"/>
              </w:rPr>
            </w:pPr>
            <w:r>
              <w:rPr>
                <w:rFonts w:ascii="Arial" w:cs="Arial" w:eastAsia="Arial" w:hAnsi="Arial"/>
                <w:sz w:val="15"/>
                <w:szCs w:val="15"/>
                <w:color w:val="auto"/>
              </w:rPr>
              <w:t>$9.9 to € 6.9</w:t>
            </w:r>
          </w:p>
        </w:tc>
        <w:tc>
          <w:tcPr>
            <w:tcW w:w="3100" w:type="dxa"/>
            <w:vAlign w:val="bottom"/>
            <w:shd w:val="clear" w:color="auto" w:fill="E6EFFF"/>
          </w:tcPr>
          <w:p>
            <w:pPr>
              <w:spacing w:after="0"/>
              <w:rPr>
                <w:sz w:val="15"/>
                <w:szCs w:val="15"/>
                <w:color w:val="auto"/>
              </w:rPr>
            </w:pPr>
          </w:p>
        </w:tc>
        <w:tc>
          <w:tcPr>
            <w:tcW w:w="13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(1.0)</w:t>
            </w:r>
          </w:p>
        </w:tc>
        <w:tc>
          <w:tcPr>
            <w:tcW w:w="380" w:type="dxa"/>
            <w:vAlign w:val="bottom"/>
            <w:shd w:val="clear" w:color="auto" w:fill="E6EFFF"/>
          </w:tcPr>
          <w:p>
            <w:pPr>
              <w:spacing w:after="0"/>
              <w:rPr>
                <w:sz w:val="15"/>
                <w:szCs w:val="15"/>
                <w:color w:val="auto"/>
              </w:rPr>
            </w:pPr>
          </w:p>
        </w:tc>
        <w:tc>
          <w:tcPr>
            <w:tcW w:w="136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1.0</w:t>
            </w:r>
          </w:p>
        </w:tc>
      </w:tr>
      <w:tr>
        <w:trPr>
          <w:trHeight w:val="185"/>
        </w:trPr>
        <w:tc>
          <w:tcPr>
            <w:tcW w:w="5280" w:type="dxa"/>
            <w:vAlign w:val="bottom"/>
          </w:tcPr>
          <w:p>
            <w:pPr>
              <w:ind w:left="140"/>
              <w:spacing w:after="0"/>
              <w:rPr>
                <w:sz w:val="20"/>
                <w:szCs w:val="20"/>
                <w:color w:val="auto"/>
              </w:rPr>
            </w:pPr>
            <w:r>
              <w:rPr>
                <w:rFonts w:ascii="Arial" w:cs="Arial" w:eastAsia="Arial" w:hAnsi="Arial"/>
                <w:sz w:val="15"/>
                <w:szCs w:val="15"/>
                <w:color w:val="auto"/>
              </w:rPr>
              <w:t>$12.0 to £7.4</w:t>
            </w:r>
          </w:p>
        </w:tc>
        <w:tc>
          <w:tcPr>
            <w:tcW w:w="3100" w:type="dxa"/>
            <w:vAlign w:val="bottom"/>
          </w:tcPr>
          <w:p>
            <w:pPr>
              <w:spacing w:after="0"/>
              <w:rPr>
                <w:sz w:val="16"/>
                <w:szCs w:val="16"/>
                <w:color w:val="auto"/>
              </w:rPr>
            </w:pPr>
          </w:p>
        </w:tc>
        <w:tc>
          <w:tcPr>
            <w:tcW w:w="1320" w:type="dxa"/>
            <w:vAlign w:val="bottom"/>
          </w:tcPr>
          <w:p>
            <w:pPr>
              <w:jc w:val="right"/>
              <w:ind w:right="46"/>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16"/>
                <w:szCs w:val="16"/>
                <w:color w:val="auto"/>
              </w:rPr>
            </w:pPr>
          </w:p>
        </w:tc>
        <w:tc>
          <w:tcPr>
            <w:tcW w:w="1360" w:type="dxa"/>
            <w:vAlign w:val="bottom"/>
          </w:tcPr>
          <w:p>
            <w:pPr>
              <w:jc w:val="right"/>
              <w:ind w:right="146"/>
              <w:spacing w:after="0"/>
              <w:rPr>
                <w:sz w:val="20"/>
                <w:szCs w:val="20"/>
                <w:color w:val="auto"/>
              </w:rPr>
            </w:pPr>
            <w:r>
              <w:rPr>
                <w:rFonts w:ascii="Arial" w:cs="Arial" w:eastAsia="Arial" w:hAnsi="Arial"/>
                <w:sz w:val="15"/>
                <w:szCs w:val="15"/>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694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940" cy="14605"/>
                    </a:xfrm>
                    <a:prstGeom prst="rect">
                      <a:avLst/>
                    </a:prstGeom>
                    <a:noFill/>
                  </pic:spPr>
                </pic:pic>
              </a:graphicData>
            </a:graphic>
          </wp:anchor>
        </w:drawing>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 This change in fair value is not recorded in the Consolidated Financial Statements, however disclosure of the fair value is included in Note 1 to the Consolidated Financial Statements.</w:t>
      </w:r>
    </w:p>
    <w:p>
      <w:pPr>
        <w:spacing w:after="0" w:line="188"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86B6A5"/>
        </w:rPr>
        <w:t>Management’s Discussion &amp; Analysis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IMPACT OF ECONOMIC CONDITIONS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One of the principal attractions of using employment services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LEGAL REGULATIONS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employment services industry is closely regulated in all of the major markets in which we operate except the U.S.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employment services firms, including us.</w:t>
      </w:r>
    </w:p>
    <w:p>
      <w:pPr>
        <w:spacing w:after="0" w:line="201"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led the DGCCRF to transmit the results of its inquiry to the French Competition Council. In November 2007, we received a Statement of Objections from the Competition Council alleging illegal information sharing between us and certain of our competitors. We responded to this Statement of Objections in February 2008, defending our position.</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June 2008, we received a Report from the Competition Council, which was prepared by the case handler for the Competition Council and opened the second phase of the procedure before the Competition Council. The Report rejected all of the defense arguments we made in our initial response and maintained the objections as set forth in the Statement of Objections. It also provided the Competition Council with the elements for the calculation of fines, including the case handler’s estimation of our portion of the alleged damage to the economy.</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responded to the June 2008 Report in August 2008, providing further arguments and information in defense of our position and providing our own estimation of the alleged damage to the economy. A hearing on the matter before the Competition Council was held in October 2008.</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After considering the input that was provided, the Competition Council rendered its decision in the matter in February 2009 and levied a fine of €42.0 million ($55.9 million) based on the Competition Council’s determination of the damage to the economy attributable to the alleged misconduct, with adjustment for aggravating or mitigating factors. We had accrued for this as of December 31, 2008, paid this fine in April 2009 and appealed the Competition Council’s decision. In January 2010, we received notification that our appeal was denied. We are currently assessing whether to take any further 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RECENTLY ISSUED ACCOUNTING STANDARDS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December 2007, the Financial Accounting Standards Board (“FASB”) issued new accounting guidance on retirement benefits. The new guidance requires additional disclosures about plan assets of a defined benefit pension or other postretirement plan. We adopted the guidance as of December 31, 2009. See Note 9 to the Consolidated Financial Statements for the disclosure.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December 2007, the FASB issued new accounting guidance on business combinations. The new guidance changes the requirements for an acquirer’s recognition and measurement of the assets acquired and the liabilities assumed in a business combination. We adopted the guidance effective January 1, 2009. There was no material impact of this adoption on our Consolidated Financial Statements.</w:t>
      </w:r>
    </w:p>
    <w:p>
      <w:pPr>
        <w:spacing w:after="0" w:line="181"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38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5"/>
          <w:szCs w:val="15"/>
          <w:color w:val="auto"/>
        </w:rPr>
        <w:t>In March 2008, the FASB issued new accounting guidance on derivatives and hedging. The new guidance requires enhanced disclosures about derivative instruments and hedging activities to enable investors to better understand their effects on an entity’s financial position, financial performance and cash flows. We adopted the guidance as of January 1, 2009. See Note 13 to the Consolidated Financial Statements for the disclosure.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May 2009, the FASB issued new accounting guidance on subsequent events. The new guidance requires disclosure of the date through which an entity has evaluated subsequent events and the basis for that date. We adopted the guidance effective for the second quarter of 2009. See Note 1 to the Consolidated Financial Statements for the disclosure.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June 2009, the FASB issued new accounting guidance on transfers of financial assets. The new guidance eliminates the concept of a qualifying special-purpose entity and removes the exception from applying the current guidance for consolidation of variable interest entities to qualifying special purpose entities. The new guidance also defines the term participating interest to establish specific conditions for reporting a transfer of a portion of a financial asset as a sale. The Statement also requires that a transferor recognize and initially measure at fair value all assets obtained and liabilities incurred as a result of a transfer of financial assets accounted for as a sale. The guidance will be effective for us in 2010. We do not expect the adoption of this guidance to have a material impact on our Consolidated Financial Statements.</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June 2009, the FASB issued new accounting guidance on consolidation of variable interest entities. The new guidance amends the process for identifying the primary beneficiary in variable interest entities and requires ongoing assessments for purposes of identifying the primary beneficiary. The new guidance will be effective for us in 2010. We do not expect the adoption of this guidance to have a material impact on our Consolidated Financial Statements.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new guidance will be effective prospectively for our revenue arrangements entered into or materially modified in 2011. We are currently assessing the impact of the adoption of this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FORWARD-LOOKING STATEMENTS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2009,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4D8ABE"/>
        </w:rPr>
        <w:t>Management Report On Internal Control Over Financial Reporting</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Internal Control–Integrated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2009.</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February 19, 2010</w:t>
      </w:r>
    </w:p>
    <w:p>
      <w:pPr>
        <w:spacing w:after="0" w:line="190"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Management’s Discussion &amp; Analysis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5" w:name="page76"/>
    <w:bookmarkEnd w:id="75"/>
    <w:p>
      <w:pPr>
        <w:spacing w:after="0"/>
        <w:rPr>
          <w:sz w:val="20"/>
          <w:szCs w:val="20"/>
          <w:color w:val="auto"/>
        </w:rPr>
      </w:pPr>
      <w:r>
        <w:rPr>
          <w:rFonts w:ascii="Arial" w:cs="Arial" w:eastAsia="Arial" w:hAnsi="Arial"/>
          <w:sz w:val="21"/>
          <w:szCs w:val="21"/>
          <w:color w:val="4D8ABE"/>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4D8ABE"/>
        </w:rPr>
        <w:t>To The Board Of Directors And Shareholders Of Manpower Inc.:</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have audited the accompanying consolidated balance sheets of Manpower Inc. and subsidiaries (the “Company”) as of December 31, 2009 and 2008 and the related consolidated statements of operations, shareholders’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the Company as of December 31, 2009 and 2008, and the results of its operations and its cash flows for each of the three years in the period ended December 31, 2009, in conformity with accounting principles generally accepted in the United States of America.</w:t>
      </w:r>
    </w:p>
    <w:p>
      <w:pPr>
        <w:spacing w:after="0" w:line="198"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Company’s internal control over financial reporting as of December 31, 2009, based on the criteria established in Internal Control–Integrated Framework issued by the Committee of Sponsoring Organizations of the Treadway Commission and our report dated February 19, 2010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546860" cy="248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68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Milwaukee, Wisconsin</w:t>
      </w:r>
    </w:p>
    <w:p>
      <w:pPr>
        <w:spacing w:after="0"/>
        <w:rPr>
          <w:sz w:val="20"/>
          <w:szCs w:val="20"/>
          <w:color w:val="auto"/>
        </w:rPr>
      </w:pPr>
      <w:r>
        <w:rPr>
          <w:rFonts w:ascii="Arial" w:cs="Arial" w:eastAsia="Arial" w:hAnsi="Arial"/>
          <w:sz w:val="15"/>
          <w:szCs w:val="15"/>
          <w:color w:val="auto"/>
        </w:rPr>
        <w:t>February 19, 2010</w:t>
      </w:r>
    </w:p>
    <w:p>
      <w:pPr>
        <w:spacing w:after="0" w:line="190"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40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36" w:right="219" w:bottom="1440" w:gutter="0" w:footer="0" w:header="0"/>
        </w:sectPr>
      </w:pPr>
    </w:p>
    <w:bookmarkStart w:id="76" w:name="page77"/>
    <w:bookmarkEnd w:id="76"/>
    <w:p>
      <w:pPr>
        <w:spacing w:after="0"/>
        <w:rPr>
          <w:sz w:val="20"/>
          <w:szCs w:val="20"/>
          <w:color w:val="auto"/>
        </w:rPr>
      </w:pPr>
      <w:r>
        <w:rPr>
          <w:rFonts w:ascii="Arial" w:cs="Arial" w:eastAsia="Arial" w:hAnsi="Arial"/>
          <w:sz w:val="21"/>
          <w:szCs w:val="21"/>
          <w:color w:val="4D8ABE"/>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4D8ABE"/>
        </w:rPr>
        <w:t>To The Board Of Directors And Shareholders Of Manpower Inc.:</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audited the internal control over financial reporting of Manpower Inc. and subsidiaries (the “Company”) as of December 31, 2009,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our opinion, the Company maintained, in all material respects, effective internal control over financial reporting as of December 31, 2009, based on the criteria established in Internal Control—Integrated Framework issued by the COSO.</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31, 2009 of the Company and our report dated February 19, 2010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1546860" cy="2482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68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Milwaukee, Wisconsin</w:t>
      </w:r>
    </w:p>
    <w:p>
      <w:pPr>
        <w:spacing w:after="0"/>
        <w:rPr>
          <w:sz w:val="20"/>
          <w:szCs w:val="20"/>
          <w:color w:val="auto"/>
        </w:rPr>
      </w:pPr>
      <w:r>
        <w:rPr>
          <w:rFonts w:ascii="Arial" w:cs="Arial" w:eastAsia="Arial" w:hAnsi="Arial"/>
          <w:sz w:val="15"/>
          <w:szCs w:val="15"/>
          <w:color w:val="auto"/>
        </w:rPr>
        <w:t>February 19, 2010</w:t>
      </w:r>
    </w:p>
    <w:p>
      <w:pPr>
        <w:spacing w:after="0" w:line="190"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Report of Independent Registered Public Accounting Firm</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86B6A5"/>
        </w:rPr>
        <w:t>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86B6A5"/>
        </w:rPr>
        <w:t>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5"/>
                <w:szCs w:val="15"/>
                <w:b w:val="1"/>
                <w:bCs w:val="1"/>
                <w:color w:val="4D8ABE"/>
              </w:rPr>
              <w:t>Year Ended December 31</w:t>
            </w:r>
          </w:p>
        </w:tc>
        <w:tc>
          <w:tcPr>
            <w:tcW w:w="80" w:type="dxa"/>
            <w:vAlign w:val="bottom"/>
            <w:tcBorders>
              <w:bottom w:val="single" w:sz="8" w:color="4D8ABE"/>
            </w:tcBorders>
            <w:shd w:val="clear" w:color="auto" w:fill="4D8ABE"/>
          </w:tcPr>
          <w:p>
            <w:pPr>
              <w:spacing w:after="0"/>
              <w:rPr>
                <w:sz w:val="18"/>
                <w:szCs w:val="18"/>
                <w:color w:val="auto"/>
              </w:rPr>
            </w:pPr>
          </w:p>
        </w:tc>
        <w:tc>
          <w:tcPr>
            <w:tcW w:w="1380" w:type="dxa"/>
            <w:vAlign w:val="bottom"/>
            <w:tcBorders>
              <w:bottom w:val="single" w:sz="8" w:color="4D8ABE"/>
              <w:right w:val="single" w:sz="8" w:color="4D8ABE"/>
            </w:tcBorders>
            <w:shd w:val="clear" w:color="auto" w:fill="4D8ABE"/>
          </w:tcPr>
          <w:p>
            <w:pPr>
              <w:jc w:val="right"/>
              <w:ind w:right="163"/>
              <w:spacing w:after="0"/>
              <w:rPr>
                <w:sz w:val="20"/>
                <w:szCs w:val="20"/>
                <w:color w:val="auto"/>
              </w:rPr>
            </w:pPr>
            <w:r>
              <w:rPr>
                <w:rFonts w:ascii="Arial" w:cs="Arial" w:eastAsia="Arial" w:hAnsi="Arial"/>
                <w:sz w:val="15"/>
                <w:szCs w:val="15"/>
                <w:b w:val="1"/>
                <w:bCs w:val="1"/>
                <w:color w:val="FFFFFF"/>
              </w:rPr>
              <w:t>2009</w:t>
            </w:r>
          </w:p>
        </w:tc>
        <w:tc>
          <w:tcPr>
            <w:tcW w:w="340" w:type="dxa"/>
            <w:vAlign w:val="bottom"/>
            <w:tcBorders>
              <w:bottom w:val="single" w:sz="8" w:color="4D8ABE"/>
            </w:tcBorders>
          </w:tcPr>
          <w:p>
            <w:pPr>
              <w:spacing w:after="0"/>
              <w:rPr>
                <w:sz w:val="18"/>
                <w:szCs w:val="18"/>
                <w:color w:val="auto"/>
              </w:rPr>
            </w:pPr>
          </w:p>
        </w:tc>
        <w:tc>
          <w:tcPr>
            <w:tcW w:w="980" w:type="dxa"/>
            <w:vAlign w:val="bottom"/>
            <w:tcBorders>
              <w:bottom w:val="single" w:sz="8" w:color="4D8ABE"/>
            </w:tcBorders>
          </w:tcPr>
          <w:p>
            <w:pPr>
              <w:jc w:val="right"/>
              <w:ind w:right="23"/>
              <w:spacing w:after="0"/>
              <w:rPr>
                <w:sz w:val="20"/>
                <w:szCs w:val="20"/>
                <w:color w:val="auto"/>
              </w:rPr>
            </w:pPr>
            <w:r>
              <w:rPr>
                <w:rFonts w:ascii="Arial" w:cs="Arial" w:eastAsia="Arial" w:hAnsi="Arial"/>
                <w:sz w:val="15"/>
                <w:szCs w:val="15"/>
                <w:b w:val="1"/>
                <w:bCs w:val="1"/>
                <w:color w:val="4D8ABE"/>
              </w:rPr>
              <w:t>2008</w:t>
            </w:r>
          </w:p>
        </w:tc>
        <w:tc>
          <w:tcPr>
            <w:tcW w:w="480" w:type="dxa"/>
            <w:vAlign w:val="bottom"/>
            <w:tcBorders>
              <w:bottom w:val="single" w:sz="8" w:color="4D8ABE"/>
            </w:tcBorders>
          </w:tcPr>
          <w:p>
            <w:pPr>
              <w:spacing w:after="0"/>
              <w:rPr>
                <w:sz w:val="18"/>
                <w:szCs w:val="18"/>
                <w:color w:val="auto"/>
              </w:rPr>
            </w:pPr>
          </w:p>
        </w:tc>
        <w:tc>
          <w:tcPr>
            <w:tcW w:w="1100" w:type="dxa"/>
            <w:vAlign w:val="bottom"/>
            <w:tcBorders>
              <w:bottom w:val="single" w:sz="8" w:color="4D8ABE"/>
            </w:tcBorders>
          </w:tcPr>
          <w:p>
            <w:pPr>
              <w:jc w:val="right"/>
              <w:ind w:right="143"/>
              <w:spacing w:after="0"/>
              <w:rPr>
                <w:sz w:val="20"/>
                <w:szCs w:val="20"/>
                <w:color w:val="auto"/>
              </w:rPr>
            </w:pPr>
            <w:r>
              <w:rPr>
                <w:rFonts w:ascii="Arial" w:cs="Arial" w:eastAsia="Arial" w:hAnsi="Arial"/>
                <w:sz w:val="15"/>
                <w:szCs w:val="15"/>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Revenues from services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16,038.7</w:t>
            </w:r>
          </w:p>
        </w:tc>
        <w:tc>
          <w:tcPr>
            <w:tcW w:w="340" w:type="dxa"/>
            <w:vAlign w:val="bottom"/>
            <w:tcBorders>
              <w:left w:val="single" w:sz="8" w:color="E6EFFF"/>
            </w:tcBorders>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21,537.1</w:t>
            </w:r>
          </w:p>
        </w:tc>
        <w:tc>
          <w:tcPr>
            <w:tcW w:w="48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20,486.1</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Cost of services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13,220.5</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17,450.2</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16,651.7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2,818.2</w:t>
            </w:r>
          </w:p>
        </w:tc>
        <w:tc>
          <w:tcPr>
            <w:tcW w:w="340" w:type="dxa"/>
            <w:vAlign w:val="bottom"/>
            <w:tcBorders>
              <w:left w:val="single" w:sz="8" w:color="E6EFFF"/>
            </w:tcBorders>
            <w:shd w:val="clear" w:color="auto" w:fill="E6EFFF"/>
          </w:tcPr>
          <w:p>
            <w:pPr>
              <w:spacing w:after="0"/>
              <w:rPr>
                <w:sz w:val="15"/>
                <w:szCs w:val="15"/>
                <w:color w:val="auto"/>
              </w:rPr>
            </w:pPr>
          </w:p>
        </w:tc>
        <w:tc>
          <w:tcPr>
            <w:tcW w:w="98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4,086.9</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3,834.4</w:t>
            </w: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2,715.5</w:t>
            </w:r>
          </w:p>
        </w:tc>
        <w:tc>
          <w:tcPr>
            <w:tcW w:w="34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3,430.3</w:t>
            </w:r>
          </w:p>
        </w:tc>
        <w:tc>
          <w:tcPr>
            <w:tcW w:w="48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3,023.2</w:t>
            </w: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Goodwill and intangible asset impairment charges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61.0</w:t>
            </w:r>
          </w:p>
        </w:tc>
        <w:tc>
          <w:tcPr>
            <w:tcW w:w="340" w:type="dxa"/>
            <w:vAlign w:val="bottom"/>
            <w:tcBorders>
              <w:left w:val="single" w:sz="8" w:color="E6EFFF"/>
              <w:bottom w:val="single" w:sz="8" w:color="auto"/>
            </w:tcBorders>
            <w:shd w:val="clear" w:color="auto" w:fill="E6EFFF"/>
          </w:tcPr>
          <w:p>
            <w:pPr>
              <w:spacing w:after="0"/>
              <w:rPr>
                <w:sz w:val="15"/>
                <w:szCs w:val="15"/>
                <w:color w:val="auto"/>
              </w:rPr>
            </w:pPr>
          </w:p>
        </w:tc>
        <w:tc>
          <w:tcPr>
            <w:tcW w:w="9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163.1</w:t>
            </w:r>
          </w:p>
        </w:tc>
        <w:tc>
          <w:tcPr>
            <w:tcW w:w="48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2,776.5</w:t>
            </w:r>
          </w:p>
        </w:tc>
        <w:tc>
          <w:tcPr>
            <w:tcW w:w="34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3,593.4</w:t>
            </w:r>
          </w:p>
        </w:tc>
        <w:tc>
          <w:tcPr>
            <w:tcW w:w="48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3,023.2</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41.7</w:t>
            </w:r>
          </w:p>
        </w:tc>
        <w:tc>
          <w:tcPr>
            <w:tcW w:w="340" w:type="dxa"/>
            <w:vAlign w:val="bottom"/>
            <w:tcBorders>
              <w:left w:val="single" w:sz="8" w:color="E6EFFF"/>
            </w:tcBorders>
            <w:shd w:val="clear" w:color="auto" w:fill="E6EFFF"/>
          </w:tcPr>
          <w:p>
            <w:pPr>
              <w:spacing w:after="0"/>
              <w:rPr>
                <w:sz w:val="15"/>
                <w:szCs w:val="15"/>
                <w:color w:val="auto"/>
              </w:rPr>
            </w:pPr>
          </w:p>
        </w:tc>
        <w:tc>
          <w:tcPr>
            <w:tcW w:w="98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493.5</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811.2</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Interest and other expenses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64.6</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50.9</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34.2</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(Loss) earnings before income taxes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(22.9)</w:t>
            </w:r>
          </w:p>
        </w:tc>
        <w:tc>
          <w:tcPr>
            <w:tcW w:w="340" w:type="dxa"/>
            <w:vAlign w:val="bottom"/>
            <w:tcBorders>
              <w:left w:val="single" w:sz="8" w:color="E6EFFF"/>
            </w:tcBorders>
            <w:shd w:val="clear" w:color="auto" w:fill="E6EFFF"/>
          </w:tcPr>
          <w:p>
            <w:pPr>
              <w:spacing w:after="0"/>
              <w:rPr>
                <w:sz w:val="15"/>
                <w:szCs w:val="15"/>
                <w:color w:val="auto"/>
              </w:rPr>
            </w:pPr>
          </w:p>
        </w:tc>
        <w:tc>
          <w:tcPr>
            <w:tcW w:w="98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442.6</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777.0</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Provision for income taxes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03"/>
              <w:spacing w:after="0"/>
              <w:rPr>
                <w:sz w:val="20"/>
                <w:szCs w:val="20"/>
                <w:color w:val="auto"/>
              </w:rPr>
            </w:pPr>
            <w:r>
              <w:rPr>
                <w:rFonts w:ascii="Arial" w:cs="Arial" w:eastAsia="Arial" w:hAnsi="Arial"/>
                <w:sz w:val="15"/>
                <w:szCs w:val="15"/>
                <w:color w:val="4D8ABE"/>
              </w:rPr>
              <w:t>(13.7)</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237.1</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303.3</w:t>
            </w:r>
          </w:p>
        </w:tc>
      </w:tr>
      <w:tr>
        <w:trPr>
          <w:trHeight w:val="178"/>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(loss) earnings</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(9.2)</w:t>
            </w:r>
          </w:p>
        </w:tc>
        <w:tc>
          <w:tcPr>
            <w:tcW w:w="340" w:type="dxa"/>
            <w:vAlign w:val="bottom"/>
            <w:tcBorders>
              <w:left w:val="single" w:sz="8" w:color="E6EFFF"/>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205.5</w:t>
            </w:r>
          </w:p>
        </w:tc>
        <w:tc>
          <w:tcPr>
            <w:tcW w:w="480" w:type="dxa"/>
            <w:vAlign w:val="bottom"/>
            <w:tcBorders>
              <w:bottom w:val="single" w:sz="8" w:color="auto"/>
            </w:tcBorders>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473.7</w:t>
            </w:r>
          </w:p>
        </w:tc>
      </w:tr>
      <w:tr>
        <w:trPr>
          <w:trHeight w:val="187"/>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Net (loss) earnings per share - basic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03"/>
              <w:spacing w:after="0"/>
              <w:rPr>
                <w:sz w:val="20"/>
                <w:szCs w:val="20"/>
                <w:color w:val="auto"/>
              </w:rPr>
            </w:pPr>
            <w:r>
              <w:rPr>
                <w:rFonts w:ascii="Arial" w:cs="Arial" w:eastAsia="Arial" w:hAnsi="Arial"/>
                <w:sz w:val="15"/>
                <w:szCs w:val="15"/>
                <w:color w:val="4D8ABE"/>
              </w:rPr>
              <w:t>(0.12)</w:t>
            </w:r>
          </w:p>
        </w:tc>
        <w:tc>
          <w:tcPr>
            <w:tcW w:w="340" w:type="dxa"/>
            <w:vAlign w:val="bottom"/>
            <w:tcBorders>
              <w:left w:val="single" w:sz="8" w:color="4D8ABE"/>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2.61</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5.70</w:t>
            </w:r>
          </w:p>
        </w:tc>
      </w:tr>
      <w:tr>
        <w:trPr>
          <w:trHeight w:val="187"/>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(loss) earnings per share - diluted</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(0.12)</w:t>
            </w:r>
          </w:p>
        </w:tc>
        <w:tc>
          <w:tcPr>
            <w:tcW w:w="340" w:type="dxa"/>
            <w:vAlign w:val="bottom"/>
            <w:tcBorders>
              <w:left w:val="single" w:sz="8" w:color="4D8ABE"/>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2.58</w:t>
            </w:r>
          </w:p>
        </w:tc>
        <w:tc>
          <w:tcPr>
            <w:tcW w:w="480" w:type="dxa"/>
            <w:vAlign w:val="bottom"/>
            <w:tcBorders>
              <w:bottom w:val="single" w:sz="8" w:color="auto"/>
            </w:tcBorders>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5.60</w:t>
            </w:r>
          </w:p>
        </w:tc>
      </w:tr>
      <w:tr>
        <w:trPr>
          <w:trHeight w:val="187"/>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Weighted average shares - basic</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78.3</w:t>
            </w:r>
          </w:p>
        </w:tc>
        <w:tc>
          <w:tcPr>
            <w:tcW w:w="340" w:type="dxa"/>
            <w:vAlign w:val="bottom"/>
            <w:tcBorders>
              <w:left w:val="single" w:sz="8" w:color="4D8ABE"/>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78.7</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83.1</w:t>
            </w:r>
          </w:p>
        </w:tc>
      </w:tr>
      <w:tr>
        <w:trPr>
          <w:trHeight w:val="187"/>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tcBorders>
              <w:bottom w:val="single" w:sz="8" w:color="auto"/>
            </w:tcBorders>
            <w:shd w:val="clear" w:color="auto" w:fill="E6EFFF"/>
          </w:tcPr>
          <w:p>
            <w:pPr>
              <w:spacing w:after="0"/>
              <w:rPr>
                <w:sz w:val="16"/>
                <w:szCs w:val="16"/>
                <w:color w:val="auto"/>
              </w:rPr>
            </w:pPr>
          </w:p>
        </w:tc>
        <w:tc>
          <w:tcPr>
            <w:tcW w:w="138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78.3</w:t>
            </w:r>
          </w:p>
        </w:tc>
        <w:tc>
          <w:tcPr>
            <w:tcW w:w="340" w:type="dxa"/>
            <w:vAlign w:val="bottom"/>
            <w:tcBorders>
              <w:left w:val="single" w:sz="8" w:color="4D8ABE"/>
              <w:bottom w:val="single" w:sz="8" w:color="auto"/>
            </w:tcBorders>
            <w:shd w:val="clear" w:color="auto" w:fill="E6EFFF"/>
          </w:tcPr>
          <w:p>
            <w:pPr>
              <w:spacing w:after="0"/>
              <w:rPr>
                <w:sz w:val="16"/>
                <w:szCs w:val="16"/>
                <w:color w:val="auto"/>
              </w:rPr>
            </w:pPr>
          </w:p>
        </w:tc>
        <w:tc>
          <w:tcPr>
            <w:tcW w:w="9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79.7</w:t>
            </w:r>
          </w:p>
        </w:tc>
        <w:tc>
          <w:tcPr>
            <w:tcW w:w="480" w:type="dxa"/>
            <w:vAlign w:val="bottom"/>
            <w:tcBorders>
              <w:bottom w:val="single" w:sz="8" w:color="auto"/>
            </w:tcBorders>
            <w:shd w:val="clear" w:color="auto" w:fill="E6EFFF"/>
          </w:tcPr>
          <w:p>
            <w:pPr>
              <w:spacing w:after="0"/>
              <w:rPr>
                <w:sz w:val="16"/>
                <w:szCs w:val="16"/>
                <w:color w:val="auto"/>
              </w:rPr>
            </w:pPr>
          </w:p>
        </w:tc>
        <w:tc>
          <w:tcPr>
            <w:tcW w:w="11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84.6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to Consolidated Financial Statements are an integral part of these statements.</w:t>
      </w:r>
    </w:p>
    <w:p>
      <w:pPr>
        <w:spacing w:after="0" w:line="190"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42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86B6A5"/>
        </w:rPr>
        <w:t>Consolidated Balance Sheets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86B6A5"/>
        </w:rPr>
        <w:t>in millions,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80" w:type="dxa"/>
            <w:vAlign w:val="bottom"/>
            <w:tcBorders>
              <w:right w:val="single" w:sz="8" w:color="4D8ABE"/>
            </w:tcBorders>
            <w:vMerge w:val="restart"/>
          </w:tcPr>
          <w:p>
            <w:pPr>
              <w:spacing w:after="0"/>
              <w:rPr>
                <w:sz w:val="20"/>
                <w:szCs w:val="20"/>
                <w:color w:val="auto"/>
              </w:rPr>
            </w:pPr>
            <w:r>
              <w:rPr>
                <w:rFonts w:ascii="Arial" w:cs="Arial" w:eastAsia="Arial" w:hAnsi="Arial"/>
                <w:sz w:val="15"/>
                <w:szCs w:val="15"/>
                <w:b w:val="1"/>
                <w:bCs w:val="1"/>
                <w:color w:val="4D8ABE"/>
              </w:rPr>
              <w:t>December 31</w:t>
            </w:r>
          </w:p>
        </w:tc>
        <w:tc>
          <w:tcPr>
            <w:tcW w:w="8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3"/>
              <w:spacing w:after="0"/>
              <w:rPr>
                <w:sz w:val="20"/>
                <w:szCs w:val="20"/>
                <w:color w:val="auto"/>
              </w:rPr>
            </w:pPr>
            <w:r>
              <w:rPr>
                <w:rFonts w:ascii="Arial" w:cs="Arial" w:eastAsia="Arial" w:hAnsi="Arial"/>
                <w:sz w:val="15"/>
                <w:szCs w:val="15"/>
                <w:b w:val="1"/>
                <w:bCs w:val="1"/>
                <w:color w:val="FFFFFF"/>
              </w:rPr>
              <w:t>2009</w:t>
            </w:r>
          </w:p>
        </w:tc>
        <w:tc>
          <w:tcPr>
            <w:tcW w:w="480" w:type="dxa"/>
            <w:vAlign w:val="bottom"/>
          </w:tcPr>
          <w:p>
            <w:pPr>
              <w:spacing w:after="0" w:line="20" w:lineRule="exact"/>
              <w:rPr>
                <w:sz w:val="1"/>
                <w:szCs w:val="1"/>
                <w:color w:val="auto"/>
              </w:rPr>
            </w:pPr>
          </w:p>
        </w:tc>
        <w:tc>
          <w:tcPr>
            <w:tcW w:w="12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080" w:type="dxa"/>
            <w:vAlign w:val="bottom"/>
            <w:tcBorders>
              <w:bottom w:val="single" w:sz="8" w:color="4D8ABE"/>
              <w:right w:val="single" w:sz="8" w:color="4D8ABE"/>
            </w:tcBorders>
            <w:vMerge w:val="continue"/>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480" w:type="dxa"/>
            <w:vAlign w:val="bottom"/>
            <w:tcBorders>
              <w:bottom w:val="single" w:sz="8" w:color="4D8ABE"/>
            </w:tcBorders>
          </w:tcPr>
          <w:p>
            <w:pPr>
              <w:spacing w:after="0"/>
              <w:rPr>
                <w:sz w:val="15"/>
                <w:szCs w:val="15"/>
                <w:color w:val="auto"/>
              </w:rPr>
            </w:pPr>
          </w:p>
        </w:tc>
        <w:tc>
          <w:tcPr>
            <w:tcW w:w="120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86B6A5"/>
              </w:rPr>
              <w:t>ASSETS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Current Assets</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1,014.6</w:t>
            </w:r>
          </w:p>
        </w:tc>
        <w:tc>
          <w:tcPr>
            <w:tcW w:w="480" w:type="dxa"/>
            <w:vAlign w:val="bottom"/>
            <w:shd w:val="clear" w:color="auto" w:fill="E6EFFF"/>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874.0</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Accounts receivable, less allowance for doubtful accounts of $118.3 and $118.5, respectively</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3,070.8</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3,629.7</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Prepaid expenses and other assets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179.6</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119.9</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Future income tax benefits</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67.4</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Total current assets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4,332.4</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4,690.1</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Other Assets</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959.1</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972.9</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Intangible assets, less accumulated amortization of $100.5 and $78.4, respectively</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398.4</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415.2</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347.5</w:t>
            </w:r>
          </w:p>
        </w:tc>
        <w:tc>
          <w:tcPr>
            <w:tcW w:w="480" w:type="dxa"/>
            <w:vAlign w:val="bottom"/>
            <w:tcBorders>
              <w:bottom w:val="single" w:sz="8" w:color="auto"/>
            </w:tcBorders>
            <w:shd w:val="clear" w:color="auto" w:fill="E6EFFF"/>
          </w:tcPr>
          <w:p>
            <w:pPr>
              <w:spacing w:after="0"/>
              <w:rPr>
                <w:sz w:val="15"/>
                <w:szCs w:val="15"/>
                <w:color w:val="auto"/>
              </w:rPr>
            </w:pPr>
          </w:p>
        </w:tc>
        <w:tc>
          <w:tcPr>
            <w:tcW w:w="12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330.6</w:t>
            </w: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1,705.0</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1,718.7</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Property and Equipment</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Land, buildings, leasehold improvements and equipment</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703.6</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744.0</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Less: accumulated depreciation and amortization</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527.2</w:t>
            </w:r>
          </w:p>
        </w:tc>
        <w:tc>
          <w:tcPr>
            <w:tcW w:w="480" w:type="dxa"/>
            <w:vAlign w:val="bottom"/>
            <w:tcBorders>
              <w:bottom w:val="single" w:sz="8" w:color="auto"/>
            </w:tcBorders>
            <w:shd w:val="clear" w:color="auto" w:fill="E6EFFF"/>
          </w:tcPr>
          <w:p>
            <w:pPr>
              <w:spacing w:after="0"/>
              <w:rPr>
                <w:sz w:val="15"/>
                <w:szCs w:val="15"/>
                <w:color w:val="auto"/>
              </w:rPr>
            </w:pPr>
          </w:p>
        </w:tc>
        <w:tc>
          <w:tcPr>
            <w:tcW w:w="12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530.6</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Net property and equipment</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176.4</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213.4</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6,213.8</w:t>
            </w: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6,622.2</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86B6A5"/>
              </w:rPr>
              <w:t>LIABILITIES AND SHAREHOLDERS’ EQUITY</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Current Liabilities</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944.4</w:t>
            </w:r>
          </w:p>
        </w:tc>
        <w:tc>
          <w:tcPr>
            <w:tcW w:w="480" w:type="dxa"/>
            <w:vAlign w:val="bottom"/>
            <w:shd w:val="clear" w:color="auto" w:fill="E6EFFF"/>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896.3</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Employee compensation payable</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187.8</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213.2</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Accrued liabilities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465.9</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585.7</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Accrued payroll taxes and insurance</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572.0</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617.5</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Value added taxes payable</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391.2</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479.2</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Short-term borrowings and current maturities of long-term debt</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41.7</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115.6</w:t>
            </w: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2,603.0</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2,907.5</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Other Liabilities</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Long-term debt</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715.6</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837.3</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Other long-term liabilities</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358.7</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418.0</w:t>
            </w: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Total other liabilities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1,074.3</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1,255.3</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Shareholders’ Equity</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Preferred stock, $.01 par value, authorized 25,000,000 shares, none issued</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Common stock, $.01 par value, authorized 125,000,000 shares, issued 104,397,965 and 103,756,138 shares,</w:t>
            </w:r>
          </w:p>
        </w:tc>
        <w:tc>
          <w:tcPr>
            <w:tcW w:w="80" w:type="dxa"/>
            <w:vAlign w:val="bottom"/>
          </w:tcPr>
          <w:p>
            <w:pPr>
              <w:spacing w:after="0"/>
              <w:rPr>
                <w:sz w:val="14"/>
                <w:szCs w:val="14"/>
                <w:color w:val="auto"/>
              </w:rPr>
            </w:pPr>
          </w:p>
        </w:tc>
        <w:tc>
          <w:tcPr>
            <w:tcW w:w="1600" w:type="dxa"/>
            <w:vAlign w:val="bottom"/>
            <w:tcBorders>
              <w:right w:val="single" w:sz="8" w:color="4D8ABE"/>
            </w:tcBorders>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1.0</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Capital in excess of par value</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2,544.2</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2,514.8</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1,109.6</w:t>
            </w:r>
          </w:p>
        </w:tc>
        <w:tc>
          <w:tcPr>
            <w:tcW w:w="48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1,176.8</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Accumulated other comprehensive income (loss)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106.9</w:t>
            </w:r>
          </w:p>
        </w:tc>
        <w:tc>
          <w:tcPr>
            <w:tcW w:w="480" w:type="dxa"/>
            <w:vAlign w:val="bottom"/>
            <w:shd w:val="clear" w:color="auto" w:fill="E6EFFF"/>
          </w:tcPr>
          <w:p>
            <w:pPr>
              <w:spacing w:after="0"/>
              <w:rPr>
                <w:sz w:val="15"/>
                <w:szCs w:val="15"/>
                <w:color w:val="auto"/>
              </w:rPr>
            </w:pPr>
          </w:p>
        </w:tc>
        <w:tc>
          <w:tcPr>
            <w:tcW w:w="1200" w:type="dxa"/>
            <w:vAlign w:val="bottom"/>
            <w:shd w:val="clear" w:color="auto" w:fill="E6EFFF"/>
          </w:tcPr>
          <w:p>
            <w:pPr>
              <w:jc w:val="right"/>
              <w:ind w:right="103"/>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Treasury stock at cost, 25,821,405 and 25,791,941 shares, respectively</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03"/>
              <w:spacing w:after="0"/>
              <w:rPr>
                <w:sz w:val="20"/>
                <w:szCs w:val="20"/>
                <w:color w:val="auto"/>
              </w:rPr>
            </w:pPr>
            <w:r>
              <w:rPr>
                <w:rFonts w:ascii="Arial" w:cs="Arial" w:eastAsia="Arial" w:hAnsi="Arial"/>
                <w:sz w:val="15"/>
                <w:szCs w:val="15"/>
                <w:color w:val="4D8ABE"/>
              </w:rPr>
              <w:t>(1,225.2)</w:t>
            </w: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(1,224.3)</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Total shareholders’ equity</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2,536.5</w:t>
            </w:r>
          </w:p>
        </w:tc>
        <w:tc>
          <w:tcPr>
            <w:tcW w:w="480" w:type="dxa"/>
            <w:vAlign w:val="bottom"/>
            <w:tcBorders>
              <w:bottom w:val="single" w:sz="8" w:color="auto"/>
            </w:tcBorders>
            <w:shd w:val="clear" w:color="auto" w:fill="E6EFFF"/>
          </w:tcPr>
          <w:p>
            <w:pPr>
              <w:spacing w:after="0"/>
              <w:rPr>
                <w:sz w:val="15"/>
                <w:szCs w:val="15"/>
                <w:color w:val="auto"/>
              </w:rPr>
            </w:pPr>
          </w:p>
        </w:tc>
        <w:tc>
          <w:tcPr>
            <w:tcW w:w="12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2,459.4</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6,213.8</w:t>
            </w: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6,622.2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to Consolidated Financial Statements are an integral part of these statements.</w:t>
      </w:r>
    </w:p>
    <w:p>
      <w:pPr>
        <w:spacing w:after="0" w:line="190" w:lineRule="exact"/>
        <w:rPr>
          <w:sz w:val="20"/>
          <w:szCs w:val="20"/>
          <w:color w:val="auto"/>
        </w:rPr>
      </w:pPr>
    </w:p>
    <w:p>
      <w:pPr>
        <w:ind w:left="7180"/>
        <w:spacing w:after="0"/>
        <w:tabs>
          <w:tab w:leader="none" w:pos="9320" w:val="left"/>
        </w:tabs>
        <w:rPr>
          <w:sz w:val="20"/>
          <w:szCs w:val="20"/>
          <w:color w:val="auto"/>
        </w:rPr>
      </w:pPr>
      <w:r>
        <w:rPr>
          <w:rFonts w:ascii="Arial" w:cs="Arial" w:eastAsia="Arial" w:hAnsi="Arial"/>
          <w:sz w:val="14"/>
          <w:szCs w:val="14"/>
          <w:b w:val="1"/>
          <w:bCs w:val="1"/>
          <w:color w:val="939598"/>
        </w:rPr>
        <w:t>Consolidated Balance Sheets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86B6A5"/>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86B6A5"/>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5"/>
                <w:szCs w:val="15"/>
                <w:b w:val="1"/>
                <w:bCs w:val="1"/>
                <w:color w:val="4D8ABE"/>
              </w:rPr>
              <w:t>Year Ended December 31</w:t>
            </w:r>
          </w:p>
        </w:tc>
        <w:tc>
          <w:tcPr>
            <w:tcW w:w="80" w:type="dxa"/>
            <w:vAlign w:val="bottom"/>
            <w:tcBorders>
              <w:bottom w:val="single" w:sz="8" w:color="4D8ABE"/>
            </w:tcBorders>
            <w:shd w:val="clear" w:color="auto" w:fill="4D8ABE"/>
          </w:tcPr>
          <w:p>
            <w:pPr>
              <w:spacing w:after="0"/>
              <w:rPr>
                <w:sz w:val="18"/>
                <w:szCs w:val="18"/>
                <w:color w:val="auto"/>
              </w:rPr>
            </w:pPr>
          </w:p>
        </w:tc>
        <w:tc>
          <w:tcPr>
            <w:tcW w:w="1380" w:type="dxa"/>
            <w:vAlign w:val="bottom"/>
            <w:tcBorders>
              <w:bottom w:val="single" w:sz="8" w:color="4D8ABE"/>
              <w:right w:val="single" w:sz="8" w:color="4D8ABE"/>
            </w:tcBorders>
            <w:shd w:val="clear" w:color="auto" w:fill="4D8ABE"/>
          </w:tcPr>
          <w:p>
            <w:pPr>
              <w:jc w:val="right"/>
              <w:ind w:right="163"/>
              <w:spacing w:after="0"/>
              <w:rPr>
                <w:sz w:val="20"/>
                <w:szCs w:val="20"/>
                <w:color w:val="auto"/>
              </w:rPr>
            </w:pPr>
            <w:r>
              <w:rPr>
                <w:rFonts w:ascii="Arial" w:cs="Arial" w:eastAsia="Arial" w:hAnsi="Arial"/>
                <w:sz w:val="15"/>
                <w:szCs w:val="15"/>
                <w:b w:val="1"/>
                <w:bCs w:val="1"/>
                <w:color w:val="FFFFFF"/>
              </w:rPr>
              <w:t>2009</w:t>
            </w:r>
          </w:p>
        </w:tc>
        <w:tc>
          <w:tcPr>
            <w:tcW w:w="420" w:type="dxa"/>
            <w:vAlign w:val="bottom"/>
            <w:tcBorders>
              <w:bottom w:val="single" w:sz="8" w:color="4D8ABE"/>
            </w:tcBorders>
          </w:tcPr>
          <w:p>
            <w:pPr>
              <w:spacing w:after="0"/>
              <w:rPr>
                <w:sz w:val="18"/>
                <w:szCs w:val="18"/>
                <w:color w:val="auto"/>
              </w:rPr>
            </w:pPr>
          </w:p>
        </w:tc>
        <w:tc>
          <w:tcPr>
            <w:tcW w:w="940" w:type="dxa"/>
            <w:vAlign w:val="bottom"/>
            <w:tcBorders>
              <w:bottom w:val="single" w:sz="8" w:color="4D8ABE"/>
            </w:tcBorders>
          </w:tcPr>
          <w:p>
            <w:pPr>
              <w:jc w:val="right"/>
              <w:ind w:right="63"/>
              <w:spacing w:after="0"/>
              <w:rPr>
                <w:sz w:val="20"/>
                <w:szCs w:val="20"/>
                <w:color w:val="auto"/>
              </w:rPr>
            </w:pPr>
            <w:r>
              <w:rPr>
                <w:rFonts w:ascii="Arial" w:cs="Arial" w:eastAsia="Arial" w:hAnsi="Arial"/>
                <w:sz w:val="15"/>
                <w:szCs w:val="15"/>
                <w:b w:val="1"/>
                <w:bCs w:val="1"/>
                <w:color w:val="4D8ABE"/>
              </w:rPr>
              <w:t>2008</w:t>
            </w:r>
          </w:p>
        </w:tc>
        <w:tc>
          <w:tcPr>
            <w:tcW w:w="520" w:type="dxa"/>
            <w:vAlign w:val="bottom"/>
            <w:tcBorders>
              <w:bottom w:val="single" w:sz="8" w:color="4D8ABE"/>
            </w:tcBorders>
          </w:tcPr>
          <w:p>
            <w:pPr>
              <w:spacing w:after="0"/>
              <w:rPr>
                <w:sz w:val="18"/>
                <w:szCs w:val="18"/>
                <w:color w:val="auto"/>
              </w:rPr>
            </w:pPr>
          </w:p>
        </w:tc>
        <w:tc>
          <w:tcPr>
            <w:tcW w:w="1020" w:type="dxa"/>
            <w:vAlign w:val="bottom"/>
            <w:tcBorders>
              <w:bottom w:val="single" w:sz="8" w:color="4D8ABE"/>
            </w:tcBorders>
          </w:tcPr>
          <w:p>
            <w:pPr>
              <w:jc w:val="right"/>
              <w:ind w:right="143"/>
              <w:spacing w:after="0"/>
              <w:rPr>
                <w:sz w:val="20"/>
                <w:szCs w:val="20"/>
                <w:color w:val="auto"/>
              </w:rPr>
            </w:pPr>
            <w:r>
              <w:rPr>
                <w:rFonts w:ascii="Arial" w:cs="Arial" w:eastAsia="Arial" w:hAnsi="Arial"/>
                <w:sz w:val="15"/>
                <w:szCs w:val="15"/>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Cash Flows from Operating Activities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Net (loss) earnings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03"/>
              <w:spacing w:after="0"/>
              <w:rPr>
                <w:sz w:val="20"/>
                <w:szCs w:val="20"/>
                <w:color w:val="auto"/>
              </w:rPr>
            </w:pPr>
            <w:r>
              <w:rPr>
                <w:rFonts w:ascii="Arial" w:cs="Arial" w:eastAsia="Arial" w:hAnsi="Arial"/>
                <w:sz w:val="15"/>
                <w:szCs w:val="15"/>
                <w:color w:val="4D8ABE"/>
              </w:rPr>
              <w:t>(9.2)</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205.5</w:t>
            </w:r>
          </w:p>
        </w:tc>
        <w:tc>
          <w:tcPr>
            <w:tcW w:w="5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473.7</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Adjustments to reconcile net (loss) earnings to net cash provided by operating activities: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97.2</w:t>
            </w:r>
          </w:p>
        </w:tc>
        <w:tc>
          <w:tcPr>
            <w:tcW w:w="420" w:type="dxa"/>
            <w:vAlign w:val="bottom"/>
          </w:tcPr>
          <w:p>
            <w:pPr>
              <w:spacing w:after="0"/>
              <w:rPr>
                <w:sz w:val="15"/>
                <w:szCs w:val="15"/>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107.1</w:t>
            </w:r>
          </w:p>
        </w:tc>
        <w:tc>
          <w:tcPr>
            <w:tcW w:w="520" w:type="dxa"/>
            <w:vAlign w:val="bottom"/>
          </w:tcPr>
          <w:p>
            <w:pPr>
              <w:spacing w:after="0"/>
              <w:rPr>
                <w:sz w:val="15"/>
                <w:szCs w:val="15"/>
                <w:color w:val="auto"/>
              </w:rPr>
            </w:pP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99.0</w:t>
            </w: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Non-cash goodwill and intangible asset impairment charges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61.0</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163.1</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Deferred income taxes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3"/>
              <w:spacing w:after="0"/>
              <w:rPr>
                <w:sz w:val="20"/>
                <w:szCs w:val="20"/>
                <w:color w:val="auto"/>
              </w:rPr>
            </w:pPr>
            <w:r>
              <w:rPr>
                <w:rFonts w:ascii="Arial" w:cs="Arial" w:eastAsia="Arial" w:hAnsi="Arial"/>
                <w:sz w:val="15"/>
                <w:szCs w:val="15"/>
                <w:color w:val="4D8ABE"/>
              </w:rPr>
              <w:t>(29.2)</w:t>
            </w:r>
          </w:p>
        </w:tc>
        <w:tc>
          <w:tcPr>
            <w:tcW w:w="42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(32.8)</w:t>
            </w:r>
          </w:p>
        </w:tc>
        <w:tc>
          <w:tcPr>
            <w:tcW w:w="520" w:type="dxa"/>
            <w:vAlign w:val="bottom"/>
          </w:tcPr>
          <w:p>
            <w:pPr>
              <w:spacing w:after="0"/>
              <w:rPr>
                <w:sz w:val="15"/>
                <w:szCs w:val="15"/>
                <w:color w:val="auto"/>
              </w:rPr>
            </w:pP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22.2</w:t>
            </w: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Provision for doubtful accounts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27.8</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23.4</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21.8</w:t>
            </w: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Loss from sale of an equity investment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10.3</w:t>
            </w:r>
          </w:p>
        </w:tc>
        <w:tc>
          <w:tcPr>
            <w:tcW w:w="420" w:type="dxa"/>
            <w:vAlign w:val="bottom"/>
          </w:tcPr>
          <w:p>
            <w:pPr>
              <w:spacing w:after="0"/>
              <w:rPr>
                <w:sz w:val="15"/>
                <w:szCs w:val="15"/>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Share-based compensation</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17.5</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21.1</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26.0</w:t>
            </w: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Excess tax benefit on exercise of stock options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3"/>
              <w:spacing w:after="0"/>
              <w:rPr>
                <w:sz w:val="20"/>
                <w:szCs w:val="20"/>
                <w:color w:val="auto"/>
              </w:rPr>
            </w:pPr>
            <w:r>
              <w:rPr>
                <w:rFonts w:ascii="Arial" w:cs="Arial" w:eastAsia="Arial" w:hAnsi="Arial"/>
                <w:sz w:val="15"/>
                <w:szCs w:val="15"/>
                <w:color w:val="4D8ABE"/>
              </w:rPr>
              <w:t>(0.5)</w:t>
            </w:r>
          </w:p>
        </w:tc>
        <w:tc>
          <w:tcPr>
            <w:tcW w:w="42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5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(4.6)</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Change in operating assets and liabilities, excluding the impact of acquisitions: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663.6</w:t>
            </w:r>
          </w:p>
        </w:tc>
        <w:tc>
          <w:tcPr>
            <w:tcW w:w="420" w:type="dxa"/>
            <w:vAlign w:val="bottom"/>
          </w:tcPr>
          <w:p>
            <w:pPr>
              <w:spacing w:after="0"/>
              <w:rPr>
                <w:sz w:val="15"/>
                <w:szCs w:val="15"/>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575.0</w:t>
            </w:r>
          </w:p>
        </w:tc>
        <w:tc>
          <w:tcPr>
            <w:tcW w:w="5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(316.0)</w:t>
            </w: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(71.5)</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2.9</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03"/>
              <w:spacing w:after="0"/>
              <w:rPr>
                <w:sz w:val="20"/>
                <w:szCs w:val="20"/>
                <w:color w:val="auto"/>
              </w:rPr>
            </w:pPr>
            <w:r>
              <w:rPr>
                <w:rFonts w:ascii="Arial" w:cs="Arial" w:eastAsia="Arial" w:hAnsi="Arial"/>
                <w:sz w:val="15"/>
                <w:szCs w:val="15"/>
                <w:color w:val="auto"/>
              </w:rPr>
              <w:t>(3.5)</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03"/>
              <w:spacing w:after="0"/>
              <w:rPr>
                <w:sz w:val="20"/>
                <w:szCs w:val="20"/>
                <w:color w:val="auto"/>
              </w:rPr>
            </w:pPr>
            <w:r>
              <w:rPr>
                <w:rFonts w:ascii="Arial" w:cs="Arial" w:eastAsia="Arial" w:hAnsi="Arial"/>
                <w:sz w:val="15"/>
                <w:szCs w:val="15"/>
                <w:color w:val="4D8ABE"/>
              </w:rPr>
              <w:t>(352.7)</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(272.8)</w:t>
            </w: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113.6</w:t>
            </w:r>
          </w:p>
        </w:tc>
      </w:tr>
      <w:tr>
        <w:trPr>
          <w:trHeight w:val="175"/>
        </w:trPr>
        <w:tc>
          <w:tcPr>
            <w:tcW w:w="7080" w:type="dxa"/>
            <w:vAlign w:val="bottom"/>
            <w:tcBorders>
              <w:bottom w:val="single" w:sz="8" w:color="auto"/>
              <w:right w:val="single" w:sz="8" w:color="4D8ABE"/>
            </w:tcBorders>
            <w:shd w:val="clear" w:color="auto" w:fill="E6EFFF"/>
          </w:tcPr>
          <w:p>
            <w:pPr>
              <w:ind w:left="300"/>
              <w:spacing w:after="0"/>
              <w:rPr>
                <w:sz w:val="20"/>
                <w:szCs w:val="20"/>
                <w:color w:val="auto"/>
              </w:rPr>
            </w:pPr>
            <w:r>
              <w:rPr>
                <w:rFonts w:ascii="Arial" w:cs="Arial" w:eastAsia="Arial" w:hAnsi="Arial"/>
                <w:sz w:val="15"/>
                <w:szCs w:val="15"/>
                <w:color w:val="auto"/>
              </w:rPr>
              <w:t>Cash provided by operating activities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414.3</w:t>
            </w:r>
          </w:p>
        </w:tc>
        <w:tc>
          <w:tcPr>
            <w:tcW w:w="420" w:type="dxa"/>
            <w:vAlign w:val="bottom"/>
            <w:tcBorders>
              <w:left w:val="single" w:sz="8" w:color="E6EFFF"/>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63"/>
              <w:spacing w:after="0"/>
              <w:rPr>
                <w:sz w:val="20"/>
                <w:szCs w:val="20"/>
                <w:color w:val="auto"/>
              </w:rPr>
            </w:pPr>
            <w:r>
              <w:rPr>
                <w:rFonts w:ascii="Arial" w:cs="Arial" w:eastAsia="Arial" w:hAnsi="Arial"/>
                <w:sz w:val="15"/>
                <w:szCs w:val="15"/>
                <w:color w:val="auto"/>
              </w:rPr>
              <w:t>792.0</w:t>
            </w:r>
          </w:p>
        </w:tc>
        <w:tc>
          <w:tcPr>
            <w:tcW w:w="52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432.2</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Cash Flows from Investing Activities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Capital expenditures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(35.1)</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(93.1)</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03"/>
              <w:spacing w:after="0"/>
              <w:rPr>
                <w:sz w:val="20"/>
                <w:szCs w:val="20"/>
                <w:color w:val="auto"/>
              </w:rPr>
            </w:pPr>
            <w:r>
              <w:rPr>
                <w:rFonts w:ascii="Arial" w:cs="Arial" w:eastAsia="Arial" w:hAnsi="Arial"/>
                <w:sz w:val="15"/>
                <w:szCs w:val="15"/>
                <w:color w:val="auto"/>
              </w:rPr>
              <w:t>(91.6)</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Acquisitions of businesses, net of cash acquired</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3"/>
              <w:spacing w:after="0"/>
              <w:rPr>
                <w:sz w:val="20"/>
                <w:szCs w:val="20"/>
                <w:color w:val="auto"/>
              </w:rPr>
            </w:pPr>
            <w:r>
              <w:rPr>
                <w:rFonts w:ascii="Arial" w:cs="Arial" w:eastAsia="Arial" w:hAnsi="Arial"/>
                <w:sz w:val="15"/>
                <w:szCs w:val="15"/>
                <w:color w:val="4D8ABE"/>
              </w:rPr>
              <w:t>(21.6)</w:t>
            </w:r>
          </w:p>
        </w:tc>
        <w:tc>
          <w:tcPr>
            <w:tcW w:w="42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(242.0)</w:t>
            </w:r>
          </w:p>
        </w:tc>
        <w:tc>
          <w:tcPr>
            <w:tcW w:w="5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(122.8)</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Proceeds from the sale of an equity investment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13.3</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Proceeds from the sale of property and equipment</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3.6</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5.9</w:t>
            </w: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12.9</w:t>
            </w:r>
          </w:p>
        </w:tc>
      </w:tr>
      <w:tr>
        <w:trPr>
          <w:trHeight w:val="175"/>
        </w:trPr>
        <w:tc>
          <w:tcPr>
            <w:tcW w:w="7080" w:type="dxa"/>
            <w:vAlign w:val="bottom"/>
            <w:tcBorders>
              <w:bottom w:val="single" w:sz="8" w:color="auto"/>
              <w:right w:val="single" w:sz="8" w:color="4D8ABE"/>
            </w:tcBorders>
            <w:shd w:val="clear" w:color="auto" w:fill="E6EFFF"/>
          </w:tcPr>
          <w:p>
            <w:pPr>
              <w:ind w:left="300"/>
              <w:spacing w:after="0"/>
              <w:rPr>
                <w:sz w:val="20"/>
                <w:szCs w:val="20"/>
                <w:color w:val="auto"/>
              </w:rPr>
            </w:pPr>
            <w:r>
              <w:rPr>
                <w:rFonts w:ascii="Arial" w:cs="Arial" w:eastAsia="Arial" w:hAnsi="Arial"/>
                <w:sz w:val="15"/>
                <w:szCs w:val="15"/>
                <w:color w:val="auto"/>
              </w:rPr>
              <w:t>Cash used in investing activities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(39.8)</w:t>
            </w:r>
          </w:p>
        </w:tc>
        <w:tc>
          <w:tcPr>
            <w:tcW w:w="420" w:type="dxa"/>
            <w:vAlign w:val="bottom"/>
            <w:tcBorders>
              <w:left w:val="single" w:sz="8" w:color="E6EFFF"/>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(329.2)</w:t>
            </w:r>
          </w:p>
        </w:tc>
        <w:tc>
          <w:tcPr>
            <w:tcW w:w="52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103"/>
              <w:spacing w:after="0"/>
              <w:rPr>
                <w:sz w:val="20"/>
                <w:szCs w:val="20"/>
                <w:color w:val="auto"/>
              </w:rPr>
            </w:pPr>
            <w:r>
              <w:rPr>
                <w:rFonts w:ascii="Arial" w:cs="Arial" w:eastAsia="Arial" w:hAnsi="Arial"/>
                <w:sz w:val="15"/>
                <w:szCs w:val="15"/>
                <w:color w:val="auto"/>
              </w:rPr>
              <w:t>(201.5)</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Cash Flows from Financing Activities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change in short-term borrowings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(14.6)</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16.0</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6.1</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Proceeds from long-term debt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146.5</w:t>
            </w:r>
          </w:p>
        </w:tc>
        <w:tc>
          <w:tcPr>
            <w:tcW w:w="420" w:type="dxa"/>
            <w:vAlign w:val="bottom"/>
          </w:tcPr>
          <w:p>
            <w:pPr>
              <w:spacing w:after="0"/>
              <w:rPr>
                <w:sz w:val="15"/>
                <w:szCs w:val="15"/>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233.7</w:t>
            </w:r>
          </w:p>
        </w:tc>
        <w:tc>
          <w:tcPr>
            <w:tcW w:w="520" w:type="dxa"/>
            <w:vAlign w:val="bottom"/>
          </w:tcPr>
          <w:p>
            <w:pPr>
              <w:spacing w:after="0"/>
              <w:rPr>
                <w:sz w:val="15"/>
                <w:szCs w:val="15"/>
                <w:color w:val="auto"/>
              </w:rPr>
            </w:pP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1.0</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Repayments of long-term debt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(359.3)</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(170.7)</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03"/>
              <w:spacing w:after="0"/>
              <w:rPr>
                <w:sz w:val="20"/>
                <w:szCs w:val="20"/>
                <w:color w:val="auto"/>
              </w:rPr>
            </w:pPr>
            <w:r>
              <w:rPr>
                <w:rFonts w:ascii="Arial" w:cs="Arial" w:eastAsia="Arial" w:hAnsi="Arial"/>
                <w:sz w:val="15"/>
                <w:szCs w:val="15"/>
                <w:color w:val="auto"/>
              </w:rPr>
              <w:t>(2.2)</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Proceeds from stock option and purchase plans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14.2</w:t>
            </w:r>
          </w:p>
        </w:tc>
        <w:tc>
          <w:tcPr>
            <w:tcW w:w="420" w:type="dxa"/>
            <w:vAlign w:val="bottom"/>
          </w:tcPr>
          <w:p>
            <w:pPr>
              <w:spacing w:after="0"/>
              <w:rPr>
                <w:sz w:val="15"/>
                <w:szCs w:val="15"/>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12.2</w:t>
            </w:r>
          </w:p>
        </w:tc>
        <w:tc>
          <w:tcPr>
            <w:tcW w:w="520" w:type="dxa"/>
            <w:vAlign w:val="bottom"/>
          </w:tcPr>
          <w:p>
            <w:pPr>
              <w:spacing w:after="0"/>
              <w:rPr>
                <w:sz w:val="15"/>
                <w:szCs w:val="15"/>
                <w:color w:val="auto"/>
              </w:rPr>
            </w:pP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35.0</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Excess tax benefit on exercise of stock options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0.5</w:t>
            </w:r>
          </w:p>
        </w:tc>
        <w:tc>
          <w:tcPr>
            <w:tcW w:w="420" w:type="dxa"/>
            <w:vAlign w:val="bottom"/>
            <w:tcBorders>
              <w:left w:val="single" w:sz="8" w:color="E6EFFF"/>
            </w:tcBorders>
            <w:shd w:val="clear" w:color="auto" w:fill="E6EFFF"/>
          </w:tcPr>
          <w:p>
            <w:pPr>
              <w:spacing w:after="0"/>
              <w:rPr>
                <w:sz w:val="15"/>
                <w:szCs w:val="15"/>
                <w:color w:val="auto"/>
              </w:rPr>
            </w:pPr>
          </w:p>
        </w:tc>
        <w:tc>
          <w:tcPr>
            <w:tcW w:w="940" w:type="dxa"/>
            <w:vAlign w:val="bottom"/>
            <w:shd w:val="clear" w:color="auto" w:fill="E6EFFF"/>
          </w:tcPr>
          <w:p>
            <w:pPr>
              <w:jc w:val="right"/>
              <w:ind w:right="63"/>
              <w:spacing w:after="0"/>
              <w:rPr>
                <w:sz w:val="20"/>
                <w:szCs w:val="20"/>
                <w:color w:val="auto"/>
              </w:rPr>
            </w:pPr>
            <w:r>
              <w:rPr>
                <w:rFonts w:ascii="Arial" w:cs="Arial" w:eastAsia="Arial" w:hAnsi="Arial"/>
                <w:sz w:val="15"/>
                <w:szCs w:val="15"/>
                <w:color w:val="auto"/>
              </w:rPr>
              <w:t>0.5</w:t>
            </w: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4.6</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Repurchases of common stock</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w:t>
            </w:r>
          </w:p>
        </w:tc>
        <w:tc>
          <w:tcPr>
            <w:tcW w:w="42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(125.4)</w:t>
            </w:r>
          </w:p>
        </w:tc>
        <w:tc>
          <w:tcPr>
            <w:tcW w:w="5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(419.2)</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Dividends paid</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03"/>
              <w:spacing w:after="0"/>
              <w:rPr>
                <w:sz w:val="20"/>
                <w:szCs w:val="20"/>
                <w:color w:val="auto"/>
              </w:rPr>
            </w:pPr>
            <w:r>
              <w:rPr>
                <w:rFonts w:ascii="Arial" w:cs="Arial" w:eastAsia="Arial" w:hAnsi="Arial"/>
                <w:sz w:val="15"/>
                <w:szCs w:val="15"/>
                <w:color w:val="4D8ABE"/>
              </w:rPr>
              <w:t>(58.0)</w:t>
            </w:r>
          </w:p>
        </w:tc>
        <w:tc>
          <w:tcPr>
            <w:tcW w:w="420" w:type="dxa"/>
            <w:vAlign w:val="bottom"/>
            <w:tcBorders>
              <w:left w:val="single" w:sz="8" w:color="E6EFFF"/>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(58.1)</w:t>
            </w:r>
          </w:p>
        </w:tc>
        <w:tc>
          <w:tcPr>
            <w:tcW w:w="52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103"/>
              <w:spacing w:after="0"/>
              <w:rPr>
                <w:sz w:val="20"/>
                <w:szCs w:val="20"/>
                <w:color w:val="auto"/>
              </w:rPr>
            </w:pPr>
            <w:r>
              <w:rPr>
                <w:rFonts w:ascii="Arial" w:cs="Arial" w:eastAsia="Arial" w:hAnsi="Arial"/>
                <w:sz w:val="15"/>
                <w:szCs w:val="15"/>
                <w:color w:val="auto"/>
              </w:rPr>
              <w:t>(57.1)</w:t>
            </w:r>
          </w:p>
        </w:tc>
      </w:tr>
      <w:tr>
        <w:trPr>
          <w:trHeight w:val="175"/>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Cash used in financing activities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3"/>
              <w:spacing w:after="0"/>
              <w:rPr>
                <w:sz w:val="20"/>
                <w:szCs w:val="20"/>
                <w:color w:val="auto"/>
              </w:rPr>
            </w:pPr>
            <w:r>
              <w:rPr>
                <w:rFonts w:ascii="Arial" w:cs="Arial" w:eastAsia="Arial" w:hAnsi="Arial"/>
                <w:sz w:val="15"/>
                <w:szCs w:val="15"/>
                <w:color w:val="4D8ABE"/>
              </w:rPr>
              <w:t>(270.7)</w:t>
            </w:r>
          </w:p>
        </w:tc>
        <w:tc>
          <w:tcPr>
            <w:tcW w:w="42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(91.8)</w:t>
            </w:r>
          </w:p>
        </w:tc>
        <w:tc>
          <w:tcPr>
            <w:tcW w:w="5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(431.8)</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Effect of exchange rate changes on cash</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36.8</w:t>
            </w:r>
          </w:p>
        </w:tc>
        <w:tc>
          <w:tcPr>
            <w:tcW w:w="420" w:type="dxa"/>
            <w:vAlign w:val="bottom"/>
            <w:tcBorders>
              <w:left w:val="single" w:sz="8" w:color="E6EFFF"/>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(34.5)</w:t>
            </w:r>
          </w:p>
        </w:tc>
        <w:tc>
          <w:tcPr>
            <w:tcW w:w="52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50.7</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Net increase (decrease) in cash and cash equivalents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140.6</w:t>
            </w:r>
          </w:p>
        </w:tc>
        <w:tc>
          <w:tcPr>
            <w:tcW w:w="420" w:type="dxa"/>
            <w:vAlign w:val="bottom"/>
          </w:tcPr>
          <w:p>
            <w:pPr>
              <w:spacing w:after="0"/>
              <w:rPr>
                <w:sz w:val="15"/>
                <w:szCs w:val="15"/>
                <w:color w:val="auto"/>
              </w:rPr>
            </w:pP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336.5</w:t>
            </w:r>
          </w:p>
        </w:tc>
        <w:tc>
          <w:tcPr>
            <w:tcW w:w="5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(150.4)</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Cash and cash equivalents, beginning of year</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874.0</w:t>
            </w:r>
          </w:p>
        </w:tc>
        <w:tc>
          <w:tcPr>
            <w:tcW w:w="420" w:type="dxa"/>
            <w:vAlign w:val="bottom"/>
            <w:tcBorders>
              <w:left w:val="single" w:sz="8" w:color="E6EFFF"/>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63"/>
              <w:spacing w:after="0"/>
              <w:rPr>
                <w:sz w:val="20"/>
                <w:szCs w:val="20"/>
                <w:color w:val="auto"/>
              </w:rPr>
            </w:pPr>
            <w:r>
              <w:rPr>
                <w:rFonts w:ascii="Arial" w:cs="Arial" w:eastAsia="Arial" w:hAnsi="Arial"/>
                <w:sz w:val="15"/>
                <w:szCs w:val="15"/>
                <w:color w:val="auto"/>
              </w:rPr>
              <w:t>537.5</w:t>
            </w:r>
          </w:p>
        </w:tc>
        <w:tc>
          <w:tcPr>
            <w:tcW w:w="52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687.9</w:t>
            </w:r>
          </w:p>
        </w:tc>
      </w:tr>
      <w:tr>
        <w:trPr>
          <w:trHeight w:val="178"/>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Cash and cash equivalents,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1,014.6</w:t>
            </w: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874.0</w:t>
            </w:r>
          </w:p>
        </w:tc>
        <w:tc>
          <w:tcPr>
            <w:tcW w:w="5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537.5</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Supplemental Cash Flow Information</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20" w:type="dxa"/>
            <w:vAlign w:val="bottom"/>
            <w:tcBorders>
              <w:left w:val="single" w:sz="8" w:color="4D8ABE"/>
            </w:tcBorders>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7"/>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Interest paid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62.0</w:t>
            </w:r>
          </w:p>
        </w:tc>
        <w:tc>
          <w:tcPr>
            <w:tcW w:w="420" w:type="dxa"/>
            <w:vAlign w:val="bottom"/>
            <w:tcBorders>
              <w:left w:val="single" w:sz="8" w:color="4D8ABE"/>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64.8</w:t>
            </w:r>
          </w:p>
        </w:tc>
        <w:tc>
          <w:tcPr>
            <w:tcW w:w="5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50.5</w:t>
            </w:r>
          </w:p>
        </w:tc>
      </w:tr>
      <w:tr>
        <w:trPr>
          <w:trHeight w:val="187"/>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Income taxes paid</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75.2</w:t>
            </w:r>
          </w:p>
        </w:tc>
        <w:tc>
          <w:tcPr>
            <w:tcW w:w="420" w:type="dxa"/>
            <w:vAlign w:val="bottom"/>
            <w:tcBorders>
              <w:left w:val="single" w:sz="8" w:color="4D8ABE"/>
              <w:bottom w:val="single" w:sz="8" w:color="auto"/>
            </w:tcBorders>
            <w:shd w:val="clear" w:color="auto" w:fill="E6EFFF"/>
          </w:tcPr>
          <w:p>
            <w:pPr>
              <w:jc w:val="right"/>
              <w:ind w:right="2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6EFFF"/>
          </w:tcPr>
          <w:p>
            <w:pPr>
              <w:jc w:val="right"/>
              <w:ind w:right="63"/>
              <w:spacing w:after="0"/>
              <w:rPr>
                <w:sz w:val="20"/>
                <w:szCs w:val="20"/>
                <w:color w:val="auto"/>
              </w:rPr>
            </w:pPr>
            <w:r>
              <w:rPr>
                <w:rFonts w:ascii="Arial" w:cs="Arial" w:eastAsia="Arial" w:hAnsi="Arial"/>
                <w:sz w:val="15"/>
                <w:szCs w:val="15"/>
                <w:color w:val="auto"/>
              </w:rPr>
              <w:t>293.5</w:t>
            </w:r>
          </w:p>
        </w:tc>
        <w:tc>
          <w:tcPr>
            <w:tcW w:w="520" w:type="dxa"/>
            <w:vAlign w:val="bottom"/>
            <w:tcBorders>
              <w:bottom w:val="single" w:sz="8" w:color="auto"/>
            </w:tcBorders>
            <w:shd w:val="clear" w:color="auto" w:fill="E6EFFF"/>
          </w:tcPr>
          <w:p>
            <w:pPr>
              <w:jc w:val="right"/>
              <w:ind w:right="28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248.5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to Consolidated Financial Statements are an integral part of these statements.</w:t>
      </w:r>
    </w:p>
    <w:p>
      <w:pPr>
        <w:spacing w:after="0" w:line="190"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44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0" w:name="page81"/>
    <w:bookmarkEnd w:id="80"/>
    <w:p>
      <w:pPr>
        <w:ind w:left="20"/>
        <w:spacing w:after="0"/>
        <w:rPr>
          <w:sz w:val="20"/>
          <w:szCs w:val="20"/>
          <w:color w:val="auto"/>
        </w:rPr>
      </w:pPr>
      <w:r>
        <w:rPr>
          <w:rFonts w:ascii="Arial" w:cs="Arial" w:eastAsia="Arial" w:hAnsi="Arial"/>
          <w:sz w:val="18"/>
          <w:szCs w:val="18"/>
          <w:b w:val="1"/>
          <w:bCs w:val="1"/>
          <w:color w:val="86B6A5"/>
        </w:rPr>
        <w:t>Consolidated Statements of Shareholders’ Equity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86B6A5"/>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4"/>
                <w:szCs w:val="14"/>
                <w:b w:val="1"/>
                <w:bCs w:val="1"/>
                <w:color w:val="4D8ABE"/>
              </w:rPr>
              <w:t>Accumulated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4D8ABE"/>
              </w:rPr>
              <w:t>Common Stock</w:t>
            </w:r>
          </w:p>
        </w:tc>
        <w:tc>
          <w:tcPr>
            <w:tcW w:w="200" w:type="dxa"/>
            <w:vAlign w:val="bottom"/>
          </w:tcPr>
          <w:p>
            <w:pPr>
              <w:spacing w:after="0"/>
              <w:rPr>
                <w:sz w:val="16"/>
                <w:szCs w:val="16"/>
                <w:color w:val="auto"/>
              </w:rPr>
            </w:pPr>
          </w:p>
        </w:tc>
        <w:tc>
          <w:tcPr>
            <w:tcW w:w="940" w:type="dxa"/>
            <w:vAlign w:val="bottom"/>
          </w:tcPr>
          <w:p>
            <w:pPr>
              <w:jc w:val="right"/>
              <w:ind w:right="67"/>
              <w:spacing w:after="0"/>
              <w:rPr>
                <w:sz w:val="20"/>
                <w:szCs w:val="20"/>
                <w:color w:val="auto"/>
              </w:rPr>
            </w:pPr>
            <w:r>
              <w:rPr>
                <w:rFonts w:ascii="Arial" w:cs="Arial" w:eastAsia="Arial" w:hAnsi="Arial"/>
                <w:sz w:val="14"/>
                <w:szCs w:val="14"/>
                <w:b w:val="1"/>
                <w:bCs w:val="1"/>
                <w:color w:val="4D8ABE"/>
              </w:rPr>
              <w:t>Capital in</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6"/>
              <w:spacing w:after="0"/>
              <w:rPr>
                <w:sz w:val="20"/>
                <w:szCs w:val="20"/>
                <w:color w:val="auto"/>
              </w:rPr>
            </w:pPr>
            <w:r>
              <w:rPr>
                <w:rFonts w:ascii="Arial" w:cs="Arial" w:eastAsia="Arial" w:hAnsi="Arial"/>
                <w:sz w:val="14"/>
                <w:szCs w:val="14"/>
                <w:b w:val="1"/>
                <w:bCs w:val="1"/>
                <w:color w:val="4D8ABE"/>
              </w:rPr>
              <w:t>Other</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80" w:type="dxa"/>
            <w:vAlign w:val="bottom"/>
            <w:tcBorders>
              <w:top w:val="single" w:sz="8" w:color="4D8ABE"/>
            </w:tcBorders>
          </w:tcPr>
          <w:p>
            <w:pPr>
              <w:spacing w:after="0"/>
              <w:rPr>
                <w:sz w:val="13"/>
                <w:szCs w:val="13"/>
                <w:color w:val="auto"/>
              </w:rPr>
            </w:pPr>
          </w:p>
        </w:tc>
        <w:tc>
          <w:tcPr>
            <w:tcW w:w="360" w:type="dxa"/>
            <w:vAlign w:val="bottom"/>
            <w:tcBorders>
              <w:top w:val="single" w:sz="8" w:color="4D8ABE"/>
            </w:tcBorders>
          </w:tcPr>
          <w:p>
            <w:pPr>
              <w:spacing w:after="0"/>
              <w:rPr>
                <w:sz w:val="13"/>
                <w:szCs w:val="13"/>
                <w:color w:val="auto"/>
              </w:rPr>
            </w:pPr>
          </w:p>
        </w:tc>
        <w:tc>
          <w:tcPr>
            <w:tcW w:w="720" w:type="dxa"/>
            <w:vAlign w:val="bottom"/>
            <w:tcBorders>
              <w:top w:val="single" w:sz="8" w:color="4D8ABE"/>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4D8ABE"/>
              </w:rPr>
              <w:t>Excess</w:t>
            </w:r>
          </w:p>
        </w:tc>
        <w:tc>
          <w:tcPr>
            <w:tcW w:w="320" w:type="dxa"/>
            <w:vAlign w:val="bottom"/>
          </w:tcPr>
          <w:p>
            <w:pPr>
              <w:spacing w:after="0"/>
              <w:rPr>
                <w:sz w:val="13"/>
                <w:szCs w:val="13"/>
                <w:color w:val="auto"/>
              </w:rPr>
            </w:pPr>
          </w:p>
        </w:tc>
        <w:tc>
          <w:tcPr>
            <w:tcW w:w="800" w:type="dxa"/>
            <w:vAlign w:val="bottom"/>
          </w:tcPr>
          <w:p>
            <w:pPr>
              <w:jc w:val="right"/>
              <w:ind w:right="66"/>
              <w:spacing w:after="0" w:line="155" w:lineRule="exact"/>
              <w:rPr>
                <w:sz w:val="20"/>
                <w:szCs w:val="20"/>
                <w:color w:val="auto"/>
              </w:rPr>
            </w:pPr>
            <w:r>
              <w:rPr>
                <w:rFonts w:ascii="Arial" w:cs="Arial" w:eastAsia="Arial" w:hAnsi="Arial"/>
                <w:sz w:val="14"/>
                <w:szCs w:val="14"/>
                <w:b w:val="1"/>
                <w:bCs w:val="1"/>
                <w:color w:val="4D8ABE"/>
              </w:rPr>
              <w:t>Retained</w:t>
            </w:r>
          </w:p>
        </w:tc>
        <w:tc>
          <w:tcPr>
            <w:tcW w:w="180" w:type="dxa"/>
            <w:vAlign w:val="bottom"/>
          </w:tcPr>
          <w:p>
            <w:pPr>
              <w:spacing w:after="0"/>
              <w:rPr>
                <w:sz w:val="13"/>
                <w:szCs w:val="13"/>
                <w:color w:val="auto"/>
              </w:rPr>
            </w:pPr>
          </w:p>
        </w:tc>
        <w:tc>
          <w:tcPr>
            <w:tcW w:w="1240" w:type="dxa"/>
            <w:vAlign w:val="bottom"/>
          </w:tcPr>
          <w:p>
            <w:pPr>
              <w:jc w:val="right"/>
              <w:ind w:right="126"/>
              <w:spacing w:after="0" w:line="155" w:lineRule="exact"/>
              <w:rPr>
                <w:sz w:val="20"/>
                <w:szCs w:val="20"/>
                <w:color w:val="auto"/>
              </w:rPr>
            </w:pPr>
            <w:r>
              <w:rPr>
                <w:rFonts w:ascii="Arial" w:cs="Arial" w:eastAsia="Arial" w:hAnsi="Arial"/>
                <w:sz w:val="14"/>
                <w:szCs w:val="14"/>
                <w:b w:val="1"/>
                <w:bCs w:val="1"/>
                <w:color w:val="4D8ABE"/>
                <w:w w:val="97"/>
              </w:rPr>
              <w:t>Comprehensive</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4D8ABE"/>
              </w:rPr>
              <w:t>Shares</w:t>
            </w:r>
          </w:p>
        </w:tc>
        <w:tc>
          <w:tcPr>
            <w:tcW w:w="3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4D8ABE"/>
              </w:rPr>
              <w:t>Par Value</w:t>
            </w:r>
          </w:p>
        </w:tc>
        <w:tc>
          <w:tcPr>
            <w:tcW w:w="200" w:type="dxa"/>
            <w:vAlign w:val="bottom"/>
          </w:tcPr>
          <w:p>
            <w:pPr>
              <w:spacing w:after="0"/>
              <w:rPr>
                <w:sz w:val="15"/>
                <w:szCs w:val="15"/>
                <w:color w:val="auto"/>
              </w:rPr>
            </w:pPr>
          </w:p>
        </w:tc>
        <w:tc>
          <w:tcPr>
            <w:tcW w:w="940" w:type="dxa"/>
            <w:vAlign w:val="bottom"/>
          </w:tcPr>
          <w:p>
            <w:pPr>
              <w:jc w:val="right"/>
              <w:ind w:right="67"/>
              <w:spacing w:after="0"/>
              <w:rPr>
                <w:sz w:val="20"/>
                <w:szCs w:val="20"/>
                <w:color w:val="auto"/>
              </w:rPr>
            </w:pPr>
            <w:r>
              <w:rPr>
                <w:rFonts w:ascii="Arial" w:cs="Arial" w:eastAsia="Arial" w:hAnsi="Arial"/>
                <w:sz w:val="14"/>
                <w:szCs w:val="14"/>
                <w:b w:val="1"/>
                <w:bCs w:val="1"/>
                <w:color w:val="4D8ABE"/>
                <w:w w:val="96"/>
              </w:rPr>
              <w:t>of Par Value</w:t>
            </w:r>
          </w:p>
        </w:tc>
        <w:tc>
          <w:tcPr>
            <w:tcW w:w="3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4"/>
                <w:szCs w:val="14"/>
                <w:b w:val="1"/>
                <w:bCs w:val="1"/>
                <w:color w:val="4D8ABE"/>
              </w:rPr>
              <w:t>Earnings</w:t>
            </w: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4"/>
                <w:szCs w:val="14"/>
                <w:b w:val="1"/>
                <w:bCs w:val="1"/>
                <w:color w:val="4D8ABE"/>
              </w:rPr>
              <w:t>Income (Loss)</w:t>
            </w:r>
          </w:p>
        </w:tc>
        <w:tc>
          <w:tcPr>
            <w:tcW w:w="14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4"/>
                <w:szCs w:val="14"/>
                <w:b w:val="1"/>
                <w:bCs w:val="1"/>
                <w:color w:val="4D8ABE"/>
              </w:rPr>
              <w:t>Treasury</w:t>
            </w:r>
          </w:p>
        </w:tc>
        <w:tc>
          <w:tcPr>
            <w:tcW w:w="32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4D8ABE"/>
              </w:rPr>
              <w:t>Total</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40" w:type="dxa"/>
            <w:vAlign w:val="bottom"/>
            <w:tcBorders>
              <w:bottom w:val="single" w:sz="8" w:color="4D8ABE"/>
            </w:tcBorders>
          </w:tcPr>
          <w:p>
            <w:pPr>
              <w:spacing w:after="0"/>
              <w:rPr>
                <w:sz w:val="15"/>
                <w:szCs w:val="15"/>
                <w:color w:val="auto"/>
              </w:rPr>
            </w:pPr>
          </w:p>
        </w:tc>
        <w:tc>
          <w:tcPr>
            <w:tcW w:w="880" w:type="dxa"/>
            <w:vAlign w:val="bottom"/>
            <w:tcBorders>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issued</w:t>
            </w:r>
          </w:p>
        </w:tc>
        <w:tc>
          <w:tcPr>
            <w:tcW w:w="360" w:type="dxa"/>
            <w:vAlign w:val="bottom"/>
            <w:tcBorders>
              <w:bottom w:val="single" w:sz="8" w:color="4D8ABE"/>
            </w:tcBorders>
          </w:tcPr>
          <w:p>
            <w:pPr>
              <w:spacing w:after="0"/>
              <w:rPr>
                <w:sz w:val="15"/>
                <w:szCs w:val="15"/>
                <w:color w:val="auto"/>
              </w:rPr>
            </w:pPr>
          </w:p>
        </w:tc>
        <w:tc>
          <w:tcPr>
            <w:tcW w:w="720" w:type="dxa"/>
            <w:vAlign w:val="bottom"/>
            <w:tcBorders>
              <w:bottom w:val="single" w:sz="8" w:color="4D8ABE"/>
            </w:tcBorders>
          </w:tcPr>
          <w:p>
            <w:pPr>
              <w:spacing w:after="0"/>
              <w:rPr>
                <w:sz w:val="15"/>
                <w:szCs w:val="15"/>
                <w:color w:val="auto"/>
              </w:rPr>
            </w:pPr>
          </w:p>
        </w:tc>
        <w:tc>
          <w:tcPr>
            <w:tcW w:w="100" w:type="dxa"/>
            <w:vAlign w:val="bottom"/>
            <w:tcBorders>
              <w:bottom w:val="single" w:sz="8" w:color="4D8ABE"/>
            </w:tcBorders>
          </w:tcPr>
          <w:p>
            <w:pPr>
              <w:spacing w:after="0"/>
              <w:rPr>
                <w:sz w:val="15"/>
                <w:szCs w:val="15"/>
                <w:color w:val="auto"/>
              </w:rPr>
            </w:pPr>
          </w:p>
        </w:tc>
        <w:tc>
          <w:tcPr>
            <w:tcW w:w="200" w:type="dxa"/>
            <w:vAlign w:val="bottom"/>
            <w:tcBorders>
              <w:bottom w:val="single" w:sz="8" w:color="4D8ABE"/>
            </w:tcBorders>
          </w:tcPr>
          <w:p>
            <w:pPr>
              <w:spacing w:after="0"/>
              <w:rPr>
                <w:sz w:val="15"/>
                <w:szCs w:val="15"/>
                <w:color w:val="auto"/>
              </w:rPr>
            </w:pPr>
          </w:p>
        </w:tc>
        <w:tc>
          <w:tcPr>
            <w:tcW w:w="940" w:type="dxa"/>
            <w:vAlign w:val="bottom"/>
            <w:tcBorders>
              <w:bottom w:val="single" w:sz="8" w:color="4D8ABE"/>
            </w:tcBorders>
          </w:tcPr>
          <w:p>
            <w:pPr>
              <w:spacing w:after="0"/>
              <w:rPr>
                <w:sz w:val="15"/>
                <w:szCs w:val="15"/>
                <w:color w:val="auto"/>
              </w:rPr>
            </w:pPr>
          </w:p>
        </w:tc>
        <w:tc>
          <w:tcPr>
            <w:tcW w:w="320" w:type="dxa"/>
            <w:vAlign w:val="bottom"/>
            <w:tcBorders>
              <w:bottom w:val="single" w:sz="8" w:color="4D8ABE"/>
            </w:tcBorders>
          </w:tcPr>
          <w:p>
            <w:pPr>
              <w:spacing w:after="0"/>
              <w:rPr>
                <w:sz w:val="15"/>
                <w:szCs w:val="15"/>
                <w:color w:val="auto"/>
              </w:rPr>
            </w:pPr>
          </w:p>
        </w:tc>
        <w:tc>
          <w:tcPr>
            <w:tcW w:w="800" w:type="dxa"/>
            <w:vAlign w:val="bottom"/>
            <w:tcBorders>
              <w:bottom w:val="single" w:sz="8" w:color="4D8ABE"/>
            </w:tcBorders>
          </w:tcPr>
          <w:p>
            <w:pPr>
              <w:spacing w:after="0"/>
              <w:rPr>
                <w:sz w:val="15"/>
                <w:szCs w:val="15"/>
                <w:color w:val="auto"/>
              </w:rPr>
            </w:pPr>
          </w:p>
        </w:tc>
        <w:tc>
          <w:tcPr>
            <w:tcW w:w="180" w:type="dxa"/>
            <w:vAlign w:val="bottom"/>
            <w:tcBorders>
              <w:bottom w:val="single" w:sz="8" w:color="4D8ABE"/>
            </w:tcBorders>
          </w:tcPr>
          <w:p>
            <w:pPr>
              <w:spacing w:after="0"/>
              <w:rPr>
                <w:sz w:val="15"/>
                <w:szCs w:val="15"/>
                <w:color w:val="auto"/>
              </w:rPr>
            </w:pPr>
          </w:p>
        </w:tc>
        <w:tc>
          <w:tcPr>
            <w:tcW w:w="1240" w:type="dxa"/>
            <w:vAlign w:val="bottom"/>
            <w:tcBorders>
              <w:bottom w:val="single" w:sz="8" w:color="4D8ABE"/>
            </w:tcBorders>
          </w:tcPr>
          <w:p>
            <w:pPr>
              <w:spacing w:after="0"/>
              <w:rPr>
                <w:sz w:val="15"/>
                <w:szCs w:val="15"/>
                <w:color w:val="auto"/>
              </w:rPr>
            </w:pPr>
          </w:p>
        </w:tc>
        <w:tc>
          <w:tcPr>
            <w:tcW w:w="140" w:type="dxa"/>
            <w:vAlign w:val="bottom"/>
            <w:tcBorders>
              <w:bottom w:val="single" w:sz="8" w:color="4D8ABE"/>
            </w:tcBorders>
          </w:tcPr>
          <w:p>
            <w:pPr>
              <w:spacing w:after="0"/>
              <w:rPr>
                <w:sz w:val="15"/>
                <w:szCs w:val="15"/>
                <w:color w:val="auto"/>
              </w:rPr>
            </w:pPr>
          </w:p>
        </w:tc>
        <w:tc>
          <w:tcPr>
            <w:tcW w:w="920" w:type="dxa"/>
            <w:vAlign w:val="bottom"/>
            <w:tcBorders>
              <w:bottom w:val="single" w:sz="8" w:color="4D8ABE"/>
            </w:tcBorders>
          </w:tcPr>
          <w:p>
            <w:pPr>
              <w:jc w:val="right"/>
              <w:ind w:right="67"/>
              <w:spacing w:after="0"/>
              <w:rPr>
                <w:sz w:val="20"/>
                <w:szCs w:val="20"/>
                <w:color w:val="auto"/>
              </w:rPr>
            </w:pPr>
            <w:r>
              <w:rPr>
                <w:rFonts w:ascii="Arial" w:cs="Arial" w:eastAsia="Arial" w:hAnsi="Arial"/>
                <w:sz w:val="14"/>
                <w:szCs w:val="14"/>
                <w:b w:val="1"/>
                <w:bCs w:val="1"/>
                <w:color w:val="4D8ABE"/>
              </w:rPr>
              <w:t>Stock</w:t>
            </w:r>
          </w:p>
        </w:tc>
        <w:tc>
          <w:tcPr>
            <w:tcW w:w="320" w:type="dxa"/>
            <w:vAlign w:val="bottom"/>
            <w:tcBorders>
              <w:bottom w:val="single" w:sz="8" w:color="4D8ABE"/>
            </w:tcBorders>
          </w:tcPr>
          <w:p>
            <w:pPr>
              <w:spacing w:after="0"/>
              <w:rPr>
                <w:sz w:val="15"/>
                <w:szCs w:val="15"/>
                <w:color w:val="auto"/>
              </w:rPr>
            </w:pPr>
          </w:p>
        </w:tc>
        <w:tc>
          <w:tcPr>
            <w:tcW w:w="880" w:type="dxa"/>
            <w:vAlign w:val="bottom"/>
            <w:tcBorders>
              <w:bottom w:val="single" w:sz="8" w:color="4D8ABE"/>
            </w:tcBorders>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Balance, January 1, 2007</w:t>
            </w:r>
          </w:p>
        </w:tc>
        <w:tc>
          <w:tcPr>
            <w:tcW w:w="880" w:type="dxa"/>
            <w:vAlign w:val="bottom"/>
            <w:shd w:val="clear" w:color="auto" w:fill="E6EFFF"/>
          </w:tcPr>
          <w:p>
            <w:pPr>
              <w:jc w:val="right"/>
              <w:spacing w:after="0"/>
              <w:rPr>
                <w:sz w:val="20"/>
                <w:szCs w:val="20"/>
                <w:color w:val="auto"/>
              </w:rPr>
            </w:pPr>
            <w:r>
              <w:rPr>
                <w:rFonts w:ascii="Arial" w:cs="Arial" w:eastAsia="Arial" w:hAnsi="Arial"/>
                <w:sz w:val="15"/>
                <w:szCs w:val="15"/>
                <w:color w:val="auto"/>
                <w:w w:val="98"/>
              </w:rPr>
              <w:t>102,606,425</w:t>
            </w:r>
          </w:p>
        </w:tc>
        <w:tc>
          <w:tcPr>
            <w:tcW w:w="360" w:type="dxa"/>
            <w:vAlign w:val="bottom"/>
            <w:shd w:val="clear" w:color="auto" w:fill="E6EFFF"/>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E6EFFF"/>
          </w:tcPr>
          <w:p>
            <w:pPr>
              <w:jc w:val="right"/>
              <w:ind w:right="100"/>
              <w:spacing w:after="0"/>
              <w:rPr>
                <w:sz w:val="20"/>
                <w:szCs w:val="20"/>
                <w:color w:val="auto"/>
              </w:rPr>
            </w:pPr>
            <w:r>
              <w:rPr>
                <w:rFonts w:ascii="Arial" w:cs="Arial" w:eastAsia="Arial" w:hAnsi="Arial"/>
                <w:sz w:val="15"/>
                <w:szCs w:val="15"/>
                <w:color w:val="auto"/>
              </w:rPr>
              <w:t>1.0</w:t>
            </w:r>
          </w:p>
        </w:tc>
        <w:tc>
          <w:tcPr>
            <w:tcW w:w="2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2,420.7</w:t>
            </w:r>
          </w:p>
        </w:tc>
        <w:tc>
          <w:tcPr>
            <w:tcW w:w="320" w:type="dxa"/>
            <w:vAlign w:val="bottom"/>
            <w:shd w:val="clear" w:color="auto" w:fill="E6EFFF"/>
          </w:tcPr>
          <w:p>
            <w:pPr>
              <w:jc w:val="right"/>
              <w:ind w:right="85"/>
              <w:spacing w:after="0"/>
              <w:rPr>
                <w:sz w:val="20"/>
                <w:szCs w:val="20"/>
                <w:color w:val="auto"/>
              </w:rPr>
            </w:pPr>
            <w:r>
              <w:rPr>
                <w:rFonts w:ascii="Arial" w:cs="Arial" w:eastAsia="Arial" w:hAnsi="Arial"/>
                <w:sz w:val="15"/>
                <w:szCs w:val="15"/>
                <w:color w:val="auto"/>
              </w:rPr>
              <w:t>$</w:t>
            </w:r>
          </w:p>
        </w:tc>
        <w:tc>
          <w:tcPr>
            <w:tcW w:w="80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617.0</w:t>
            </w:r>
          </w:p>
        </w:tc>
        <w:tc>
          <w:tcPr>
            <w:tcW w:w="18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120.6</w:t>
            </w:r>
          </w:p>
        </w:tc>
        <w:tc>
          <w:tcPr>
            <w:tcW w:w="1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E6EFFF"/>
          </w:tcPr>
          <w:p>
            <w:pPr>
              <w:jc w:val="right"/>
              <w:ind w:right="7"/>
              <w:spacing w:after="0"/>
              <w:rPr>
                <w:sz w:val="20"/>
                <w:szCs w:val="20"/>
                <w:color w:val="auto"/>
              </w:rPr>
            </w:pPr>
            <w:r>
              <w:rPr>
                <w:rFonts w:ascii="Arial" w:cs="Arial" w:eastAsia="Arial" w:hAnsi="Arial"/>
                <w:sz w:val="15"/>
                <w:szCs w:val="15"/>
                <w:color w:val="auto"/>
              </w:rPr>
              <w:t>(685.1)</w:t>
            </w:r>
          </w:p>
        </w:tc>
        <w:tc>
          <w:tcPr>
            <w:tcW w:w="320" w:type="dxa"/>
            <w:vAlign w:val="bottom"/>
            <w:shd w:val="clear" w:color="auto" w:fill="E6EFFF"/>
          </w:tcPr>
          <w:p>
            <w:pPr>
              <w:jc w:val="right"/>
              <w:ind w:right="85"/>
              <w:spacing w:after="0"/>
              <w:rPr>
                <w:sz w:val="20"/>
                <w:szCs w:val="20"/>
                <w:color w:val="auto"/>
              </w:rPr>
            </w:pPr>
            <w:r>
              <w:rPr>
                <w:rFonts w:ascii="Arial" w:cs="Arial" w:eastAsia="Arial" w:hAnsi="Arial"/>
                <w:sz w:val="15"/>
                <w:szCs w:val="15"/>
                <w:color w:val="auto"/>
              </w:rPr>
              <w:t>$</w:t>
            </w: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2,474.2</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Comprehensive Income: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Net earnings</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473.7</w:t>
            </w: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Foreign currency translation</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106.3</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Unrealized gain on derivatives, net of tax</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1.6</w:t>
            </w: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Unrealized gain on investments, net of tax</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Defined benefit pension plans and retiree health</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28.1</w:t>
            </w: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shd w:val="clear" w:color="auto" w:fill="E6EFFF"/>
          </w:tcPr>
          <w:p>
            <w:pPr>
              <w:ind w:left="300"/>
              <w:spacing w:after="0" w:line="170" w:lineRule="exact"/>
              <w:rPr>
                <w:sz w:val="20"/>
                <w:szCs w:val="20"/>
                <w:color w:val="auto"/>
              </w:rPr>
            </w:pPr>
            <w:r>
              <w:rPr>
                <w:rFonts w:ascii="Arial" w:cs="Arial" w:eastAsia="Arial" w:hAnsi="Arial"/>
                <w:sz w:val="15"/>
                <w:szCs w:val="15"/>
                <w:color w:val="auto"/>
              </w:rPr>
              <w:t>care plan, net of tax</w:t>
            </w:r>
          </w:p>
        </w:tc>
        <w:tc>
          <w:tcPr>
            <w:tcW w:w="88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240" w:type="dxa"/>
            <w:vAlign w:val="bottom"/>
            <w:shd w:val="clear" w:color="auto" w:fill="E6EFFF"/>
          </w:tcPr>
          <w:p>
            <w:pPr>
              <w:spacing w:after="0"/>
              <w:rPr>
                <w:sz w:val="14"/>
                <w:szCs w:val="14"/>
                <w:color w:val="auto"/>
              </w:rPr>
            </w:pPr>
          </w:p>
        </w:tc>
        <w:tc>
          <w:tcPr>
            <w:tcW w:w="14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80" w:type="dxa"/>
            <w:vAlign w:val="bottom"/>
            <w:shd w:val="clear" w:color="auto" w:fill="E6EFFF"/>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Total comprehensive income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610.7</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Adjustment to initially apply ASC 740-10</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(4.3)</w:t>
            </w: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Issuances under equity plans, including tax</w:t>
            </w:r>
          </w:p>
        </w:tc>
        <w:tc>
          <w:tcPr>
            <w:tcW w:w="880" w:type="dxa"/>
            <w:vAlign w:val="bottom"/>
          </w:tcPr>
          <w:p>
            <w:pPr>
              <w:jc w:val="right"/>
              <w:spacing w:after="0"/>
              <w:rPr>
                <w:sz w:val="20"/>
                <w:szCs w:val="20"/>
                <w:color w:val="auto"/>
              </w:rPr>
            </w:pPr>
            <w:r>
              <w:rPr>
                <w:rFonts w:ascii="Arial" w:cs="Arial" w:eastAsia="Arial" w:hAnsi="Arial"/>
                <w:sz w:val="15"/>
                <w:szCs w:val="15"/>
                <w:color w:val="auto"/>
              </w:rPr>
              <w:t>807,829</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35.1</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39.5</w:t>
            </w: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140"/>
              <w:spacing w:after="0" w:line="170" w:lineRule="exact"/>
              <w:rPr>
                <w:sz w:val="20"/>
                <w:szCs w:val="20"/>
                <w:color w:val="auto"/>
              </w:rPr>
            </w:pPr>
            <w:r>
              <w:rPr>
                <w:rFonts w:ascii="Arial" w:cs="Arial" w:eastAsia="Arial" w:hAnsi="Arial"/>
                <w:sz w:val="15"/>
                <w:szCs w:val="15"/>
                <w:color w:val="auto"/>
              </w:rPr>
              <w:t>benefits</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Share-based compensation expense</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26.0</w:t>
            </w: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26.0</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Dividends ($0.69 per share)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(57.1)</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106"/>
              <w:spacing w:after="0"/>
              <w:rPr>
                <w:sz w:val="20"/>
                <w:szCs w:val="20"/>
                <w:color w:val="auto"/>
              </w:rPr>
            </w:pPr>
            <w:r>
              <w:rPr>
                <w:rFonts w:ascii="Arial" w:cs="Arial" w:eastAsia="Arial" w:hAnsi="Arial"/>
                <w:sz w:val="15"/>
                <w:szCs w:val="15"/>
                <w:color w:val="auto"/>
              </w:rPr>
              <w:t>(57.1)</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4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Repurchases of common stock</w:t>
            </w:r>
          </w:p>
        </w:tc>
        <w:tc>
          <w:tcPr>
            <w:tcW w:w="880" w:type="dxa"/>
            <w:vAlign w:val="bottom"/>
            <w:tcBorders>
              <w:bottom w:val="single" w:sz="8" w:color="auto"/>
            </w:tcBorders>
            <w:shd w:val="clear" w:color="auto" w:fill="E6EFFF"/>
          </w:tcPr>
          <w:p>
            <w:pPr>
              <w:spacing w:after="0"/>
              <w:rPr>
                <w:sz w:val="15"/>
                <w:szCs w:val="15"/>
                <w:color w:val="auto"/>
              </w:rPr>
            </w:pPr>
          </w:p>
        </w:tc>
        <w:tc>
          <w:tcPr>
            <w:tcW w:w="360" w:type="dxa"/>
            <w:vAlign w:val="bottom"/>
            <w:tcBorders>
              <w:bottom w:val="single" w:sz="8" w:color="auto"/>
            </w:tcBorders>
            <w:shd w:val="clear" w:color="auto" w:fill="E6EFFF"/>
          </w:tcPr>
          <w:p>
            <w:pPr>
              <w:spacing w:after="0"/>
              <w:rPr>
                <w:sz w:val="15"/>
                <w:szCs w:val="15"/>
                <w:color w:val="auto"/>
              </w:rPr>
            </w:pPr>
          </w:p>
        </w:tc>
        <w:tc>
          <w:tcPr>
            <w:tcW w:w="720" w:type="dxa"/>
            <w:vAlign w:val="bottom"/>
            <w:tcBorders>
              <w:bottom w:val="single" w:sz="8" w:color="auto"/>
            </w:tcBorders>
            <w:shd w:val="clear" w:color="auto" w:fill="E6EFFF"/>
          </w:tcPr>
          <w:p>
            <w:pPr>
              <w:spacing w:after="0"/>
              <w:rPr>
                <w:sz w:val="15"/>
                <w:szCs w:val="15"/>
                <w:color w:val="auto"/>
              </w:rPr>
            </w:pPr>
          </w:p>
        </w:tc>
        <w:tc>
          <w:tcPr>
            <w:tcW w:w="100" w:type="dxa"/>
            <w:vAlign w:val="bottom"/>
            <w:tcBorders>
              <w:bottom w:val="single" w:sz="8" w:color="auto"/>
            </w:tcBorders>
            <w:shd w:val="clear" w:color="auto" w:fill="E6EFFF"/>
          </w:tcPr>
          <w:p>
            <w:pPr>
              <w:spacing w:after="0"/>
              <w:rPr>
                <w:sz w:val="15"/>
                <w:szCs w:val="15"/>
                <w:color w:val="auto"/>
              </w:rPr>
            </w:pPr>
          </w:p>
        </w:tc>
        <w:tc>
          <w:tcPr>
            <w:tcW w:w="20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spacing w:after="0"/>
              <w:rPr>
                <w:sz w:val="15"/>
                <w:szCs w:val="15"/>
                <w:color w:val="auto"/>
              </w:rPr>
            </w:pPr>
          </w:p>
        </w:tc>
        <w:tc>
          <w:tcPr>
            <w:tcW w:w="320" w:type="dxa"/>
            <w:vAlign w:val="bottom"/>
            <w:tcBorders>
              <w:bottom w:val="single" w:sz="8" w:color="auto"/>
            </w:tcBorders>
            <w:shd w:val="clear" w:color="auto" w:fill="E6EFFF"/>
          </w:tcPr>
          <w:p>
            <w:pPr>
              <w:spacing w:after="0"/>
              <w:rPr>
                <w:sz w:val="15"/>
                <w:szCs w:val="15"/>
                <w:color w:val="auto"/>
              </w:rPr>
            </w:pPr>
          </w:p>
        </w:tc>
        <w:tc>
          <w:tcPr>
            <w:tcW w:w="800" w:type="dxa"/>
            <w:vAlign w:val="bottom"/>
            <w:tcBorders>
              <w:bottom w:val="single" w:sz="8" w:color="auto"/>
            </w:tcBorders>
            <w:shd w:val="clear" w:color="auto" w:fill="E6EFFF"/>
          </w:tcPr>
          <w:p>
            <w:pPr>
              <w:spacing w:after="0"/>
              <w:rPr>
                <w:sz w:val="15"/>
                <w:szCs w:val="15"/>
                <w:color w:val="auto"/>
              </w:rPr>
            </w:pPr>
          </w:p>
        </w:tc>
        <w:tc>
          <w:tcPr>
            <w:tcW w:w="180" w:type="dxa"/>
            <w:vAlign w:val="bottom"/>
            <w:tcBorders>
              <w:bottom w:val="single" w:sz="8" w:color="auto"/>
            </w:tcBorders>
            <w:shd w:val="clear" w:color="auto" w:fill="E6EFFF"/>
          </w:tcPr>
          <w:p>
            <w:pPr>
              <w:spacing w:after="0"/>
              <w:rPr>
                <w:sz w:val="15"/>
                <w:szCs w:val="15"/>
                <w:color w:val="auto"/>
              </w:rPr>
            </w:pPr>
          </w:p>
        </w:tc>
        <w:tc>
          <w:tcPr>
            <w:tcW w:w="1240" w:type="dxa"/>
            <w:vAlign w:val="bottom"/>
            <w:tcBorders>
              <w:bottom w:val="single" w:sz="8" w:color="auto"/>
            </w:tcBorders>
            <w:shd w:val="clear" w:color="auto" w:fill="E6EFFF"/>
          </w:tcPr>
          <w:p>
            <w:pPr>
              <w:spacing w:after="0"/>
              <w:rPr>
                <w:sz w:val="15"/>
                <w:szCs w:val="15"/>
                <w:color w:val="auto"/>
              </w:rPr>
            </w:pPr>
          </w:p>
        </w:tc>
        <w:tc>
          <w:tcPr>
            <w:tcW w:w="14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7"/>
              <w:spacing w:after="0"/>
              <w:rPr>
                <w:sz w:val="20"/>
                <w:szCs w:val="20"/>
                <w:color w:val="auto"/>
              </w:rPr>
            </w:pPr>
            <w:r>
              <w:rPr>
                <w:rFonts w:ascii="Arial" w:cs="Arial" w:eastAsia="Arial" w:hAnsi="Arial"/>
                <w:sz w:val="15"/>
                <w:szCs w:val="15"/>
                <w:color w:val="auto"/>
              </w:rPr>
              <w:t>(430.7)</w:t>
            </w:r>
          </w:p>
        </w:tc>
        <w:tc>
          <w:tcPr>
            <w:tcW w:w="32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(430.7)</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Balance, December 31, 2007</w:t>
            </w:r>
          </w:p>
        </w:tc>
        <w:tc>
          <w:tcPr>
            <w:tcW w:w="880" w:type="dxa"/>
            <w:vAlign w:val="bottom"/>
          </w:tcPr>
          <w:p>
            <w:pPr>
              <w:jc w:val="right"/>
              <w:spacing w:after="0"/>
              <w:rPr>
                <w:sz w:val="20"/>
                <w:szCs w:val="20"/>
                <w:color w:val="auto"/>
              </w:rPr>
            </w:pPr>
            <w:r>
              <w:rPr>
                <w:rFonts w:ascii="Arial" w:cs="Arial" w:eastAsia="Arial" w:hAnsi="Arial"/>
                <w:sz w:val="15"/>
                <w:szCs w:val="15"/>
                <w:color w:val="auto"/>
                <w:w w:val="98"/>
              </w:rPr>
              <w:t>103,414,254</w:t>
            </w:r>
          </w:p>
        </w:tc>
        <w:tc>
          <w:tcPr>
            <w:tcW w:w="3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5"/>
                <w:szCs w:val="15"/>
                <w:color w:val="auto"/>
              </w:rPr>
            </w:pP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2,481.8</w:t>
            </w:r>
          </w:p>
        </w:tc>
        <w:tc>
          <w:tcPr>
            <w:tcW w:w="3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5"/>
                <w:szCs w:val="15"/>
                <w:color w:val="auto"/>
              </w:rPr>
              <w:t>1,029.3</w:t>
            </w: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257.6</w:t>
            </w:r>
          </w:p>
        </w:tc>
        <w:tc>
          <w:tcPr>
            <w:tcW w:w="14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(1,111.4)</w:t>
            </w:r>
          </w:p>
        </w:tc>
        <w:tc>
          <w:tcPr>
            <w:tcW w:w="32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2,658.3</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Comprehensive Income:</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Net earnings</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5"/>
                <w:szCs w:val="15"/>
                <w:color w:val="auto"/>
              </w:rPr>
              <w:t>205.5</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Foreign currency translation</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(249.9)</w:t>
            </w: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Unrealized loss on investments, net of tax</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Unrealized loss on derivatives, net of tax</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(1.4)</w:t>
            </w: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Defined benefit pension plans and retiree health</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300"/>
              <w:spacing w:after="0" w:line="170" w:lineRule="exact"/>
              <w:rPr>
                <w:sz w:val="20"/>
                <w:szCs w:val="20"/>
                <w:color w:val="auto"/>
              </w:rPr>
            </w:pPr>
            <w:r>
              <w:rPr>
                <w:rFonts w:ascii="Arial" w:cs="Arial" w:eastAsia="Arial" w:hAnsi="Arial"/>
                <w:sz w:val="15"/>
                <w:szCs w:val="15"/>
                <w:color w:val="auto"/>
              </w:rPr>
              <w:t>care plan, net of tax</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Total comprehensive loss</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(59.2)</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Effects of changing pension plan measurement</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140"/>
              <w:spacing w:after="0" w:line="170" w:lineRule="exact"/>
              <w:rPr>
                <w:sz w:val="20"/>
                <w:szCs w:val="20"/>
                <w:color w:val="auto"/>
              </w:rPr>
            </w:pPr>
            <w:r>
              <w:rPr>
                <w:rFonts w:ascii="Arial" w:cs="Arial" w:eastAsia="Arial" w:hAnsi="Arial"/>
                <w:sz w:val="15"/>
                <w:szCs w:val="15"/>
                <w:color w:val="auto"/>
              </w:rPr>
              <w:t>date</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Service cost, interest cost and return on plan</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0.1</w:t>
            </w: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shd w:val="clear" w:color="auto" w:fill="E6EFFF"/>
          </w:tcPr>
          <w:p>
            <w:pPr>
              <w:ind w:left="300"/>
              <w:spacing w:after="0" w:line="170" w:lineRule="exact"/>
              <w:rPr>
                <w:sz w:val="20"/>
                <w:szCs w:val="20"/>
                <w:color w:val="auto"/>
              </w:rPr>
            </w:pPr>
            <w:r>
              <w:rPr>
                <w:rFonts w:ascii="Arial" w:cs="Arial" w:eastAsia="Arial" w:hAnsi="Arial"/>
                <w:sz w:val="15"/>
                <w:szCs w:val="15"/>
                <w:color w:val="auto"/>
              </w:rPr>
              <w:t>assets for October 1- December 31, net of tax</w:t>
            </w:r>
          </w:p>
        </w:tc>
        <w:tc>
          <w:tcPr>
            <w:tcW w:w="88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240" w:type="dxa"/>
            <w:vAlign w:val="bottom"/>
            <w:shd w:val="clear" w:color="auto" w:fill="E6EFFF"/>
          </w:tcPr>
          <w:p>
            <w:pPr>
              <w:spacing w:after="0"/>
              <w:rPr>
                <w:sz w:val="14"/>
                <w:szCs w:val="14"/>
                <w:color w:val="auto"/>
              </w:rPr>
            </w:pPr>
          </w:p>
        </w:tc>
        <w:tc>
          <w:tcPr>
            <w:tcW w:w="14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80" w:type="dxa"/>
            <w:vAlign w:val="bottom"/>
            <w:shd w:val="clear" w:color="auto" w:fill="E6EF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Additional loss for October 1- December 31, net</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106"/>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300"/>
              <w:spacing w:after="0" w:line="170" w:lineRule="exact"/>
              <w:rPr>
                <w:sz w:val="20"/>
                <w:szCs w:val="20"/>
                <w:color w:val="auto"/>
              </w:rPr>
            </w:pPr>
            <w:r>
              <w:rPr>
                <w:rFonts w:ascii="Arial" w:cs="Arial" w:eastAsia="Arial" w:hAnsi="Arial"/>
                <w:sz w:val="15"/>
                <w:szCs w:val="15"/>
                <w:color w:val="auto"/>
              </w:rPr>
              <w:t>of tax</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Issuances under equity plans, including tax</w:t>
            </w:r>
          </w:p>
        </w:tc>
        <w:tc>
          <w:tcPr>
            <w:tcW w:w="880" w:type="dxa"/>
            <w:vAlign w:val="bottom"/>
            <w:shd w:val="clear" w:color="auto" w:fill="E6EFFF"/>
          </w:tcPr>
          <w:p>
            <w:pPr>
              <w:jc w:val="right"/>
              <w:spacing w:after="0"/>
              <w:rPr>
                <w:sz w:val="20"/>
                <w:szCs w:val="20"/>
                <w:color w:val="auto"/>
              </w:rPr>
            </w:pPr>
            <w:r>
              <w:rPr>
                <w:rFonts w:ascii="Arial" w:cs="Arial" w:eastAsia="Arial" w:hAnsi="Arial"/>
                <w:sz w:val="15"/>
                <w:szCs w:val="15"/>
                <w:color w:val="auto"/>
              </w:rPr>
              <w:t>341,884</w:t>
            </w: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11.9</w:t>
            </w: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0.8</w:t>
            </w: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12.7</w:t>
            </w: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shd w:val="clear" w:color="auto" w:fill="E6EFFF"/>
          </w:tcPr>
          <w:p>
            <w:pPr>
              <w:ind w:left="140"/>
              <w:spacing w:after="0" w:line="170" w:lineRule="exact"/>
              <w:rPr>
                <w:sz w:val="20"/>
                <w:szCs w:val="20"/>
                <w:color w:val="auto"/>
              </w:rPr>
            </w:pPr>
            <w:r>
              <w:rPr>
                <w:rFonts w:ascii="Arial" w:cs="Arial" w:eastAsia="Arial" w:hAnsi="Arial"/>
                <w:sz w:val="15"/>
                <w:szCs w:val="15"/>
                <w:color w:val="auto"/>
              </w:rPr>
              <w:t>benefits</w:t>
            </w:r>
          </w:p>
        </w:tc>
        <w:tc>
          <w:tcPr>
            <w:tcW w:w="88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240" w:type="dxa"/>
            <w:vAlign w:val="bottom"/>
            <w:shd w:val="clear" w:color="auto" w:fill="E6EFFF"/>
          </w:tcPr>
          <w:p>
            <w:pPr>
              <w:spacing w:after="0"/>
              <w:rPr>
                <w:sz w:val="14"/>
                <w:szCs w:val="14"/>
                <w:color w:val="auto"/>
              </w:rPr>
            </w:pPr>
          </w:p>
        </w:tc>
        <w:tc>
          <w:tcPr>
            <w:tcW w:w="14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80" w:type="dxa"/>
            <w:vAlign w:val="bottom"/>
            <w:shd w:val="clear" w:color="auto" w:fill="E6EFFF"/>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Share-based compensation expense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21.1</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21.1</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Dividends ($0.74 per share)</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(58.1)</w:t>
            </w: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(58.1)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Repurchases of common stock</w:t>
            </w: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(113.7)</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(113.7)</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Balance, December 31, 2008</w:t>
            </w:r>
          </w:p>
        </w:tc>
        <w:tc>
          <w:tcPr>
            <w:tcW w:w="880" w:type="dxa"/>
            <w:vAlign w:val="bottom"/>
            <w:shd w:val="clear" w:color="auto" w:fill="E6EFFF"/>
          </w:tcPr>
          <w:p>
            <w:pPr>
              <w:jc w:val="right"/>
              <w:spacing w:after="0"/>
              <w:rPr>
                <w:sz w:val="20"/>
                <w:szCs w:val="20"/>
                <w:color w:val="auto"/>
              </w:rPr>
            </w:pPr>
            <w:r>
              <w:rPr>
                <w:rFonts w:ascii="Arial" w:cs="Arial" w:eastAsia="Arial" w:hAnsi="Arial"/>
                <w:sz w:val="15"/>
                <w:szCs w:val="15"/>
                <w:color w:val="auto"/>
                <w:w w:val="98"/>
              </w:rPr>
              <w:t>103,756,138</w:t>
            </w:r>
          </w:p>
        </w:tc>
        <w:tc>
          <w:tcPr>
            <w:tcW w:w="360" w:type="dxa"/>
            <w:vAlign w:val="bottom"/>
            <w:shd w:val="clear" w:color="auto" w:fill="E6EFFF"/>
          </w:tcPr>
          <w:p>
            <w:pPr>
              <w:spacing w:after="0"/>
              <w:rPr>
                <w:sz w:val="15"/>
                <w:szCs w:val="15"/>
                <w:color w:val="auto"/>
              </w:rPr>
            </w:pPr>
          </w:p>
        </w:tc>
        <w:tc>
          <w:tcPr>
            <w:tcW w:w="820" w:type="dxa"/>
            <w:vAlign w:val="bottom"/>
            <w:gridSpan w:val="2"/>
            <w:shd w:val="clear" w:color="auto" w:fill="E6EFFF"/>
          </w:tcPr>
          <w:p>
            <w:pPr>
              <w:jc w:val="right"/>
              <w:ind w:right="100"/>
              <w:spacing w:after="0"/>
              <w:rPr>
                <w:sz w:val="20"/>
                <w:szCs w:val="20"/>
                <w:color w:val="auto"/>
              </w:rPr>
            </w:pPr>
            <w:r>
              <w:rPr>
                <w:rFonts w:ascii="Arial" w:cs="Arial" w:eastAsia="Arial" w:hAnsi="Arial"/>
                <w:sz w:val="15"/>
                <w:szCs w:val="15"/>
                <w:color w:val="auto"/>
              </w:rPr>
              <w:t>1.0</w:t>
            </w: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2,514.8</w:t>
            </w: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1,176.8</w:t>
            </w: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(8.9)</w:t>
            </w: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7"/>
              <w:spacing w:after="0"/>
              <w:rPr>
                <w:sz w:val="20"/>
                <w:szCs w:val="20"/>
                <w:color w:val="auto"/>
              </w:rPr>
            </w:pPr>
            <w:r>
              <w:rPr>
                <w:rFonts w:ascii="Arial" w:cs="Arial" w:eastAsia="Arial" w:hAnsi="Arial"/>
                <w:sz w:val="15"/>
                <w:szCs w:val="15"/>
                <w:color w:val="auto"/>
              </w:rPr>
              <w:t>(1,224.3)</w:t>
            </w: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2,459.4</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Comprehensive Income: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Net loss</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(9.2)</w:t>
            </w: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Foreign currency translation</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107.0</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Unrealized gain on investments, net of tax</w:t>
            </w:r>
          </w:p>
        </w:tc>
        <w:tc>
          <w:tcPr>
            <w:tcW w:w="880" w:type="dxa"/>
            <w:vAlign w:val="bottom"/>
            <w:shd w:val="clear" w:color="auto" w:fill="E6EFFF"/>
          </w:tcPr>
          <w:p>
            <w:pPr>
              <w:spacing w:after="0"/>
              <w:rPr>
                <w:sz w:val="16"/>
                <w:szCs w:val="16"/>
                <w:color w:val="auto"/>
              </w:rPr>
            </w:pPr>
          </w:p>
        </w:tc>
        <w:tc>
          <w:tcPr>
            <w:tcW w:w="3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124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4.3</w:t>
            </w:r>
          </w:p>
        </w:tc>
        <w:tc>
          <w:tcPr>
            <w:tcW w:w="14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880" w:type="dxa"/>
            <w:vAlign w:val="bottom"/>
            <w:shd w:val="clear" w:color="auto" w:fill="E6EFFF"/>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Reclassification to earnings of loss on</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6"/>
              <w:spacing w:after="0"/>
              <w:rPr>
                <w:sz w:val="20"/>
                <w:szCs w:val="20"/>
                <w:color w:val="auto"/>
              </w:rPr>
            </w:pPr>
            <w:r>
              <w:rPr>
                <w:rFonts w:ascii="Arial" w:cs="Arial" w:eastAsia="Arial" w:hAnsi="Arial"/>
                <w:sz w:val="15"/>
                <w:szCs w:val="15"/>
                <w:color w:val="auto"/>
              </w:rPr>
              <w:t>4.3</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300"/>
              <w:spacing w:after="0" w:line="170" w:lineRule="exact"/>
              <w:rPr>
                <w:sz w:val="20"/>
                <w:szCs w:val="20"/>
                <w:color w:val="auto"/>
              </w:rPr>
            </w:pPr>
            <w:r>
              <w:rPr>
                <w:rFonts w:ascii="Arial" w:cs="Arial" w:eastAsia="Arial" w:hAnsi="Arial"/>
                <w:sz w:val="15"/>
                <w:szCs w:val="15"/>
                <w:color w:val="auto"/>
              </w:rPr>
              <w:t>derivatives, net of tax</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Unrealized gain on derivatives, net of tax</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0.3</w:t>
            </w: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40" w:type="dxa"/>
            <w:vAlign w:val="bottom"/>
          </w:tcPr>
          <w:p>
            <w:pPr>
              <w:ind w:left="140"/>
              <w:spacing w:after="0"/>
              <w:rPr>
                <w:sz w:val="20"/>
                <w:szCs w:val="20"/>
                <w:color w:val="auto"/>
              </w:rPr>
            </w:pPr>
            <w:r>
              <w:rPr>
                <w:rFonts w:ascii="Arial" w:cs="Arial" w:eastAsia="Arial" w:hAnsi="Arial"/>
                <w:sz w:val="15"/>
                <w:szCs w:val="15"/>
                <w:color w:val="auto"/>
              </w:rPr>
              <w:t>Defined benefit pension plans and retiree health</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(0.1)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300"/>
              <w:spacing w:after="0" w:line="170" w:lineRule="exact"/>
              <w:rPr>
                <w:sz w:val="20"/>
                <w:szCs w:val="20"/>
                <w:color w:val="auto"/>
              </w:rPr>
            </w:pPr>
            <w:r>
              <w:rPr>
                <w:rFonts w:ascii="Arial" w:cs="Arial" w:eastAsia="Arial" w:hAnsi="Arial"/>
                <w:sz w:val="15"/>
                <w:szCs w:val="15"/>
                <w:color w:val="auto"/>
              </w:rPr>
              <w:t>care plan, net of tax</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Total comprehensive income</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106.6</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Issuances under equity plans, including tax</w:t>
            </w:r>
          </w:p>
        </w:tc>
        <w:tc>
          <w:tcPr>
            <w:tcW w:w="880" w:type="dxa"/>
            <w:vAlign w:val="bottom"/>
          </w:tcPr>
          <w:p>
            <w:pPr>
              <w:jc w:val="right"/>
              <w:spacing w:after="0"/>
              <w:rPr>
                <w:sz w:val="20"/>
                <w:szCs w:val="20"/>
                <w:color w:val="auto"/>
              </w:rPr>
            </w:pPr>
            <w:r>
              <w:rPr>
                <w:rFonts w:ascii="Arial" w:cs="Arial" w:eastAsia="Arial" w:hAnsi="Arial"/>
                <w:sz w:val="15"/>
                <w:szCs w:val="15"/>
                <w:color w:val="auto"/>
              </w:rPr>
              <w:t>641,827</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15.5</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(0.9)</w:t>
            </w:r>
          </w:p>
        </w:tc>
        <w:tc>
          <w:tcPr>
            <w:tcW w:w="32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14.6</w:t>
            </w:r>
          </w:p>
        </w:tc>
        <w:tc>
          <w:tcPr>
            <w:tcW w:w="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440" w:type="dxa"/>
            <w:vAlign w:val="bottom"/>
          </w:tcPr>
          <w:p>
            <w:pPr>
              <w:ind w:left="140"/>
              <w:spacing w:after="0" w:line="170" w:lineRule="exact"/>
              <w:rPr>
                <w:sz w:val="20"/>
                <w:szCs w:val="20"/>
                <w:color w:val="auto"/>
              </w:rPr>
            </w:pPr>
            <w:r>
              <w:rPr>
                <w:rFonts w:ascii="Arial" w:cs="Arial" w:eastAsia="Arial" w:hAnsi="Arial"/>
                <w:sz w:val="15"/>
                <w:szCs w:val="15"/>
                <w:color w:val="auto"/>
              </w:rPr>
              <w:t>benefits</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E6EFFF"/>
          </w:tcPr>
          <w:p>
            <w:pPr>
              <w:spacing w:after="0"/>
              <w:rPr>
                <w:sz w:val="20"/>
                <w:szCs w:val="20"/>
                <w:color w:val="auto"/>
              </w:rPr>
            </w:pPr>
            <w:r>
              <w:rPr>
                <w:rFonts w:ascii="Arial" w:cs="Arial" w:eastAsia="Arial" w:hAnsi="Arial"/>
                <w:sz w:val="15"/>
                <w:szCs w:val="15"/>
                <w:color w:val="auto"/>
              </w:rPr>
              <w:t>Share-based compensation expense</w:t>
            </w:r>
          </w:p>
        </w:tc>
        <w:tc>
          <w:tcPr>
            <w:tcW w:w="880" w:type="dxa"/>
            <w:vAlign w:val="bottom"/>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17.5</w:t>
            </w:r>
          </w:p>
        </w:tc>
        <w:tc>
          <w:tcPr>
            <w:tcW w:w="3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17.5</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Dividends ($0.74 per share)</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(58.0)</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106"/>
              <w:spacing w:after="0"/>
              <w:rPr>
                <w:sz w:val="20"/>
                <w:szCs w:val="20"/>
                <w:color w:val="auto"/>
              </w:rPr>
            </w:pPr>
            <w:r>
              <w:rPr>
                <w:rFonts w:ascii="Arial" w:cs="Arial" w:eastAsia="Arial" w:hAnsi="Arial"/>
                <w:sz w:val="15"/>
                <w:szCs w:val="15"/>
                <w:color w:val="auto"/>
              </w:rPr>
              <w:t>(58.0)</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4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Other</w:t>
            </w:r>
          </w:p>
        </w:tc>
        <w:tc>
          <w:tcPr>
            <w:tcW w:w="880" w:type="dxa"/>
            <w:vAlign w:val="bottom"/>
            <w:tcBorders>
              <w:bottom w:val="single" w:sz="8" w:color="auto"/>
            </w:tcBorders>
            <w:shd w:val="clear" w:color="auto" w:fill="E6EFFF"/>
          </w:tcPr>
          <w:p>
            <w:pPr>
              <w:spacing w:after="0"/>
              <w:rPr>
                <w:sz w:val="15"/>
                <w:szCs w:val="15"/>
                <w:color w:val="auto"/>
              </w:rPr>
            </w:pPr>
          </w:p>
        </w:tc>
        <w:tc>
          <w:tcPr>
            <w:tcW w:w="360" w:type="dxa"/>
            <w:vAlign w:val="bottom"/>
            <w:tcBorders>
              <w:bottom w:val="single" w:sz="8" w:color="auto"/>
            </w:tcBorders>
            <w:shd w:val="clear" w:color="auto" w:fill="E6EFFF"/>
          </w:tcPr>
          <w:p>
            <w:pPr>
              <w:spacing w:after="0"/>
              <w:rPr>
                <w:sz w:val="15"/>
                <w:szCs w:val="15"/>
                <w:color w:val="auto"/>
              </w:rPr>
            </w:pPr>
          </w:p>
        </w:tc>
        <w:tc>
          <w:tcPr>
            <w:tcW w:w="720" w:type="dxa"/>
            <w:vAlign w:val="bottom"/>
            <w:tcBorders>
              <w:bottom w:val="single" w:sz="8" w:color="auto"/>
            </w:tcBorders>
            <w:shd w:val="clear" w:color="auto" w:fill="E6EFFF"/>
          </w:tcPr>
          <w:p>
            <w:pPr>
              <w:spacing w:after="0"/>
              <w:rPr>
                <w:sz w:val="15"/>
                <w:szCs w:val="15"/>
                <w:color w:val="auto"/>
              </w:rPr>
            </w:pPr>
          </w:p>
        </w:tc>
        <w:tc>
          <w:tcPr>
            <w:tcW w:w="100" w:type="dxa"/>
            <w:vAlign w:val="bottom"/>
            <w:tcBorders>
              <w:bottom w:val="single" w:sz="8" w:color="auto"/>
            </w:tcBorders>
            <w:shd w:val="clear" w:color="auto" w:fill="E6EFFF"/>
          </w:tcPr>
          <w:p>
            <w:pPr>
              <w:spacing w:after="0"/>
              <w:rPr>
                <w:sz w:val="15"/>
                <w:szCs w:val="15"/>
                <w:color w:val="auto"/>
              </w:rPr>
            </w:pPr>
          </w:p>
        </w:tc>
        <w:tc>
          <w:tcPr>
            <w:tcW w:w="20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7"/>
              <w:spacing w:after="0"/>
              <w:rPr>
                <w:sz w:val="20"/>
                <w:szCs w:val="20"/>
                <w:color w:val="auto"/>
              </w:rPr>
            </w:pPr>
            <w:r>
              <w:rPr>
                <w:rFonts w:ascii="Arial" w:cs="Arial" w:eastAsia="Arial" w:hAnsi="Arial"/>
                <w:sz w:val="15"/>
                <w:szCs w:val="15"/>
                <w:color w:val="auto"/>
              </w:rPr>
              <w:t>(3.6)</w:t>
            </w:r>
          </w:p>
        </w:tc>
        <w:tc>
          <w:tcPr>
            <w:tcW w:w="320" w:type="dxa"/>
            <w:vAlign w:val="bottom"/>
            <w:tcBorders>
              <w:bottom w:val="single" w:sz="8" w:color="auto"/>
            </w:tcBorders>
            <w:shd w:val="clear" w:color="auto" w:fill="E6EFFF"/>
          </w:tcPr>
          <w:p>
            <w:pPr>
              <w:spacing w:after="0"/>
              <w:rPr>
                <w:sz w:val="15"/>
                <w:szCs w:val="15"/>
                <w:color w:val="auto"/>
              </w:rPr>
            </w:pPr>
          </w:p>
        </w:tc>
        <w:tc>
          <w:tcPr>
            <w:tcW w:w="800" w:type="dxa"/>
            <w:vAlign w:val="bottom"/>
            <w:tcBorders>
              <w:bottom w:val="single" w:sz="8" w:color="auto"/>
            </w:tcBorders>
            <w:shd w:val="clear" w:color="auto" w:fill="E6EFFF"/>
          </w:tcPr>
          <w:p>
            <w:pPr>
              <w:spacing w:after="0"/>
              <w:rPr>
                <w:sz w:val="15"/>
                <w:szCs w:val="15"/>
                <w:color w:val="auto"/>
              </w:rPr>
            </w:pPr>
          </w:p>
        </w:tc>
        <w:tc>
          <w:tcPr>
            <w:tcW w:w="180" w:type="dxa"/>
            <w:vAlign w:val="bottom"/>
            <w:tcBorders>
              <w:bottom w:val="single" w:sz="8" w:color="auto"/>
            </w:tcBorders>
            <w:shd w:val="clear" w:color="auto" w:fill="E6EFFF"/>
          </w:tcPr>
          <w:p>
            <w:pPr>
              <w:spacing w:after="0"/>
              <w:rPr>
                <w:sz w:val="15"/>
                <w:szCs w:val="15"/>
                <w:color w:val="auto"/>
              </w:rPr>
            </w:pPr>
          </w:p>
        </w:tc>
        <w:tc>
          <w:tcPr>
            <w:tcW w:w="1240" w:type="dxa"/>
            <w:vAlign w:val="bottom"/>
            <w:tcBorders>
              <w:bottom w:val="single" w:sz="8" w:color="auto"/>
            </w:tcBorders>
            <w:shd w:val="clear" w:color="auto" w:fill="E6EFFF"/>
          </w:tcPr>
          <w:p>
            <w:pPr>
              <w:spacing w:after="0"/>
              <w:rPr>
                <w:sz w:val="15"/>
                <w:szCs w:val="15"/>
                <w:color w:val="auto"/>
              </w:rPr>
            </w:pPr>
          </w:p>
        </w:tc>
        <w:tc>
          <w:tcPr>
            <w:tcW w:w="14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spacing w:after="0"/>
              <w:rPr>
                <w:sz w:val="15"/>
                <w:szCs w:val="15"/>
                <w:color w:val="auto"/>
              </w:rPr>
            </w:pPr>
          </w:p>
        </w:tc>
        <w:tc>
          <w:tcPr>
            <w:tcW w:w="32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106"/>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Balance, December 31, 2009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104,397,965</w:t>
            </w:r>
          </w:p>
        </w:tc>
        <w:tc>
          <w:tcPr>
            <w:tcW w:w="3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2,544.2</w:t>
            </w:r>
          </w:p>
        </w:tc>
        <w:tc>
          <w:tcPr>
            <w:tcW w:w="3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1,109.6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(1,225.2)</w:t>
            </w:r>
          </w:p>
        </w:tc>
        <w:tc>
          <w:tcPr>
            <w:tcW w:w="3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2,536.5</w:t>
            </w:r>
          </w:p>
        </w:tc>
        <w:tc>
          <w:tcPr>
            <w:tcW w:w="20" w:type="dxa"/>
            <w:vAlign w:val="bottom"/>
          </w:tcPr>
          <w:p>
            <w:pPr>
              <w:spacing w:after="0"/>
              <w:rPr>
                <w:sz w:val="15"/>
                <w:szCs w:val="15"/>
                <w:color w:val="auto"/>
              </w:rPr>
            </w:pPr>
          </w:p>
        </w:tc>
      </w:tr>
      <w:tr>
        <w:trPr>
          <w:trHeight w:val="354"/>
        </w:trPr>
        <w:tc>
          <w:tcPr>
            <w:tcW w:w="20" w:type="dxa"/>
            <w:vAlign w:val="bottom"/>
          </w:tcPr>
          <w:p>
            <w:pPr>
              <w:spacing w:after="0"/>
              <w:rPr>
                <w:sz w:val="24"/>
                <w:szCs w:val="24"/>
                <w:color w:val="auto"/>
              </w:rPr>
            </w:pPr>
          </w:p>
        </w:tc>
        <w:tc>
          <w:tcPr>
            <w:tcW w:w="6960" w:type="dxa"/>
            <w:vAlign w:val="bottom"/>
            <w:gridSpan w:val="8"/>
          </w:tcPr>
          <w:p>
            <w:pPr>
              <w:spacing w:after="0"/>
              <w:rPr>
                <w:sz w:val="20"/>
                <w:szCs w:val="20"/>
                <w:color w:val="auto"/>
              </w:rPr>
            </w:pPr>
            <w:r>
              <w:rPr>
                <w:rFonts w:ascii="Arial" w:cs="Arial" w:eastAsia="Arial" w:hAnsi="Arial"/>
                <w:sz w:val="15"/>
                <w:szCs w:val="15"/>
                <w:color w:val="auto"/>
              </w:rPr>
              <w:t>The accompanying Notes to Consolidated Financial Statements are an integral part of these statements.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5"/>
          </w:tcPr>
          <w:p>
            <w:pPr>
              <w:jc w:val="right"/>
              <w:spacing w:after="0"/>
              <w:rPr>
                <w:sz w:val="20"/>
                <w:szCs w:val="20"/>
                <w:color w:val="auto"/>
              </w:rPr>
            </w:pPr>
            <w:r>
              <w:rPr>
                <w:rFonts w:ascii="Arial" w:cs="Arial" w:eastAsia="Arial" w:hAnsi="Arial"/>
                <w:sz w:val="14"/>
                <w:szCs w:val="14"/>
                <w:b w:val="1"/>
                <w:bCs w:val="1"/>
                <w:color w:val="939598"/>
              </w:rPr>
              <w:t>Consolidated Statements of Shareholders’ Equity</w:t>
            </w:r>
          </w:p>
        </w:tc>
        <w:tc>
          <w:tcPr>
            <w:tcW w:w="14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w w:val="98"/>
              </w:rPr>
              <w:t xml:space="preserve">Manpower 2009 Annual Report </w:t>
            </w:r>
            <w:r>
              <w:rPr>
                <w:rFonts w:ascii="Arial" w:cs="Arial" w:eastAsia="Arial" w:hAnsi="Arial"/>
                <w:sz w:val="14"/>
                <w:szCs w:val="14"/>
                <w:b w:val="1"/>
                <w:bCs w:val="1"/>
                <w:color w:val="auto"/>
                <w:w w:val="98"/>
              </w:rPr>
              <w:t>45</w:t>
            </w:r>
          </w:p>
        </w:tc>
        <w:tc>
          <w:tcPr>
            <w:tcW w:w="2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2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80"/>
          </w:cols>
          <w:pgMar w:left="220" w:top="111" w:right="1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4D8ABE"/>
        </w:rPr>
        <w:t>01.</w:t>
      </w:r>
    </w:p>
    <w:p>
      <w:pPr>
        <w:spacing w:after="0"/>
        <w:rPr>
          <w:sz w:val="20"/>
          <w:szCs w:val="20"/>
          <w:color w:val="auto"/>
        </w:rPr>
      </w:pPr>
      <w:r>
        <w:rPr>
          <w:rFonts w:ascii="Arial" w:cs="Arial" w:eastAsia="Arial" w:hAnsi="Arial"/>
          <w:sz w:val="21"/>
          <w:szCs w:val="21"/>
          <w:color w:val="4D8ABE"/>
        </w:rPr>
        <w:t>Summary Of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NATURE OF OPERATIONS</w:t>
      </w:r>
    </w:p>
    <w:p>
      <w:pPr>
        <w:spacing w:after="0" w:line="237"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Manpower Inc. is a world leader in the employment services industry. Our worldwide network of nearly 4,000 offices in 82 countries and territories enables us to meet the needs of our clients in all industry segments. Our largest operations, based on revenues, are located in the U.S., France, Italy and the United Kingdom. We specialize in permanent, temporary and contract recruitment; employee assessment and selection; training; outsourcing; and outplacement and consulting services. We provide services to a wide variety of clients, none of which individually comprise a significant portion of revenues for us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USE OF ESTIMATES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BASIS OF CONSOLIDATION</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$65.5 and $81.0 as of December 31, 2009 and 2008, respectively, and are included as Other Assets in the consolidated balance sheets. The decrease in these investments in 2009 compared to 2008 is primarily due to the sale of an equity investment in Japan. Included in Shareholders’ Equity as of December 31, 2009 and 2008 are $56.2 and $53.2 of unremitted earnings from investments accounted for using the equity method. All significant intercompany accounts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REVENUES AND RECEIVABLES</w:t>
      </w:r>
    </w:p>
    <w:p>
      <w:pPr>
        <w:spacing w:after="0" w:line="237"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 based on the hours worked. Permanent recruitment revenues are recorded as placements are made. Provisions for sales allowances, based on historical experience, are recognized at the time the related sale is recognized.</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$22.3, $30.9, and $35.7 for the years ended December 31, 2009, 2008 and 2007, respectively.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our outplacement business, we recognize revenue from individual programs over the estimated period in which services are rendered to candidates. For large projects within the outplacement business, we recognize revenue ratably over the period in which the services are provided. In our consulting business, revenue is recognized upon the performance of the service under the consulting service contract. For performance-based contracts, we defer recognizing revenue until the performance criteria has been met.</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amount billed for outplacement, consulting services and performance-based contracts in excess of the amount recognized as revenue is recorded as Deferred Revenue and included in Accrued Liabilities for the current portion and Other Long-Term Liabilities for the long-term portion in our Consolidated Balance Sheets. As of December 31, 2009 and 2008, the current portion of Deferred Revenue was $54.3 and $57.4, respectively, and the long-term portion of Deferred Revenue was $25.2 and $27.5, respectively.</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46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2" w:name="page83"/>
    <w:bookmarkEnd w:id="82"/>
    <w:p>
      <w:pPr>
        <w:jc w:val="both"/>
        <w:spacing w:after="0" w:line="242" w:lineRule="auto"/>
        <w:rPr>
          <w:sz w:val="20"/>
          <w:szCs w:val="20"/>
          <w:color w:val="auto"/>
        </w:rPr>
      </w:pPr>
      <w:r>
        <w:rPr>
          <w:rFonts w:ascii="Arial" w:cs="Arial" w:eastAsia="Arial" w:hAnsi="Arial"/>
          <w:sz w:val="15"/>
          <w:szCs w:val="15"/>
          <w:color w:val="auto"/>
        </w:rPr>
        <w:t>During the fourth quarter of 2009, we determined that one of our subsidiaries within the Other EMEA segment prematurely recognized revenues related to a workforce solutions contract. These revenues were recorded on a cash-basis rather than being deferred and recognized over the performance period. Accordingly, we have restated our accompanying consolidated statements of operations for 2008 and 2007 and the first three quarters of 2009 to defer certain amounts of revenue to future periods, net of income taxes. This restatement had no impact on cash flows under the contract and only affects the timing of when revenues are earned. Total revenues under this contract are expected to remain unchanged.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effects of this restatement on 2008 and 2007, respectively,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Arial" w:cs="Arial" w:eastAsia="Arial" w:hAnsi="Arial"/>
                <w:sz w:val="14"/>
                <w:szCs w:val="14"/>
                <w:b w:val="1"/>
                <w:bCs w:val="1"/>
                <w:color w:val="4D8ABE"/>
              </w:rPr>
              <w:t>As previously</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3"/>
        </w:trPr>
        <w:tc>
          <w:tcPr>
            <w:tcW w:w="530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 2008</w:t>
            </w:r>
          </w:p>
        </w:tc>
        <w:tc>
          <w:tcPr>
            <w:tcW w:w="1960" w:type="dxa"/>
            <w:vAlign w:val="bottom"/>
            <w:tcBorders>
              <w:bottom w:val="single" w:sz="8" w:color="4D8ABE"/>
            </w:tcBorders>
          </w:tcPr>
          <w:p>
            <w:pPr>
              <w:spacing w:after="0"/>
              <w:rPr>
                <w:sz w:val="16"/>
                <w:szCs w:val="16"/>
                <w:color w:val="auto"/>
              </w:rPr>
            </w:pPr>
          </w:p>
        </w:tc>
        <w:tc>
          <w:tcPr>
            <w:tcW w:w="1140" w:type="dxa"/>
            <w:vAlign w:val="bottom"/>
            <w:tcBorders>
              <w:bottom w:val="single" w:sz="8" w:color="4D8ABE"/>
            </w:tcBorders>
          </w:tcPr>
          <w:p>
            <w:pPr>
              <w:jc w:val="right"/>
              <w:ind w:right="25"/>
              <w:spacing w:after="0"/>
              <w:rPr>
                <w:sz w:val="20"/>
                <w:szCs w:val="20"/>
                <w:color w:val="auto"/>
              </w:rPr>
            </w:pPr>
            <w:r>
              <w:rPr>
                <w:rFonts w:ascii="Arial" w:cs="Arial" w:eastAsia="Arial" w:hAnsi="Arial"/>
                <w:sz w:val="14"/>
                <w:szCs w:val="14"/>
                <w:b w:val="1"/>
                <w:bCs w:val="1"/>
                <w:color w:val="4D8ABE"/>
              </w:rPr>
              <w:t>reported</w:t>
            </w:r>
          </w:p>
        </w:tc>
        <w:tc>
          <w:tcPr>
            <w:tcW w:w="400" w:type="dxa"/>
            <w:vAlign w:val="bottom"/>
            <w:tcBorders>
              <w:bottom w:val="single" w:sz="8" w:color="4D8ABE"/>
            </w:tcBorders>
          </w:tcPr>
          <w:p>
            <w:pPr>
              <w:spacing w:after="0"/>
              <w:rPr>
                <w:sz w:val="16"/>
                <w:szCs w:val="16"/>
                <w:color w:val="auto"/>
              </w:rPr>
            </w:pPr>
          </w:p>
        </w:tc>
        <w:tc>
          <w:tcPr>
            <w:tcW w:w="110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Adjustment</w:t>
            </w:r>
          </w:p>
        </w:tc>
        <w:tc>
          <w:tcPr>
            <w:tcW w:w="360" w:type="dxa"/>
            <w:vAlign w:val="bottom"/>
            <w:tcBorders>
              <w:bottom w:val="single" w:sz="8" w:color="4D8ABE"/>
            </w:tcBorders>
          </w:tcPr>
          <w:p>
            <w:pPr>
              <w:spacing w:after="0"/>
              <w:rPr>
                <w:sz w:val="16"/>
                <w:szCs w:val="16"/>
                <w:color w:val="auto"/>
              </w:rPr>
            </w:pPr>
          </w:p>
        </w:tc>
        <w:tc>
          <w:tcPr>
            <w:tcW w:w="118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As restated</w:t>
            </w:r>
          </w:p>
        </w:tc>
      </w:tr>
      <w:tr>
        <w:trPr>
          <w:trHeight w:val="184"/>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Revenues from services</w:t>
            </w:r>
          </w:p>
        </w:tc>
        <w:tc>
          <w:tcPr>
            <w:tcW w:w="1960" w:type="dxa"/>
            <w:vAlign w:val="bottom"/>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21,552.8</w:t>
            </w:r>
          </w:p>
        </w:tc>
        <w:tc>
          <w:tcPr>
            <w:tcW w:w="400" w:type="dxa"/>
            <w:vAlign w:val="bottom"/>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(15.7)</w:t>
            </w:r>
          </w:p>
        </w:tc>
        <w:tc>
          <w:tcPr>
            <w:tcW w:w="360" w:type="dxa"/>
            <w:vAlign w:val="bottom"/>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21,537.1</w:t>
            </w:r>
          </w:p>
        </w:tc>
      </w:tr>
      <w:tr>
        <w:trPr>
          <w:trHeight w:val="184"/>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Cost of services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17,450.2</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17,450.2</w:t>
            </w:r>
          </w:p>
        </w:tc>
      </w:tr>
      <w:tr>
        <w:trPr>
          <w:trHeight w:val="175"/>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Gross profit</w:t>
            </w:r>
          </w:p>
        </w:tc>
        <w:tc>
          <w:tcPr>
            <w:tcW w:w="196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4,102.6</w:t>
            </w:r>
          </w:p>
        </w:tc>
        <w:tc>
          <w:tcPr>
            <w:tcW w:w="4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(15.7)</w:t>
            </w:r>
          </w:p>
        </w:tc>
        <w:tc>
          <w:tcPr>
            <w:tcW w:w="360" w:type="dxa"/>
            <w:vAlign w:val="bottom"/>
            <w:shd w:val="clear" w:color="auto" w:fill="E6EFFF"/>
          </w:tcPr>
          <w:p>
            <w:pPr>
              <w:spacing w:after="0"/>
              <w:rPr>
                <w:sz w:val="15"/>
                <w:szCs w:val="15"/>
                <w:color w:val="auto"/>
              </w:rPr>
            </w:pP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4,086.9</w:t>
            </w:r>
          </w:p>
        </w:tc>
      </w:tr>
      <w:tr>
        <w:trPr>
          <w:trHeight w:val="184"/>
        </w:trPr>
        <w:tc>
          <w:tcPr>
            <w:tcW w:w="5300" w:type="dxa"/>
            <w:vAlign w:val="bottom"/>
          </w:tcPr>
          <w:p>
            <w:pPr>
              <w:ind w:left="140"/>
              <w:spacing w:after="0"/>
              <w:rPr>
                <w:sz w:val="20"/>
                <w:szCs w:val="20"/>
                <w:color w:val="auto"/>
              </w:rPr>
            </w:pPr>
            <w:r>
              <w:rPr>
                <w:rFonts w:ascii="Arial" w:cs="Arial" w:eastAsia="Arial" w:hAnsi="Arial"/>
                <w:sz w:val="15"/>
                <w:szCs w:val="15"/>
                <w:color w:val="auto"/>
              </w:rPr>
              <w:t>Selling and administrative expenses</w:t>
            </w:r>
          </w:p>
        </w:tc>
        <w:tc>
          <w:tcPr>
            <w:tcW w:w="196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3,430.3</w:t>
            </w:r>
          </w:p>
        </w:tc>
        <w:tc>
          <w:tcPr>
            <w:tcW w:w="40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3,430.3</w:t>
            </w:r>
          </w:p>
        </w:tc>
      </w:tr>
      <w:tr>
        <w:trPr>
          <w:trHeight w:val="184"/>
        </w:trPr>
        <w:tc>
          <w:tcPr>
            <w:tcW w:w="530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Goodwill and intangible asset impairment charges</w:t>
            </w:r>
          </w:p>
        </w:tc>
        <w:tc>
          <w:tcPr>
            <w:tcW w:w="1960" w:type="dxa"/>
            <w:vAlign w:val="bottom"/>
            <w:tcBorders>
              <w:bottom w:val="single" w:sz="8" w:color="auto"/>
            </w:tcBorders>
            <w:shd w:val="clear" w:color="auto" w:fill="E6EFFF"/>
          </w:tcPr>
          <w:p>
            <w:pPr>
              <w:spacing w:after="0"/>
              <w:rPr>
                <w:sz w:val="15"/>
                <w:szCs w:val="15"/>
                <w:color w:val="auto"/>
              </w:rPr>
            </w:pPr>
          </w:p>
        </w:tc>
        <w:tc>
          <w:tcPr>
            <w:tcW w:w="114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163.1</w:t>
            </w:r>
          </w:p>
        </w:tc>
        <w:tc>
          <w:tcPr>
            <w:tcW w:w="40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E6EFFF"/>
          </w:tcPr>
          <w:p>
            <w:pPr>
              <w:spacing w:after="0"/>
              <w:rPr>
                <w:sz w:val="15"/>
                <w:szCs w:val="15"/>
                <w:color w:val="auto"/>
              </w:rPr>
            </w:pPr>
          </w:p>
        </w:tc>
        <w:tc>
          <w:tcPr>
            <w:tcW w:w="11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163.1</w:t>
            </w:r>
          </w:p>
        </w:tc>
      </w:tr>
      <w:tr>
        <w:trPr>
          <w:trHeight w:val="175"/>
        </w:trPr>
        <w:tc>
          <w:tcPr>
            <w:tcW w:w="53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196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3,593.4</w:t>
            </w:r>
          </w:p>
        </w:tc>
        <w:tc>
          <w:tcPr>
            <w:tcW w:w="40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3,593.4</w:t>
            </w:r>
          </w:p>
        </w:tc>
      </w:tr>
      <w:tr>
        <w:trPr>
          <w:trHeight w:val="184"/>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Operating profit</w:t>
            </w:r>
          </w:p>
        </w:tc>
        <w:tc>
          <w:tcPr>
            <w:tcW w:w="196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509.2</w:t>
            </w:r>
          </w:p>
        </w:tc>
        <w:tc>
          <w:tcPr>
            <w:tcW w:w="4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(15.7)</w:t>
            </w:r>
          </w:p>
        </w:tc>
        <w:tc>
          <w:tcPr>
            <w:tcW w:w="360" w:type="dxa"/>
            <w:vAlign w:val="bottom"/>
            <w:shd w:val="clear" w:color="auto" w:fill="E6EFFF"/>
          </w:tcPr>
          <w:p>
            <w:pPr>
              <w:spacing w:after="0"/>
              <w:rPr>
                <w:sz w:val="15"/>
                <w:szCs w:val="15"/>
                <w:color w:val="auto"/>
              </w:rPr>
            </w:pP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493.5</w:t>
            </w:r>
          </w:p>
        </w:tc>
      </w:tr>
      <w:tr>
        <w:trPr>
          <w:trHeight w:val="184"/>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Interest and other expenses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50.9</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50.9</w:t>
            </w:r>
          </w:p>
        </w:tc>
      </w:tr>
      <w:tr>
        <w:trPr>
          <w:trHeight w:val="175"/>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Earnings before income taxes</w:t>
            </w:r>
          </w:p>
        </w:tc>
        <w:tc>
          <w:tcPr>
            <w:tcW w:w="196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458.3</w:t>
            </w:r>
          </w:p>
        </w:tc>
        <w:tc>
          <w:tcPr>
            <w:tcW w:w="4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(15.7)</w:t>
            </w:r>
          </w:p>
        </w:tc>
        <w:tc>
          <w:tcPr>
            <w:tcW w:w="360" w:type="dxa"/>
            <w:vAlign w:val="bottom"/>
            <w:shd w:val="clear" w:color="auto" w:fill="E6EFFF"/>
          </w:tcPr>
          <w:p>
            <w:pPr>
              <w:spacing w:after="0"/>
              <w:rPr>
                <w:sz w:val="15"/>
                <w:szCs w:val="15"/>
                <w:color w:val="auto"/>
              </w:rPr>
            </w:pP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442.6</w:t>
            </w:r>
          </w:p>
        </w:tc>
      </w:tr>
      <w:tr>
        <w:trPr>
          <w:trHeight w:val="184"/>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Provision for income taxes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239.4</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237.1</w:t>
            </w:r>
          </w:p>
        </w:tc>
      </w:tr>
      <w:tr>
        <w:trPr>
          <w:trHeight w:val="178"/>
        </w:trPr>
        <w:tc>
          <w:tcPr>
            <w:tcW w:w="53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Net earnings</w:t>
            </w:r>
          </w:p>
        </w:tc>
        <w:tc>
          <w:tcPr>
            <w:tcW w:w="1960" w:type="dxa"/>
            <w:vAlign w:val="bottom"/>
            <w:tcBorders>
              <w:bottom w:val="single" w:sz="8" w:color="auto"/>
            </w:tcBorders>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218.9</w:t>
            </w:r>
          </w:p>
        </w:tc>
        <w:tc>
          <w:tcPr>
            <w:tcW w:w="40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(13.4)</w:t>
            </w:r>
          </w:p>
        </w:tc>
        <w:tc>
          <w:tcPr>
            <w:tcW w:w="36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205.5</w:t>
            </w:r>
          </w:p>
        </w:tc>
      </w:tr>
      <w:tr>
        <w:trPr>
          <w:trHeight w:val="187"/>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earnings per share - basic</w:t>
            </w:r>
          </w:p>
        </w:tc>
        <w:tc>
          <w:tcPr>
            <w:tcW w:w="1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2.78</w:t>
            </w:r>
          </w:p>
        </w:tc>
        <w:tc>
          <w:tcPr>
            <w:tcW w:w="4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(0.17)</w:t>
            </w: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2.61</w:t>
            </w:r>
          </w:p>
        </w:tc>
      </w:tr>
      <w:tr>
        <w:trPr>
          <w:trHeight w:val="187"/>
        </w:trPr>
        <w:tc>
          <w:tcPr>
            <w:tcW w:w="53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Net earnings per share - diluted</w:t>
            </w:r>
          </w:p>
        </w:tc>
        <w:tc>
          <w:tcPr>
            <w:tcW w:w="1960" w:type="dxa"/>
            <w:vAlign w:val="bottom"/>
            <w:tcBorders>
              <w:bottom w:val="single" w:sz="8" w:color="auto"/>
            </w:tcBorders>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2.75</w:t>
            </w:r>
          </w:p>
        </w:tc>
        <w:tc>
          <w:tcPr>
            <w:tcW w:w="40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(0.17)</w:t>
            </w:r>
          </w:p>
        </w:tc>
        <w:tc>
          <w:tcPr>
            <w:tcW w:w="36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2.58</w:t>
            </w:r>
          </w:p>
        </w:tc>
      </w:tr>
      <w:tr>
        <w:trPr>
          <w:trHeight w:val="580"/>
        </w:trPr>
        <w:tc>
          <w:tcPr>
            <w:tcW w:w="5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jc w:val="right"/>
              <w:ind w:right="25"/>
              <w:spacing w:after="0"/>
              <w:rPr>
                <w:sz w:val="20"/>
                <w:szCs w:val="20"/>
                <w:color w:val="auto"/>
              </w:rPr>
            </w:pPr>
            <w:r>
              <w:rPr>
                <w:rFonts w:ascii="Arial" w:cs="Arial" w:eastAsia="Arial" w:hAnsi="Arial"/>
                <w:sz w:val="14"/>
                <w:szCs w:val="14"/>
                <w:b w:val="1"/>
                <w:bCs w:val="1"/>
                <w:color w:val="4D8ABE"/>
              </w:rPr>
              <w:t>As previously</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530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 2007</w:t>
            </w:r>
          </w:p>
        </w:tc>
        <w:tc>
          <w:tcPr>
            <w:tcW w:w="1960" w:type="dxa"/>
            <w:vAlign w:val="bottom"/>
            <w:tcBorders>
              <w:bottom w:val="single" w:sz="8" w:color="4D8ABE"/>
            </w:tcBorders>
          </w:tcPr>
          <w:p>
            <w:pPr>
              <w:spacing w:after="0"/>
              <w:rPr>
                <w:sz w:val="16"/>
                <w:szCs w:val="16"/>
                <w:color w:val="auto"/>
              </w:rPr>
            </w:pPr>
          </w:p>
        </w:tc>
        <w:tc>
          <w:tcPr>
            <w:tcW w:w="1140" w:type="dxa"/>
            <w:vAlign w:val="bottom"/>
            <w:tcBorders>
              <w:bottom w:val="single" w:sz="8" w:color="4D8ABE"/>
            </w:tcBorders>
          </w:tcPr>
          <w:p>
            <w:pPr>
              <w:jc w:val="right"/>
              <w:ind w:right="25"/>
              <w:spacing w:after="0"/>
              <w:rPr>
                <w:sz w:val="20"/>
                <w:szCs w:val="20"/>
                <w:color w:val="auto"/>
              </w:rPr>
            </w:pPr>
            <w:r>
              <w:rPr>
                <w:rFonts w:ascii="Arial" w:cs="Arial" w:eastAsia="Arial" w:hAnsi="Arial"/>
                <w:sz w:val="14"/>
                <w:szCs w:val="14"/>
                <w:b w:val="1"/>
                <w:bCs w:val="1"/>
                <w:color w:val="4D8ABE"/>
              </w:rPr>
              <w:t>reported</w:t>
            </w:r>
          </w:p>
        </w:tc>
        <w:tc>
          <w:tcPr>
            <w:tcW w:w="400" w:type="dxa"/>
            <w:vAlign w:val="bottom"/>
            <w:tcBorders>
              <w:bottom w:val="single" w:sz="8" w:color="4D8ABE"/>
            </w:tcBorders>
          </w:tcPr>
          <w:p>
            <w:pPr>
              <w:spacing w:after="0"/>
              <w:rPr>
                <w:sz w:val="16"/>
                <w:szCs w:val="16"/>
                <w:color w:val="auto"/>
              </w:rPr>
            </w:pPr>
          </w:p>
        </w:tc>
        <w:tc>
          <w:tcPr>
            <w:tcW w:w="110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Adjustment</w:t>
            </w:r>
          </w:p>
        </w:tc>
        <w:tc>
          <w:tcPr>
            <w:tcW w:w="360" w:type="dxa"/>
            <w:vAlign w:val="bottom"/>
            <w:tcBorders>
              <w:bottom w:val="single" w:sz="8" w:color="4D8ABE"/>
            </w:tcBorders>
          </w:tcPr>
          <w:p>
            <w:pPr>
              <w:spacing w:after="0"/>
              <w:rPr>
                <w:sz w:val="16"/>
                <w:szCs w:val="16"/>
                <w:color w:val="auto"/>
              </w:rPr>
            </w:pPr>
          </w:p>
        </w:tc>
        <w:tc>
          <w:tcPr>
            <w:tcW w:w="118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As restated</w:t>
            </w:r>
          </w:p>
        </w:tc>
      </w:tr>
      <w:tr>
        <w:trPr>
          <w:trHeight w:val="184"/>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Revenues from services</w:t>
            </w:r>
          </w:p>
        </w:tc>
        <w:tc>
          <w:tcPr>
            <w:tcW w:w="1960" w:type="dxa"/>
            <w:vAlign w:val="bottom"/>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20,500.3</w:t>
            </w:r>
          </w:p>
        </w:tc>
        <w:tc>
          <w:tcPr>
            <w:tcW w:w="400" w:type="dxa"/>
            <w:vAlign w:val="bottom"/>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(14.2)</w:t>
            </w:r>
          </w:p>
        </w:tc>
        <w:tc>
          <w:tcPr>
            <w:tcW w:w="360" w:type="dxa"/>
            <w:vAlign w:val="bottom"/>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20,486.1</w:t>
            </w:r>
          </w:p>
        </w:tc>
      </w:tr>
      <w:tr>
        <w:trPr>
          <w:trHeight w:val="184"/>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Cost of services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16,651.7</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16,651.7</w:t>
            </w:r>
          </w:p>
        </w:tc>
      </w:tr>
      <w:tr>
        <w:trPr>
          <w:trHeight w:val="175"/>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Gross profit</w:t>
            </w:r>
          </w:p>
        </w:tc>
        <w:tc>
          <w:tcPr>
            <w:tcW w:w="196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3,848.6</w:t>
            </w:r>
          </w:p>
        </w:tc>
        <w:tc>
          <w:tcPr>
            <w:tcW w:w="4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(14.2)</w:t>
            </w:r>
          </w:p>
        </w:tc>
        <w:tc>
          <w:tcPr>
            <w:tcW w:w="360" w:type="dxa"/>
            <w:vAlign w:val="bottom"/>
            <w:shd w:val="clear" w:color="auto" w:fill="E6EFFF"/>
          </w:tcPr>
          <w:p>
            <w:pPr>
              <w:spacing w:after="0"/>
              <w:rPr>
                <w:sz w:val="15"/>
                <w:szCs w:val="15"/>
                <w:color w:val="auto"/>
              </w:rPr>
            </w:pP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3,834.4</w:t>
            </w:r>
          </w:p>
        </w:tc>
      </w:tr>
      <w:tr>
        <w:trPr>
          <w:trHeight w:val="184"/>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Selling and administrative expenses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3,023.2</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3,023.2</w:t>
            </w:r>
          </w:p>
        </w:tc>
      </w:tr>
      <w:tr>
        <w:trPr>
          <w:trHeight w:val="175"/>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Operating profit</w:t>
            </w:r>
          </w:p>
        </w:tc>
        <w:tc>
          <w:tcPr>
            <w:tcW w:w="196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825.4</w:t>
            </w:r>
          </w:p>
        </w:tc>
        <w:tc>
          <w:tcPr>
            <w:tcW w:w="4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(14.2)</w:t>
            </w:r>
          </w:p>
        </w:tc>
        <w:tc>
          <w:tcPr>
            <w:tcW w:w="360" w:type="dxa"/>
            <w:vAlign w:val="bottom"/>
            <w:shd w:val="clear" w:color="auto" w:fill="E6EFFF"/>
          </w:tcPr>
          <w:p>
            <w:pPr>
              <w:spacing w:after="0"/>
              <w:rPr>
                <w:sz w:val="15"/>
                <w:szCs w:val="15"/>
                <w:color w:val="auto"/>
              </w:rPr>
            </w:pP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811.2</w:t>
            </w:r>
          </w:p>
        </w:tc>
      </w:tr>
      <w:tr>
        <w:trPr>
          <w:trHeight w:val="184"/>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Interest and other expenses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34.2</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34.2</w:t>
            </w:r>
          </w:p>
        </w:tc>
      </w:tr>
      <w:tr>
        <w:trPr>
          <w:trHeight w:val="175"/>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Earnings before income taxes</w:t>
            </w:r>
          </w:p>
        </w:tc>
        <w:tc>
          <w:tcPr>
            <w:tcW w:w="1960" w:type="dxa"/>
            <w:vAlign w:val="bottom"/>
            <w:shd w:val="clear" w:color="auto" w:fill="E6EFFF"/>
          </w:tcPr>
          <w:p>
            <w:pPr>
              <w:spacing w:after="0"/>
              <w:rPr>
                <w:sz w:val="15"/>
                <w:szCs w:val="15"/>
                <w:color w:val="auto"/>
              </w:rPr>
            </w:pPr>
          </w:p>
        </w:tc>
        <w:tc>
          <w:tcPr>
            <w:tcW w:w="114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791.2</w:t>
            </w:r>
          </w:p>
        </w:tc>
        <w:tc>
          <w:tcPr>
            <w:tcW w:w="4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(14.2)</w:t>
            </w:r>
          </w:p>
        </w:tc>
        <w:tc>
          <w:tcPr>
            <w:tcW w:w="360" w:type="dxa"/>
            <w:vAlign w:val="bottom"/>
            <w:shd w:val="clear" w:color="auto" w:fill="E6EFFF"/>
          </w:tcPr>
          <w:p>
            <w:pPr>
              <w:spacing w:after="0"/>
              <w:rPr>
                <w:sz w:val="15"/>
                <w:szCs w:val="15"/>
                <w:color w:val="auto"/>
              </w:rPr>
            </w:pPr>
          </w:p>
        </w:tc>
        <w:tc>
          <w:tcPr>
            <w:tcW w:w="11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777.0</w:t>
            </w:r>
          </w:p>
        </w:tc>
      </w:tr>
      <w:tr>
        <w:trPr>
          <w:trHeight w:val="184"/>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Provision for income taxes</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306.5</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(3.2)</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303.3</w:t>
            </w:r>
          </w:p>
        </w:tc>
      </w:tr>
      <w:tr>
        <w:trPr>
          <w:trHeight w:val="178"/>
        </w:trPr>
        <w:tc>
          <w:tcPr>
            <w:tcW w:w="53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Net earnings</w:t>
            </w:r>
          </w:p>
        </w:tc>
        <w:tc>
          <w:tcPr>
            <w:tcW w:w="1960" w:type="dxa"/>
            <w:vAlign w:val="bottom"/>
            <w:tcBorders>
              <w:bottom w:val="single" w:sz="8" w:color="auto"/>
            </w:tcBorders>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484.7</w:t>
            </w:r>
          </w:p>
        </w:tc>
        <w:tc>
          <w:tcPr>
            <w:tcW w:w="40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(11.0)</w:t>
            </w:r>
          </w:p>
        </w:tc>
        <w:tc>
          <w:tcPr>
            <w:tcW w:w="36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473.7</w:t>
            </w:r>
          </w:p>
        </w:tc>
      </w:tr>
      <w:tr>
        <w:trPr>
          <w:trHeight w:val="187"/>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earnings per share - basic</w:t>
            </w:r>
          </w:p>
        </w:tc>
        <w:tc>
          <w:tcPr>
            <w:tcW w:w="1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5.83</w:t>
            </w:r>
          </w:p>
        </w:tc>
        <w:tc>
          <w:tcPr>
            <w:tcW w:w="4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(0.13)</w:t>
            </w: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5.70</w:t>
            </w:r>
          </w:p>
        </w:tc>
      </w:tr>
      <w:tr>
        <w:trPr>
          <w:trHeight w:val="187"/>
        </w:trPr>
        <w:tc>
          <w:tcPr>
            <w:tcW w:w="53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Net earnings per share - diluted</w:t>
            </w:r>
          </w:p>
        </w:tc>
        <w:tc>
          <w:tcPr>
            <w:tcW w:w="1960" w:type="dxa"/>
            <w:vAlign w:val="bottom"/>
            <w:tcBorders>
              <w:bottom w:val="single" w:sz="8" w:color="auto"/>
            </w:tcBorders>
            <w:shd w:val="clear" w:color="auto" w:fill="E6EFFF"/>
          </w:tcPr>
          <w:p>
            <w:pPr>
              <w:jc w:val="right"/>
              <w:ind w:right="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5.73</w:t>
            </w:r>
          </w:p>
        </w:tc>
        <w:tc>
          <w:tcPr>
            <w:tcW w:w="40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(0.13)</w:t>
            </w:r>
          </w:p>
        </w:tc>
        <w:tc>
          <w:tcPr>
            <w:tcW w:w="36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5.60</w:t>
            </w:r>
          </w:p>
        </w:tc>
      </w:tr>
    </w:tbl>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This restatement also impacted the consolidated balance sheet as of December 31, 2008 by increasing Accrued Liabilities, Other Long-Term Liabilities and Other Assets by $7.8, $27.5 and $4.0, respectively, and decreasing Accounts Payable and Retained Earnings by $6.9 and $24.4, respectively, related to the recording of deferred revenue and the tax impact of the restatement. Beginning Retained Earnings as of January 1, 2008 decreased by $11.0. Certain components within cash flows from operating activities have also been revised; however, net cash provided by operating activities for 2008 and 2007 remain unchanged. See Note 16 to the Consolidated Financial Statements for the impact of the restatement to our quarterly 2009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ALLOWANCE FOR DOUBTFUL ACCOUNTS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Bad debt expense is recorded as Selling and Administrative Expenses in our Consolidated Statements of Operations and was $27.8, $23.4 and $21.8 in 2009, 2008 and 2007,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$39.0, $21.5 and $20.8 for 2009, 2008 and 2007, respectively. The increase in write-offs during 2009 was due to an increase in customers not being able to pay because of the current decline in the economic environment.</w:t>
      </w:r>
    </w:p>
    <w:p>
      <w:pPr>
        <w:spacing w:after="0" w:line="182" w:lineRule="exact"/>
        <w:rPr>
          <w:sz w:val="20"/>
          <w:szCs w:val="20"/>
          <w:color w:val="auto"/>
        </w:rPr>
      </w:pPr>
    </w:p>
    <w:p>
      <w:pPr>
        <w:ind w:left="6260"/>
        <w:spacing w:after="0"/>
        <w:tabs>
          <w:tab w:leader="none" w:pos="932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83" w:name="page84"/>
    <w:bookmarkEnd w:id="83"/>
    <w:p>
      <w:pPr>
        <w:ind w:left="8"/>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8"/>
          <w:szCs w:val="18"/>
          <w:color w:val="86B6A5"/>
        </w:rPr>
        <w:t>in millions, except share and per share data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86B6A5"/>
        </w:rPr>
        <w:t>ADVERTISING COSTS</w:t>
      </w:r>
    </w:p>
    <w:p>
      <w:pPr>
        <w:spacing w:after="0" w:line="237"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expense production costs of advertising as they are incurred. Advertising expenses were $29.4, $62.6 and $69.5 in 2009, 2008 and 2007, respectively.</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86B6A5"/>
        </w:rPr>
        <w:t>EMPLOYMENT-RELATED ITEMS</w:t>
      </w:r>
    </w:p>
    <w:p>
      <w:pPr>
        <w:spacing w:after="0" w:line="237"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During 2007, we were notified by the French government of a modification to the calculation of payroll taxes under certain French social programs aimed at encouraging the employment of low-wage workers. This modification reduced the amount of payroll taxes that we were required to remit related to the period from January 1, 2006 through October 1, 2007. Included in 2007 is $149.6 ($88.6 after tax) of net benefit related to this modification, including an increase to Gross Profit of $157.1 and an increase to Selling and Administrative Expenses of $7.5. The proceeds related to this modification were reimbursed to us in 2008 and 2007.</w:t>
      </w:r>
    </w:p>
    <w:p>
      <w:pPr>
        <w:spacing w:after="0" w:line="201"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In April 2008, we received additional information, which was based on communications with the French Central Agency, indicating that this modification was also applicable to 2005. Therefore, we recognized $68.2 ($43.8 after tax) of a net benefit to Gross Profit in 2008 related to this modification. The proceeds for a majority of 2005 were received in 2008 with the remainder in 2009.</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86B6A5"/>
        </w:rPr>
        <w:t>REORGANIZATION COSTS</w:t>
      </w:r>
    </w:p>
    <w:p>
      <w:pPr>
        <w:spacing w:after="0" w:line="237"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We recorded reorganization costs of $33.5, $37.2 and $8.4 in 2009, 2008 and 2007, respectively, in Selling and Administrative Expenses, primarily related to severances as well as office closures and consolidations in several countries. As of December 31, 2009, $57.8 has been paid out of these reserves, of which $43.2 was paid during 2009. We expect a majority of the remaining $21.2 will be paid or utilized in 2010. Changes in the restructuring liability balances for each reportable segment and Corporate are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Arial" w:cs="Arial" w:eastAsia="Arial" w:hAnsi="Arial"/>
                <w:sz w:val="14"/>
                <w:szCs w:val="14"/>
                <w:b w:val="1"/>
                <w:bCs w:val="1"/>
                <w:color w:val="4D8ABE"/>
              </w:rPr>
              <w:t>Asia</w:t>
            </w:r>
          </w:p>
        </w:tc>
        <w:tc>
          <w:tcPr>
            <w:tcW w:w="18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Arial" w:cs="Arial" w:eastAsia="Arial" w:hAnsi="Arial"/>
                <w:sz w:val="14"/>
                <w:szCs w:val="14"/>
                <w:b w:val="1"/>
                <w:bCs w:val="1"/>
                <w:color w:val="4D8ABE"/>
              </w:rPr>
              <w:t>Right</w:t>
            </w:r>
          </w:p>
        </w:tc>
        <w:tc>
          <w:tcPr>
            <w:tcW w:w="280" w:type="dxa"/>
            <w:vAlign w:val="bottom"/>
          </w:tcPr>
          <w:p>
            <w:pPr>
              <w:spacing w:after="0"/>
              <w:rPr>
                <w:sz w:val="15"/>
                <w:szCs w:val="15"/>
                <w:color w:val="auto"/>
              </w:rPr>
            </w:pPr>
          </w:p>
        </w:tc>
        <w:tc>
          <w:tcPr>
            <w:tcW w:w="840" w:type="dxa"/>
            <w:vAlign w:val="bottom"/>
          </w:tcPr>
          <w:p>
            <w:pPr>
              <w:jc w:val="right"/>
              <w:ind w:right="65"/>
              <w:spacing w:after="0"/>
              <w:rPr>
                <w:sz w:val="20"/>
                <w:szCs w:val="20"/>
                <w:color w:val="auto"/>
              </w:rPr>
            </w:pPr>
            <w:r>
              <w:rPr>
                <w:rFonts w:ascii="Arial" w:cs="Arial" w:eastAsia="Arial" w:hAnsi="Arial"/>
                <w:sz w:val="14"/>
                <w:szCs w:val="14"/>
                <w:b w:val="1"/>
                <w:bCs w:val="1"/>
                <w:color w:val="4D8ABE"/>
              </w:rPr>
              <w:t>Jefferson</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2220" w:type="dxa"/>
            <w:vAlign w:val="bottom"/>
            <w:tcBorders>
              <w:bottom w:val="single" w:sz="8" w:color="4D8ABE"/>
            </w:tcBorders>
          </w:tcPr>
          <w:p>
            <w:pPr>
              <w:spacing w:after="0"/>
              <w:rPr>
                <w:sz w:val="15"/>
                <w:szCs w:val="15"/>
                <w:color w:val="auto"/>
              </w:rPr>
            </w:pPr>
          </w:p>
        </w:tc>
        <w:tc>
          <w:tcPr>
            <w:tcW w:w="420" w:type="dxa"/>
            <w:vAlign w:val="bottom"/>
            <w:tcBorders>
              <w:bottom w:val="single" w:sz="8" w:color="4D8ABE"/>
            </w:tcBorders>
          </w:tcPr>
          <w:p>
            <w:pPr>
              <w:spacing w:after="0"/>
              <w:rPr>
                <w:sz w:val="15"/>
                <w:szCs w:val="15"/>
                <w:color w:val="auto"/>
              </w:rPr>
            </w:pPr>
          </w:p>
        </w:tc>
        <w:tc>
          <w:tcPr>
            <w:tcW w:w="86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Americas</w:t>
            </w:r>
          </w:p>
        </w:tc>
        <w:tc>
          <w:tcPr>
            <w:tcW w:w="340" w:type="dxa"/>
            <w:vAlign w:val="bottom"/>
            <w:tcBorders>
              <w:bottom w:val="single" w:sz="8" w:color="4D8ABE"/>
            </w:tcBorders>
          </w:tcPr>
          <w:p>
            <w:pPr>
              <w:spacing w:after="0"/>
              <w:rPr>
                <w:sz w:val="15"/>
                <w:szCs w:val="15"/>
                <w:color w:val="auto"/>
              </w:rPr>
            </w:pPr>
          </w:p>
        </w:tc>
        <w:tc>
          <w:tcPr>
            <w:tcW w:w="760" w:type="dxa"/>
            <w:vAlign w:val="bottom"/>
            <w:tcBorders>
              <w:bottom w:val="single" w:sz="8" w:color="4D8ABE"/>
            </w:tcBorders>
          </w:tcPr>
          <w:p>
            <w:pPr>
              <w:jc w:val="right"/>
              <w:ind w:right="44"/>
              <w:spacing w:after="0"/>
              <w:rPr>
                <w:sz w:val="20"/>
                <w:szCs w:val="20"/>
                <w:color w:val="auto"/>
              </w:rPr>
            </w:pPr>
            <w:r>
              <w:rPr>
                <w:rFonts w:ascii="Arial" w:cs="Arial" w:eastAsia="Arial" w:hAnsi="Arial"/>
                <w:sz w:val="14"/>
                <w:szCs w:val="14"/>
                <w:b w:val="1"/>
                <w:bCs w:val="1"/>
                <w:color w:val="4D8ABE"/>
              </w:rPr>
              <w:t>France</w:t>
            </w:r>
          </w:p>
        </w:tc>
        <w:tc>
          <w:tcPr>
            <w:tcW w:w="340" w:type="dxa"/>
            <w:vAlign w:val="bottom"/>
            <w:tcBorders>
              <w:bottom w:val="single" w:sz="8" w:color="4D8ABE"/>
            </w:tcBorders>
          </w:tcPr>
          <w:p>
            <w:pPr>
              <w:spacing w:after="0"/>
              <w:rPr>
                <w:sz w:val="15"/>
                <w:szCs w:val="15"/>
                <w:color w:val="auto"/>
              </w:rPr>
            </w:pPr>
          </w:p>
        </w:tc>
        <w:tc>
          <w:tcPr>
            <w:tcW w:w="780" w:type="dxa"/>
            <w:vAlign w:val="bottom"/>
            <w:tcBorders>
              <w:bottom w:val="single" w:sz="8" w:color="4D8ABE"/>
            </w:tcBorders>
          </w:tcPr>
          <w:p>
            <w:pPr>
              <w:jc w:val="right"/>
              <w:ind w:right="24"/>
              <w:spacing w:after="0" w:line="178" w:lineRule="exact"/>
              <w:rPr>
                <w:sz w:val="20"/>
                <w:szCs w:val="20"/>
                <w:color w:val="auto"/>
              </w:rPr>
            </w:pPr>
            <w:r>
              <w:rPr>
                <w:rFonts w:ascii="Arial" w:cs="Arial" w:eastAsia="Arial" w:hAnsi="Arial"/>
                <w:sz w:val="14"/>
                <w:szCs w:val="14"/>
                <w:b w:val="1"/>
                <w:bCs w:val="1"/>
                <w:color w:val="4D8ABE"/>
              </w:rPr>
              <w:t>EMEA</w:t>
            </w:r>
            <w:r>
              <w:rPr>
                <w:rFonts w:ascii="Arial" w:cs="Arial" w:eastAsia="Arial" w:hAnsi="Arial"/>
                <w:sz w:val="19"/>
                <w:szCs w:val="19"/>
                <w:b w:val="1"/>
                <w:bCs w:val="1"/>
                <w:color w:val="4D8ABE"/>
                <w:vertAlign w:val="superscript"/>
              </w:rPr>
              <w:t>(1</w:t>
            </w:r>
            <w:r>
              <w:rPr>
                <w:rFonts w:ascii="Arial" w:cs="Arial" w:eastAsia="Arial" w:hAnsi="Arial"/>
                <w:sz w:val="9"/>
                <w:szCs w:val="9"/>
                <w:b w:val="1"/>
                <w:bCs w:val="1"/>
                <w:color w:val="4D8ABE"/>
              </w:rPr>
              <w:t>)</w:t>
            </w:r>
          </w:p>
        </w:tc>
        <w:tc>
          <w:tcPr>
            <w:tcW w:w="360" w:type="dxa"/>
            <w:vAlign w:val="bottom"/>
            <w:tcBorders>
              <w:bottom w:val="single" w:sz="8" w:color="4D8ABE"/>
            </w:tcBorders>
          </w:tcPr>
          <w:p>
            <w:pPr>
              <w:spacing w:after="0"/>
              <w:rPr>
                <w:sz w:val="15"/>
                <w:szCs w:val="15"/>
                <w:color w:val="auto"/>
              </w:rPr>
            </w:pPr>
          </w:p>
        </w:tc>
        <w:tc>
          <w:tcPr>
            <w:tcW w:w="760" w:type="dxa"/>
            <w:vAlign w:val="bottom"/>
            <w:tcBorders>
              <w:bottom w:val="single" w:sz="8" w:color="4D8ABE"/>
            </w:tcBorders>
          </w:tcPr>
          <w:p>
            <w:pPr>
              <w:jc w:val="right"/>
              <w:ind w:right="65"/>
              <w:spacing w:after="0"/>
              <w:rPr>
                <w:sz w:val="20"/>
                <w:szCs w:val="20"/>
                <w:color w:val="auto"/>
              </w:rPr>
            </w:pPr>
            <w:r>
              <w:rPr>
                <w:rFonts w:ascii="Arial" w:cs="Arial" w:eastAsia="Arial" w:hAnsi="Arial"/>
                <w:sz w:val="14"/>
                <w:szCs w:val="14"/>
                <w:b w:val="1"/>
                <w:bCs w:val="1"/>
                <w:color w:val="4D8ABE"/>
              </w:rPr>
              <w:t>Pacific</w:t>
            </w:r>
          </w:p>
        </w:tc>
        <w:tc>
          <w:tcPr>
            <w:tcW w:w="180" w:type="dxa"/>
            <w:vAlign w:val="bottom"/>
            <w:tcBorders>
              <w:bottom w:val="single" w:sz="8" w:color="4D8ABE"/>
            </w:tcBorders>
          </w:tcPr>
          <w:p>
            <w:pPr>
              <w:spacing w:after="0"/>
              <w:rPr>
                <w:sz w:val="15"/>
                <w:szCs w:val="15"/>
                <w:color w:val="auto"/>
              </w:rPr>
            </w:pPr>
          </w:p>
        </w:tc>
        <w:tc>
          <w:tcPr>
            <w:tcW w:w="980" w:type="dxa"/>
            <w:vAlign w:val="bottom"/>
            <w:tcBorders>
              <w:bottom w:val="single" w:sz="8" w:color="4D8ABE"/>
            </w:tcBorders>
          </w:tcPr>
          <w:p>
            <w:pPr>
              <w:jc w:val="right"/>
              <w:ind w:right="45"/>
              <w:spacing w:after="0"/>
              <w:rPr>
                <w:sz w:val="20"/>
                <w:szCs w:val="20"/>
                <w:color w:val="auto"/>
              </w:rPr>
            </w:pPr>
            <w:r>
              <w:rPr>
                <w:rFonts w:ascii="Arial" w:cs="Arial" w:eastAsia="Arial" w:hAnsi="Arial"/>
                <w:sz w:val="14"/>
                <w:szCs w:val="14"/>
                <w:b w:val="1"/>
                <w:bCs w:val="1"/>
                <w:color w:val="4D8ABE"/>
                <w:w w:val="98"/>
              </w:rPr>
              <w:t>Management</w:t>
            </w:r>
          </w:p>
        </w:tc>
        <w:tc>
          <w:tcPr>
            <w:tcW w:w="280" w:type="dxa"/>
            <w:vAlign w:val="bottom"/>
            <w:tcBorders>
              <w:bottom w:val="single" w:sz="8" w:color="4D8ABE"/>
            </w:tcBorders>
          </w:tcPr>
          <w:p>
            <w:pPr>
              <w:spacing w:after="0"/>
              <w:rPr>
                <w:sz w:val="15"/>
                <w:szCs w:val="15"/>
                <w:color w:val="auto"/>
              </w:rPr>
            </w:pPr>
          </w:p>
        </w:tc>
        <w:tc>
          <w:tcPr>
            <w:tcW w:w="840" w:type="dxa"/>
            <w:vAlign w:val="bottom"/>
            <w:tcBorders>
              <w:bottom w:val="single" w:sz="8" w:color="4D8ABE"/>
            </w:tcBorders>
          </w:tcPr>
          <w:p>
            <w:pPr>
              <w:jc w:val="right"/>
              <w:ind w:right="65"/>
              <w:spacing w:after="0"/>
              <w:rPr>
                <w:sz w:val="20"/>
                <w:szCs w:val="20"/>
                <w:color w:val="auto"/>
              </w:rPr>
            </w:pPr>
            <w:r>
              <w:rPr>
                <w:rFonts w:ascii="Arial" w:cs="Arial" w:eastAsia="Arial" w:hAnsi="Arial"/>
                <w:sz w:val="14"/>
                <w:szCs w:val="14"/>
                <w:b w:val="1"/>
                <w:bCs w:val="1"/>
                <w:color w:val="4D8ABE"/>
              </w:rPr>
              <w:t>Wells</w:t>
            </w:r>
          </w:p>
        </w:tc>
        <w:tc>
          <w:tcPr>
            <w:tcW w:w="240" w:type="dxa"/>
            <w:vAlign w:val="bottom"/>
            <w:tcBorders>
              <w:bottom w:val="single" w:sz="8" w:color="4D8ABE"/>
            </w:tcBorders>
          </w:tcPr>
          <w:p>
            <w:pPr>
              <w:spacing w:after="0"/>
              <w:rPr>
                <w:sz w:val="15"/>
                <w:szCs w:val="15"/>
                <w:color w:val="auto"/>
              </w:rPr>
            </w:pPr>
          </w:p>
        </w:tc>
        <w:tc>
          <w:tcPr>
            <w:tcW w:w="88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Corporate</w:t>
            </w:r>
          </w:p>
        </w:tc>
        <w:tc>
          <w:tcPr>
            <w:tcW w:w="400" w:type="dxa"/>
            <w:vAlign w:val="bottom"/>
            <w:tcBorders>
              <w:bottom w:val="single" w:sz="8" w:color="4D8ABE"/>
            </w:tcBorders>
          </w:tcPr>
          <w:p>
            <w:pPr>
              <w:spacing w:after="0"/>
              <w:rPr>
                <w:sz w:val="15"/>
                <w:szCs w:val="15"/>
                <w:color w:val="auto"/>
              </w:rPr>
            </w:pPr>
          </w:p>
        </w:tc>
        <w:tc>
          <w:tcPr>
            <w:tcW w:w="80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Total</w:t>
            </w:r>
          </w:p>
        </w:tc>
      </w:tr>
      <w:tr>
        <w:trPr>
          <w:trHeight w:val="175"/>
        </w:trPr>
        <w:tc>
          <w:tcPr>
            <w:tcW w:w="22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Balance, December 31, 2007</w:t>
            </w:r>
          </w:p>
        </w:tc>
        <w:tc>
          <w:tcPr>
            <w:tcW w:w="42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E6EFFF"/>
          </w:tcPr>
          <w:p>
            <w:pPr>
              <w:jc w:val="right"/>
              <w:ind w:right="1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6EFFF"/>
          </w:tcPr>
          <w:p>
            <w:pPr>
              <w:jc w:val="right"/>
              <w:ind w:right="44"/>
              <w:spacing w:after="0"/>
              <w:rPr>
                <w:sz w:val="20"/>
                <w:szCs w:val="20"/>
                <w:color w:val="auto"/>
              </w:rPr>
            </w:pPr>
            <w:r>
              <w:rPr>
                <w:rFonts w:ascii="Arial" w:cs="Arial" w:eastAsia="Arial" w:hAnsi="Arial"/>
                <w:sz w:val="15"/>
                <w:szCs w:val="15"/>
                <w:color w:val="auto"/>
              </w:rPr>
              <w:t>4.4</w:t>
            </w:r>
          </w:p>
        </w:tc>
        <w:tc>
          <w:tcPr>
            <w:tcW w:w="340" w:type="dxa"/>
            <w:vAlign w:val="bottom"/>
            <w:tcBorders>
              <w:bottom w:val="single" w:sz="8" w:color="auto"/>
            </w:tcBorders>
            <w:shd w:val="clear" w:color="auto" w:fill="E6EF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E6EFFF"/>
          </w:tcPr>
          <w:p>
            <w:pPr>
              <w:jc w:val="right"/>
              <w:ind w:right="1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3.9</w:t>
            </w:r>
          </w:p>
        </w:tc>
        <w:tc>
          <w:tcPr>
            <w:tcW w:w="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E6EFFF"/>
          </w:tcPr>
          <w:p>
            <w:pPr>
              <w:jc w:val="right"/>
              <w:ind w:right="16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8.3</w:t>
            </w:r>
          </w:p>
        </w:tc>
      </w:tr>
      <w:tr>
        <w:trPr>
          <w:trHeight w:val="175"/>
        </w:trPr>
        <w:tc>
          <w:tcPr>
            <w:tcW w:w="2220" w:type="dxa"/>
            <w:vAlign w:val="bottom"/>
          </w:tcPr>
          <w:p>
            <w:pPr>
              <w:spacing w:after="0"/>
              <w:rPr>
                <w:sz w:val="20"/>
                <w:szCs w:val="20"/>
                <w:color w:val="auto"/>
              </w:rPr>
            </w:pPr>
            <w:r>
              <w:rPr>
                <w:rFonts w:ascii="Arial" w:cs="Arial" w:eastAsia="Arial" w:hAnsi="Arial"/>
                <w:sz w:val="15"/>
                <w:szCs w:val="15"/>
                <w:color w:val="auto"/>
              </w:rPr>
              <w:t>Severance costs</w:t>
            </w:r>
          </w:p>
        </w:tc>
        <w:tc>
          <w:tcPr>
            <w:tcW w:w="4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2.1</w:t>
            </w:r>
          </w:p>
        </w:tc>
        <w:tc>
          <w:tcPr>
            <w:tcW w:w="34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12.2</w:t>
            </w:r>
          </w:p>
        </w:tc>
        <w:tc>
          <w:tcPr>
            <w:tcW w:w="36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Arial" w:cs="Arial" w:eastAsia="Arial" w:hAnsi="Arial"/>
                <w:sz w:val="15"/>
                <w:szCs w:val="15"/>
                <w:color w:val="auto"/>
              </w:rPr>
              <w:t>0.4</w:t>
            </w:r>
          </w:p>
        </w:tc>
        <w:tc>
          <w:tcPr>
            <w:tcW w:w="18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840" w:type="dxa"/>
            <w:vAlign w:val="bottom"/>
          </w:tcPr>
          <w:p>
            <w:pPr>
              <w:jc w:val="right"/>
              <w:ind w:right="65"/>
              <w:spacing w:after="0"/>
              <w:rPr>
                <w:sz w:val="20"/>
                <w:szCs w:val="20"/>
                <w:color w:val="auto"/>
              </w:rPr>
            </w:pPr>
            <w:r>
              <w:rPr>
                <w:rFonts w:ascii="Arial" w:cs="Arial" w:eastAsia="Arial" w:hAnsi="Arial"/>
                <w:sz w:val="15"/>
                <w:szCs w:val="15"/>
                <w:color w:val="auto"/>
              </w:rPr>
              <w:t>5.2</w:t>
            </w:r>
          </w:p>
        </w:tc>
        <w:tc>
          <w:tcPr>
            <w:tcW w:w="24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0.2</w:t>
            </w:r>
          </w:p>
        </w:tc>
        <w:tc>
          <w:tcPr>
            <w:tcW w:w="40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Arial" w:cs="Arial" w:eastAsia="Arial" w:hAnsi="Arial"/>
                <w:sz w:val="15"/>
                <w:szCs w:val="15"/>
                <w:color w:val="auto"/>
              </w:rPr>
              <w:t>20.1</w:t>
            </w:r>
          </w:p>
        </w:tc>
      </w:tr>
      <w:tr>
        <w:trPr>
          <w:trHeight w:val="184"/>
        </w:trPr>
        <w:tc>
          <w:tcPr>
            <w:tcW w:w="2220" w:type="dxa"/>
            <w:vAlign w:val="bottom"/>
            <w:shd w:val="clear" w:color="auto" w:fill="E6EFFF"/>
          </w:tcPr>
          <w:p>
            <w:pPr>
              <w:spacing w:after="0"/>
              <w:rPr>
                <w:sz w:val="20"/>
                <w:szCs w:val="20"/>
                <w:color w:val="auto"/>
              </w:rPr>
            </w:pPr>
            <w:r>
              <w:rPr>
                <w:rFonts w:ascii="Arial" w:cs="Arial" w:eastAsia="Arial" w:hAnsi="Arial"/>
                <w:sz w:val="15"/>
                <w:szCs w:val="15"/>
                <w:color w:val="auto"/>
              </w:rPr>
              <w:t>Office closure costs</w:t>
            </w:r>
          </w:p>
        </w:tc>
        <w:tc>
          <w:tcPr>
            <w:tcW w:w="42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0.9</w:t>
            </w: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2.7</w:t>
            </w:r>
          </w:p>
        </w:tc>
        <w:tc>
          <w:tcPr>
            <w:tcW w:w="34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9.0</w:t>
            </w:r>
          </w:p>
        </w:tc>
        <w:tc>
          <w:tcPr>
            <w:tcW w:w="360" w:type="dxa"/>
            <w:vAlign w:val="bottom"/>
            <w:shd w:val="clear" w:color="auto" w:fill="E6EFFF"/>
          </w:tcPr>
          <w:p>
            <w:pPr>
              <w:spacing w:after="0"/>
              <w:rPr>
                <w:sz w:val="15"/>
                <w:szCs w:val="15"/>
                <w:color w:val="auto"/>
              </w:rPr>
            </w:pPr>
          </w:p>
        </w:tc>
        <w:tc>
          <w:tcPr>
            <w:tcW w:w="760" w:type="dxa"/>
            <w:vAlign w:val="bottom"/>
            <w:shd w:val="clear" w:color="auto" w:fill="E6EFFF"/>
          </w:tcPr>
          <w:p>
            <w:pPr>
              <w:jc w:val="right"/>
              <w:ind w:right="65"/>
              <w:spacing w:after="0"/>
              <w:rPr>
                <w:sz w:val="20"/>
                <w:szCs w:val="20"/>
                <w:color w:val="auto"/>
              </w:rPr>
            </w:pPr>
            <w:r>
              <w:rPr>
                <w:rFonts w:ascii="Arial" w:cs="Arial" w:eastAsia="Arial" w:hAnsi="Arial"/>
                <w:sz w:val="15"/>
                <w:szCs w:val="15"/>
                <w:color w:val="auto"/>
              </w:rPr>
              <w:t>0.4</w:t>
            </w:r>
          </w:p>
        </w:tc>
        <w:tc>
          <w:tcPr>
            <w:tcW w:w="18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rPr>
              <w:t>1.5</w:t>
            </w:r>
          </w:p>
        </w:tc>
        <w:tc>
          <w:tcPr>
            <w:tcW w:w="280" w:type="dxa"/>
            <w:vAlign w:val="bottom"/>
            <w:shd w:val="clear" w:color="auto" w:fill="E6EFFF"/>
          </w:tcPr>
          <w:p>
            <w:pPr>
              <w:spacing w:after="0"/>
              <w:rPr>
                <w:sz w:val="15"/>
                <w:szCs w:val="15"/>
                <w:color w:val="auto"/>
              </w:rPr>
            </w:pPr>
          </w:p>
        </w:tc>
        <w:tc>
          <w:tcPr>
            <w:tcW w:w="840" w:type="dxa"/>
            <w:vAlign w:val="bottom"/>
            <w:shd w:val="clear" w:color="auto" w:fill="E6EFFF"/>
          </w:tcPr>
          <w:p>
            <w:pPr>
              <w:jc w:val="right"/>
              <w:ind w:right="65"/>
              <w:spacing w:after="0"/>
              <w:rPr>
                <w:sz w:val="20"/>
                <w:szCs w:val="20"/>
                <w:color w:val="auto"/>
              </w:rPr>
            </w:pPr>
            <w:r>
              <w:rPr>
                <w:rFonts w:ascii="Arial" w:cs="Arial" w:eastAsia="Arial" w:hAnsi="Arial"/>
                <w:sz w:val="15"/>
                <w:szCs w:val="15"/>
                <w:color w:val="auto"/>
              </w:rPr>
              <w:t>2.6</w:t>
            </w:r>
          </w:p>
        </w:tc>
        <w:tc>
          <w:tcPr>
            <w:tcW w:w="24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400" w:type="dxa"/>
            <w:vAlign w:val="bottom"/>
            <w:shd w:val="clear" w:color="auto" w:fill="E6EFFF"/>
          </w:tcPr>
          <w:p>
            <w:pPr>
              <w:spacing w:after="0"/>
              <w:rPr>
                <w:sz w:val="15"/>
                <w:szCs w:val="15"/>
                <w:color w:val="auto"/>
              </w:rPr>
            </w:pPr>
          </w:p>
        </w:tc>
        <w:tc>
          <w:tcPr>
            <w:tcW w:w="8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17.1</w:t>
            </w:r>
          </w:p>
        </w:tc>
      </w:tr>
      <w:tr>
        <w:trPr>
          <w:trHeight w:val="184"/>
        </w:trPr>
        <w:tc>
          <w:tcPr>
            <w:tcW w:w="2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Costs paid or utilized</w:t>
            </w: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(0.6)</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(0.7)</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(0.5)</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(5.2)</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(14.6)</w:t>
            </w:r>
          </w:p>
        </w:tc>
      </w:tr>
      <w:tr>
        <w:trPr>
          <w:trHeight w:val="178"/>
        </w:trPr>
        <w:tc>
          <w:tcPr>
            <w:tcW w:w="22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Balance, December 31, 2008</w:t>
            </w:r>
          </w:p>
        </w:tc>
        <w:tc>
          <w:tcPr>
            <w:tcW w:w="42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2.4</w:t>
            </w:r>
          </w:p>
        </w:tc>
        <w:tc>
          <w:tcPr>
            <w:tcW w:w="340" w:type="dxa"/>
            <w:vAlign w:val="bottom"/>
            <w:tcBorders>
              <w:bottom w:val="single" w:sz="8" w:color="auto"/>
            </w:tcBorders>
            <w:shd w:val="clear" w:color="auto" w:fill="E6EFFF"/>
          </w:tcPr>
          <w:p>
            <w:pPr>
              <w:spacing w:after="0"/>
              <w:rPr>
                <w:sz w:val="15"/>
                <w:szCs w:val="15"/>
                <w:color w:val="auto"/>
              </w:rPr>
            </w:pPr>
          </w:p>
        </w:tc>
        <w:tc>
          <w:tcPr>
            <w:tcW w:w="760" w:type="dxa"/>
            <w:vAlign w:val="bottom"/>
            <w:tcBorders>
              <w:bottom w:val="single" w:sz="8" w:color="auto"/>
            </w:tcBorders>
            <w:shd w:val="clear" w:color="auto" w:fill="E6EFFF"/>
          </w:tcPr>
          <w:p>
            <w:pPr>
              <w:jc w:val="right"/>
              <w:ind w:right="44"/>
              <w:spacing w:after="0"/>
              <w:rPr>
                <w:sz w:val="20"/>
                <w:szCs w:val="20"/>
                <w:color w:val="auto"/>
              </w:rPr>
            </w:pPr>
            <w:r>
              <w:rPr>
                <w:rFonts w:ascii="Arial" w:cs="Arial" w:eastAsia="Arial" w:hAnsi="Arial"/>
                <w:sz w:val="15"/>
                <w:szCs w:val="15"/>
                <w:color w:val="auto"/>
              </w:rPr>
              <w:t>4.5</w:t>
            </w:r>
          </w:p>
        </w:tc>
        <w:tc>
          <w:tcPr>
            <w:tcW w:w="34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16.2</w:t>
            </w:r>
          </w:p>
        </w:tc>
        <w:tc>
          <w:tcPr>
            <w:tcW w:w="360" w:type="dxa"/>
            <w:vAlign w:val="bottom"/>
            <w:tcBorders>
              <w:bottom w:val="single" w:sz="8" w:color="auto"/>
            </w:tcBorders>
            <w:shd w:val="clear" w:color="auto" w:fill="E6EFFF"/>
          </w:tcPr>
          <w:p>
            <w:pPr>
              <w:spacing w:after="0"/>
              <w:rPr>
                <w:sz w:val="15"/>
                <w:szCs w:val="15"/>
                <w:color w:val="auto"/>
              </w:rPr>
            </w:pPr>
          </w:p>
        </w:tc>
        <w:tc>
          <w:tcPr>
            <w:tcW w:w="76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0.1</w:t>
            </w:r>
          </w:p>
        </w:tc>
        <w:tc>
          <w:tcPr>
            <w:tcW w:w="180" w:type="dxa"/>
            <w:vAlign w:val="bottom"/>
            <w:tcBorders>
              <w:bottom w:val="single" w:sz="8" w:color="auto"/>
            </w:tcBorders>
            <w:shd w:val="clear" w:color="auto" w:fill="E6EFFF"/>
          </w:tcPr>
          <w:p>
            <w:pPr>
              <w:spacing w:after="0"/>
              <w:rPr>
                <w:sz w:val="15"/>
                <w:szCs w:val="15"/>
                <w:color w:val="auto"/>
              </w:rPr>
            </w:pPr>
          </w:p>
        </w:tc>
        <w:tc>
          <w:tcPr>
            <w:tcW w:w="98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1.0</w:t>
            </w:r>
          </w:p>
        </w:tc>
        <w:tc>
          <w:tcPr>
            <w:tcW w:w="280" w:type="dxa"/>
            <w:vAlign w:val="bottom"/>
            <w:tcBorders>
              <w:bottom w:val="single" w:sz="8" w:color="auto"/>
            </w:tcBorders>
            <w:shd w:val="clear" w:color="auto" w:fill="E6EFFF"/>
          </w:tcPr>
          <w:p>
            <w:pPr>
              <w:spacing w:after="0"/>
              <w:rPr>
                <w:sz w:val="15"/>
                <w:szCs w:val="15"/>
                <w:color w:val="auto"/>
              </w:rPr>
            </w:pPr>
          </w:p>
        </w:tc>
        <w:tc>
          <w:tcPr>
            <w:tcW w:w="84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6.5</w:t>
            </w:r>
          </w:p>
        </w:tc>
        <w:tc>
          <w:tcPr>
            <w:tcW w:w="24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0.2</w:t>
            </w:r>
          </w:p>
        </w:tc>
        <w:tc>
          <w:tcPr>
            <w:tcW w:w="400" w:type="dxa"/>
            <w:vAlign w:val="bottom"/>
            <w:tcBorders>
              <w:bottom w:val="single" w:sz="8" w:color="auto"/>
            </w:tcBorders>
            <w:shd w:val="clear" w:color="auto" w:fill="E6EFFF"/>
          </w:tcPr>
          <w:p>
            <w:pPr>
              <w:spacing w:after="0"/>
              <w:rPr>
                <w:sz w:val="15"/>
                <w:szCs w:val="15"/>
                <w:color w:val="auto"/>
              </w:rPr>
            </w:pPr>
          </w:p>
        </w:tc>
        <w:tc>
          <w:tcPr>
            <w:tcW w:w="8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30.9</w:t>
            </w:r>
          </w:p>
        </w:tc>
      </w:tr>
      <w:tr>
        <w:trPr>
          <w:trHeight w:val="184"/>
        </w:trPr>
        <w:tc>
          <w:tcPr>
            <w:tcW w:w="2220" w:type="dxa"/>
            <w:vAlign w:val="bottom"/>
          </w:tcPr>
          <w:p>
            <w:pPr>
              <w:spacing w:after="0"/>
              <w:rPr>
                <w:sz w:val="20"/>
                <w:szCs w:val="20"/>
                <w:color w:val="auto"/>
              </w:rPr>
            </w:pPr>
            <w:r>
              <w:rPr>
                <w:rFonts w:ascii="Arial" w:cs="Arial" w:eastAsia="Arial" w:hAnsi="Arial"/>
                <w:sz w:val="15"/>
                <w:szCs w:val="15"/>
                <w:color w:val="auto"/>
              </w:rPr>
              <w:t>Severance costs</w:t>
            </w:r>
          </w:p>
        </w:tc>
        <w:tc>
          <w:tcPr>
            <w:tcW w:w="4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1.5</w:t>
            </w:r>
          </w:p>
        </w:tc>
        <w:tc>
          <w:tcPr>
            <w:tcW w:w="34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11.8</w:t>
            </w:r>
          </w:p>
        </w:tc>
        <w:tc>
          <w:tcPr>
            <w:tcW w:w="36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840" w:type="dxa"/>
            <w:vAlign w:val="bottom"/>
          </w:tcPr>
          <w:p>
            <w:pPr>
              <w:jc w:val="right"/>
              <w:ind w:right="65"/>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0.9</w:t>
            </w:r>
          </w:p>
        </w:tc>
        <w:tc>
          <w:tcPr>
            <w:tcW w:w="40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Arial" w:cs="Arial" w:eastAsia="Arial" w:hAnsi="Arial"/>
                <w:sz w:val="15"/>
                <w:szCs w:val="15"/>
                <w:color w:val="auto"/>
              </w:rPr>
              <w:t>20.4</w:t>
            </w:r>
          </w:p>
        </w:tc>
      </w:tr>
      <w:tr>
        <w:trPr>
          <w:trHeight w:val="184"/>
        </w:trPr>
        <w:tc>
          <w:tcPr>
            <w:tcW w:w="2220" w:type="dxa"/>
            <w:vAlign w:val="bottom"/>
            <w:shd w:val="clear" w:color="auto" w:fill="E6EFFF"/>
          </w:tcPr>
          <w:p>
            <w:pPr>
              <w:spacing w:after="0"/>
              <w:rPr>
                <w:sz w:val="20"/>
                <w:szCs w:val="20"/>
                <w:color w:val="auto"/>
              </w:rPr>
            </w:pPr>
            <w:r>
              <w:rPr>
                <w:rFonts w:ascii="Arial" w:cs="Arial" w:eastAsia="Arial" w:hAnsi="Arial"/>
                <w:sz w:val="15"/>
                <w:szCs w:val="15"/>
                <w:color w:val="auto"/>
              </w:rPr>
              <w:t>Office closure costs</w:t>
            </w:r>
          </w:p>
        </w:tc>
        <w:tc>
          <w:tcPr>
            <w:tcW w:w="42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0.6</w:t>
            </w: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5.6</w:t>
            </w:r>
          </w:p>
        </w:tc>
        <w:tc>
          <w:tcPr>
            <w:tcW w:w="34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3.9</w:t>
            </w:r>
          </w:p>
        </w:tc>
        <w:tc>
          <w:tcPr>
            <w:tcW w:w="360" w:type="dxa"/>
            <w:vAlign w:val="bottom"/>
            <w:shd w:val="clear" w:color="auto" w:fill="E6EFFF"/>
          </w:tcPr>
          <w:p>
            <w:pPr>
              <w:spacing w:after="0"/>
              <w:rPr>
                <w:sz w:val="15"/>
                <w:szCs w:val="15"/>
                <w:color w:val="auto"/>
              </w:rPr>
            </w:pPr>
          </w:p>
        </w:tc>
        <w:tc>
          <w:tcPr>
            <w:tcW w:w="760" w:type="dxa"/>
            <w:vAlign w:val="bottom"/>
            <w:shd w:val="clear" w:color="auto" w:fill="E6EFFF"/>
          </w:tcPr>
          <w:p>
            <w:pPr>
              <w:jc w:val="right"/>
              <w:ind w:right="65"/>
              <w:spacing w:after="0"/>
              <w:rPr>
                <w:sz w:val="20"/>
                <w:szCs w:val="20"/>
                <w:color w:val="auto"/>
              </w:rPr>
            </w:pPr>
            <w:r>
              <w:rPr>
                <w:rFonts w:ascii="Arial" w:cs="Arial" w:eastAsia="Arial" w:hAnsi="Arial"/>
                <w:sz w:val="15"/>
                <w:szCs w:val="15"/>
                <w:color w:val="auto"/>
              </w:rPr>
              <w:t>0.7</w:t>
            </w:r>
          </w:p>
        </w:tc>
        <w:tc>
          <w:tcPr>
            <w:tcW w:w="18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shd w:val="clear" w:color="auto" w:fill="E6EFFF"/>
          </w:tcPr>
          <w:p>
            <w:pPr>
              <w:spacing w:after="0"/>
              <w:rPr>
                <w:sz w:val="15"/>
                <w:szCs w:val="15"/>
                <w:color w:val="auto"/>
              </w:rPr>
            </w:pPr>
          </w:p>
        </w:tc>
        <w:tc>
          <w:tcPr>
            <w:tcW w:w="840" w:type="dxa"/>
            <w:vAlign w:val="bottom"/>
            <w:shd w:val="clear" w:color="auto" w:fill="E6EFFF"/>
          </w:tcPr>
          <w:p>
            <w:pPr>
              <w:jc w:val="right"/>
              <w:ind w:right="65"/>
              <w:spacing w:after="0"/>
              <w:rPr>
                <w:sz w:val="20"/>
                <w:szCs w:val="20"/>
                <w:color w:val="auto"/>
              </w:rPr>
            </w:pPr>
            <w:r>
              <w:rPr>
                <w:rFonts w:ascii="Arial" w:cs="Arial" w:eastAsia="Arial" w:hAnsi="Arial"/>
                <w:sz w:val="15"/>
                <w:szCs w:val="15"/>
                <w:color w:val="auto"/>
              </w:rPr>
              <w:t>2.3</w:t>
            </w:r>
          </w:p>
        </w:tc>
        <w:tc>
          <w:tcPr>
            <w:tcW w:w="24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400" w:type="dxa"/>
            <w:vAlign w:val="bottom"/>
            <w:shd w:val="clear" w:color="auto" w:fill="E6EFFF"/>
          </w:tcPr>
          <w:p>
            <w:pPr>
              <w:spacing w:after="0"/>
              <w:rPr>
                <w:sz w:val="15"/>
                <w:szCs w:val="15"/>
                <w:color w:val="auto"/>
              </w:rPr>
            </w:pPr>
          </w:p>
        </w:tc>
        <w:tc>
          <w:tcPr>
            <w:tcW w:w="8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13.1</w:t>
            </w:r>
          </w:p>
        </w:tc>
      </w:tr>
      <w:tr>
        <w:trPr>
          <w:trHeight w:val="184"/>
        </w:trPr>
        <w:tc>
          <w:tcPr>
            <w:tcW w:w="2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Costs paid or utilized</w:t>
            </w: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(22.4)</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(0.6)</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(10.4)</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(43.2)</w:t>
            </w:r>
          </w:p>
        </w:tc>
      </w:tr>
      <w:tr>
        <w:trPr>
          <w:trHeight w:val="178"/>
        </w:trPr>
        <w:tc>
          <w:tcPr>
            <w:tcW w:w="22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Balance, December 31, 2009</w:t>
            </w:r>
          </w:p>
        </w:tc>
        <w:tc>
          <w:tcPr>
            <w:tcW w:w="42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1.4</w:t>
            </w:r>
          </w:p>
        </w:tc>
        <w:tc>
          <w:tcPr>
            <w:tcW w:w="340" w:type="dxa"/>
            <w:vAlign w:val="bottom"/>
            <w:tcBorders>
              <w:bottom w:val="single" w:sz="8" w:color="auto"/>
            </w:tcBorders>
            <w:shd w:val="clear" w:color="auto" w:fill="E6EFFF"/>
          </w:tcPr>
          <w:p>
            <w:pPr>
              <w:jc w:val="right"/>
              <w:ind w:right="1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6EFFF"/>
          </w:tcPr>
          <w:p>
            <w:pPr>
              <w:jc w:val="right"/>
              <w:ind w:right="44"/>
              <w:spacing w:after="0"/>
              <w:rPr>
                <w:sz w:val="20"/>
                <w:szCs w:val="20"/>
                <w:color w:val="auto"/>
              </w:rPr>
            </w:pPr>
            <w:r>
              <w:rPr>
                <w:rFonts w:ascii="Arial" w:cs="Arial" w:eastAsia="Arial" w:hAnsi="Arial"/>
                <w:sz w:val="15"/>
                <w:szCs w:val="15"/>
                <w:color w:val="auto"/>
              </w:rPr>
              <w:t>5.7</w:t>
            </w:r>
          </w:p>
        </w:tc>
        <w:tc>
          <w:tcPr>
            <w:tcW w:w="340" w:type="dxa"/>
            <w:vAlign w:val="bottom"/>
            <w:tcBorders>
              <w:bottom w:val="single" w:sz="8" w:color="auto"/>
            </w:tcBorders>
            <w:shd w:val="clear" w:color="auto" w:fill="E6EF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9.5</w:t>
            </w:r>
          </w:p>
        </w:tc>
        <w:tc>
          <w:tcPr>
            <w:tcW w:w="360" w:type="dxa"/>
            <w:vAlign w:val="bottom"/>
            <w:tcBorders>
              <w:bottom w:val="single" w:sz="8" w:color="auto"/>
            </w:tcBorders>
            <w:shd w:val="clear" w:color="auto" w:fill="E6EFFF"/>
          </w:tcPr>
          <w:p>
            <w:pPr>
              <w:jc w:val="right"/>
              <w:ind w:right="1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1.5</w:t>
            </w:r>
          </w:p>
        </w:tc>
        <w:tc>
          <w:tcPr>
            <w:tcW w:w="1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0.4</w:t>
            </w:r>
          </w:p>
        </w:tc>
        <w:tc>
          <w:tcPr>
            <w:tcW w:w="2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2.7</w:t>
            </w:r>
          </w:p>
        </w:tc>
        <w:tc>
          <w:tcPr>
            <w:tcW w:w="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E6EFFF"/>
          </w:tcPr>
          <w:p>
            <w:pPr>
              <w:jc w:val="right"/>
              <w:ind w:right="16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21.2</w:t>
            </w:r>
          </w:p>
        </w:tc>
      </w:tr>
    </w:tbl>
    <w:p>
      <w:pPr>
        <w:spacing w:after="0" w:line="4" w:lineRule="exact"/>
        <w:rPr>
          <w:sz w:val="20"/>
          <w:szCs w:val="20"/>
          <w:color w:val="auto"/>
        </w:rPr>
      </w:pPr>
    </w:p>
    <w:p>
      <w:pPr>
        <w:ind w:left="8" w:right="20" w:hanging="8"/>
        <w:spacing w:after="0" w:line="255" w:lineRule="auto"/>
        <w:tabs>
          <w:tab w:leader="none" w:pos="192" w:val="left"/>
        </w:tabs>
        <w:numPr>
          <w:ilvl w:val="0"/>
          <w:numId w:val="27"/>
        </w:numPr>
        <w:rPr>
          <w:rFonts w:ascii="Arial" w:cs="Arial" w:eastAsia="Arial" w:hAnsi="Arial"/>
          <w:sz w:val="12"/>
          <w:szCs w:val="12"/>
          <w:color w:val="auto"/>
        </w:rPr>
      </w:pPr>
      <w:r>
        <w:rPr>
          <w:rFonts w:ascii="Arial" w:cs="Arial" w:eastAsia="Arial" w:hAnsi="Arial"/>
          <w:sz w:val="12"/>
          <w:szCs w:val="12"/>
          <w:color w:val="auto"/>
        </w:rPr>
        <w:t>2008 amounts related to Italy were $0.6 for office closure costs, resulting in a $0.6 restructuring liability for the year ended December 31, 2008. In 2009, Italy incurred $4.1 for severance costs and $0.8 for office closure costs and paid $5.5, leaving no restructuring liability as of December 31, 2009.</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86B6A5"/>
        </w:rPr>
        <w:t>INCOME TAXES</w:t>
      </w:r>
    </w:p>
    <w:p>
      <w:pPr>
        <w:spacing w:after="0" w:line="232"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83" w:lineRule="exact"/>
        <w:rPr>
          <w:sz w:val="20"/>
          <w:szCs w:val="20"/>
          <w:color w:val="auto"/>
        </w:rPr>
      </w:pPr>
    </w:p>
    <w:p>
      <w:pPr>
        <w:ind w:left="8"/>
        <w:spacing w:after="0"/>
        <w:tabs>
          <w:tab w:leader="none" w:pos="2268" w:val="left"/>
        </w:tabs>
        <w:rPr>
          <w:sz w:val="20"/>
          <w:szCs w:val="20"/>
          <w:color w:val="auto"/>
        </w:rPr>
      </w:pPr>
      <w:r>
        <w:rPr>
          <w:rFonts w:ascii="Arial" w:cs="Arial" w:eastAsia="Arial" w:hAnsi="Arial"/>
          <w:sz w:val="14"/>
          <w:szCs w:val="14"/>
          <w:b w:val="1"/>
          <w:bCs w:val="1"/>
          <w:color w:val="auto"/>
        </w:rPr>
        <w:t xml:space="preserve">48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11" w:right="2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86B6A5"/>
        </w:rPr>
        <w:t>ACCOUNTS RECEIVABLE SECURITIZATION</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In June 2009, we terminated our $100.0 Receivables Facility program. (See Note 6 to the Consolidated Financial Statements for further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FAIR VALUE MEASUREMENTS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The assets and liabilities measured and recorded at fair value on a recurring basis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ind w:right="63"/>
              <w:spacing w:after="0"/>
              <w:rPr>
                <w:sz w:val="20"/>
                <w:szCs w:val="20"/>
                <w:color w:val="auto"/>
              </w:rPr>
            </w:pPr>
            <w:r>
              <w:rPr>
                <w:rFonts w:ascii="Arial" w:cs="Arial" w:eastAsia="Arial" w:hAnsi="Arial"/>
                <w:sz w:val="14"/>
                <w:szCs w:val="14"/>
                <w:b w:val="1"/>
                <w:bCs w:val="1"/>
                <w:color w:val="4D8ABE"/>
                <w:w w:val="97"/>
              </w:rPr>
              <w:t>Fair Value Measurements Using</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4D8ABE"/>
                <w:w w:val="97"/>
              </w:rPr>
              <w:t>Fair Value Measurements Using</w:t>
            </w:r>
          </w:p>
        </w:tc>
      </w:tr>
      <w:tr>
        <w:trPr>
          <w:trHeight w:val="169"/>
        </w:trPr>
        <w:tc>
          <w:tcPr>
            <w:tcW w:w="3200" w:type="dxa"/>
            <w:vAlign w:val="bottom"/>
            <w:tcBorders>
              <w:top w:val="single" w:sz="8" w:color="4D8ABE"/>
            </w:tcBorders>
          </w:tcPr>
          <w:p>
            <w:pPr>
              <w:spacing w:after="0"/>
              <w:rPr>
                <w:sz w:val="14"/>
                <w:szCs w:val="14"/>
                <w:color w:val="auto"/>
              </w:rPr>
            </w:pPr>
          </w:p>
        </w:tc>
        <w:tc>
          <w:tcPr>
            <w:tcW w:w="80" w:type="dxa"/>
            <w:vAlign w:val="bottom"/>
            <w:tcBorders>
              <w:top w:val="single" w:sz="8" w:color="4D8ABE"/>
            </w:tcBorders>
          </w:tcPr>
          <w:p>
            <w:pPr>
              <w:spacing w:after="0"/>
              <w:rPr>
                <w:sz w:val="14"/>
                <w:szCs w:val="14"/>
                <w:color w:val="auto"/>
              </w:rPr>
            </w:pPr>
          </w:p>
        </w:tc>
        <w:tc>
          <w:tcPr>
            <w:tcW w:w="940" w:type="dxa"/>
            <w:vAlign w:val="bottom"/>
            <w:tcBorders>
              <w:top w:val="single" w:sz="8" w:color="4D8ABE"/>
            </w:tcBorders>
          </w:tcPr>
          <w:p>
            <w:pPr>
              <w:spacing w:after="0"/>
              <w:rPr>
                <w:sz w:val="14"/>
                <w:szCs w:val="14"/>
                <w:color w:val="auto"/>
              </w:rPr>
            </w:pPr>
          </w:p>
        </w:tc>
        <w:tc>
          <w:tcPr>
            <w:tcW w:w="120" w:type="dxa"/>
            <w:vAlign w:val="bottom"/>
            <w:tcBorders>
              <w:top w:val="single" w:sz="8" w:color="4D8ABE"/>
            </w:tcBorders>
          </w:tcPr>
          <w:p>
            <w:pPr>
              <w:spacing w:after="0"/>
              <w:rPr>
                <w:sz w:val="14"/>
                <w:szCs w:val="14"/>
                <w:color w:val="auto"/>
              </w:rPr>
            </w:pPr>
          </w:p>
        </w:tc>
        <w:tc>
          <w:tcPr>
            <w:tcW w:w="800" w:type="dxa"/>
            <w:vAlign w:val="bottom"/>
            <w:tcBorders>
              <w:top w:val="single" w:sz="8" w:color="4D8ABE"/>
            </w:tcBorders>
          </w:tcPr>
          <w:p>
            <w:pPr>
              <w:jc w:val="right"/>
              <w:spacing w:after="0"/>
              <w:rPr>
                <w:sz w:val="20"/>
                <w:szCs w:val="20"/>
                <w:color w:val="auto"/>
              </w:rPr>
            </w:pPr>
            <w:r>
              <w:rPr>
                <w:rFonts w:ascii="Arial" w:cs="Arial" w:eastAsia="Arial" w:hAnsi="Arial"/>
                <w:sz w:val="14"/>
                <w:szCs w:val="14"/>
                <w:b w:val="1"/>
                <w:bCs w:val="1"/>
                <w:color w:val="4D8ABE"/>
              </w:rPr>
              <w:t>Quoted</w:t>
            </w:r>
          </w:p>
        </w:tc>
        <w:tc>
          <w:tcPr>
            <w:tcW w:w="100" w:type="dxa"/>
            <w:vAlign w:val="bottom"/>
            <w:tcBorders>
              <w:top w:val="single" w:sz="8" w:color="4D8ABE"/>
            </w:tcBorders>
          </w:tcPr>
          <w:p>
            <w:pPr>
              <w:spacing w:after="0"/>
              <w:rPr>
                <w:sz w:val="14"/>
                <w:szCs w:val="14"/>
                <w:color w:val="auto"/>
              </w:rPr>
            </w:pPr>
          </w:p>
        </w:tc>
        <w:tc>
          <w:tcPr>
            <w:tcW w:w="1100" w:type="dxa"/>
            <w:vAlign w:val="bottom"/>
            <w:tcBorders>
              <w:top w:val="single" w:sz="8" w:color="4D8ABE"/>
            </w:tcBorders>
          </w:tcPr>
          <w:p>
            <w:pPr>
              <w:spacing w:after="0"/>
              <w:rPr>
                <w:sz w:val="14"/>
                <w:szCs w:val="14"/>
                <w:color w:val="auto"/>
              </w:rPr>
            </w:pPr>
          </w:p>
        </w:tc>
        <w:tc>
          <w:tcPr>
            <w:tcW w:w="980" w:type="dxa"/>
            <w:vAlign w:val="bottom"/>
            <w:tcBorders>
              <w:top w:val="single" w:sz="8" w:color="4D8ABE"/>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4D8ABE"/>
            </w:tcBorders>
          </w:tcPr>
          <w:p>
            <w:pPr>
              <w:spacing w:after="0"/>
              <w:rPr>
                <w:sz w:val="14"/>
                <w:szCs w:val="14"/>
                <w:color w:val="auto"/>
              </w:rPr>
            </w:pPr>
          </w:p>
        </w:tc>
        <w:tc>
          <w:tcPr>
            <w:tcW w:w="100" w:type="dxa"/>
            <w:vAlign w:val="bottom"/>
            <w:tcBorders>
              <w:top w:val="single" w:sz="8" w:color="4D8ABE"/>
            </w:tcBorders>
          </w:tcPr>
          <w:p>
            <w:pPr>
              <w:spacing w:after="0"/>
              <w:rPr>
                <w:sz w:val="14"/>
                <w:szCs w:val="14"/>
                <w:color w:val="auto"/>
              </w:rPr>
            </w:pPr>
          </w:p>
        </w:tc>
        <w:tc>
          <w:tcPr>
            <w:tcW w:w="800" w:type="dxa"/>
            <w:vAlign w:val="bottom"/>
            <w:tcBorders>
              <w:top w:val="single" w:sz="8" w:color="4D8ABE"/>
            </w:tcBorders>
          </w:tcPr>
          <w:p>
            <w:pPr>
              <w:jc w:val="right"/>
              <w:spacing w:after="0"/>
              <w:rPr>
                <w:sz w:val="20"/>
                <w:szCs w:val="20"/>
                <w:color w:val="auto"/>
              </w:rPr>
            </w:pPr>
            <w:r>
              <w:rPr>
                <w:rFonts w:ascii="Arial" w:cs="Arial" w:eastAsia="Arial" w:hAnsi="Arial"/>
                <w:sz w:val="14"/>
                <w:szCs w:val="14"/>
                <w:b w:val="1"/>
                <w:bCs w:val="1"/>
                <w:color w:val="4D8ABE"/>
              </w:rPr>
              <w:t>Quoted</w:t>
            </w:r>
          </w:p>
        </w:tc>
        <w:tc>
          <w:tcPr>
            <w:tcW w:w="100" w:type="dxa"/>
            <w:vAlign w:val="bottom"/>
            <w:tcBorders>
              <w:top w:val="single" w:sz="8" w:color="4D8ABE"/>
            </w:tcBorders>
          </w:tcPr>
          <w:p>
            <w:pPr>
              <w:spacing w:after="0"/>
              <w:rPr>
                <w:sz w:val="14"/>
                <w:szCs w:val="14"/>
                <w:color w:val="auto"/>
              </w:rPr>
            </w:pPr>
          </w:p>
        </w:tc>
        <w:tc>
          <w:tcPr>
            <w:tcW w:w="1020" w:type="dxa"/>
            <w:vAlign w:val="bottom"/>
            <w:tcBorders>
              <w:top w:val="single" w:sz="8" w:color="4D8ABE"/>
            </w:tcBorders>
          </w:tcPr>
          <w:p>
            <w:pPr>
              <w:spacing w:after="0"/>
              <w:rPr>
                <w:sz w:val="14"/>
                <w:szCs w:val="14"/>
                <w:color w:val="auto"/>
              </w:rPr>
            </w:pPr>
          </w:p>
        </w:tc>
        <w:tc>
          <w:tcPr>
            <w:tcW w:w="80" w:type="dxa"/>
            <w:vAlign w:val="bottom"/>
            <w:tcBorders>
              <w:top w:val="single" w:sz="8" w:color="4D8ABE"/>
            </w:tcBorders>
          </w:tcPr>
          <w:p>
            <w:pPr>
              <w:spacing w:after="0"/>
              <w:rPr>
                <w:sz w:val="14"/>
                <w:szCs w:val="14"/>
                <w:color w:val="auto"/>
              </w:rPr>
            </w:pPr>
          </w:p>
        </w:tc>
        <w:tc>
          <w:tcPr>
            <w:tcW w:w="1020" w:type="dxa"/>
            <w:vAlign w:val="bottom"/>
            <w:tcBorders>
              <w:top w:val="single" w:sz="8" w:color="4D8ABE"/>
            </w:tcBorders>
          </w:tcPr>
          <w:p>
            <w:pPr>
              <w:spacing w:after="0"/>
              <w:rPr>
                <w:sz w:val="14"/>
                <w:szCs w:val="14"/>
                <w:color w:val="auto"/>
              </w:rPr>
            </w:pPr>
          </w:p>
        </w:tc>
      </w:tr>
      <w:tr>
        <w:trPr>
          <w:trHeight w:val="181"/>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Prices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Prices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in Active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in Active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w w:val="98"/>
              </w:rPr>
              <w:t>Markets for</w:t>
            </w:r>
          </w:p>
        </w:tc>
        <w:tc>
          <w:tcPr>
            <w:tcW w:w="100" w:type="dxa"/>
            <w:vAlign w:val="bottom"/>
          </w:tcPr>
          <w:p>
            <w:pPr>
              <w:spacing w:after="0"/>
              <w:rPr>
                <w:sz w:val="15"/>
                <w:szCs w:val="15"/>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b w:val="1"/>
                <w:bCs w:val="1"/>
                <w:color w:val="4D8ABE"/>
              </w:rPr>
              <w:t>Significant</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w w:val="98"/>
              </w:rPr>
              <w:t>Markets for</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rPr>
              <w:t>Significant</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Identical</w:t>
            </w:r>
          </w:p>
        </w:tc>
        <w:tc>
          <w:tcPr>
            <w:tcW w:w="100" w:type="dxa"/>
            <w:vAlign w:val="bottom"/>
          </w:tcPr>
          <w:p>
            <w:pPr>
              <w:spacing w:after="0"/>
              <w:rPr>
                <w:sz w:val="15"/>
                <w:szCs w:val="15"/>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b w:val="1"/>
                <w:bCs w:val="1"/>
                <w:color w:val="4D8ABE"/>
              </w:rPr>
              <w:t>Other</w:t>
            </w:r>
          </w:p>
        </w:tc>
        <w:tc>
          <w:tcPr>
            <w:tcW w:w="1120" w:type="dxa"/>
            <w:vAlign w:val="bottom"/>
            <w:gridSpan w:val="3"/>
          </w:tcPr>
          <w:p>
            <w:pPr>
              <w:jc w:val="right"/>
              <w:ind w:right="63"/>
              <w:spacing w:after="0"/>
              <w:rPr>
                <w:sz w:val="20"/>
                <w:szCs w:val="20"/>
                <w:color w:val="auto"/>
              </w:rPr>
            </w:pPr>
            <w:r>
              <w:rPr>
                <w:rFonts w:ascii="Arial" w:cs="Arial" w:eastAsia="Arial" w:hAnsi="Arial"/>
                <w:sz w:val="14"/>
                <w:szCs w:val="14"/>
                <w:b w:val="1"/>
                <w:bCs w:val="1"/>
                <w:color w:val="4D8ABE"/>
              </w:rPr>
              <w:t>Significant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Identical</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rPr>
              <w:t>Other</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rPr>
              <w:t>Significant</w:t>
            </w:r>
          </w:p>
        </w:tc>
      </w:tr>
      <w:tr>
        <w:trPr>
          <w:trHeight w:val="198"/>
        </w:trPr>
        <w:tc>
          <w:tcPr>
            <w:tcW w:w="3200" w:type="dxa"/>
            <w:vAlign w:val="bottom"/>
            <w:tcBorders>
              <w:right w:val="single" w:sz="8" w:color="4D8ABE"/>
            </w:tcBorders>
          </w:tcPr>
          <w:p>
            <w:pPr>
              <w:spacing w:after="0"/>
              <w:rPr>
                <w:sz w:val="17"/>
                <w:szCs w:val="17"/>
                <w:color w:val="auto"/>
              </w:rPr>
            </w:pPr>
          </w:p>
        </w:tc>
        <w:tc>
          <w:tcPr>
            <w:tcW w:w="80" w:type="dxa"/>
            <w:vAlign w:val="bottom"/>
            <w:shd w:val="clear" w:color="auto" w:fill="4D8ABE"/>
          </w:tcPr>
          <w:p>
            <w:pPr>
              <w:spacing w:after="0"/>
              <w:rPr>
                <w:sz w:val="17"/>
                <w:szCs w:val="17"/>
                <w:color w:val="auto"/>
              </w:rPr>
            </w:pPr>
          </w:p>
        </w:tc>
        <w:tc>
          <w:tcPr>
            <w:tcW w:w="940" w:type="dxa"/>
            <w:vAlign w:val="bottom"/>
            <w:tcBorders>
              <w:right w:val="single" w:sz="8" w:color="4D8ABE"/>
            </w:tcBorders>
            <w:shd w:val="clear" w:color="auto" w:fill="4D8ABE"/>
          </w:tcPr>
          <w:p>
            <w:pPr>
              <w:jc w:val="right"/>
              <w:spacing w:after="0"/>
              <w:rPr>
                <w:sz w:val="20"/>
                <w:szCs w:val="20"/>
                <w:color w:val="auto"/>
              </w:rPr>
            </w:pPr>
            <w:r>
              <w:rPr>
                <w:rFonts w:ascii="Arial" w:cs="Arial" w:eastAsia="Arial" w:hAnsi="Arial"/>
                <w:sz w:val="14"/>
                <w:szCs w:val="14"/>
                <w:b w:val="1"/>
                <w:bCs w:val="1"/>
                <w:color w:val="FFFFFF"/>
                <w:w w:val="98"/>
              </w:rPr>
              <w:t>December 31,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Assets</w:t>
            </w:r>
          </w:p>
        </w:tc>
        <w:tc>
          <w:tcPr>
            <w:tcW w:w="100" w:type="dxa"/>
            <w:vAlign w:val="bottom"/>
          </w:tcPr>
          <w:p>
            <w:pPr>
              <w:spacing w:after="0"/>
              <w:rPr>
                <w:sz w:val="17"/>
                <w:szCs w:val="17"/>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b w:val="1"/>
                <w:bCs w:val="1"/>
                <w:color w:val="4D8ABE"/>
              </w:rPr>
              <w:t>Observable</w:t>
            </w:r>
          </w:p>
        </w:tc>
        <w:tc>
          <w:tcPr>
            <w:tcW w:w="1120" w:type="dxa"/>
            <w:vAlign w:val="bottom"/>
            <w:gridSpan w:val="3"/>
          </w:tcPr>
          <w:p>
            <w:pPr>
              <w:jc w:val="right"/>
              <w:ind w:right="63"/>
              <w:spacing w:after="0"/>
              <w:rPr>
                <w:sz w:val="20"/>
                <w:szCs w:val="20"/>
                <w:color w:val="auto"/>
              </w:rPr>
            </w:pPr>
            <w:r>
              <w:rPr>
                <w:rFonts w:ascii="Arial" w:cs="Arial" w:eastAsia="Arial" w:hAnsi="Arial"/>
                <w:sz w:val="14"/>
                <w:szCs w:val="14"/>
                <w:b w:val="1"/>
                <w:bCs w:val="1"/>
                <w:color w:val="4D8ABE"/>
              </w:rPr>
              <w:t>Unobservable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4D8ABE"/>
                <w:w w:val="96"/>
              </w:rPr>
              <w:t>December 31,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Assets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rPr>
              <w:t>Observable</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rPr>
              <w:t>Unobservable</w:t>
            </w:r>
          </w:p>
        </w:tc>
      </w:tr>
      <w:tr>
        <w:trPr>
          <w:trHeight w:val="190"/>
        </w:trPr>
        <w:tc>
          <w:tcPr>
            <w:tcW w:w="3200" w:type="dxa"/>
            <w:vAlign w:val="bottom"/>
            <w:tcBorders>
              <w:right w:val="single" w:sz="8" w:color="4D8ABE"/>
            </w:tcBorders>
          </w:tcPr>
          <w:p>
            <w:pPr>
              <w:spacing w:after="0"/>
              <w:rPr>
                <w:sz w:val="16"/>
                <w:szCs w:val="16"/>
                <w:color w:val="auto"/>
              </w:rPr>
            </w:pPr>
          </w:p>
        </w:tc>
        <w:tc>
          <w:tcPr>
            <w:tcW w:w="80" w:type="dxa"/>
            <w:vAlign w:val="bottom"/>
            <w:shd w:val="clear" w:color="auto" w:fill="4D8ABE"/>
          </w:tcPr>
          <w:p>
            <w:pPr>
              <w:spacing w:after="0"/>
              <w:rPr>
                <w:sz w:val="16"/>
                <w:szCs w:val="16"/>
                <w:color w:val="auto"/>
              </w:rPr>
            </w:pPr>
          </w:p>
        </w:tc>
        <w:tc>
          <w:tcPr>
            <w:tcW w:w="940" w:type="dxa"/>
            <w:vAlign w:val="bottom"/>
            <w:tcBorders>
              <w:right w:val="single" w:sz="8" w:color="4D8ABE"/>
            </w:tcBorders>
            <w:shd w:val="clear" w:color="auto" w:fill="4D8ABE"/>
          </w:tcPr>
          <w:p>
            <w:pPr>
              <w:jc w:val="right"/>
              <w:spacing w:after="0"/>
              <w:rPr>
                <w:sz w:val="20"/>
                <w:szCs w:val="20"/>
                <w:color w:val="auto"/>
              </w:rPr>
            </w:pPr>
            <w:r>
              <w:rPr>
                <w:rFonts w:ascii="Arial" w:cs="Arial" w:eastAsia="Arial" w:hAnsi="Arial"/>
                <w:sz w:val="14"/>
                <w:szCs w:val="14"/>
                <w:b w:val="1"/>
                <w:bCs w:val="1"/>
                <w:color w:val="FFFFFF"/>
              </w:rPr>
              <w:t>2009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(Level 1)</w:t>
            </w:r>
          </w:p>
        </w:tc>
        <w:tc>
          <w:tcPr>
            <w:tcW w:w="100" w:type="dxa"/>
            <w:vAlign w:val="bottom"/>
          </w:tcPr>
          <w:p>
            <w:pPr>
              <w:spacing w:after="0"/>
              <w:rPr>
                <w:sz w:val="16"/>
                <w:szCs w:val="16"/>
                <w:color w:val="auto"/>
              </w:rPr>
            </w:pPr>
          </w:p>
        </w:tc>
        <w:tc>
          <w:tcPr>
            <w:tcW w:w="1100" w:type="dxa"/>
            <w:vAlign w:val="bottom"/>
          </w:tcPr>
          <w:p>
            <w:pPr>
              <w:jc w:val="right"/>
              <w:ind w:right="7"/>
              <w:spacing w:after="0"/>
              <w:rPr>
                <w:sz w:val="20"/>
                <w:szCs w:val="20"/>
                <w:color w:val="auto"/>
              </w:rPr>
            </w:pPr>
            <w:r>
              <w:rPr>
                <w:rFonts w:ascii="Arial" w:cs="Arial" w:eastAsia="Arial" w:hAnsi="Arial"/>
                <w:sz w:val="14"/>
                <w:szCs w:val="14"/>
                <w:b w:val="1"/>
                <w:bCs w:val="1"/>
                <w:color w:val="4D8ABE"/>
                <w:w w:val="97"/>
              </w:rPr>
              <w:t>Inputs (Level 2)</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4D8ABE"/>
              </w:rPr>
              <w:t>Inputs (Level 3)</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4D8ABE"/>
              </w:rPr>
              <w:t>2008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(Level 1)</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w w:val="97"/>
              </w:rPr>
              <w:t>Inputs (Level 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4D8ABE"/>
                <w:w w:val="97"/>
              </w:rPr>
              <w:t>Inputs (Level 3)</w:t>
            </w:r>
          </w:p>
        </w:tc>
      </w:tr>
      <w:tr>
        <w:trPr>
          <w:trHeight w:val="184"/>
        </w:trPr>
        <w:tc>
          <w:tcPr>
            <w:tcW w:w="3200" w:type="dxa"/>
            <w:vAlign w:val="bottom"/>
            <w:tcBorders>
              <w:top w:val="single" w:sz="8" w:color="4D8ABE"/>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Assets</w:t>
            </w:r>
          </w:p>
        </w:tc>
        <w:tc>
          <w:tcPr>
            <w:tcW w:w="80" w:type="dxa"/>
            <w:vAlign w:val="bottom"/>
            <w:tcBorders>
              <w:top w:val="single" w:sz="8" w:color="4D8ABE"/>
            </w:tcBorders>
            <w:shd w:val="clear" w:color="auto" w:fill="E6EFFF"/>
          </w:tcPr>
          <w:p>
            <w:pPr>
              <w:spacing w:after="0"/>
              <w:rPr>
                <w:sz w:val="15"/>
                <w:szCs w:val="15"/>
                <w:color w:val="auto"/>
              </w:rPr>
            </w:pPr>
          </w:p>
        </w:tc>
        <w:tc>
          <w:tcPr>
            <w:tcW w:w="940" w:type="dxa"/>
            <w:vAlign w:val="bottom"/>
            <w:tcBorders>
              <w:top w:val="single" w:sz="8" w:color="4D8ABE"/>
              <w:right w:val="single" w:sz="8" w:color="4D8ABE"/>
            </w:tcBorders>
            <w:shd w:val="clear" w:color="auto" w:fill="E6EFFF"/>
          </w:tcPr>
          <w:p>
            <w:pPr>
              <w:spacing w:after="0"/>
              <w:rPr>
                <w:sz w:val="15"/>
                <w:szCs w:val="15"/>
                <w:color w:val="auto"/>
              </w:rPr>
            </w:pPr>
          </w:p>
        </w:tc>
        <w:tc>
          <w:tcPr>
            <w:tcW w:w="120" w:type="dxa"/>
            <w:vAlign w:val="bottom"/>
            <w:tcBorders>
              <w:top w:val="single" w:sz="8" w:color="4D8ABE"/>
            </w:tcBorders>
            <w:shd w:val="clear" w:color="auto" w:fill="E6EFFF"/>
          </w:tcPr>
          <w:p>
            <w:pPr>
              <w:spacing w:after="0"/>
              <w:rPr>
                <w:sz w:val="15"/>
                <w:szCs w:val="15"/>
                <w:color w:val="auto"/>
              </w:rPr>
            </w:pPr>
          </w:p>
        </w:tc>
        <w:tc>
          <w:tcPr>
            <w:tcW w:w="800" w:type="dxa"/>
            <w:vAlign w:val="bottom"/>
            <w:tcBorders>
              <w:top w:val="single" w:sz="8" w:color="4D8ABE"/>
            </w:tcBorders>
            <w:shd w:val="clear" w:color="auto" w:fill="E6EFFF"/>
          </w:tcPr>
          <w:p>
            <w:pPr>
              <w:spacing w:after="0"/>
              <w:rPr>
                <w:sz w:val="15"/>
                <w:szCs w:val="15"/>
                <w:color w:val="auto"/>
              </w:rPr>
            </w:pPr>
          </w:p>
        </w:tc>
        <w:tc>
          <w:tcPr>
            <w:tcW w:w="100" w:type="dxa"/>
            <w:vAlign w:val="bottom"/>
            <w:tcBorders>
              <w:top w:val="single" w:sz="8" w:color="4D8ABE"/>
            </w:tcBorders>
            <w:shd w:val="clear" w:color="auto" w:fill="E6EFFF"/>
          </w:tcPr>
          <w:p>
            <w:pPr>
              <w:spacing w:after="0"/>
              <w:rPr>
                <w:sz w:val="15"/>
                <w:szCs w:val="15"/>
                <w:color w:val="auto"/>
              </w:rPr>
            </w:pPr>
          </w:p>
        </w:tc>
        <w:tc>
          <w:tcPr>
            <w:tcW w:w="1100" w:type="dxa"/>
            <w:vAlign w:val="bottom"/>
            <w:tcBorders>
              <w:top w:val="single" w:sz="8" w:color="4D8ABE"/>
            </w:tcBorders>
            <w:shd w:val="clear" w:color="auto" w:fill="E6EFFF"/>
          </w:tcPr>
          <w:p>
            <w:pPr>
              <w:spacing w:after="0"/>
              <w:rPr>
                <w:sz w:val="15"/>
                <w:szCs w:val="15"/>
                <w:color w:val="auto"/>
              </w:rPr>
            </w:pPr>
          </w:p>
        </w:tc>
        <w:tc>
          <w:tcPr>
            <w:tcW w:w="980" w:type="dxa"/>
            <w:vAlign w:val="bottom"/>
            <w:tcBorders>
              <w:top w:val="single" w:sz="8" w:color="4D8ABE"/>
            </w:tcBorders>
            <w:shd w:val="clear" w:color="auto" w:fill="E6EFFF"/>
          </w:tcPr>
          <w:p>
            <w:pPr>
              <w:spacing w:after="0"/>
              <w:rPr>
                <w:sz w:val="15"/>
                <w:szCs w:val="15"/>
                <w:color w:val="auto"/>
              </w:rPr>
            </w:pPr>
          </w:p>
        </w:tc>
        <w:tc>
          <w:tcPr>
            <w:tcW w:w="4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E6EFFF"/>
            </w:tcBorders>
            <w:shd w:val="clear" w:color="auto" w:fill="E6EFFF"/>
          </w:tcPr>
          <w:p>
            <w:pPr>
              <w:spacing w:after="0"/>
              <w:rPr>
                <w:sz w:val="15"/>
                <w:szCs w:val="15"/>
                <w:color w:val="auto"/>
              </w:rPr>
            </w:pPr>
          </w:p>
        </w:tc>
        <w:tc>
          <w:tcPr>
            <w:tcW w:w="940" w:type="dxa"/>
            <w:vAlign w:val="bottom"/>
            <w:tcBorders>
              <w:top w:val="single" w:sz="8" w:color="4D8ABE"/>
            </w:tcBorders>
            <w:shd w:val="clear" w:color="auto" w:fill="E6EFFF"/>
          </w:tcPr>
          <w:p>
            <w:pPr>
              <w:spacing w:after="0"/>
              <w:rPr>
                <w:sz w:val="15"/>
                <w:szCs w:val="15"/>
                <w:color w:val="auto"/>
              </w:rPr>
            </w:pPr>
          </w:p>
        </w:tc>
        <w:tc>
          <w:tcPr>
            <w:tcW w:w="100" w:type="dxa"/>
            <w:vAlign w:val="bottom"/>
            <w:tcBorders>
              <w:top w:val="single" w:sz="8" w:color="4D8ABE"/>
            </w:tcBorders>
            <w:shd w:val="clear" w:color="auto" w:fill="E6EFFF"/>
          </w:tcPr>
          <w:p>
            <w:pPr>
              <w:spacing w:after="0"/>
              <w:rPr>
                <w:sz w:val="15"/>
                <w:szCs w:val="15"/>
                <w:color w:val="auto"/>
              </w:rPr>
            </w:pPr>
          </w:p>
        </w:tc>
        <w:tc>
          <w:tcPr>
            <w:tcW w:w="800" w:type="dxa"/>
            <w:vAlign w:val="bottom"/>
            <w:tcBorders>
              <w:top w:val="single" w:sz="8" w:color="4D8ABE"/>
            </w:tcBorders>
            <w:shd w:val="clear" w:color="auto" w:fill="E6EFFF"/>
          </w:tcPr>
          <w:p>
            <w:pPr>
              <w:spacing w:after="0"/>
              <w:rPr>
                <w:sz w:val="15"/>
                <w:szCs w:val="15"/>
                <w:color w:val="auto"/>
              </w:rPr>
            </w:pPr>
          </w:p>
        </w:tc>
        <w:tc>
          <w:tcPr>
            <w:tcW w:w="100" w:type="dxa"/>
            <w:vAlign w:val="bottom"/>
            <w:tcBorders>
              <w:top w:val="single" w:sz="8" w:color="4D8ABE"/>
            </w:tcBorders>
            <w:shd w:val="clear" w:color="auto" w:fill="E6EFFF"/>
          </w:tcPr>
          <w:p>
            <w:pPr>
              <w:spacing w:after="0"/>
              <w:rPr>
                <w:sz w:val="15"/>
                <w:szCs w:val="15"/>
                <w:color w:val="auto"/>
              </w:rPr>
            </w:pPr>
          </w:p>
        </w:tc>
        <w:tc>
          <w:tcPr>
            <w:tcW w:w="1020" w:type="dxa"/>
            <w:vAlign w:val="bottom"/>
            <w:tcBorders>
              <w:top w:val="single" w:sz="8" w:color="4D8ABE"/>
            </w:tcBorders>
            <w:shd w:val="clear" w:color="auto" w:fill="E6EFFF"/>
          </w:tcPr>
          <w:p>
            <w:pPr>
              <w:spacing w:after="0"/>
              <w:rPr>
                <w:sz w:val="15"/>
                <w:szCs w:val="15"/>
                <w:color w:val="auto"/>
              </w:rPr>
            </w:pPr>
          </w:p>
        </w:tc>
        <w:tc>
          <w:tcPr>
            <w:tcW w:w="80" w:type="dxa"/>
            <w:vAlign w:val="bottom"/>
            <w:tcBorders>
              <w:top w:val="single" w:sz="8" w:color="4D8ABE"/>
            </w:tcBorders>
            <w:shd w:val="clear" w:color="auto" w:fill="E6EFFF"/>
          </w:tcPr>
          <w:p>
            <w:pPr>
              <w:spacing w:after="0"/>
              <w:rPr>
                <w:sz w:val="15"/>
                <w:szCs w:val="15"/>
                <w:color w:val="auto"/>
              </w:rPr>
            </w:pPr>
          </w:p>
        </w:tc>
        <w:tc>
          <w:tcPr>
            <w:tcW w:w="1020" w:type="dxa"/>
            <w:vAlign w:val="bottom"/>
            <w:tcBorders>
              <w:top w:val="single" w:sz="8" w:color="4D8ABE"/>
            </w:tcBorders>
            <w:shd w:val="clear" w:color="auto" w:fill="E6EFFF"/>
          </w:tcPr>
          <w:p>
            <w:pPr>
              <w:spacing w:after="0"/>
              <w:rPr>
                <w:sz w:val="15"/>
                <w:szCs w:val="15"/>
                <w:color w:val="auto"/>
              </w:rPr>
            </w:pPr>
          </w:p>
        </w:tc>
      </w:tr>
      <w:tr>
        <w:trPr>
          <w:trHeight w:val="184"/>
        </w:trPr>
        <w:tc>
          <w:tcPr>
            <w:tcW w:w="32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Available-for-sale securities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940" w:type="dxa"/>
            <w:vAlign w:val="bottom"/>
            <w:tcBorders>
              <w:right w:val="single" w:sz="8" w:color="4D8ABE"/>
            </w:tcBorders>
          </w:tcPr>
          <w:p>
            <w:pPr>
              <w:jc w:val="right"/>
              <w:spacing w:after="0"/>
              <w:rPr>
                <w:sz w:val="20"/>
                <w:szCs w:val="20"/>
                <w:color w:val="auto"/>
              </w:rPr>
            </w:pPr>
            <w:r>
              <w:rPr>
                <w:rFonts w:ascii="Arial" w:cs="Arial" w:eastAsia="Arial" w:hAnsi="Arial"/>
                <w:sz w:val="15"/>
                <w:szCs w:val="15"/>
                <w:color w:val="4D8ABE"/>
              </w:rPr>
              <w:t>0.3</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 $</w:t>
            </w:r>
          </w:p>
        </w:tc>
        <w:tc>
          <w:tcPr>
            <w:tcW w:w="1120" w:type="dxa"/>
            <w:vAlign w:val="bottom"/>
            <w:gridSpan w:val="3"/>
          </w:tcPr>
          <w:p>
            <w:pPr>
              <w:ind w:left="900"/>
              <w:spacing w:after="0"/>
              <w:rPr>
                <w:sz w:val="20"/>
                <w:szCs w:val="20"/>
                <w:color w:val="auto"/>
              </w:rPr>
            </w:pPr>
            <w:r>
              <w:rPr>
                <w:rFonts w:ascii="Arial" w:cs="Arial" w:eastAsia="Arial" w:hAnsi="Arial"/>
                <w:sz w:val="15"/>
                <w:szCs w:val="15"/>
                <w:color w:val="auto"/>
                <w:w w:val="95"/>
              </w:rPr>
              <w:t>– $</w:t>
            </w:r>
          </w:p>
        </w:tc>
        <w:tc>
          <w:tcPr>
            <w:tcW w:w="94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32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Deferred compensation plan assets</w:t>
            </w:r>
          </w:p>
        </w:tc>
        <w:tc>
          <w:tcPr>
            <w:tcW w:w="80" w:type="dxa"/>
            <w:vAlign w:val="bottom"/>
            <w:shd w:val="clear" w:color="auto" w:fill="E6EFFF"/>
          </w:tcPr>
          <w:p>
            <w:pPr>
              <w:spacing w:after="0"/>
              <w:rPr>
                <w:sz w:val="15"/>
                <w:szCs w:val="15"/>
                <w:color w:val="auto"/>
              </w:rPr>
            </w:pPr>
          </w:p>
        </w:tc>
        <w:tc>
          <w:tcPr>
            <w:tcW w:w="940" w:type="dxa"/>
            <w:vAlign w:val="bottom"/>
            <w:tcBorders>
              <w:righ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rPr>
              <w:t>34.0</w:t>
            </w:r>
          </w:p>
        </w:tc>
        <w:tc>
          <w:tcPr>
            <w:tcW w:w="120" w:type="dxa"/>
            <w:vAlign w:val="bottom"/>
            <w:shd w:val="clear" w:color="auto" w:fill="E6EFFF"/>
          </w:tcPr>
          <w:p>
            <w:pPr>
              <w:spacing w:after="0"/>
              <w:rPr>
                <w:sz w:val="15"/>
                <w:szCs w:val="15"/>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34.0</w:t>
            </w:r>
          </w:p>
        </w:tc>
        <w:tc>
          <w:tcPr>
            <w:tcW w:w="1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E6EFFF"/>
          </w:tcPr>
          <w:p>
            <w:pPr>
              <w:ind w:left="900"/>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E6EFFF"/>
          </w:tcPr>
          <w:p>
            <w:pPr>
              <w:spacing w:after="0"/>
              <w:rPr>
                <w:sz w:val="15"/>
                <w:szCs w:val="15"/>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E6EFFF"/>
          </w:tcPr>
          <w:p>
            <w:pPr>
              <w:spacing w:after="0"/>
              <w:rPr>
                <w:sz w:val="15"/>
                <w:szCs w:val="15"/>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E6EFFF"/>
          </w:tcPr>
          <w:p>
            <w:pPr>
              <w:spacing w:after="0"/>
              <w:rPr>
                <w:sz w:val="15"/>
                <w:szCs w:val="15"/>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3200" w:type="dxa"/>
            <w:vAlign w:val="bottom"/>
            <w:tcBorders>
              <w:top w:val="single" w:sz="8" w:color="auto"/>
              <w:bottom w:val="single" w:sz="8" w:color="auto"/>
              <w:right w:val="single" w:sz="8" w:color="4D8ABE"/>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940" w:type="dxa"/>
            <w:vAlign w:val="bottom"/>
            <w:tcBorders>
              <w:top w:val="single" w:sz="8" w:color="auto"/>
              <w:bottom w:val="single" w:sz="8" w:color="auto"/>
              <w:right w:val="single" w:sz="8" w:color="4D8ABE"/>
            </w:tcBorders>
          </w:tcPr>
          <w:p>
            <w:pPr>
              <w:jc w:val="right"/>
              <w:spacing w:after="0"/>
              <w:rPr>
                <w:sz w:val="20"/>
                <w:szCs w:val="20"/>
                <w:color w:val="auto"/>
              </w:rPr>
            </w:pPr>
            <w:r>
              <w:rPr>
                <w:rFonts w:ascii="Arial" w:cs="Arial" w:eastAsia="Arial" w:hAnsi="Arial"/>
                <w:sz w:val="15"/>
                <w:szCs w:val="15"/>
                <w:color w:val="4D8ABE"/>
              </w:rPr>
              <w:t>34.3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9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E6EFFF"/>
            </w:tcBorders>
            <w:gridSpan w:val="2"/>
          </w:tcPr>
          <w:p>
            <w:pPr>
              <w:jc w:val="right"/>
              <w:spacing w:after="0" w:line="165"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32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Liabilities</w:t>
            </w:r>
          </w:p>
        </w:tc>
        <w:tc>
          <w:tcPr>
            <w:tcW w:w="80" w:type="dxa"/>
            <w:vAlign w:val="bottom"/>
            <w:shd w:val="clear" w:color="auto" w:fill="E6EFFF"/>
          </w:tcPr>
          <w:p>
            <w:pPr>
              <w:spacing w:after="0"/>
              <w:rPr>
                <w:sz w:val="15"/>
                <w:szCs w:val="15"/>
                <w:color w:val="auto"/>
              </w:rPr>
            </w:pPr>
          </w:p>
        </w:tc>
        <w:tc>
          <w:tcPr>
            <w:tcW w:w="940" w:type="dxa"/>
            <w:vAlign w:val="bottom"/>
            <w:tcBorders>
              <w:right w:val="single" w:sz="8" w:color="4D8ABE"/>
            </w:tcBorders>
            <w:shd w:val="clear" w:color="auto" w:fill="E6EFFF"/>
          </w:tcPr>
          <w:p>
            <w:pPr>
              <w:spacing w:after="0"/>
              <w:rPr>
                <w:sz w:val="15"/>
                <w:szCs w:val="15"/>
                <w:color w:val="auto"/>
              </w:rPr>
            </w:pPr>
          </w:p>
        </w:tc>
        <w:tc>
          <w:tcPr>
            <w:tcW w:w="12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4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80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184"/>
        </w:trPr>
        <w:tc>
          <w:tcPr>
            <w:tcW w:w="32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Interest rate swaps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940" w:type="dxa"/>
            <w:vAlign w:val="bottom"/>
            <w:tcBorders>
              <w:right w:val="single" w:sz="8" w:color="4D8ABE"/>
            </w:tcBorders>
          </w:tcPr>
          <w:p>
            <w:pPr>
              <w:jc w:val="right"/>
              <w:spacing w:after="0"/>
              <w:rPr>
                <w:sz w:val="20"/>
                <w:szCs w:val="20"/>
                <w:color w:val="auto"/>
              </w:rPr>
            </w:pPr>
            <w:r>
              <w:rPr>
                <w:rFonts w:ascii="Arial" w:cs="Arial" w:eastAsia="Arial" w:hAnsi="Arial"/>
                <w:sz w:val="15"/>
                <w:szCs w:val="15"/>
                <w:color w:val="4D8ABE"/>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100" w:type="dxa"/>
            <w:vAlign w:val="bottom"/>
          </w:tcPr>
          <w:p>
            <w:pPr>
              <w:jc w:val="right"/>
              <w:spacing w:after="0"/>
              <w:rPr>
                <w:sz w:val="20"/>
                <w:szCs w:val="20"/>
                <w:color w:val="auto"/>
              </w:rPr>
            </w:pPr>
            <w:r>
              <w:rPr>
                <w:rFonts w:ascii="Arial" w:cs="Arial" w:eastAsia="Arial" w:hAnsi="Arial"/>
                <w:sz w:val="15"/>
                <w:szCs w:val="15"/>
                <w:color w:val="auto"/>
              </w:rPr>
              <w:t>– $</w:t>
            </w:r>
          </w:p>
        </w:tc>
        <w:tc>
          <w:tcPr>
            <w:tcW w:w="1120" w:type="dxa"/>
            <w:vAlign w:val="bottom"/>
            <w:gridSpan w:val="3"/>
          </w:tcPr>
          <w:p>
            <w:pPr>
              <w:ind w:left="900"/>
              <w:spacing w:after="0"/>
              <w:rPr>
                <w:sz w:val="20"/>
                <w:szCs w:val="20"/>
                <w:color w:val="auto"/>
              </w:rPr>
            </w:pPr>
            <w:r>
              <w:rPr>
                <w:rFonts w:ascii="Arial" w:cs="Arial" w:eastAsia="Arial" w:hAnsi="Arial"/>
                <w:sz w:val="15"/>
                <w:szCs w:val="15"/>
                <w:color w:val="auto"/>
                <w:w w:val="95"/>
              </w:rPr>
              <w:t>– $</w:t>
            </w:r>
          </w:p>
        </w:tc>
        <w:tc>
          <w:tcPr>
            <w:tcW w:w="940" w:type="dxa"/>
            <w:vAlign w:val="bottom"/>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02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32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Foreign currency forward contracts</w:t>
            </w:r>
          </w:p>
        </w:tc>
        <w:tc>
          <w:tcPr>
            <w:tcW w:w="80" w:type="dxa"/>
            <w:vAlign w:val="bottom"/>
            <w:shd w:val="clear" w:color="auto" w:fill="E6EFFF"/>
          </w:tcPr>
          <w:p>
            <w:pPr>
              <w:spacing w:after="0"/>
              <w:rPr>
                <w:sz w:val="15"/>
                <w:szCs w:val="15"/>
                <w:color w:val="auto"/>
              </w:rPr>
            </w:pPr>
          </w:p>
        </w:tc>
        <w:tc>
          <w:tcPr>
            <w:tcW w:w="940" w:type="dxa"/>
            <w:vAlign w:val="bottom"/>
            <w:tcBorders>
              <w:righ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rPr>
              <w:t>0.5</w:t>
            </w:r>
          </w:p>
        </w:tc>
        <w:tc>
          <w:tcPr>
            <w:tcW w:w="120" w:type="dxa"/>
            <w:vAlign w:val="bottom"/>
            <w:shd w:val="clear" w:color="auto" w:fill="E6EFFF"/>
          </w:tcPr>
          <w:p>
            <w:pPr>
              <w:spacing w:after="0"/>
              <w:rPr>
                <w:sz w:val="15"/>
                <w:szCs w:val="15"/>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67"/>
              <w:spacing w:after="0"/>
              <w:rPr>
                <w:sz w:val="20"/>
                <w:szCs w:val="20"/>
                <w:color w:val="auto"/>
              </w:rPr>
            </w:pPr>
            <w:r>
              <w:rPr>
                <w:rFonts w:ascii="Arial" w:cs="Arial" w:eastAsia="Arial" w:hAnsi="Arial"/>
                <w:sz w:val="15"/>
                <w:szCs w:val="15"/>
                <w:color w:val="auto"/>
              </w:rPr>
              <w:t>0.5</w:t>
            </w:r>
          </w:p>
        </w:tc>
        <w:tc>
          <w:tcPr>
            <w:tcW w:w="1120" w:type="dxa"/>
            <w:vAlign w:val="bottom"/>
            <w:gridSpan w:val="3"/>
            <w:shd w:val="clear" w:color="auto" w:fill="E6EFFF"/>
          </w:tcPr>
          <w:p>
            <w:pPr>
              <w:ind w:left="900"/>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E6EFFF"/>
          </w:tcPr>
          <w:p>
            <w:pPr>
              <w:spacing w:after="0"/>
              <w:rPr>
                <w:sz w:val="15"/>
                <w:szCs w:val="15"/>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8.4</w:t>
            </w:r>
          </w:p>
        </w:tc>
        <w:tc>
          <w:tcPr>
            <w:tcW w:w="80" w:type="dxa"/>
            <w:vAlign w:val="bottom"/>
            <w:shd w:val="clear" w:color="auto" w:fill="E6EFFF"/>
          </w:tcPr>
          <w:p>
            <w:pPr>
              <w:spacing w:after="0"/>
              <w:rPr>
                <w:sz w:val="15"/>
                <w:szCs w:val="15"/>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3200" w:type="dxa"/>
            <w:vAlign w:val="bottom"/>
            <w:tcBorders>
              <w:top w:val="single" w:sz="8" w:color="auto"/>
              <w:bottom w:val="single" w:sz="8" w:color="auto"/>
              <w:right w:val="single" w:sz="8" w:color="4D8ABE"/>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940" w:type="dxa"/>
            <w:vAlign w:val="bottom"/>
            <w:tcBorders>
              <w:top w:val="single" w:sz="8" w:color="auto"/>
              <w:bottom w:val="single" w:sz="8" w:color="auto"/>
              <w:right w:val="single" w:sz="8" w:color="4D8ABE"/>
            </w:tcBorders>
          </w:tcPr>
          <w:p>
            <w:pPr>
              <w:jc w:val="right"/>
              <w:spacing w:after="0"/>
              <w:rPr>
                <w:sz w:val="20"/>
                <w:szCs w:val="20"/>
                <w:color w:val="auto"/>
              </w:rPr>
            </w:pPr>
            <w:r>
              <w:rPr>
                <w:rFonts w:ascii="Arial" w:cs="Arial" w:eastAsia="Arial" w:hAnsi="Arial"/>
                <w:sz w:val="15"/>
                <w:szCs w:val="15"/>
                <w:color w:val="4D8ABE"/>
              </w:rPr>
              <w:t>0.5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0.5 $</w:t>
            </w:r>
          </w:p>
        </w:tc>
        <w:tc>
          <w:tcPr>
            <w:tcW w:w="9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5"/>
                <w:szCs w:val="15"/>
                <w:color w:val="auto"/>
              </w:rPr>
            </w:pPr>
          </w:p>
        </w:tc>
        <w:tc>
          <w:tcPr>
            <w:tcW w:w="100" w:type="dxa"/>
            <w:vAlign w:val="bottom"/>
          </w:tcPr>
          <w:p>
            <w:pPr>
              <w:jc w:val="right"/>
              <w:spacing w:after="0" w:line="165" w:lineRule="exact"/>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r>
    </w:tbl>
    <w:p>
      <w:pPr>
        <w:spacing w:after="0" w:line="175"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We determine the fair value of our available-for-sale securities and deferred compensation plan assets, comprised of publicly traded securities, by using market quotes as of the last day of the period. The fair value of the interest rate swaps and foreign currency forward contracts are measured at the value from either directly or indirectly observable third parties.</w:t>
      </w:r>
    </w:p>
    <w:p>
      <w:pPr>
        <w:spacing w:after="0" w:line="198" w:lineRule="exact"/>
        <w:rPr>
          <w:sz w:val="20"/>
          <w:szCs w:val="20"/>
          <w:color w:val="auto"/>
        </w:rPr>
      </w:pPr>
    </w:p>
    <w:p>
      <w:pPr>
        <w:jc w:val="both"/>
        <w:ind w:right="80"/>
        <w:spacing w:after="0" w:line="242" w:lineRule="auto"/>
        <w:rPr>
          <w:sz w:val="20"/>
          <w:szCs w:val="20"/>
          <w:color w:val="auto"/>
        </w:rPr>
      </w:pPr>
      <w:r>
        <w:rPr>
          <w:rFonts w:ascii="Arial" w:cs="Arial" w:eastAsia="Arial" w:hAnsi="Arial"/>
          <w:sz w:val="15"/>
          <w:szCs w:val="15"/>
          <w:color w:val="auto"/>
        </w:rPr>
        <w:t>The carrying values of Cash and Cash Equivalents, Accounts Receivable, Accounts Payable, and other current assets and liabilities approximate their fair values because of the short-term nature of these instruments. The carrying value of Long-Term Debt approximates fair value, except for the Euro-denominated notes. The fair value of the Euro-denominated notes, as determined by the quoted market prices, was $717.7 and $654.7 as of December 31, 2009 and 2008, respectively, compared to a carrying value of $714.6 and $696.6, respectively.</w:t>
      </w:r>
    </w:p>
    <w:p>
      <w:pPr>
        <w:spacing w:after="0" w:line="201" w:lineRule="exact"/>
        <w:rPr>
          <w:sz w:val="20"/>
          <w:szCs w:val="20"/>
          <w:color w:val="auto"/>
        </w:rPr>
      </w:pPr>
    </w:p>
    <w:p>
      <w:pPr>
        <w:jc w:val="both"/>
        <w:ind w:right="100"/>
        <w:spacing w:after="0" w:line="249" w:lineRule="auto"/>
        <w:rPr>
          <w:sz w:val="20"/>
          <w:szCs w:val="20"/>
          <w:color w:val="auto"/>
        </w:rPr>
      </w:pPr>
      <w:r>
        <w:rPr>
          <w:rFonts w:ascii="Arial" w:cs="Arial" w:eastAsia="Arial" w:hAnsi="Arial"/>
          <w:sz w:val="15"/>
          <w:szCs w:val="15"/>
          <w:color w:val="auto"/>
        </w:rPr>
        <w:t>We also measure certain non-financial assets on a non-recurring basis, including Goodwill and tradename, for which we recognized an impairment charge in 2009 and 2008 that are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60" w:type="dxa"/>
            <w:vAlign w:val="bottom"/>
            <w:gridSpan w:val="5"/>
          </w:tcPr>
          <w:p>
            <w:pPr>
              <w:jc w:val="right"/>
              <w:ind w:right="183"/>
              <w:spacing w:after="0"/>
              <w:rPr>
                <w:sz w:val="20"/>
                <w:szCs w:val="20"/>
                <w:color w:val="auto"/>
              </w:rPr>
            </w:pPr>
            <w:r>
              <w:rPr>
                <w:rFonts w:ascii="Arial" w:cs="Arial" w:eastAsia="Arial" w:hAnsi="Arial"/>
                <w:sz w:val="14"/>
                <w:szCs w:val="14"/>
                <w:b w:val="1"/>
                <w:bCs w:val="1"/>
                <w:color w:val="4D8ABE"/>
              </w:rPr>
              <w:t>Fair Value Measurements Using</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60" w:type="dxa"/>
            <w:vAlign w:val="bottom"/>
            <w:gridSpan w:val="6"/>
          </w:tcPr>
          <w:p>
            <w:pPr>
              <w:jc w:val="right"/>
              <w:ind w:right="183"/>
              <w:spacing w:after="0"/>
              <w:rPr>
                <w:sz w:val="20"/>
                <w:szCs w:val="20"/>
                <w:color w:val="auto"/>
              </w:rPr>
            </w:pPr>
            <w:r>
              <w:rPr>
                <w:rFonts w:ascii="Arial" w:cs="Arial" w:eastAsia="Arial" w:hAnsi="Arial"/>
                <w:sz w:val="14"/>
                <w:szCs w:val="14"/>
                <w:b w:val="1"/>
                <w:bCs w:val="1"/>
                <w:color w:val="4D8ABE"/>
              </w:rPr>
              <w:t>Fair Value Measurements Using</w:t>
            </w:r>
          </w:p>
        </w:tc>
        <w:tc>
          <w:tcPr>
            <w:tcW w:w="0" w:type="dxa"/>
            <w:vAlign w:val="bottom"/>
          </w:tcPr>
          <w:p>
            <w:pPr>
              <w:spacing w:after="0"/>
              <w:rPr>
                <w:sz w:val="1"/>
                <w:szCs w:val="1"/>
                <w:color w:val="auto"/>
              </w:rPr>
            </w:pPr>
          </w:p>
        </w:tc>
      </w:tr>
      <w:tr>
        <w:trPr>
          <w:trHeight w:val="181"/>
        </w:trPr>
        <w:tc>
          <w:tcPr>
            <w:tcW w:w="900" w:type="dxa"/>
            <w:vAlign w:val="bottom"/>
            <w:tcBorders>
              <w:top w:val="single" w:sz="8" w:color="4D8ABE"/>
            </w:tcBorders>
          </w:tcPr>
          <w:p>
            <w:pPr>
              <w:spacing w:after="0"/>
              <w:rPr>
                <w:sz w:val="15"/>
                <w:szCs w:val="15"/>
                <w:color w:val="auto"/>
              </w:rPr>
            </w:pPr>
          </w:p>
        </w:tc>
        <w:tc>
          <w:tcPr>
            <w:tcW w:w="780" w:type="dxa"/>
            <w:vAlign w:val="bottom"/>
            <w:tcBorders>
              <w:top w:val="single" w:sz="8" w:color="4D8ABE"/>
            </w:tcBorders>
          </w:tcPr>
          <w:p>
            <w:pPr>
              <w:spacing w:after="0"/>
              <w:rPr>
                <w:sz w:val="15"/>
                <w:szCs w:val="15"/>
                <w:color w:val="auto"/>
              </w:rPr>
            </w:pPr>
          </w:p>
        </w:tc>
        <w:tc>
          <w:tcPr>
            <w:tcW w:w="260" w:type="dxa"/>
            <w:vAlign w:val="bottom"/>
            <w:tcBorders>
              <w:top w:val="single" w:sz="8" w:color="4D8ABE"/>
            </w:tcBorders>
          </w:tcPr>
          <w:p>
            <w:pPr>
              <w:spacing w:after="0"/>
              <w:rPr>
                <w:sz w:val="15"/>
                <w:szCs w:val="15"/>
                <w:color w:val="auto"/>
              </w:rPr>
            </w:pPr>
          </w:p>
        </w:tc>
        <w:tc>
          <w:tcPr>
            <w:tcW w:w="760" w:type="dxa"/>
            <w:vAlign w:val="bottom"/>
            <w:tcBorders>
              <w:top w:val="single" w:sz="8" w:color="4D8ABE"/>
            </w:tcBorders>
          </w:tcPr>
          <w:p>
            <w:pPr>
              <w:jc w:val="right"/>
              <w:ind w:right="50"/>
              <w:spacing w:after="0"/>
              <w:rPr>
                <w:sz w:val="20"/>
                <w:szCs w:val="20"/>
                <w:color w:val="auto"/>
              </w:rPr>
            </w:pPr>
            <w:r>
              <w:rPr>
                <w:rFonts w:ascii="Arial" w:cs="Arial" w:eastAsia="Arial" w:hAnsi="Arial"/>
                <w:sz w:val="14"/>
                <w:szCs w:val="14"/>
                <w:b w:val="1"/>
                <w:bCs w:val="1"/>
                <w:color w:val="4D8ABE"/>
              </w:rPr>
              <w:t>Quoted</w:t>
            </w:r>
          </w:p>
        </w:tc>
        <w:tc>
          <w:tcPr>
            <w:tcW w:w="200" w:type="dxa"/>
            <w:vAlign w:val="bottom"/>
            <w:tcBorders>
              <w:top w:val="single" w:sz="8" w:color="4D8ABE"/>
            </w:tcBorders>
          </w:tcPr>
          <w:p>
            <w:pPr>
              <w:spacing w:after="0"/>
              <w:rPr>
                <w:sz w:val="15"/>
                <w:szCs w:val="15"/>
                <w:color w:val="auto"/>
              </w:rPr>
            </w:pPr>
          </w:p>
        </w:tc>
        <w:tc>
          <w:tcPr>
            <w:tcW w:w="860" w:type="dxa"/>
            <w:vAlign w:val="bottom"/>
            <w:tcBorders>
              <w:top w:val="single" w:sz="8" w:color="4D8ABE"/>
            </w:tcBorders>
          </w:tcPr>
          <w:p>
            <w:pPr>
              <w:spacing w:after="0"/>
              <w:rPr>
                <w:sz w:val="15"/>
                <w:szCs w:val="15"/>
                <w:color w:val="auto"/>
              </w:rPr>
            </w:pPr>
          </w:p>
        </w:tc>
        <w:tc>
          <w:tcPr>
            <w:tcW w:w="220" w:type="dxa"/>
            <w:vAlign w:val="bottom"/>
            <w:tcBorders>
              <w:top w:val="single" w:sz="8" w:color="4D8ABE"/>
            </w:tcBorders>
          </w:tcPr>
          <w:p>
            <w:pPr>
              <w:spacing w:after="0"/>
              <w:rPr>
                <w:sz w:val="15"/>
                <w:szCs w:val="15"/>
                <w:color w:val="auto"/>
              </w:rPr>
            </w:pPr>
          </w:p>
        </w:tc>
        <w:tc>
          <w:tcPr>
            <w:tcW w:w="1140" w:type="dxa"/>
            <w:vAlign w:val="bottom"/>
            <w:tcBorders>
              <w:top w:val="single" w:sz="8" w:color="4D8ABE"/>
            </w:tcBorders>
          </w:tcPr>
          <w:p>
            <w:pPr>
              <w:spacing w:after="0"/>
              <w:rPr>
                <w:sz w:val="15"/>
                <w:szCs w:val="15"/>
                <w:color w:val="auto"/>
              </w:rPr>
            </w:pPr>
          </w:p>
        </w:tc>
        <w:tc>
          <w:tcPr>
            <w:tcW w:w="200" w:type="dxa"/>
            <w:vAlign w:val="bottom"/>
            <w:tcBorders>
              <w:top w:val="single" w:sz="8" w:color="4D8ABE"/>
            </w:tcBorders>
          </w:tcPr>
          <w:p>
            <w:pPr>
              <w:spacing w:after="0"/>
              <w:rPr>
                <w:sz w:val="15"/>
                <w:szCs w:val="15"/>
                <w:color w:val="auto"/>
              </w:rPr>
            </w:pPr>
          </w:p>
        </w:tc>
        <w:tc>
          <w:tcPr>
            <w:tcW w:w="580" w:type="dxa"/>
            <w:vAlign w:val="bottom"/>
            <w:tcBorders>
              <w:top w:val="single" w:sz="8" w:color="4D8ABE"/>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4D8ABE"/>
            </w:tcBorders>
          </w:tcPr>
          <w:p>
            <w:pPr>
              <w:spacing w:after="0"/>
              <w:rPr>
                <w:sz w:val="15"/>
                <w:szCs w:val="15"/>
                <w:color w:val="auto"/>
              </w:rPr>
            </w:pPr>
          </w:p>
        </w:tc>
        <w:tc>
          <w:tcPr>
            <w:tcW w:w="780" w:type="dxa"/>
            <w:vAlign w:val="bottom"/>
            <w:tcBorders>
              <w:top w:val="single" w:sz="8" w:color="4D8ABE"/>
            </w:tcBorders>
          </w:tcPr>
          <w:p>
            <w:pPr>
              <w:spacing w:after="0"/>
              <w:rPr>
                <w:sz w:val="15"/>
                <w:szCs w:val="15"/>
                <w:color w:val="auto"/>
              </w:rPr>
            </w:pPr>
          </w:p>
        </w:tc>
        <w:tc>
          <w:tcPr>
            <w:tcW w:w="260" w:type="dxa"/>
            <w:vAlign w:val="bottom"/>
            <w:tcBorders>
              <w:top w:val="single" w:sz="8" w:color="4D8ABE"/>
            </w:tcBorders>
          </w:tcPr>
          <w:p>
            <w:pPr>
              <w:spacing w:after="0"/>
              <w:rPr>
                <w:sz w:val="15"/>
                <w:szCs w:val="15"/>
                <w:color w:val="auto"/>
              </w:rPr>
            </w:pPr>
          </w:p>
        </w:tc>
        <w:tc>
          <w:tcPr>
            <w:tcW w:w="760" w:type="dxa"/>
            <w:vAlign w:val="bottom"/>
            <w:tcBorders>
              <w:top w:val="single" w:sz="8" w:color="4D8ABE"/>
            </w:tcBorders>
          </w:tcPr>
          <w:p>
            <w:pPr>
              <w:jc w:val="right"/>
              <w:ind w:right="50"/>
              <w:spacing w:after="0"/>
              <w:rPr>
                <w:sz w:val="20"/>
                <w:szCs w:val="20"/>
                <w:color w:val="auto"/>
              </w:rPr>
            </w:pPr>
            <w:r>
              <w:rPr>
                <w:rFonts w:ascii="Arial" w:cs="Arial" w:eastAsia="Arial" w:hAnsi="Arial"/>
                <w:sz w:val="14"/>
                <w:szCs w:val="14"/>
                <w:b w:val="1"/>
                <w:bCs w:val="1"/>
                <w:color w:val="4D8ABE"/>
              </w:rPr>
              <w:t>Quoted</w:t>
            </w:r>
          </w:p>
        </w:tc>
        <w:tc>
          <w:tcPr>
            <w:tcW w:w="200" w:type="dxa"/>
            <w:vAlign w:val="bottom"/>
            <w:tcBorders>
              <w:top w:val="single" w:sz="8" w:color="4D8ABE"/>
            </w:tcBorders>
          </w:tcPr>
          <w:p>
            <w:pPr>
              <w:spacing w:after="0"/>
              <w:rPr>
                <w:sz w:val="15"/>
                <w:szCs w:val="15"/>
                <w:color w:val="auto"/>
              </w:rPr>
            </w:pPr>
          </w:p>
        </w:tc>
        <w:tc>
          <w:tcPr>
            <w:tcW w:w="860" w:type="dxa"/>
            <w:vAlign w:val="bottom"/>
            <w:tcBorders>
              <w:top w:val="single" w:sz="8" w:color="4D8ABE"/>
            </w:tcBorders>
          </w:tcPr>
          <w:p>
            <w:pPr>
              <w:spacing w:after="0"/>
              <w:rPr>
                <w:sz w:val="15"/>
                <w:szCs w:val="15"/>
                <w:color w:val="auto"/>
              </w:rPr>
            </w:pPr>
          </w:p>
        </w:tc>
        <w:tc>
          <w:tcPr>
            <w:tcW w:w="220" w:type="dxa"/>
            <w:vAlign w:val="bottom"/>
            <w:tcBorders>
              <w:top w:val="single" w:sz="8" w:color="4D8ABE"/>
            </w:tcBorders>
          </w:tcPr>
          <w:p>
            <w:pPr>
              <w:spacing w:after="0"/>
              <w:rPr>
                <w:sz w:val="15"/>
                <w:szCs w:val="15"/>
                <w:color w:val="auto"/>
              </w:rPr>
            </w:pPr>
          </w:p>
        </w:tc>
        <w:tc>
          <w:tcPr>
            <w:tcW w:w="1060" w:type="dxa"/>
            <w:vAlign w:val="bottom"/>
            <w:tcBorders>
              <w:top w:val="single" w:sz="8" w:color="4D8ABE"/>
            </w:tcBorders>
          </w:tcPr>
          <w:p>
            <w:pPr>
              <w:spacing w:after="0"/>
              <w:rPr>
                <w:sz w:val="15"/>
                <w:szCs w:val="15"/>
                <w:color w:val="auto"/>
              </w:rPr>
            </w:pPr>
          </w:p>
        </w:tc>
        <w:tc>
          <w:tcPr>
            <w:tcW w:w="80" w:type="dxa"/>
            <w:vAlign w:val="bottom"/>
            <w:tcBorders>
              <w:top w:val="single" w:sz="8" w:color="4D8ABE"/>
            </w:tcBorders>
          </w:tcPr>
          <w:p>
            <w:pPr>
              <w:spacing w:after="0"/>
              <w:rPr>
                <w:sz w:val="15"/>
                <w:szCs w:val="15"/>
                <w:color w:val="auto"/>
              </w:rPr>
            </w:pPr>
          </w:p>
        </w:tc>
        <w:tc>
          <w:tcPr>
            <w:tcW w:w="200" w:type="dxa"/>
            <w:vAlign w:val="bottom"/>
            <w:tcBorders>
              <w:top w:val="single" w:sz="8" w:color="4D8ABE"/>
            </w:tcBorders>
          </w:tcPr>
          <w:p>
            <w:pPr>
              <w:spacing w:after="0"/>
              <w:rPr>
                <w:sz w:val="15"/>
                <w:szCs w:val="15"/>
                <w:color w:val="auto"/>
              </w:rPr>
            </w:pPr>
          </w:p>
        </w:tc>
        <w:tc>
          <w:tcPr>
            <w:tcW w:w="580" w:type="dxa"/>
            <w:vAlign w:val="bottom"/>
            <w:tcBorders>
              <w:top w:val="single" w:sz="8" w:color="4D8ABE"/>
            </w:tcBorders>
          </w:tcPr>
          <w:p>
            <w:pPr>
              <w:spacing w:after="0"/>
              <w:rPr>
                <w:sz w:val="15"/>
                <w:szCs w:val="15"/>
                <w:color w:val="auto"/>
              </w:rPr>
            </w:pPr>
          </w:p>
        </w:tc>
        <w:tc>
          <w:tcPr>
            <w:tcW w:w="220" w:type="dxa"/>
            <w:vAlign w:val="bottom"/>
            <w:tcBorders>
              <w:top w:val="single" w:sz="8" w:color="4D8ABE"/>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Prices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Prices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in Active</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in Active</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Markets</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4D8ABE"/>
              </w:rPr>
              <w:t>Significant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Markets</w:t>
            </w:r>
          </w:p>
        </w:tc>
        <w:tc>
          <w:tcPr>
            <w:tcW w:w="20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4D8ABE"/>
              </w:rPr>
              <w:t>Significant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for</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4D8ABE"/>
              </w:rPr>
              <w:t>Other</w:t>
            </w:r>
          </w:p>
        </w:tc>
        <w:tc>
          <w:tcPr>
            <w:tcW w:w="220" w:type="dxa"/>
            <w:vAlign w:val="bottom"/>
          </w:tcPr>
          <w:p>
            <w:pPr>
              <w:spacing w:after="0"/>
              <w:rPr>
                <w:sz w:val="15"/>
                <w:szCs w:val="15"/>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b w:val="1"/>
                <w:bCs w:val="1"/>
                <w:color w:val="4D8ABE"/>
              </w:rPr>
              <w:t>Significant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for</w:t>
            </w:r>
          </w:p>
        </w:tc>
        <w:tc>
          <w:tcPr>
            <w:tcW w:w="20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4D8ABE"/>
              </w:rPr>
              <w:t>Other</w:t>
            </w:r>
          </w:p>
        </w:tc>
        <w:tc>
          <w:tcPr>
            <w:tcW w:w="2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4D8ABE"/>
              </w:rPr>
              <w:t>Significant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Identical</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4D8ABE"/>
                <w:w w:val="96"/>
              </w:rPr>
              <w:t>Observable</w:t>
            </w:r>
          </w:p>
        </w:tc>
        <w:tc>
          <w:tcPr>
            <w:tcW w:w="220" w:type="dxa"/>
            <w:vAlign w:val="bottom"/>
          </w:tcPr>
          <w:p>
            <w:pPr>
              <w:spacing w:after="0"/>
              <w:rPr>
                <w:sz w:val="15"/>
                <w:szCs w:val="15"/>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b w:val="1"/>
                <w:bCs w:val="1"/>
                <w:color w:val="4D8ABE"/>
                <w:w w:val="97"/>
              </w:rPr>
              <w:t>Unobservable</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Identical</w:t>
            </w:r>
          </w:p>
        </w:tc>
        <w:tc>
          <w:tcPr>
            <w:tcW w:w="20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4D8ABE"/>
                <w:w w:val="96"/>
              </w:rPr>
              <w:t>Observable</w:t>
            </w:r>
          </w:p>
        </w:tc>
        <w:tc>
          <w:tcPr>
            <w:tcW w:w="2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4D8ABE"/>
                <w:w w:val="97"/>
              </w:rPr>
              <w:t>Unobservable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4D8ABE"/>
                <w:w w:val="97"/>
              </w:rPr>
              <w:t>December</w:t>
            </w: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Assets</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4D8ABE"/>
              </w:rPr>
              <w:t>Inputs</w:t>
            </w:r>
          </w:p>
        </w:tc>
        <w:tc>
          <w:tcPr>
            <w:tcW w:w="220" w:type="dxa"/>
            <w:vAlign w:val="bottom"/>
          </w:tcPr>
          <w:p>
            <w:pPr>
              <w:spacing w:after="0"/>
              <w:rPr>
                <w:sz w:val="15"/>
                <w:szCs w:val="15"/>
                <w:color w:val="auto"/>
              </w:rPr>
            </w:pPr>
          </w:p>
        </w:tc>
        <w:tc>
          <w:tcPr>
            <w:tcW w:w="1140" w:type="dxa"/>
            <w:vAlign w:val="bottom"/>
          </w:tcPr>
          <w:p>
            <w:pPr>
              <w:jc w:val="right"/>
              <w:ind w:right="150"/>
              <w:spacing w:after="0"/>
              <w:rPr>
                <w:sz w:val="20"/>
                <w:szCs w:val="20"/>
                <w:color w:val="auto"/>
              </w:rPr>
            </w:pPr>
            <w:r>
              <w:rPr>
                <w:rFonts w:ascii="Arial" w:cs="Arial" w:eastAsia="Arial" w:hAnsi="Arial"/>
                <w:sz w:val="14"/>
                <w:szCs w:val="14"/>
                <w:b w:val="1"/>
                <w:bCs w:val="1"/>
                <w:color w:val="4D8ABE"/>
              </w:rPr>
              <w:t>Inputs</w:t>
            </w:r>
          </w:p>
        </w:tc>
        <w:tc>
          <w:tcPr>
            <w:tcW w:w="200" w:type="dxa"/>
            <w:vAlign w:val="bottom"/>
          </w:tcPr>
          <w:p>
            <w:pPr>
              <w:spacing w:after="0"/>
              <w:rPr>
                <w:sz w:val="15"/>
                <w:szCs w:val="15"/>
                <w:color w:val="auto"/>
              </w:rPr>
            </w:pPr>
          </w:p>
        </w:tc>
        <w:tc>
          <w:tcPr>
            <w:tcW w:w="80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4D8ABE"/>
              </w:rPr>
              <w:t>Total</w:t>
            </w:r>
          </w:p>
        </w:tc>
        <w:tc>
          <w:tcPr>
            <w:tcW w:w="1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4D8ABE"/>
                <w:w w:val="97"/>
              </w:rPr>
              <w:t>December</w:t>
            </w: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b w:val="1"/>
                <w:bCs w:val="1"/>
                <w:color w:val="4D8ABE"/>
              </w:rPr>
              <w:t>Assets</w:t>
            </w:r>
          </w:p>
        </w:tc>
        <w:tc>
          <w:tcPr>
            <w:tcW w:w="20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4D8ABE"/>
              </w:rPr>
              <w:t>Inputs</w:t>
            </w:r>
          </w:p>
        </w:tc>
        <w:tc>
          <w:tcPr>
            <w:tcW w:w="2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4D8ABE"/>
              </w:rPr>
              <w:t>Inputs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4D8ABE"/>
              </w:rPr>
              <w:t>Total</w:t>
            </w:r>
          </w:p>
        </w:tc>
        <w:tc>
          <w:tcPr>
            <w:tcW w:w="0" w:type="dxa"/>
            <w:vAlign w:val="bottom"/>
          </w:tcPr>
          <w:p>
            <w:pPr>
              <w:spacing w:after="0"/>
              <w:rPr>
                <w:sz w:val="1"/>
                <w:szCs w:val="1"/>
                <w:color w:val="auto"/>
              </w:rPr>
            </w:pPr>
          </w:p>
        </w:tc>
      </w:tr>
      <w:tr>
        <w:trPr>
          <w:trHeight w:val="178"/>
        </w:trPr>
        <w:tc>
          <w:tcPr>
            <w:tcW w:w="900" w:type="dxa"/>
            <w:vAlign w:val="bottom"/>
            <w:tcBorders>
              <w:bottom w:val="single" w:sz="8" w:color="4D8ABE"/>
            </w:tcBorders>
          </w:tcPr>
          <w:p>
            <w:pPr>
              <w:spacing w:after="0"/>
              <w:rPr>
                <w:sz w:val="15"/>
                <w:szCs w:val="15"/>
                <w:color w:val="auto"/>
              </w:rPr>
            </w:pPr>
          </w:p>
        </w:tc>
        <w:tc>
          <w:tcPr>
            <w:tcW w:w="780" w:type="dxa"/>
            <w:vAlign w:val="bottom"/>
            <w:tcBorders>
              <w:bottom w:val="single" w:sz="8" w:color="4D8ABE"/>
            </w:tcBorders>
          </w:tcPr>
          <w:p>
            <w:pPr>
              <w:jc w:val="right"/>
              <w:ind w:right="29"/>
              <w:spacing w:after="0"/>
              <w:rPr>
                <w:sz w:val="20"/>
                <w:szCs w:val="20"/>
                <w:color w:val="auto"/>
              </w:rPr>
            </w:pPr>
            <w:r>
              <w:rPr>
                <w:rFonts w:ascii="Arial" w:cs="Arial" w:eastAsia="Arial" w:hAnsi="Arial"/>
                <w:sz w:val="14"/>
                <w:szCs w:val="14"/>
                <w:b w:val="1"/>
                <w:bCs w:val="1"/>
                <w:color w:val="4D8ABE"/>
              </w:rPr>
              <w:t>31, 2009</w:t>
            </w:r>
          </w:p>
        </w:tc>
        <w:tc>
          <w:tcPr>
            <w:tcW w:w="260" w:type="dxa"/>
            <w:vAlign w:val="bottom"/>
            <w:tcBorders>
              <w:bottom w:val="single" w:sz="8" w:color="4D8ABE"/>
            </w:tcBorders>
          </w:tcPr>
          <w:p>
            <w:pPr>
              <w:spacing w:after="0"/>
              <w:rPr>
                <w:sz w:val="15"/>
                <w:szCs w:val="15"/>
                <w:color w:val="auto"/>
              </w:rPr>
            </w:pPr>
          </w:p>
        </w:tc>
        <w:tc>
          <w:tcPr>
            <w:tcW w:w="760" w:type="dxa"/>
            <w:vAlign w:val="bottom"/>
            <w:tcBorders>
              <w:bottom w:val="single" w:sz="8" w:color="4D8ABE"/>
            </w:tcBorders>
          </w:tcPr>
          <w:p>
            <w:pPr>
              <w:jc w:val="right"/>
              <w:ind w:right="10"/>
              <w:spacing w:after="0"/>
              <w:rPr>
                <w:sz w:val="20"/>
                <w:szCs w:val="20"/>
                <w:color w:val="auto"/>
              </w:rPr>
            </w:pPr>
            <w:r>
              <w:rPr>
                <w:rFonts w:ascii="Arial" w:cs="Arial" w:eastAsia="Arial" w:hAnsi="Arial"/>
                <w:sz w:val="14"/>
                <w:szCs w:val="14"/>
                <w:b w:val="1"/>
                <w:bCs w:val="1"/>
                <w:color w:val="4D8ABE"/>
              </w:rPr>
              <w:t>(Level 1)</w:t>
            </w:r>
          </w:p>
        </w:tc>
        <w:tc>
          <w:tcPr>
            <w:tcW w:w="200" w:type="dxa"/>
            <w:vAlign w:val="bottom"/>
            <w:tcBorders>
              <w:bottom w:val="single" w:sz="8" w:color="4D8ABE"/>
            </w:tcBorders>
          </w:tcPr>
          <w:p>
            <w:pPr>
              <w:spacing w:after="0"/>
              <w:rPr>
                <w:sz w:val="15"/>
                <w:szCs w:val="15"/>
                <w:color w:val="auto"/>
              </w:rPr>
            </w:pPr>
          </w:p>
        </w:tc>
        <w:tc>
          <w:tcPr>
            <w:tcW w:w="860" w:type="dxa"/>
            <w:vAlign w:val="bottom"/>
            <w:tcBorders>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(Level 2)</w:t>
            </w:r>
          </w:p>
        </w:tc>
        <w:tc>
          <w:tcPr>
            <w:tcW w:w="220" w:type="dxa"/>
            <w:vAlign w:val="bottom"/>
            <w:tcBorders>
              <w:bottom w:val="single" w:sz="8" w:color="4D8ABE"/>
            </w:tcBorders>
          </w:tcPr>
          <w:p>
            <w:pPr>
              <w:spacing w:after="0"/>
              <w:rPr>
                <w:sz w:val="15"/>
                <w:szCs w:val="15"/>
                <w:color w:val="auto"/>
              </w:rPr>
            </w:pPr>
          </w:p>
        </w:tc>
        <w:tc>
          <w:tcPr>
            <w:tcW w:w="1140" w:type="dxa"/>
            <w:vAlign w:val="bottom"/>
            <w:tcBorders>
              <w:bottom w:val="single" w:sz="8" w:color="4D8ABE"/>
            </w:tcBorders>
          </w:tcPr>
          <w:p>
            <w:pPr>
              <w:jc w:val="right"/>
              <w:ind w:right="110"/>
              <w:spacing w:after="0"/>
              <w:rPr>
                <w:sz w:val="20"/>
                <w:szCs w:val="20"/>
                <w:color w:val="auto"/>
              </w:rPr>
            </w:pPr>
            <w:r>
              <w:rPr>
                <w:rFonts w:ascii="Arial" w:cs="Arial" w:eastAsia="Arial" w:hAnsi="Arial"/>
                <w:sz w:val="14"/>
                <w:szCs w:val="14"/>
                <w:b w:val="1"/>
                <w:bCs w:val="1"/>
                <w:color w:val="4D8ABE"/>
              </w:rPr>
              <w:t>(Level 3)</w:t>
            </w:r>
          </w:p>
        </w:tc>
        <w:tc>
          <w:tcPr>
            <w:tcW w:w="200" w:type="dxa"/>
            <w:vAlign w:val="bottom"/>
            <w:tcBorders>
              <w:bottom w:val="single" w:sz="8" w:color="4D8ABE"/>
            </w:tcBorders>
          </w:tcPr>
          <w:p>
            <w:pPr>
              <w:spacing w:after="0"/>
              <w:rPr>
                <w:sz w:val="15"/>
                <w:szCs w:val="15"/>
                <w:color w:val="auto"/>
              </w:rPr>
            </w:pPr>
          </w:p>
        </w:tc>
        <w:tc>
          <w:tcPr>
            <w:tcW w:w="580" w:type="dxa"/>
            <w:vAlign w:val="bottom"/>
            <w:tcBorders>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Losses</w:t>
            </w:r>
          </w:p>
        </w:tc>
        <w:tc>
          <w:tcPr>
            <w:tcW w:w="220" w:type="dxa"/>
            <w:vAlign w:val="bottom"/>
            <w:tcBorders>
              <w:bottom w:val="single" w:sz="8" w:color="E6EFFF"/>
            </w:tcBorders>
          </w:tcPr>
          <w:p>
            <w:pPr>
              <w:spacing w:after="0"/>
              <w:rPr>
                <w:sz w:val="15"/>
                <w:szCs w:val="15"/>
                <w:color w:val="auto"/>
              </w:rPr>
            </w:pPr>
          </w:p>
        </w:tc>
        <w:tc>
          <w:tcPr>
            <w:tcW w:w="100" w:type="dxa"/>
            <w:vAlign w:val="bottom"/>
            <w:tcBorders>
              <w:bottom w:val="single" w:sz="8" w:color="4D8ABE"/>
            </w:tcBorders>
          </w:tcPr>
          <w:p>
            <w:pPr>
              <w:spacing w:after="0"/>
              <w:rPr>
                <w:sz w:val="15"/>
                <w:szCs w:val="15"/>
                <w:color w:val="auto"/>
              </w:rPr>
            </w:pPr>
          </w:p>
        </w:tc>
        <w:tc>
          <w:tcPr>
            <w:tcW w:w="780" w:type="dxa"/>
            <w:vAlign w:val="bottom"/>
            <w:tcBorders>
              <w:bottom w:val="single" w:sz="8" w:color="4D8ABE"/>
            </w:tcBorders>
          </w:tcPr>
          <w:p>
            <w:pPr>
              <w:jc w:val="right"/>
              <w:ind w:right="28"/>
              <w:spacing w:after="0"/>
              <w:rPr>
                <w:sz w:val="20"/>
                <w:szCs w:val="20"/>
                <w:color w:val="auto"/>
              </w:rPr>
            </w:pPr>
            <w:r>
              <w:rPr>
                <w:rFonts w:ascii="Arial" w:cs="Arial" w:eastAsia="Arial" w:hAnsi="Arial"/>
                <w:sz w:val="14"/>
                <w:szCs w:val="14"/>
                <w:b w:val="1"/>
                <w:bCs w:val="1"/>
                <w:color w:val="4D8ABE"/>
              </w:rPr>
              <w:t>31, 2008</w:t>
            </w:r>
          </w:p>
        </w:tc>
        <w:tc>
          <w:tcPr>
            <w:tcW w:w="260" w:type="dxa"/>
            <w:vAlign w:val="bottom"/>
            <w:tcBorders>
              <w:bottom w:val="single" w:sz="8" w:color="4D8ABE"/>
            </w:tcBorders>
          </w:tcPr>
          <w:p>
            <w:pPr>
              <w:spacing w:after="0"/>
              <w:rPr>
                <w:sz w:val="15"/>
                <w:szCs w:val="15"/>
                <w:color w:val="auto"/>
              </w:rPr>
            </w:pPr>
          </w:p>
        </w:tc>
        <w:tc>
          <w:tcPr>
            <w:tcW w:w="760" w:type="dxa"/>
            <w:vAlign w:val="bottom"/>
            <w:tcBorders>
              <w:bottom w:val="single" w:sz="8" w:color="4D8ABE"/>
            </w:tcBorders>
          </w:tcPr>
          <w:p>
            <w:pPr>
              <w:jc w:val="right"/>
              <w:ind w:right="10"/>
              <w:spacing w:after="0"/>
              <w:rPr>
                <w:sz w:val="20"/>
                <w:szCs w:val="20"/>
                <w:color w:val="auto"/>
              </w:rPr>
            </w:pPr>
            <w:r>
              <w:rPr>
                <w:rFonts w:ascii="Arial" w:cs="Arial" w:eastAsia="Arial" w:hAnsi="Arial"/>
                <w:sz w:val="14"/>
                <w:szCs w:val="14"/>
                <w:b w:val="1"/>
                <w:bCs w:val="1"/>
                <w:color w:val="4D8ABE"/>
              </w:rPr>
              <w:t>(Level 1)</w:t>
            </w:r>
          </w:p>
        </w:tc>
        <w:tc>
          <w:tcPr>
            <w:tcW w:w="200" w:type="dxa"/>
            <w:vAlign w:val="bottom"/>
            <w:tcBorders>
              <w:bottom w:val="single" w:sz="8" w:color="4D8ABE"/>
            </w:tcBorders>
          </w:tcPr>
          <w:p>
            <w:pPr>
              <w:spacing w:after="0"/>
              <w:rPr>
                <w:sz w:val="15"/>
                <w:szCs w:val="15"/>
                <w:color w:val="auto"/>
              </w:rPr>
            </w:pPr>
          </w:p>
        </w:tc>
        <w:tc>
          <w:tcPr>
            <w:tcW w:w="860" w:type="dxa"/>
            <w:vAlign w:val="bottom"/>
            <w:tcBorders>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(Level 2)</w:t>
            </w:r>
          </w:p>
        </w:tc>
        <w:tc>
          <w:tcPr>
            <w:tcW w:w="220" w:type="dxa"/>
            <w:vAlign w:val="bottom"/>
            <w:tcBorders>
              <w:bottom w:val="single" w:sz="8" w:color="4D8ABE"/>
            </w:tcBorders>
          </w:tcPr>
          <w:p>
            <w:pPr>
              <w:spacing w:after="0"/>
              <w:rPr>
                <w:sz w:val="15"/>
                <w:szCs w:val="15"/>
                <w:color w:val="auto"/>
              </w:rPr>
            </w:pPr>
          </w:p>
        </w:tc>
        <w:tc>
          <w:tcPr>
            <w:tcW w:w="1060" w:type="dxa"/>
            <w:vAlign w:val="bottom"/>
            <w:tcBorders>
              <w:bottom w:val="single" w:sz="8" w:color="4D8ABE"/>
            </w:tcBorders>
          </w:tcPr>
          <w:p>
            <w:pPr>
              <w:jc w:val="right"/>
              <w:ind w:right="29"/>
              <w:spacing w:after="0"/>
              <w:rPr>
                <w:sz w:val="20"/>
                <w:szCs w:val="20"/>
                <w:color w:val="auto"/>
              </w:rPr>
            </w:pPr>
            <w:r>
              <w:rPr>
                <w:rFonts w:ascii="Arial" w:cs="Arial" w:eastAsia="Arial" w:hAnsi="Arial"/>
                <w:sz w:val="14"/>
                <w:szCs w:val="14"/>
                <w:b w:val="1"/>
                <w:bCs w:val="1"/>
                <w:color w:val="4D8ABE"/>
              </w:rPr>
              <w:t>(Level 3)</w:t>
            </w:r>
          </w:p>
        </w:tc>
        <w:tc>
          <w:tcPr>
            <w:tcW w:w="80" w:type="dxa"/>
            <w:vAlign w:val="bottom"/>
            <w:tcBorders>
              <w:bottom w:val="single" w:sz="8" w:color="4D8ABE"/>
            </w:tcBorders>
          </w:tcPr>
          <w:p>
            <w:pPr>
              <w:spacing w:after="0"/>
              <w:rPr>
                <w:sz w:val="15"/>
                <w:szCs w:val="15"/>
                <w:color w:val="auto"/>
              </w:rPr>
            </w:pPr>
          </w:p>
        </w:tc>
        <w:tc>
          <w:tcPr>
            <w:tcW w:w="200" w:type="dxa"/>
            <w:vAlign w:val="bottom"/>
            <w:tcBorders>
              <w:bottom w:val="single" w:sz="8" w:color="4D8ABE"/>
            </w:tcBorders>
          </w:tcPr>
          <w:p>
            <w:pPr>
              <w:spacing w:after="0"/>
              <w:rPr>
                <w:sz w:val="15"/>
                <w:szCs w:val="15"/>
                <w:color w:val="auto"/>
              </w:rPr>
            </w:pPr>
          </w:p>
        </w:tc>
        <w:tc>
          <w:tcPr>
            <w:tcW w:w="800" w:type="dxa"/>
            <w:vAlign w:val="bottom"/>
            <w:tcBorders>
              <w:bottom w:val="single" w:sz="8" w:color="4D8ABE"/>
            </w:tcBorders>
            <w:gridSpan w:val="2"/>
          </w:tcPr>
          <w:p>
            <w:pPr>
              <w:jc w:val="right"/>
              <w:ind w:right="183"/>
              <w:spacing w:after="0"/>
              <w:rPr>
                <w:sz w:val="20"/>
                <w:szCs w:val="20"/>
                <w:color w:val="auto"/>
              </w:rPr>
            </w:pPr>
            <w:r>
              <w:rPr>
                <w:rFonts w:ascii="Arial" w:cs="Arial" w:eastAsia="Arial" w:hAnsi="Arial"/>
                <w:sz w:val="14"/>
                <w:szCs w:val="14"/>
                <w:b w:val="1"/>
                <w:bCs w:val="1"/>
                <w:color w:val="4D8ABE"/>
              </w:rPr>
              <w:t>Losses</w:t>
            </w:r>
          </w:p>
        </w:tc>
        <w:tc>
          <w:tcPr>
            <w:tcW w:w="0" w:type="dxa"/>
            <w:vAlign w:val="bottom"/>
          </w:tcPr>
          <w:p>
            <w:pPr>
              <w:spacing w:after="0"/>
              <w:rPr>
                <w:sz w:val="1"/>
                <w:szCs w:val="1"/>
                <w:color w:val="auto"/>
              </w:rPr>
            </w:pPr>
          </w:p>
        </w:tc>
      </w:tr>
      <w:tr>
        <w:trPr>
          <w:trHeight w:val="175"/>
        </w:trPr>
        <w:tc>
          <w:tcPr>
            <w:tcW w:w="900" w:type="dxa"/>
            <w:vAlign w:val="bottom"/>
            <w:shd w:val="clear" w:color="auto" w:fill="E6EFFF"/>
          </w:tcPr>
          <w:p>
            <w:pPr>
              <w:spacing w:after="0"/>
              <w:rPr>
                <w:sz w:val="20"/>
                <w:szCs w:val="20"/>
                <w:color w:val="auto"/>
              </w:rPr>
            </w:pPr>
            <w:r>
              <w:rPr>
                <w:rFonts w:ascii="Arial" w:cs="Arial" w:eastAsia="Arial" w:hAnsi="Arial"/>
                <w:sz w:val="15"/>
                <w:szCs w:val="15"/>
                <w:color w:val="auto"/>
              </w:rPr>
              <w:t>Goodwill   $</w:t>
            </w:r>
          </w:p>
        </w:tc>
        <w:tc>
          <w:tcPr>
            <w:tcW w:w="780" w:type="dxa"/>
            <w:vAlign w:val="bottom"/>
            <w:shd w:val="clear" w:color="auto" w:fill="E6EFFF"/>
          </w:tcPr>
          <w:p>
            <w:pPr>
              <w:jc w:val="right"/>
              <w:ind w:right="29"/>
              <w:spacing w:after="0"/>
              <w:rPr>
                <w:sz w:val="20"/>
                <w:szCs w:val="20"/>
                <w:color w:val="auto"/>
              </w:rPr>
            </w:pPr>
            <w:r>
              <w:rPr>
                <w:rFonts w:ascii="Arial" w:cs="Arial" w:eastAsia="Arial" w:hAnsi="Arial"/>
                <w:sz w:val="15"/>
                <w:szCs w:val="15"/>
                <w:color w:val="auto"/>
              </w:rPr>
              <w:t>959.1</w:t>
            </w:r>
          </w:p>
        </w:tc>
        <w:tc>
          <w:tcPr>
            <w:tcW w:w="26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6EFFF"/>
          </w:tcPr>
          <w:p>
            <w:pPr>
              <w:jc w:val="right"/>
              <w:ind w:right="50"/>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FFF"/>
          </w:tcPr>
          <w:p>
            <w:pPr>
              <w:jc w:val="right"/>
              <w:ind w:right="30"/>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E6EFFF"/>
          </w:tcPr>
          <w:p>
            <w:pPr>
              <w:jc w:val="right"/>
              <w:ind w:right="150"/>
              <w:spacing w:after="0"/>
              <w:rPr>
                <w:sz w:val="20"/>
                <w:szCs w:val="20"/>
                <w:color w:val="auto"/>
              </w:rPr>
            </w:pPr>
            <w:r>
              <w:rPr>
                <w:rFonts w:ascii="Arial" w:cs="Arial" w:eastAsia="Arial" w:hAnsi="Arial"/>
                <w:sz w:val="15"/>
                <w:szCs w:val="15"/>
                <w:color w:val="auto"/>
              </w:rPr>
              <w:t>959.1</w:t>
            </w:r>
          </w:p>
        </w:tc>
        <w:tc>
          <w:tcPr>
            <w:tcW w:w="20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E6E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6EFFF"/>
          </w:tcPr>
          <w:p>
            <w:pPr>
              <w:jc w:val="right"/>
              <w:ind w:right="28"/>
              <w:spacing w:after="0"/>
              <w:rPr>
                <w:sz w:val="20"/>
                <w:szCs w:val="20"/>
                <w:color w:val="auto"/>
              </w:rPr>
            </w:pPr>
            <w:r>
              <w:rPr>
                <w:rFonts w:ascii="Arial" w:cs="Arial" w:eastAsia="Arial" w:hAnsi="Arial"/>
                <w:sz w:val="15"/>
                <w:szCs w:val="15"/>
                <w:color w:val="auto"/>
              </w:rPr>
              <w:t>972.9</w:t>
            </w:r>
          </w:p>
        </w:tc>
        <w:tc>
          <w:tcPr>
            <w:tcW w:w="26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6EFFF"/>
          </w:tcPr>
          <w:p>
            <w:pPr>
              <w:jc w:val="right"/>
              <w:ind w:right="50"/>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FFF"/>
          </w:tcPr>
          <w:p>
            <w:pPr>
              <w:jc w:val="right"/>
              <w:ind w:right="29"/>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E6EFFF"/>
          </w:tcPr>
          <w:p>
            <w:pPr>
              <w:jc w:val="right"/>
              <w:ind w:right="69"/>
              <w:spacing w:after="0"/>
              <w:rPr>
                <w:sz w:val="20"/>
                <w:szCs w:val="20"/>
                <w:color w:val="auto"/>
              </w:rPr>
            </w:pPr>
            <w:r>
              <w:rPr>
                <w:rFonts w:ascii="Arial" w:cs="Arial" w:eastAsia="Arial" w:hAnsi="Arial"/>
                <w:sz w:val="15"/>
                <w:szCs w:val="15"/>
                <w:color w:val="auto"/>
              </w:rPr>
              <w:t>972.9</w:t>
            </w:r>
          </w:p>
        </w:tc>
        <w:tc>
          <w:tcPr>
            <w:tcW w:w="280" w:type="dxa"/>
            <w:vAlign w:val="bottom"/>
            <w:gridSpan w:val="2"/>
            <w:shd w:val="clear" w:color="auto" w:fill="E6EFFF"/>
          </w:tcPr>
          <w:p>
            <w:pPr>
              <w:jc w:val="right"/>
              <w:ind w:right="1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(140.8</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20"/>
                <w:szCs w:val="20"/>
                <w:color w:val="auto"/>
              </w:rPr>
            </w:pPr>
            <w:r>
              <w:rPr>
                <w:rFonts w:ascii="Arial" w:cs="Arial" w:eastAsia="Arial" w:hAnsi="Arial"/>
                <w:sz w:val="15"/>
                <w:szCs w:val="15"/>
                <w:color w:val="auto"/>
              </w:rPr>
              <w:t>Tradename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171.2</w:t>
            </w:r>
          </w:p>
        </w:tc>
        <w:tc>
          <w:tcPr>
            <w:tcW w:w="26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5"/>
                <w:szCs w:val="15"/>
                <w:color w:val="auto"/>
              </w:rPr>
              <w:t>171.2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43"/>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
        </w:trPr>
        <w:tc>
          <w:tcPr>
            <w:tcW w:w="900" w:type="dxa"/>
            <w:vAlign w:val="bottom"/>
            <w:shd w:val="clear" w:color="auto" w:fill="E6EFFF"/>
          </w:tcPr>
          <w:p>
            <w:pPr>
              <w:spacing w:after="0" w:line="20" w:lineRule="exact"/>
              <w:rPr>
                <w:sz w:val="1"/>
                <w:szCs w:val="1"/>
                <w:color w:val="auto"/>
              </w:rPr>
            </w:pPr>
          </w:p>
        </w:tc>
        <w:tc>
          <w:tcPr>
            <w:tcW w:w="780" w:type="dxa"/>
            <w:vAlign w:val="bottom"/>
            <w:shd w:val="clear" w:color="auto" w:fill="E6EFFF"/>
          </w:tcPr>
          <w:p>
            <w:pPr>
              <w:spacing w:after="0" w:line="20" w:lineRule="exact"/>
              <w:rPr>
                <w:sz w:val="1"/>
                <w:szCs w:val="1"/>
                <w:color w:val="auto"/>
              </w:rPr>
            </w:pPr>
          </w:p>
        </w:tc>
        <w:tc>
          <w:tcPr>
            <w:tcW w:w="260" w:type="dxa"/>
            <w:vAlign w:val="bottom"/>
            <w:shd w:val="clear" w:color="auto" w:fill="E6EFFF"/>
          </w:tcPr>
          <w:p>
            <w:pPr>
              <w:spacing w:after="0" w:line="20" w:lineRule="exact"/>
              <w:rPr>
                <w:sz w:val="1"/>
                <w:szCs w:val="1"/>
                <w:color w:val="auto"/>
              </w:rPr>
            </w:pPr>
          </w:p>
        </w:tc>
        <w:tc>
          <w:tcPr>
            <w:tcW w:w="760" w:type="dxa"/>
            <w:vAlign w:val="bottom"/>
            <w:shd w:val="clear" w:color="auto" w:fill="E6EFFF"/>
          </w:tcPr>
          <w:p>
            <w:pPr>
              <w:spacing w:after="0" w:line="20" w:lineRule="exact"/>
              <w:rPr>
                <w:sz w:val="1"/>
                <w:szCs w:val="1"/>
                <w:color w:val="auto"/>
              </w:rPr>
            </w:pPr>
          </w:p>
        </w:tc>
        <w:tc>
          <w:tcPr>
            <w:tcW w:w="200" w:type="dxa"/>
            <w:vAlign w:val="bottom"/>
            <w:shd w:val="clear" w:color="auto" w:fill="E6EFFF"/>
          </w:tcPr>
          <w:p>
            <w:pPr>
              <w:spacing w:after="0" w:line="20" w:lineRule="exact"/>
              <w:rPr>
                <w:sz w:val="1"/>
                <w:szCs w:val="1"/>
                <w:color w:val="auto"/>
              </w:rPr>
            </w:pPr>
          </w:p>
        </w:tc>
        <w:tc>
          <w:tcPr>
            <w:tcW w:w="860" w:type="dxa"/>
            <w:vAlign w:val="bottom"/>
            <w:shd w:val="clear" w:color="auto" w:fill="E6EFFF"/>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140" w:type="dxa"/>
            <w:vAlign w:val="bottom"/>
            <w:shd w:val="clear" w:color="auto" w:fill="E6E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6EFFF"/>
          </w:tcPr>
          <w:p>
            <w:pPr>
              <w:jc w:val="right"/>
              <w:ind w:right="143"/>
              <w:spacing w:after="0"/>
              <w:rPr>
                <w:sz w:val="20"/>
                <w:szCs w:val="20"/>
                <w:color w:val="auto"/>
              </w:rPr>
            </w:pPr>
            <w:r>
              <w:rPr>
                <w:rFonts w:ascii="Arial" w:cs="Arial" w:eastAsia="Arial" w:hAnsi="Arial"/>
                <w:sz w:val="7"/>
                <w:szCs w:val="7"/>
                <w:color w:val="auto"/>
                <w:w w:val="83"/>
              </w:rPr>
              <w:t>)</w:t>
            </w:r>
          </w:p>
        </w:tc>
        <w:tc>
          <w:tcPr>
            <w:tcW w:w="100" w:type="dxa"/>
            <w:vAlign w:val="bottom"/>
            <w:shd w:val="clear" w:color="auto" w:fill="E6EFFF"/>
          </w:tcPr>
          <w:p>
            <w:pPr>
              <w:spacing w:after="0" w:line="20" w:lineRule="exact"/>
              <w:rPr>
                <w:sz w:val="1"/>
                <w:szCs w:val="1"/>
                <w:color w:val="auto"/>
              </w:rPr>
            </w:pPr>
          </w:p>
        </w:tc>
        <w:tc>
          <w:tcPr>
            <w:tcW w:w="780" w:type="dxa"/>
            <w:vAlign w:val="bottom"/>
            <w:shd w:val="clear" w:color="auto" w:fill="E6EFFF"/>
          </w:tcPr>
          <w:p>
            <w:pPr>
              <w:spacing w:after="0" w:line="20" w:lineRule="exact"/>
              <w:rPr>
                <w:sz w:val="1"/>
                <w:szCs w:val="1"/>
                <w:color w:val="auto"/>
              </w:rPr>
            </w:pPr>
          </w:p>
        </w:tc>
        <w:tc>
          <w:tcPr>
            <w:tcW w:w="260" w:type="dxa"/>
            <w:vAlign w:val="bottom"/>
            <w:shd w:val="clear" w:color="auto" w:fill="E6EFFF"/>
          </w:tcPr>
          <w:p>
            <w:pPr>
              <w:spacing w:after="0" w:line="20" w:lineRule="exact"/>
              <w:rPr>
                <w:sz w:val="1"/>
                <w:szCs w:val="1"/>
                <w:color w:val="auto"/>
              </w:rPr>
            </w:pPr>
          </w:p>
        </w:tc>
        <w:tc>
          <w:tcPr>
            <w:tcW w:w="760" w:type="dxa"/>
            <w:vAlign w:val="bottom"/>
            <w:shd w:val="clear" w:color="auto" w:fill="E6EFFF"/>
          </w:tcPr>
          <w:p>
            <w:pPr>
              <w:spacing w:after="0" w:line="20" w:lineRule="exact"/>
              <w:rPr>
                <w:sz w:val="1"/>
                <w:szCs w:val="1"/>
                <w:color w:val="auto"/>
              </w:rPr>
            </w:pPr>
          </w:p>
        </w:tc>
        <w:tc>
          <w:tcPr>
            <w:tcW w:w="200" w:type="dxa"/>
            <w:vAlign w:val="bottom"/>
            <w:shd w:val="clear" w:color="auto" w:fill="E6EFFF"/>
          </w:tcPr>
          <w:p>
            <w:pPr>
              <w:spacing w:after="0" w:line="20" w:lineRule="exact"/>
              <w:rPr>
                <w:sz w:val="1"/>
                <w:szCs w:val="1"/>
                <w:color w:val="auto"/>
              </w:rPr>
            </w:pPr>
          </w:p>
        </w:tc>
        <w:tc>
          <w:tcPr>
            <w:tcW w:w="860" w:type="dxa"/>
            <w:vAlign w:val="bottom"/>
            <w:shd w:val="clear" w:color="auto" w:fill="E6EFFF"/>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060" w:type="dxa"/>
            <w:vAlign w:val="bottom"/>
            <w:shd w:val="clear" w:color="auto" w:fill="E6EFFF"/>
          </w:tcPr>
          <w:p>
            <w:pPr>
              <w:spacing w:after="0" w:line="20" w:lineRule="exact"/>
              <w:rPr>
                <w:sz w:val="1"/>
                <w:szCs w:val="1"/>
                <w:color w:val="auto"/>
              </w:rPr>
            </w:pPr>
          </w:p>
        </w:tc>
        <w:tc>
          <w:tcPr>
            <w:tcW w:w="80" w:type="dxa"/>
            <w:vAlign w:val="bottom"/>
            <w:shd w:val="clear" w:color="auto" w:fill="E6E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6EFFF"/>
          </w:tcPr>
          <w:p>
            <w:pPr>
              <w:jc w:val="right"/>
              <w:ind w:right="14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line="20" w:lineRule="exact"/>
              <w:rPr>
                <w:sz w:val="1"/>
                <w:szCs w:val="1"/>
                <w:color w:val="auto"/>
              </w:rPr>
            </w:pPr>
          </w:p>
        </w:tc>
      </w:tr>
      <w:tr>
        <w:trPr>
          <w:trHeight w:val="164"/>
        </w:trPr>
        <w:tc>
          <w:tcPr>
            <w:tcW w:w="90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26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8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140" w:type="dxa"/>
            <w:vAlign w:val="bottom"/>
            <w:shd w:val="clear" w:color="auto" w:fill="E6EFFF"/>
          </w:tcPr>
          <w:p>
            <w:pPr>
              <w:spacing w:after="0"/>
              <w:rPr>
                <w:sz w:val="14"/>
                <w:szCs w:val="14"/>
                <w:color w:val="auto"/>
              </w:rPr>
            </w:pPr>
          </w:p>
        </w:tc>
        <w:tc>
          <w:tcPr>
            <w:tcW w:w="200" w:type="dxa"/>
            <w:vAlign w:val="bottom"/>
            <w:shd w:val="clear" w:color="auto" w:fill="E6EFFF"/>
          </w:tcPr>
          <w:p>
            <w:pPr>
              <w:jc w:val="right"/>
              <w:ind w:right="45"/>
              <w:spacing w:after="0" w:line="164"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E6EFFF"/>
          </w:tcPr>
          <w:p>
            <w:pPr>
              <w:jc w:val="right"/>
              <w:spacing w:after="0" w:line="164" w:lineRule="exact"/>
              <w:rPr>
                <w:sz w:val="20"/>
                <w:szCs w:val="20"/>
                <w:color w:val="auto"/>
              </w:rPr>
            </w:pPr>
            <w:r>
              <w:rPr>
                <w:rFonts w:ascii="Arial" w:cs="Arial" w:eastAsia="Arial" w:hAnsi="Arial"/>
                <w:sz w:val="15"/>
                <w:szCs w:val="15"/>
                <w:color w:val="auto"/>
              </w:rPr>
              <w:t>(61.0</w:t>
            </w:r>
          </w:p>
        </w:tc>
        <w:tc>
          <w:tcPr>
            <w:tcW w:w="220" w:type="dxa"/>
            <w:vAlign w:val="bottom"/>
            <w:vMerge w:val="continue"/>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26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8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060" w:type="dxa"/>
            <w:vAlign w:val="bottom"/>
            <w:shd w:val="clear" w:color="auto" w:fill="E6EFFF"/>
          </w:tcPr>
          <w:p>
            <w:pPr>
              <w:spacing w:after="0"/>
              <w:rPr>
                <w:sz w:val="14"/>
                <w:szCs w:val="14"/>
                <w:color w:val="auto"/>
              </w:rPr>
            </w:pPr>
          </w:p>
        </w:tc>
        <w:tc>
          <w:tcPr>
            <w:tcW w:w="280" w:type="dxa"/>
            <w:vAlign w:val="bottom"/>
            <w:gridSpan w:val="2"/>
            <w:shd w:val="clear" w:color="auto" w:fill="E6EFFF"/>
          </w:tcPr>
          <w:p>
            <w:pPr>
              <w:jc w:val="right"/>
              <w:ind w:right="120"/>
              <w:spacing w:after="0" w:line="164" w:lineRule="exact"/>
              <w:rPr>
                <w:sz w:val="20"/>
                <w:szCs w:val="20"/>
                <w:color w:val="auto"/>
              </w:rPr>
            </w:pPr>
            <w:r>
              <w:rPr>
                <w:rFonts w:ascii="Arial" w:cs="Arial" w:eastAsia="Arial" w:hAnsi="Arial"/>
                <w:sz w:val="15"/>
                <w:szCs w:val="15"/>
                <w:color w:val="auto"/>
              </w:rPr>
              <w:t>$</w:t>
            </w:r>
          </w:p>
        </w:tc>
        <w:tc>
          <w:tcPr>
            <w:tcW w:w="580" w:type="dxa"/>
            <w:vAlign w:val="bottom"/>
            <w:shd w:val="clear" w:color="auto" w:fill="E6EFFF"/>
          </w:tcPr>
          <w:p>
            <w:pPr>
              <w:jc w:val="right"/>
              <w:spacing w:after="0" w:line="164" w:lineRule="exact"/>
              <w:rPr>
                <w:sz w:val="20"/>
                <w:szCs w:val="20"/>
                <w:color w:val="auto"/>
              </w:rPr>
            </w:pPr>
            <w:r>
              <w:rPr>
                <w:rFonts w:ascii="Arial" w:cs="Arial" w:eastAsia="Arial" w:hAnsi="Arial"/>
                <w:sz w:val="15"/>
                <w:szCs w:val="15"/>
                <w:color w:val="auto"/>
              </w:rPr>
              <w:t>(163.</w:t>
            </w:r>
            <w:r>
              <w:rPr>
                <w:rFonts w:ascii="Arial" w:cs="Arial" w:eastAsia="Arial" w:hAnsi="Arial"/>
                <w:sz w:val="15"/>
                <w:szCs w:val="15"/>
                <w:u w:val="single" w:color="auto"/>
                <w:color w:val="auto"/>
              </w:rPr>
              <w:t>1</w:t>
            </w:r>
          </w:p>
        </w:tc>
        <w:tc>
          <w:tcPr>
            <w:tcW w:w="220" w:type="dxa"/>
            <w:vAlign w:val="bottom"/>
            <w:vMerge w:val="continue"/>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900" w:type="dxa"/>
            <w:vAlign w:val="bottom"/>
            <w:shd w:val="clear" w:color="auto" w:fill="E6EFFF"/>
          </w:tcPr>
          <w:p>
            <w:pPr>
              <w:spacing w:after="0" w:line="20" w:lineRule="exact"/>
              <w:rPr>
                <w:sz w:val="1"/>
                <w:szCs w:val="1"/>
                <w:color w:val="auto"/>
              </w:rPr>
            </w:pPr>
          </w:p>
        </w:tc>
        <w:tc>
          <w:tcPr>
            <w:tcW w:w="780" w:type="dxa"/>
            <w:vAlign w:val="bottom"/>
            <w:shd w:val="clear" w:color="auto" w:fill="E6EFFF"/>
          </w:tcPr>
          <w:p>
            <w:pPr>
              <w:spacing w:after="0" w:line="20" w:lineRule="exact"/>
              <w:rPr>
                <w:sz w:val="1"/>
                <w:szCs w:val="1"/>
                <w:color w:val="auto"/>
              </w:rPr>
            </w:pPr>
          </w:p>
        </w:tc>
        <w:tc>
          <w:tcPr>
            <w:tcW w:w="260" w:type="dxa"/>
            <w:vAlign w:val="bottom"/>
            <w:shd w:val="clear" w:color="auto" w:fill="E6EFFF"/>
          </w:tcPr>
          <w:p>
            <w:pPr>
              <w:spacing w:after="0" w:line="20" w:lineRule="exact"/>
              <w:rPr>
                <w:sz w:val="1"/>
                <w:szCs w:val="1"/>
                <w:color w:val="auto"/>
              </w:rPr>
            </w:pPr>
          </w:p>
        </w:tc>
        <w:tc>
          <w:tcPr>
            <w:tcW w:w="760" w:type="dxa"/>
            <w:vAlign w:val="bottom"/>
            <w:shd w:val="clear" w:color="auto" w:fill="E6EFFF"/>
          </w:tcPr>
          <w:p>
            <w:pPr>
              <w:spacing w:after="0" w:line="20" w:lineRule="exact"/>
              <w:rPr>
                <w:sz w:val="1"/>
                <w:szCs w:val="1"/>
                <w:color w:val="auto"/>
              </w:rPr>
            </w:pPr>
          </w:p>
        </w:tc>
        <w:tc>
          <w:tcPr>
            <w:tcW w:w="200" w:type="dxa"/>
            <w:vAlign w:val="bottom"/>
            <w:shd w:val="clear" w:color="auto" w:fill="E6EFFF"/>
          </w:tcPr>
          <w:p>
            <w:pPr>
              <w:spacing w:after="0" w:line="20" w:lineRule="exact"/>
              <w:rPr>
                <w:sz w:val="1"/>
                <w:szCs w:val="1"/>
                <w:color w:val="auto"/>
              </w:rPr>
            </w:pPr>
          </w:p>
        </w:tc>
        <w:tc>
          <w:tcPr>
            <w:tcW w:w="860" w:type="dxa"/>
            <w:vAlign w:val="bottom"/>
            <w:shd w:val="clear" w:color="auto" w:fill="E6EFFF"/>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140" w:type="dxa"/>
            <w:vAlign w:val="bottom"/>
            <w:shd w:val="clear" w:color="auto" w:fill="E6E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00" w:type="dxa"/>
            <w:vAlign w:val="bottom"/>
            <w:shd w:val="clear" w:color="auto" w:fill="E6EFFF"/>
          </w:tcPr>
          <w:p>
            <w:pPr>
              <w:spacing w:after="0" w:line="20" w:lineRule="exact"/>
              <w:rPr>
                <w:sz w:val="1"/>
                <w:szCs w:val="1"/>
                <w:color w:val="auto"/>
              </w:rPr>
            </w:pPr>
          </w:p>
        </w:tc>
        <w:tc>
          <w:tcPr>
            <w:tcW w:w="780" w:type="dxa"/>
            <w:vAlign w:val="bottom"/>
            <w:shd w:val="clear" w:color="auto" w:fill="E6EFFF"/>
          </w:tcPr>
          <w:p>
            <w:pPr>
              <w:spacing w:after="0" w:line="20" w:lineRule="exact"/>
              <w:rPr>
                <w:sz w:val="1"/>
                <w:szCs w:val="1"/>
                <w:color w:val="auto"/>
              </w:rPr>
            </w:pPr>
          </w:p>
        </w:tc>
        <w:tc>
          <w:tcPr>
            <w:tcW w:w="260" w:type="dxa"/>
            <w:vAlign w:val="bottom"/>
            <w:shd w:val="clear" w:color="auto" w:fill="E6EFFF"/>
          </w:tcPr>
          <w:p>
            <w:pPr>
              <w:spacing w:after="0" w:line="20" w:lineRule="exact"/>
              <w:rPr>
                <w:sz w:val="1"/>
                <w:szCs w:val="1"/>
                <w:color w:val="auto"/>
              </w:rPr>
            </w:pPr>
          </w:p>
        </w:tc>
        <w:tc>
          <w:tcPr>
            <w:tcW w:w="760" w:type="dxa"/>
            <w:vAlign w:val="bottom"/>
            <w:shd w:val="clear" w:color="auto" w:fill="E6EFFF"/>
          </w:tcPr>
          <w:p>
            <w:pPr>
              <w:spacing w:after="0" w:line="20" w:lineRule="exact"/>
              <w:rPr>
                <w:sz w:val="1"/>
                <w:szCs w:val="1"/>
                <w:color w:val="auto"/>
              </w:rPr>
            </w:pPr>
          </w:p>
        </w:tc>
        <w:tc>
          <w:tcPr>
            <w:tcW w:w="200" w:type="dxa"/>
            <w:vAlign w:val="bottom"/>
            <w:shd w:val="clear" w:color="auto" w:fill="E6EFFF"/>
          </w:tcPr>
          <w:p>
            <w:pPr>
              <w:spacing w:after="0" w:line="20" w:lineRule="exact"/>
              <w:rPr>
                <w:sz w:val="1"/>
                <w:szCs w:val="1"/>
                <w:color w:val="auto"/>
              </w:rPr>
            </w:pPr>
          </w:p>
        </w:tc>
        <w:tc>
          <w:tcPr>
            <w:tcW w:w="860" w:type="dxa"/>
            <w:vAlign w:val="bottom"/>
            <w:shd w:val="clear" w:color="auto" w:fill="E6EFFF"/>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060" w:type="dxa"/>
            <w:vAlign w:val="bottom"/>
            <w:shd w:val="clear" w:color="auto" w:fill="E6EFFF"/>
          </w:tcPr>
          <w:p>
            <w:pPr>
              <w:spacing w:after="0" w:line="20" w:lineRule="exact"/>
              <w:rPr>
                <w:sz w:val="1"/>
                <w:szCs w:val="1"/>
                <w:color w:val="auto"/>
              </w:rPr>
            </w:pPr>
          </w:p>
        </w:tc>
        <w:tc>
          <w:tcPr>
            <w:tcW w:w="80" w:type="dxa"/>
            <w:vAlign w:val="bottom"/>
            <w:shd w:val="clear" w:color="auto" w:fill="E6E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auto"/>
        </w:rPr>
        <w:t>Goodwill, with a carrying amount of $1,020.1, was written down to its fair value of $959.1 in 2009, resulting in an impairment charge of $61.0. In 2008, Goodwill and tradename with a carrying amount of $1,307.2, were written down to their fair value of $1,144.1, resulting in an impairment charge of $163.1. These charges were included in earnings for the respective years.</w:t>
      </w:r>
    </w:p>
    <w:p>
      <w:pPr>
        <w:spacing w:after="0" w:line="181" w:lineRule="exact"/>
        <w:rPr>
          <w:sz w:val="20"/>
          <w:szCs w:val="20"/>
          <w:color w:val="auto"/>
        </w:rPr>
      </w:pPr>
    </w:p>
    <w:p>
      <w:pPr>
        <w:ind w:left="6260"/>
        <w:spacing w:after="0"/>
        <w:tabs>
          <w:tab w:leader="none" w:pos="932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520"/>
          </w:cols>
          <w:pgMar w:left="240" w:top="111" w:right="1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GOODWILL AND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We have goodwill, amortizable intangible assets and intangible assets that do not require amortization,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Borders>
              <w:bottom w:val="single" w:sz="8" w:color="4D8ABE"/>
              <w:right w:val="single" w:sz="8" w:color="4D8ABE"/>
            </w:tcBorders>
          </w:tcPr>
          <w:p>
            <w:pPr>
              <w:spacing w:after="0"/>
              <w:rPr>
                <w:sz w:val="16"/>
                <w:szCs w:val="16"/>
                <w:color w:val="auto"/>
              </w:rPr>
            </w:pPr>
          </w:p>
        </w:tc>
        <w:tc>
          <w:tcPr>
            <w:tcW w:w="340" w:type="dxa"/>
            <w:vAlign w:val="bottom"/>
            <w:tcBorders>
              <w:bottom w:val="single" w:sz="8" w:color="4D8ABE"/>
            </w:tcBorders>
            <w:shd w:val="clear" w:color="auto" w:fill="4D8ABE"/>
          </w:tcPr>
          <w:p>
            <w:pPr>
              <w:spacing w:after="0"/>
              <w:rPr>
                <w:sz w:val="16"/>
                <w:szCs w:val="16"/>
                <w:color w:val="auto"/>
              </w:rPr>
            </w:pPr>
          </w:p>
        </w:tc>
        <w:tc>
          <w:tcPr>
            <w:tcW w:w="760" w:type="dxa"/>
            <w:vAlign w:val="bottom"/>
            <w:tcBorders>
              <w:bottom w:val="single" w:sz="8" w:color="4D8ABE"/>
            </w:tcBorders>
            <w:shd w:val="clear" w:color="auto" w:fill="4D8ABE"/>
          </w:tcPr>
          <w:p>
            <w:pPr>
              <w:spacing w:after="0"/>
              <w:rPr>
                <w:sz w:val="16"/>
                <w:szCs w:val="16"/>
                <w:color w:val="auto"/>
              </w:rPr>
            </w:pPr>
          </w:p>
        </w:tc>
        <w:tc>
          <w:tcPr>
            <w:tcW w:w="220" w:type="dxa"/>
            <w:vAlign w:val="bottom"/>
            <w:tcBorders>
              <w:bottom w:val="single" w:sz="8" w:color="4D8ABE"/>
            </w:tcBorders>
            <w:shd w:val="clear" w:color="auto" w:fill="4D8ABE"/>
          </w:tcPr>
          <w:p>
            <w:pPr>
              <w:spacing w:after="0"/>
              <w:rPr>
                <w:sz w:val="16"/>
                <w:szCs w:val="16"/>
                <w:color w:val="auto"/>
              </w:rPr>
            </w:pPr>
          </w:p>
        </w:tc>
        <w:tc>
          <w:tcPr>
            <w:tcW w:w="1000" w:type="dxa"/>
            <w:vAlign w:val="bottom"/>
            <w:tcBorders>
              <w:bottom w:val="single" w:sz="8" w:color="4D8ABE"/>
            </w:tcBorders>
            <w:shd w:val="clear" w:color="auto" w:fill="4D8ABE"/>
          </w:tcPr>
          <w:p>
            <w:pPr>
              <w:spacing w:after="0"/>
              <w:rPr>
                <w:sz w:val="16"/>
                <w:szCs w:val="16"/>
                <w:color w:val="auto"/>
              </w:rPr>
            </w:pPr>
          </w:p>
        </w:tc>
        <w:tc>
          <w:tcPr>
            <w:tcW w:w="480" w:type="dxa"/>
            <w:vAlign w:val="bottom"/>
            <w:tcBorders>
              <w:bottom w:val="single" w:sz="8" w:color="4D8ABE"/>
            </w:tcBorders>
            <w:shd w:val="clear" w:color="auto" w:fill="4D8ABE"/>
          </w:tcPr>
          <w:p>
            <w:pPr>
              <w:spacing w:after="0"/>
              <w:rPr>
                <w:sz w:val="16"/>
                <w:szCs w:val="16"/>
                <w:color w:val="auto"/>
              </w:rPr>
            </w:pPr>
          </w:p>
        </w:tc>
        <w:tc>
          <w:tcPr>
            <w:tcW w:w="88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340" w:type="dxa"/>
            <w:vAlign w:val="bottom"/>
            <w:tcBorders>
              <w:bottom w:val="single" w:sz="8" w:color="4D8ABE"/>
            </w:tcBorders>
          </w:tcPr>
          <w:p>
            <w:pPr>
              <w:spacing w:after="0"/>
              <w:rPr>
                <w:sz w:val="16"/>
                <w:szCs w:val="16"/>
                <w:color w:val="auto"/>
              </w:rPr>
            </w:pPr>
          </w:p>
        </w:tc>
        <w:tc>
          <w:tcPr>
            <w:tcW w:w="760" w:type="dxa"/>
            <w:vAlign w:val="bottom"/>
            <w:tcBorders>
              <w:bottom w:val="single" w:sz="8" w:color="4D8ABE"/>
            </w:tcBorders>
          </w:tcPr>
          <w:p>
            <w:pPr>
              <w:spacing w:after="0"/>
              <w:rPr>
                <w:sz w:val="16"/>
                <w:szCs w:val="16"/>
                <w:color w:val="auto"/>
              </w:rPr>
            </w:pPr>
          </w:p>
        </w:tc>
        <w:tc>
          <w:tcPr>
            <w:tcW w:w="24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spacing w:after="0"/>
              <w:rPr>
                <w:sz w:val="16"/>
                <w:szCs w:val="16"/>
                <w:color w:val="auto"/>
              </w:rPr>
            </w:pPr>
          </w:p>
        </w:tc>
        <w:tc>
          <w:tcPr>
            <w:tcW w:w="460" w:type="dxa"/>
            <w:vAlign w:val="bottom"/>
            <w:tcBorders>
              <w:bottom w:val="single" w:sz="8" w:color="4D8ABE"/>
            </w:tcBorders>
          </w:tcPr>
          <w:p>
            <w:pPr>
              <w:spacing w:after="0"/>
              <w:rPr>
                <w:sz w:val="16"/>
                <w:szCs w:val="16"/>
                <w:color w:val="auto"/>
              </w:rPr>
            </w:pPr>
          </w:p>
        </w:tc>
        <w:tc>
          <w:tcPr>
            <w:tcW w:w="88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2008</w:t>
            </w:r>
          </w:p>
        </w:tc>
      </w:tr>
      <w:tr>
        <w:trPr>
          <w:trHeight w:val="161"/>
        </w:trPr>
        <w:tc>
          <w:tcPr>
            <w:tcW w:w="4080" w:type="dxa"/>
            <w:vAlign w:val="bottom"/>
            <w:tcBorders>
              <w:right w:val="single" w:sz="8" w:color="4D8ABE"/>
            </w:tcBorders>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b w:val="1"/>
                <w:bCs w:val="1"/>
                <w:color w:val="4D8ABE"/>
              </w:rPr>
              <w:t>Accumulated</w:t>
            </w:r>
          </w:p>
        </w:tc>
        <w:tc>
          <w:tcPr>
            <w:tcW w:w="480" w:type="dxa"/>
            <w:vAlign w:val="bottom"/>
          </w:tcPr>
          <w:p>
            <w:pPr>
              <w:spacing w:after="0"/>
              <w:rPr>
                <w:sz w:val="13"/>
                <w:szCs w:val="13"/>
                <w:color w:val="auto"/>
              </w:rPr>
            </w:pPr>
          </w:p>
        </w:tc>
        <w:tc>
          <w:tcPr>
            <w:tcW w:w="880" w:type="dxa"/>
            <w:vAlign w:val="bottom"/>
            <w:tcBorders>
              <w:right w:val="single" w:sz="8" w:color="4D8ABE"/>
            </w:tcBorders>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5"/>
              <w:spacing w:after="0"/>
              <w:rPr>
                <w:sz w:val="20"/>
                <w:szCs w:val="20"/>
                <w:color w:val="auto"/>
              </w:rPr>
            </w:pPr>
            <w:r>
              <w:rPr>
                <w:rFonts w:ascii="Arial" w:cs="Arial" w:eastAsia="Arial" w:hAnsi="Arial"/>
                <w:sz w:val="14"/>
                <w:szCs w:val="14"/>
                <w:b w:val="1"/>
                <w:bCs w:val="1"/>
                <w:color w:val="4D8ABE"/>
                <w:w w:val="97"/>
              </w:rPr>
              <w:t>Accumulated</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0"/>
        </w:trPr>
        <w:tc>
          <w:tcPr>
            <w:tcW w:w="4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December 31</w:t>
            </w:r>
          </w:p>
        </w:tc>
        <w:tc>
          <w:tcPr>
            <w:tcW w:w="340" w:type="dxa"/>
            <w:vAlign w:val="bottom"/>
            <w:tcBorders>
              <w:bottom w:val="single" w:sz="8" w:color="4D8ABE"/>
            </w:tcBorders>
          </w:tcPr>
          <w:p>
            <w:pPr>
              <w:spacing w:after="0"/>
              <w:rPr>
                <w:sz w:val="16"/>
                <w:szCs w:val="16"/>
                <w:color w:val="auto"/>
              </w:rPr>
            </w:pPr>
          </w:p>
        </w:tc>
        <w:tc>
          <w:tcPr>
            <w:tcW w:w="760" w:type="dxa"/>
            <w:vAlign w:val="bottom"/>
            <w:tcBorders>
              <w:bottom w:val="single" w:sz="8" w:color="4D8ABE"/>
            </w:tcBorders>
          </w:tcPr>
          <w:p>
            <w:pPr>
              <w:jc w:val="right"/>
              <w:ind w:right="24"/>
              <w:spacing w:after="0"/>
              <w:rPr>
                <w:sz w:val="20"/>
                <w:szCs w:val="20"/>
                <w:color w:val="auto"/>
              </w:rPr>
            </w:pPr>
            <w:r>
              <w:rPr>
                <w:rFonts w:ascii="Arial" w:cs="Arial" w:eastAsia="Arial" w:hAnsi="Arial"/>
                <w:sz w:val="14"/>
                <w:szCs w:val="14"/>
                <w:b w:val="1"/>
                <w:bCs w:val="1"/>
                <w:color w:val="4D8ABE"/>
              </w:rPr>
              <w:t>Gross</w:t>
            </w:r>
          </w:p>
        </w:tc>
        <w:tc>
          <w:tcPr>
            <w:tcW w:w="22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25"/>
              <w:spacing w:after="0"/>
              <w:rPr>
                <w:sz w:val="20"/>
                <w:szCs w:val="20"/>
                <w:color w:val="auto"/>
              </w:rPr>
            </w:pPr>
            <w:r>
              <w:rPr>
                <w:rFonts w:ascii="Arial" w:cs="Arial" w:eastAsia="Arial" w:hAnsi="Arial"/>
                <w:sz w:val="14"/>
                <w:szCs w:val="14"/>
                <w:b w:val="1"/>
                <w:bCs w:val="1"/>
                <w:color w:val="4D8ABE"/>
              </w:rPr>
              <w:t>Amortization</w:t>
            </w:r>
          </w:p>
        </w:tc>
        <w:tc>
          <w:tcPr>
            <w:tcW w:w="480" w:type="dxa"/>
            <w:vAlign w:val="bottom"/>
            <w:tcBorders>
              <w:bottom w:val="single" w:sz="8" w:color="4D8ABE"/>
            </w:tcBorders>
          </w:tcPr>
          <w:p>
            <w:pPr>
              <w:spacing w:after="0"/>
              <w:rPr>
                <w:sz w:val="16"/>
                <w:szCs w:val="16"/>
                <w:color w:val="auto"/>
              </w:rPr>
            </w:pPr>
          </w:p>
        </w:tc>
        <w:tc>
          <w:tcPr>
            <w:tcW w:w="880" w:type="dxa"/>
            <w:vAlign w:val="bottom"/>
            <w:tcBorders>
              <w:bottom w:val="single" w:sz="8" w:color="4D8ABE"/>
              <w:right w:val="single" w:sz="8" w:color="4D8ABE"/>
            </w:tcBorders>
          </w:tcPr>
          <w:p>
            <w:pPr>
              <w:jc w:val="right"/>
              <w:ind w:right="165"/>
              <w:spacing w:after="0"/>
              <w:rPr>
                <w:sz w:val="20"/>
                <w:szCs w:val="20"/>
                <w:color w:val="auto"/>
              </w:rPr>
            </w:pPr>
            <w:r>
              <w:rPr>
                <w:rFonts w:ascii="Arial" w:cs="Arial" w:eastAsia="Arial" w:hAnsi="Arial"/>
                <w:sz w:val="14"/>
                <w:szCs w:val="14"/>
                <w:b w:val="1"/>
                <w:bCs w:val="1"/>
                <w:color w:val="4D8ABE"/>
              </w:rPr>
              <w:t>Net</w:t>
            </w:r>
          </w:p>
        </w:tc>
        <w:tc>
          <w:tcPr>
            <w:tcW w:w="340" w:type="dxa"/>
            <w:vAlign w:val="bottom"/>
            <w:tcBorders>
              <w:bottom w:val="single" w:sz="8" w:color="4D8ABE"/>
            </w:tcBorders>
          </w:tcPr>
          <w:p>
            <w:pPr>
              <w:spacing w:after="0"/>
              <w:rPr>
                <w:sz w:val="16"/>
                <w:szCs w:val="16"/>
                <w:color w:val="auto"/>
              </w:rPr>
            </w:pPr>
          </w:p>
        </w:tc>
        <w:tc>
          <w:tcPr>
            <w:tcW w:w="760" w:type="dxa"/>
            <w:vAlign w:val="bottom"/>
            <w:tcBorders>
              <w:bottom w:val="single" w:sz="8" w:color="4D8ABE"/>
            </w:tcBorders>
          </w:tcPr>
          <w:p>
            <w:pPr>
              <w:jc w:val="right"/>
              <w:ind w:right="24"/>
              <w:spacing w:after="0"/>
              <w:rPr>
                <w:sz w:val="20"/>
                <w:szCs w:val="20"/>
                <w:color w:val="auto"/>
              </w:rPr>
            </w:pPr>
            <w:r>
              <w:rPr>
                <w:rFonts w:ascii="Arial" w:cs="Arial" w:eastAsia="Arial" w:hAnsi="Arial"/>
                <w:sz w:val="14"/>
                <w:szCs w:val="14"/>
                <w:b w:val="1"/>
                <w:bCs w:val="1"/>
                <w:color w:val="4D8ABE"/>
              </w:rPr>
              <w:t>Gross</w:t>
            </w:r>
          </w:p>
        </w:tc>
        <w:tc>
          <w:tcPr>
            <w:tcW w:w="24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45"/>
              <w:spacing w:after="0"/>
              <w:rPr>
                <w:sz w:val="20"/>
                <w:szCs w:val="20"/>
                <w:color w:val="auto"/>
              </w:rPr>
            </w:pPr>
            <w:r>
              <w:rPr>
                <w:rFonts w:ascii="Arial" w:cs="Arial" w:eastAsia="Arial" w:hAnsi="Arial"/>
                <w:sz w:val="14"/>
                <w:szCs w:val="14"/>
                <w:b w:val="1"/>
                <w:bCs w:val="1"/>
                <w:color w:val="4D8ABE"/>
              </w:rPr>
              <w:t>Amortization</w:t>
            </w:r>
          </w:p>
        </w:tc>
        <w:tc>
          <w:tcPr>
            <w:tcW w:w="460" w:type="dxa"/>
            <w:vAlign w:val="bottom"/>
            <w:tcBorders>
              <w:bottom w:val="single" w:sz="8" w:color="4D8ABE"/>
            </w:tcBorders>
          </w:tcPr>
          <w:p>
            <w:pPr>
              <w:spacing w:after="0"/>
              <w:rPr>
                <w:sz w:val="16"/>
                <w:szCs w:val="16"/>
                <w:color w:val="auto"/>
              </w:rPr>
            </w:pPr>
          </w:p>
        </w:tc>
        <w:tc>
          <w:tcPr>
            <w:tcW w:w="88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Net</w:t>
            </w:r>
          </w:p>
        </w:tc>
      </w:tr>
      <w:tr>
        <w:trPr>
          <w:trHeight w:val="184"/>
        </w:trPr>
        <w:tc>
          <w:tcPr>
            <w:tcW w:w="4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Goodwill</w:t>
            </w:r>
          </w:p>
        </w:tc>
        <w:tc>
          <w:tcPr>
            <w:tcW w:w="34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4D8ABE"/>
                <w:w w:val="71"/>
              </w:rPr>
              <w:t>$</w:t>
            </w: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4D8ABE"/>
              </w:rPr>
              <w:t>959.1</w:t>
            </w:r>
          </w:p>
        </w:tc>
        <w:tc>
          <w:tcPr>
            <w:tcW w:w="2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rPr>
              <w:t>$</w:t>
            </w:r>
          </w:p>
        </w:tc>
        <w:tc>
          <w:tcPr>
            <w:tcW w:w="100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4D8ABE"/>
              </w:rPr>
              <w:t>–</w:t>
            </w:r>
          </w:p>
        </w:tc>
        <w:tc>
          <w:tcPr>
            <w:tcW w:w="480" w:type="dxa"/>
            <w:vAlign w:val="bottom"/>
            <w:tcBorders>
              <w:bottom w:val="single" w:sz="8" w:color="auto"/>
            </w:tcBorders>
            <w:shd w:val="clear" w:color="auto" w:fill="E6EFFF"/>
          </w:tcPr>
          <w:p>
            <w:pPr>
              <w:jc w:val="right"/>
              <w:ind w:right="203"/>
              <w:spacing w:after="0"/>
              <w:rPr>
                <w:sz w:val="20"/>
                <w:szCs w:val="20"/>
                <w:color w:val="auto"/>
              </w:rPr>
            </w:pPr>
            <w:r>
              <w:rPr>
                <w:rFonts w:ascii="Arial" w:cs="Arial" w:eastAsia="Arial" w:hAnsi="Arial"/>
                <w:sz w:val="15"/>
                <w:szCs w:val="15"/>
                <w:color w:val="4D8ABE"/>
              </w:rPr>
              <w:t>$</w:t>
            </w:r>
          </w:p>
        </w:tc>
        <w:tc>
          <w:tcPr>
            <w:tcW w:w="8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959.1</w:t>
            </w:r>
          </w:p>
        </w:tc>
        <w:tc>
          <w:tcPr>
            <w:tcW w:w="34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972.9</w:t>
            </w:r>
          </w:p>
        </w:tc>
        <w:tc>
          <w:tcPr>
            <w:tcW w:w="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972.9</w:t>
            </w:r>
          </w:p>
        </w:tc>
      </w:tr>
      <w:tr>
        <w:trPr>
          <w:trHeight w:val="175"/>
        </w:trPr>
        <w:tc>
          <w:tcPr>
            <w:tcW w:w="4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Intangible Assets:</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Borders>
              <w:right w:val="single" w:sz="8" w:color="4D8ABE"/>
            </w:tcBorders>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4"/>
        </w:trPr>
        <w:tc>
          <w:tcPr>
            <w:tcW w:w="4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Amortizable:</w:t>
            </w: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880" w:type="dxa"/>
            <w:vAlign w:val="bottom"/>
            <w:tcBorders>
              <w:right w:val="single" w:sz="8" w:color="4D8ABE"/>
            </w:tcBorders>
            <w:shd w:val="clear" w:color="auto" w:fill="E6EFFF"/>
          </w:tcPr>
          <w:p>
            <w:pPr>
              <w:spacing w:after="0"/>
              <w:rPr>
                <w:sz w:val="15"/>
                <w:szCs w:val="15"/>
                <w:color w:val="auto"/>
              </w:rPr>
            </w:pP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spacing w:after="0"/>
              <w:rPr>
                <w:sz w:val="15"/>
                <w:szCs w:val="15"/>
                <w:color w:val="auto"/>
              </w:rPr>
            </w:pPr>
          </w:p>
        </w:tc>
        <w:tc>
          <w:tcPr>
            <w:tcW w:w="24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r>
      <w:tr>
        <w:trPr>
          <w:trHeight w:val="184"/>
        </w:trPr>
        <w:tc>
          <w:tcPr>
            <w:tcW w:w="4080" w:type="dxa"/>
            <w:vAlign w:val="bottom"/>
            <w:tcBorders>
              <w:right w:val="single" w:sz="8" w:color="4D8ABE"/>
            </w:tcBorders>
          </w:tcPr>
          <w:p>
            <w:pPr>
              <w:ind w:left="300"/>
              <w:spacing w:after="0"/>
              <w:rPr>
                <w:sz w:val="20"/>
                <w:szCs w:val="20"/>
                <w:color w:val="auto"/>
              </w:rPr>
            </w:pPr>
            <w:r>
              <w:rPr>
                <w:rFonts w:ascii="Arial" w:cs="Arial" w:eastAsia="Arial" w:hAnsi="Arial"/>
                <w:sz w:val="15"/>
                <w:szCs w:val="15"/>
                <w:color w:val="auto"/>
              </w:rPr>
              <w:t>Technology</w:t>
            </w:r>
          </w:p>
        </w:tc>
        <w:tc>
          <w:tcPr>
            <w:tcW w:w="340" w:type="dxa"/>
            <w:vAlign w:val="bottom"/>
          </w:tcPr>
          <w:p>
            <w:pPr>
              <w:jc w:val="right"/>
              <w:ind w:right="183"/>
              <w:spacing w:after="0"/>
              <w:rPr>
                <w:sz w:val="20"/>
                <w:szCs w:val="20"/>
                <w:color w:val="auto"/>
              </w:rPr>
            </w:pPr>
            <w:r>
              <w:rPr>
                <w:rFonts w:ascii="Arial" w:cs="Arial" w:eastAsia="Arial" w:hAnsi="Arial"/>
                <w:sz w:val="15"/>
                <w:szCs w:val="15"/>
                <w:color w:val="4D8ABE"/>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4D8ABE"/>
              </w:rPr>
              <w:t>19.6</w:t>
            </w:r>
          </w:p>
        </w:tc>
        <w:tc>
          <w:tcPr>
            <w:tcW w:w="220" w:type="dxa"/>
            <w:vAlign w:val="bottom"/>
          </w:tcPr>
          <w:p>
            <w:pPr>
              <w:jc w:val="right"/>
              <w:spacing w:after="0"/>
              <w:rPr>
                <w:sz w:val="20"/>
                <w:szCs w:val="20"/>
                <w:color w:val="auto"/>
              </w:rPr>
            </w:pPr>
            <w:r>
              <w:rPr>
                <w:rFonts w:ascii="Arial" w:cs="Arial" w:eastAsia="Arial" w:hAnsi="Arial"/>
                <w:sz w:val="15"/>
                <w:szCs w:val="15"/>
                <w:color w:val="4D8ABE"/>
              </w:rPr>
              <w:t>$</w:t>
            </w:r>
          </w:p>
        </w:tc>
        <w:tc>
          <w:tcPr>
            <w:tcW w:w="1000" w:type="dxa"/>
            <w:vAlign w:val="bottom"/>
          </w:tcPr>
          <w:p>
            <w:pPr>
              <w:jc w:val="right"/>
              <w:ind w:right="25"/>
              <w:spacing w:after="0"/>
              <w:rPr>
                <w:sz w:val="20"/>
                <w:szCs w:val="20"/>
                <w:color w:val="auto"/>
              </w:rPr>
            </w:pPr>
            <w:r>
              <w:rPr>
                <w:rFonts w:ascii="Arial" w:cs="Arial" w:eastAsia="Arial" w:hAnsi="Arial"/>
                <w:sz w:val="15"/>
                <w:szCs w:val="15"/>
                <w:color w:val="4D8ABE"/>
              </w:rPr>
              <w:t>19.6</w:t>
            </w:r>
          </w:p>
        </w:tc>
        <w:tc>
          <w:tcPr>
            <w:tcW w:w="480" w:type="dxa"/>
            <w:vAlign w:val="bottom"/>
          </w:tcPr>
          <w:p>
            <w:pPr>
              <w:jc w:val="right"/>
              <w:ind w:right="203"/>
              <w:spacing w:after="0"/>
              <w:rPr>
                <w:sz w:val="20"/>
                <w:szCs w:val="20"/>
                <w:color w:val="auto"/>
              </w:rPr>
            </w:pPr>
            <w:r>
              <w:rPr>
                <w:rFonts w:ascii="Arial" w:cs="Arial" w:eastAsia="Arial" w:hAnsi="Arial"/>
                <w:sz w:val="15"/>
                <w:szCs w:val="15"/>
                <w:color w:val="4D8ABE"/>
              </w:rPr>
              <w:t>$</w:t>
            </w:r>
          </w:p>
        </w:tc>
        <w:tc>
          <w:tcPr>
            <w:tcW w:w="8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19.6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19.4</w:t>
            </w:r>
          </w:p>
        </w:tc>
        <w:tc>
          <w:tcPr>
            <w:tcW w:w="4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5"/>
              <w:spacing w:after="0"/>
              <w:rPr>
                <w:sz w:val="20"/>
                <w:szCs w:val="20"/>
                <w:color w:val="auto"/>
              </w:rPr>
            </w:pPr>
            <w:r>
              <w:rPr>
                <w:rFonts w:ascii="Arial" w:cs="Arial" w:eastAsia="Arial" w:hAnsi="Arial"/>
                <w:sz w:val="15"/>
                <w:szCs w:val="15"/>
                <w:color w:val="auto"/>
              </w:rPr>
              <w:t>0.2</w:t>
            </w:r>
          </w:p>
        </w:tc>
      </w:tr>
      <w:tr>
        <w:trPr>
          <w:trHeight w:val="184"/>
        </w:trPr>
        <w:tc>
          <w:tcPr>
            <w:tcW w:w="4080" w:type="dxa"/>
            <w:vAlign w:val="bottom"/>
            <w:tcBorders>
              <w:right w:val="single" w:sz="8" w:color="4D8ABE"/>
            </w:tcBorders>
            <w:shd w:val="clear" w:color="auto" w:fill="E6EFFF"/>
          </w:tcPr>
          <w:p>
            <w:pPr>
              <w:ind w:left="300"/>
              <w:spacing w:after="0"/>
              <w:rPr>
                <w:sz w:val="20"/>
                <w:szCs w:val="20"/>
                <w:color w:val="auto"/>
              </w:rPr>
            </w:pPr>
            <w:r>
              <w:rPr>
                <w:rFonts w:ascii="Arial" w:cs="Arial" w:eastAsia="Arial" w:hAnsi="Arial"/>
                <w:sz w:val="15"/>
                <w:szCs w:val="15"/>
                <w:color w:val="auto"/>
              </w:rPr>
              <w:t>Franchise Agreements</w:t>
            </w: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4D8ABE"/>
              </w:rPr>
              <w:t>18.0</w:t>
            </w:r>
          </w:p>
        </w:tc>
        <w:tc>
          <w:tcPr>
            <w:tcW w:w="22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4D8ABE"/>
              </w:rPr>
              <w:t>10.7</w:t>
            </w:r>
          </w:p>
        </w:tc>
        <w:tc>
          <w:tcPr>
            <w:tcW w:w="480" w:type="dxa"/>
            <w:vAlign w:val="bottom"/>
            <w:shd w:val="clear" w:color="auto" w:fill="E6EFFF"/>
          </w:tcPr>
          <w:p>
            <w:pPr>
              <w:spacing w:after="0"/>
              <w:rPr>
                <w:sz w:val="15"/>
                <w:szCs w:val="15"/>
                <w:color w:val="auto"/>
              </w:rPr>
            </w:pPr>
          </w:p>
        </w:tc>
        <w:tc>
          <w:tcPr>
            <w:tcW w:w="8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7.3</w:t>
            </w: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18.0</w:t>
            </w:r>
          </w:p>
        </w:tc>
        <w:tc>
          <w:tcPr>
            <w:tcW w:w="24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rPr>
              <w:t>8.9</w:t>
            </w:r>
          </w:p>
        </w:tc>
        <w:tc>
          <w:tcPr>
            <w:tcW w:w="46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9.1</w:t>
            </w:r>
          </w:p>
        </w:tc>
      </w:tr>
      <w:tr>
        <w:trPr>
          <w:trHeight w:val="184"/>
        </w:trPr>
        <w:tc>
          <w:tcPr>
            <w:tcW w:w="4080" w:type="dxa"/>
            <w:vAlign w:val="bottom"/>
            <w:tcBorders>
              <w:right w:val="single" w:sz="8" w:color="4D8ABE"/>
            </w:tcBorders>
          </w:tcPr>
          <w:p>
            <w:pPr>
              <w:ind w:left="300"/>
              <w:spacing w:after="0"/>
              <w:rPr>
                <w:sz w:val="20"/>
                <w:szCs w:val="20"/>
                <w:color w:val="auto"/>
              </w:rPr>
            </w:pPr>
            <w:r>
              <w:rPr>
                <w:rFonts w:ascii="Arial" w:cs="Arial" w:eastAsia="Arial" w:hAnsi="Arial"/>
                <w:sz w:val="15"/>
                <w:szCs w:val="15"/>
                <w:color w:val="auto"/>
              </w:rPr>
              <w:t>Customer Relationships</w:t>
            </w:r>
          </w:p>
        </w:tc>
        <w:tc>
          <w:tcPr>
            <w:tcW w:w="34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4D8ABE"/>
              </w:rPr>
              <w:t>173.8</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4D8ABE"/>
              </w:rPr>
              <w:t>58.8</w:t>
            </w:r>
          </w:p>
        </w:tc>
        <w:tc>
          <w:tcPr>
            <w:tcW w:w="480" w:type="dxa"/>
            <w:vAlign w:val="bottom"/>
          </w:tcPr>
          <w:p>
            <w:pPr>
              <w:spacing w:after="0"/>
              <w:rPr>
                <w:sz w:val="15"/>
                <w:szCs w:val="15"/>
                <w:color w:val="auto"/>
              </w:rPr>
            </w:pPr>
          </w:p>
        </w:tc>
        <w:tc>
          <w:tcPr>
            <w:tcW w:w="8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115.0</w:t>
            </w:r>
          </w:p>
        </w:tc>
        <w:tc>
          <w:tcPr>
            <w:tcW w:w="34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170.7</w:t>
            </w:r>
          </w:p>
        </w:tc>
        <w:tc>
          <w:tcPr>
            <w:tcW w:w="240" w:type="dxa"/>
            <w:vAlign w:val="bottom"/>
          </w:tcPr>
          <w:p>
            <w:pPr>
              <w:spacing w:after="0"/>
              <w:rPr>
                <w:sz w:val="15"/>
                <w:szCs w:val="15"/>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43.1</w:t>
            </w:r>
          </w:p>
        </w:tc>
        <w:tc>
          <w:tcPr>
            <w:tcW w:w="460" w:type="dxa"/>
            <w:vAlign w:val="bottom"/>
          </w:tcPr>
          <w:p>
            <w:pPr>
              <w:spacing w:after="0"/>
              <w:rPr>
                <w:sz w:val="15"/>
                <w:szCs w:val="15"/>
                <w:color w:val="auto"/>
              </w:rPr>
            </w:pPr>
          </w:p>
        </w:tc>
        <w:tc>
          <w:tcPr>
            <w:tcW w:w="880" w:type="dxa"/>
            <w:vAlign w:val="bottom"/>
          </w:tcPr>
          <w:p>
            <w:pPr>
              <w:jc w:val="right"/>
              <w:ind w:right="145"/>
              <w:spacing w:after="0"/>
              <w:rPr>
                <w:sz w:val="20"/>
                <w:szCs w:val="20"/>
                <w:color w:val="auto"/>
              </w:rPr>
            </w:pPr>
            <w:r>
              <w:rPr>
                <w:rFonts w:ascii="Arial" w:cs="Arial" w:eastAsia="Arial" w:hAnsi="Arial"/>
                <w:sz w:val="15"/>
                <w:szCs w:val="15"/>
                <w:color w:val="auto"/>
              </w:rPr>
              <w:t>127.6</w:t>
            </w:r>
          </w:p>
        </w:tc>
      </w:tr>
      <w:tr>
        <w:trPr>
          <w:trHeight w:val="184"/>
        </w:trPr>
        <w:tc>
          <w:tcPr>
            <w:tcW w:w="4080" w:type="dxa"/>
            <w:vAlign w:val="bottom"/>
            <w:tcBorders>
              <w:bottom w:val="single" w:sz="8" w:color="auto"/>
              <w:right w:val="single" w:sz="8" w:color="4D8ABE"/>
            </w:tcBorders>
            <w:shd w:val="clear" w:color="auto" w:fill="E6EFFF"/>
          </w:tcPr>
          <w:p>
            <w:pPr>
              <w:ind w:left="30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E6EFFF"/>
          </w:tcPr>
          <w:p>
            <w:pPr>
              <w:spacing w:after="0"/>
              <w:rPr>
                <w:sz w:val="15"/>
                <w:szCs w:val="15"/>
                <w:color w:val="auto"/>
              </w:rPr>
            </w:pP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4D8ABE"/>
              </w:rPr>
              <w:t>18.4</w:t>
            </w:r>
          </w:p>
        </w:tc>
        <w:tc>
          <w:tcPr>
            <w:tcW w:w="22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4D8ABE"/>
              </w:rPr>
              <w:t>11.4</w:t>
            </w:r>
          </w:p>
        </w:tc>
        <w:tc>
          <w:tcPr>
            <w:tcW w:w="48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7.0</w:t>
            </w:r>
          </w:p>
        </w:tc>
        <w:tc>
          <w:tcPr>
            <w:tcW w:w="340" w:type="dxa"/>
            <w:vAlign w:val="bottom"/>
            <w:tcBorders>
              <w:bottom w:val="single" w:sz="8" w:color="auto"/>
            </w:tcBorders>
            <w:shd w:val="clear" w:color="auto" w:fill="E6EFFF"/>
          </w:tcPr>
          <w:p>
            <w:pPr>
              <w:spacing w:after="0"/>
              <w:rPr>
                <w:sz w:val="15"/>
                <w:szCs w:val="15"/>
                <w:color w:val="auto"/>
              </w:rPr>
            </w:pP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17.5</w:t>
            </w:r>
          </w:p>
        </w:tc>
        <w:tc>
          <w:tcPr>
            <w:tcW w:w="24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7.0</w:t>
            </w:r>
          </w:p>
        </w:tc>
        <w:tc>
          <w:tcPr>
            <w:tcW w:w="46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10.5</w:t>
            </w:r>
          </w:p>
        </w:tc>
      </w:tr>
      <w:tr>
        <w:trPr>
          <w:trHeight w:val="175"/>
        </w:trPr>
        <w:tc>
          <w:tcPr>
            <w:tcW w:w="4080" w:type="dxa"/>
            <w:vAlign w:val="bottom"/>
            <w:tcBorders>
              <w:bottom w:val="single" w:sz="8" w:color="auto"/>
              <w:right w:val="single" w:sz="8" w:color="4D8ABE"/>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4D8ABE"/>
              </w:rPr>
              <w:t>229.8</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4D8ABE"/>
              </w:rPr>
              <w:t>100.5</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129.3</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225.8</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78.4</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147.4</w:t>
            </w:r>
          </w:p>
        </w:tc>
      </w:tr>
      <w:tr>
        <w:trPr>
          <w:trHeight w:val="175"/>
        </w:trPr>
        <w:tc>
          <w:tcPr>
            <w:tcW w:w="4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Non-Amortizable:</w:t>
            </w: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880" w:type="dxa"/>
            <w:vAlign w:val="bottom"/>
            <w:tcBorders>
              <w:right w:val="single" w:sz="8" w:color="4D8ABE"/>
            </w:tcBorders>
            <w:shd w:val="clear" w:color="auto" w:fill="E6EFFF"/>
          </w:tcPr>
          <w:p>
            <w:pPr>
              <w:spacing w:after="0"/>
              <w:rPr>
                <w:sz w:val="15"/>
                <w:szCs w:val="15"/>
                <w:color w:val="auto"/>
              </w:rPr>
            </w:pPr>
          </w:p>
        </w:tc>
        <w:tc>
          <w:tcPr>
            <w:tcW w:w="340" w:type="dxa"/>
            <w:vAlign w:val="bottom"/>
            <w:shd w:val="clear" w:color="auto" w:fill="E6EFFF"/>
          </w:tcPr>
          <w:p>
            <w:pPr>
              <w:spacing w:after="0"/>
              <w:rPr>
                <w:sz w:val="15"/>
                <w:szCs w:val="15"/>
                <w:color w:val="auto"/>
              </w:rPr>
            </w:pPr>
          </w:p>
        </w:tc>
        <w:tc>
          <w:tcPr>
            <w:tcW w:w="760" w:type="dxa"/>
            <w:vAlign w:val="bottom"/>
            <w:shd w:val="clear" w:color="auto" w:fill="E6EFFF"/>
          </w:tcPr>
          <w:p>
            <w:pPr>
              <w:spacing w:after="0"/>
              <w:rPr>
                <w:sz w:val="15"/>
                <w:szCs w:val="15"/>
                <w:color w:val="auto"/>
              </w:rPr>
            </w:pPr>
          </w:p>
        </w:tc>
        <w:tc>
          <w:tcPr>
            <w:tcW w:w="24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r>
      <w:tr>
        <w:trPr>
          <w:trHeight w:val="184"/>
        </w:trPr>
        <w:tc>
          <w:tcPr>
            <w:tcW w:w="4080" w:type="dxa"/>
            <w:vAlign w:val="bottom"/>
            <w:tcBorders>
              <w:right w:val="single" w:sz="8" w:color="4D8ABE"/>
            </w:tcBorders>
          </w:tcPr>
          <w:p>
            <w:pPr>
              <w:ind w:left="300"/>
              <w:spacing w:after="0"/>
              <w:rPr>
                <w:sz w:val="20"/>
                <w:szCs w:val="20"/>
                <w:color w:val="auto"/>
              </w:rPr>
            </w:pPr>
            <w:r>
              <w:rPr>
                <w:rFonts w:ascii="Arial" w:cs="Arial" w:eastAsia="Arial" w:hAnsi="Arial"/>
                <w:sz w:val="15"/>
                <w:szCs w:val="15"/>
                <w:color w:val="auto"/>
              </w:rPr>
              <w:t>Tradename</w:t>
            </w:r>
          </w:p>
        </w:tc>
        <w:tc>
          <w:tcPr>
            <w:tcW w:w="34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4D8ABE"/>
              </w:rPr>
              <w:t>171.2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4D8ABE"/>
              </w:rPr>
              <w:t>–</w:t>
            </w:r>
          </w:p>
        </w:tc>
        <w:tc>
          <w:tcPr>
            <w:tcW w:w="480" w:type="dxa"/>
            <w:vAlign w:val="bottom"/>
          </w:tcPr>
          <w:p>
            <w:pPr>
              <w:spacing w:after="0"/>
              <w:rPr>
                <w:sz w:val="15"/>
                <w:szCs w:val="15"/>
                <w:color w:val="auto"/>
              </w:rPr>
            </w:pPr>
          </w:p>
        </w:tc>
        <w:tc>
          <w:tcPr>
            <w:tcW w:w="8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171.2</w:t>
            </w:r>
          </w:p>
        </w:tc>
        <w:tc>
          <w:tcPr>
            <w:tcW w:w="34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171.2</w:t>
            </w:r>
          </w:p>
        </w:tc>
        <w:tc>
          <w:tcPr>
            <w:tcW w:w="240" w:type="dxa"/>
            <w:vAlign w:val="bottom"/>
          </w:tcPr>
          <w:p>
            <w:pPr>
              <w:spacing w:after="0"/>
              <w:rPr>
                <w:sz w:val="15"/>
                <w:szCs w:val="15"/>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880" w:type="dxa"/>
            <w:vAlign w:val="bottom"/>
          </w:tcPr>
          <w:p>
            <w:pPr>
              <w:jc w:val="right"/>
              <w:ind w:right="145"/>
              <w:spacing w:after="0"/>
              <w:rPr>
                <w:sz w:val="20"/>
                <w:szCs w:val="20"/>
                <w:color w:val="auto"/>
              </w:rPr>
            </w:pPr>
            <w:r>
              <w:rPr>
                <w:rFonts w:ascii="Arial" w:cs="Arial" w:eastAsia="Arial" w:hAnsi="Arial"/>
                <w:sz w:val="15"/>
                <w:szCs w:val="15"/>
                <w:color w:val="auto"/>
              </w:rPr>
              <w:t>171.2</w:t>
            </w:r>
          </w:p>
        </w:tc>
      </w:tr>
      <w:tr>
        <w:trPr>
          <w:trHeight w:val="184"/>
        </w:trPr>
        <w:tc>
          <w:tcPr>
            <w:tcW w:w="4080" w:type="dxa"/>
            <w:vAlign w:val="bottom"/>
            <w:tcBorders>
              <w:bottom w:val="single" w:sz="8" w:color="auto"/>
              <w:right w:val="single" w:sz="8" w:color="4D8ABE"/>
            </w:tcBorders>
            <w:shd w:val="clear" w:color="auto" w:fill="E6EFFF"/>
          </w:tcPr>
          <w:p>
            <w:pPr>
              <w:ind w:left="300"/>
              <w:spacing w:after="0"/>
              <w:rPr>
                <w:sz w:val="20"/>
                <w:szCs w:val="20"/>
                <w:color w:val="auto"/>
              </w:rPr>
            </w:pPr>
            <w:r>
              <w:rPr>
                <w:rFonts w:ascii="Arial" w:cs="Arial" w:eastAsia="Arial" w:hAnsi="Arial"/>
                <w:sz w:val="15"/>
                <w:szCs w:val="15"/>
                <w:color w:val="auto"/>
              </w:rPr>
              <w:t>Reacquired franchise rights</w:t>
            </w:r>
          </w:p>
        </w:tc>
        <w:tc>
          <w:tcPr>
            <w:tcW w:w="340" w:type="dxa"/>
            <w:vAlign w:val="bottom"/>
            <w:tcBorders>
              <w:bottom w:val="single" w:sz="8" w:color="auto"/>
            </w:tcBorders>
            <w:shd w:val="clear" w:color="auto" w:fill="E6EFFF"/>
          </w:tcPr>
          <w:p>
            <w:pPr>
              <w:spacing w:after="0"/>
              <w:rPr>
                <w:sz w:val="15"/>
                <w:szCs w:val="15"/>
                <w:color w:val="auto"/>
              </w:rPr>
            </w:pP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4D8ABE"/>
              </w:rPr>
              <w:t>97.9</w:t>
            </w:r>
          </w:p>
        </w:tc>
        <w:tc>
          <w:tcPr>
            <w:tcW w:w="22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4D8ABE"/>
              </w:rPr>
              <w:t>–</w:t>
            </w:r>
          </w:p>
        </w:tc>
        <w:tc>
          <w:tcPr>
            <w:tcW w:w="48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97.9</w:t>
            </w:r>
          </w:p>
        </w:tc>
        <w:tc>
          <w:tcPr>
            <w:tcW w:w="340" w:type="dxa"/>
            <w:vAlign w:val="bottom"/>
            <w:tcBorders>
              <w:bottom w:val="single" w:sz="8" w:color="auto"/>
            </w:tcBorders>
            <w:shd w:val="clear" w:color="auto" w:fill="E6EFFF"/>
          </w:tcPr>
          <w:p>
            <w:pPr>
              <w:spacing w:after="0"/>
              <w:rPr>
                <w:sz w:val="15"/>
                <w:szCs w:val="15"/>
                <w:color w:val="auto"/>
              </w:rPr>
            </w:pP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96.6</w:t>
            </w:r>
          </w:p>
        </w:tc>
        <w:tc>
          <w:tcPr>
            <w:tcW w:w="24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96.6</w:t>
            </w:r>
          </w:p>
        </w:tc>
      </w:tr>
      <w:tr>
        <w:trPr>
          <w:trHeight w:val="175"/>
        </w:trPr>
        <w:tc>
          <w:tcPr>
            <w:tcW w:w="4080" w:type="dxa"/>
            <w:vAlign w:val="bottom"/>
            <w:tcBorders>
              <w:bottom w:val="single" w:sz="8" w:color="auto"/>
              <w:right w:val="single" w:sz="8" w:color="4D8ABE"/>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4D8ABE"/>
              </w:rPr>
              <w:t>269.1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4D8ABE"/>
              </w:rPr>
              <w:t>–</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269.1</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267.8</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267.8</w:t>
            </w:r>
          </w:p>
        </w:tc>
      </w:tr>
      <w:tr>
        <w:trPr>
          <w:trHeight w:val="178"/>
        </w:trPr>
        <w:tc>
          <w:tcPr>
            <w:tcW w:w="4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Total Intangible Assets</w:t>
            </w:r>
          </w:p>
        </w:tc>
        <w:tc>
          <w:tcPr>
            <w:tcW w:w="34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4D8ABE"/>
                <w:w w:val="71"/>
              </w:rPr>
              <w:t>$</w:t>
            </w: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4D8ABE"/>
              </w:rPr>
              <w:t>498.9</w:t>
            </w:r>
          </w:p>
        </w:tc>
        <w:tc>
          <w:tcPr>
            <w:tcW w:w="2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rPr>
              <w:t>$</w:t>
            </w:r>
          </w:p>
        </w:tc>
        <w:tc>
          <w:tcPr>
            <w:tcW w:w="100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4D8ABE"/>
              </w:rPr>
              <w:t>100.5</w:t>
            </w:r>
          </w:p>
        </w:tc>
        <w:tc>
          <w:tcPr>
            <w:tcW w:w="480" w:type="dxa"/>
            <w:vAlign w:val="bottom"/>
            <w:tcBorders>
              <w:bottom w:val="single" w:sz="8" w:color="auto"/>
            </w:tcBorders>
            <w:shd w:val="clear" w:color="auto" w:fill="E6EFFF"/>
          </w:tcPr>
          <w:p>
            <w:pPr>
              <w:jc w:val="right"/>
              <w:ind w:right="203"/>
              <w:spacing w:after="0"/>
              <w:rPr>
                <w:sz w:val="20"/>
                <w:szCs w:val="20"/>
                <w:color w:val="auto"/>
              </w:rPr>
            </w:pPr>
            <w:r>
              <w:rPr>
                <w:rFonts w:ascii="Arial" w:cs="Arial" w:eastAsia="Arial" w:hAnsi="Arial"/>
                <w:sz w:val="15"/>
                <w:szCs w:val="15"/>
                <w:color w:val="4D8ABE"/>
              </w:rPr>
              <w:t>$</w:t>
            </w:r>
          </w:p>
        </w:tc>
        <w:tc>
          <w:tcPr>
            <w:tcW w:w="8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398.4</w:t>
            </w:r>
          </w:p>
        </w:tc>
        <w:tc>
          <w:tcPr>
            <w:tcW w:w="34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493.6</w:t>
            </w:r>
          </w:p>
        </w:tc>
        <w:tc>
          <w:tcPr>
            <w:tcW w:w="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78.4</w:t>
            </w:r>
          </w:p>
        </w:tc>
        <w:tc>
          <w:tcPr>
            <w:tcW w:w="46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415.2</w:t>
            </w:r>
          </w:p>
        </w:tc>
      </w:tr>
    </w:tbl>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Amortization expense related to intangibles was $22.1 in 2009, $22.3 in 2008 and $14.5 in 2007. Amortization expense expected in each of the next five years related to acquisitions completed as of December 31, 2009 is as follows: 2010 – $19.1, 2011 – $16.9, 2012 – $15.7, 2013 – $12.3 and 2014 – $9.9. The weighted-average useful lives of the technology, franchise agreements, client relationships and other are 5, 10, 15 and 3 years, respectively. The majority of the non-amortizable tradename results from our acquisition of Right Management. The tradename has been assigned an indefinite life based on our expectation of renewing the tradename, as required, without material modifications and at a minimal cost, and our expectation of positive cash flows beyond the foreseeable future. The reacquired franchise rights result from our franchise acquisitions in the U.S. completed prior to 2009.</w:t>
      </w:r>
    </w:p>
    <w:p>
      <w:pPr>
        <w:spacing w:after="0" w:line="202"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performed our annual impairment test of our goodwill and indefinite-lived intangible assets during the third quarter of 2009 as well as 2008, which resulted in non-cash impairment charges of $61.0 in 2009 for goodwill associated with our Jefferson Wells reporting unit and $163.1 in 2008 for goodwill ($140.8) and tradename ($22.3) associated with our Right Management reporting unit. We also recorded a deferred tax asset of $8.5 related to the tradename impairment in 2008.</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2009 impairment was due in part to continued deterioration in market conditions, which has resulted in Jefferson Wells experiencing a significant revenue decline during the current and prior year. The discount rate was also impacted unfavorably by a 1% increase to our equity risk premium as a result of current market conditions and economic uncertainty.</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2008 impairment was a result of deteriorating market conditions and general economic uncertainty. Market comparables and forecasted cash flows for the Right Management reporting unit were lower than in previous years, which led to a determination that the goodwill and tradename recorded for Right Management was impaired.</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50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6" w:name="page87"/>
    <w:bookmarkEnd w:id="86"/>
    <w:p>
      <w:pPr>
        <w:jc w:val="both"/>
        <w:spacing w:after="0" w:line="242" w:lineRule="auto"/>
        <w:rPr>
          <w:sz w:val="20"/>
          <w:szCs w:val="20"/>
          <w:color w:val="auto"/>
        </w:rPr>
      </w:pPr>
      <w:r>
        <w:rPr>
          <w:rFonts w:ascii="Arial" w:cs="Arial" w:eastAsia="Arial" w:hAnsi="Arial"/>
          <w:sz w:val="15"/>
          <w:szCs w:val="15"/>
          <w:color w:val="auto"/>
        </w:rPr>
        <w:t>The market approach utilizes the Guideline Public Company Method to quantify the respective reporting unit’s fair value based on revenue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Significant assumptions used in our annual goodwill impairment test during the third quarter of 2009 included: expected revenue growth rates, operating unit profit margins, and working capital levels; discount rates ranging from 10.7% to 22.2%; and a terminal value multiple. The discount rate was impacted unfavorably by a 1% increase to our equity risk premium as a result of current market conditions and economic uncertainty. The expected future revenue growth rates were determined after taking into consideration our historical revenue growth rates, our assessment of future market potential, our expectations of future business performance as well as an assumed modest economic recovery beginning in the middle of 2010.</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If the reporting unit’s fair value is less than its carrying value as was the case for Jefferson Wells in 2009 and Right Management in 2008, we are required to perform a second step. In the second step, we allocate the fair value of the reporting unit to all of the assets and liabilities of the reporting unit, including any unrecognized intangibles assets, in a “hypothetical” calculation to determine the implied fair value of the goodwill. The impairment charge, if any, is measured as the difference between the implied fair value of the goodwill and its carrying value.</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 There was no significant impairment of our indefinite-lived intangible assets recorded in 2009.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MARKETABLE SECURITIES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account for our marketable security investments under the accounting guidance on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(Loss), which is a separate component of Shareholders’ Equity. Realized gains and losses, and unrealized losses determined to be other-than-temporary, are recorded in our Consolidated Statements of Operations. No realized gains or losses were recorded in 2009, 2008 or 2007. As of December 31, 2009 and 2008, our available-for-sale investments had a market value of $0.3 and $0.2, respectively, and an adjusted cost basis of $0.1, and none had unrealized losses.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hold a 49% interest in our Swiss franchise, which maintains an investment portfolio with a market value of $152.6 and $131.8 as of December 31, 2009 and 2008, respectively. This portfolio is comprised of a wide variety of European and U.S.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2009, 2008 and 2007, realized gains totaled $2.4, $0.2 and $0.2, respectively, and realized losses totaled $1.2, $0.5 and $0.2, respectively. Our share of net unrealized gains and unrealized losses that are determined to be temporary related to these investments are included in Accumulated Other Comprehensive Income (Loss), with the offsetting amount increasing or decreasing our investment in the franchise.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CAPITALIZED SOFTWARE FOR INTERNAL USE</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$24.6 and $33.6 as of December 31, 2009 and 2008, respectively, is included in Other Assets in the consolidated balance sheets. Amortization expense related to the capitalized software costs was $10.7, $12.1 and $10.7 for 2009, 2008 and 2007, respectively.</w:t>
      </w:r>
    </w:p>
    <w:p>
      <w:pPr>
        <w:spacing w:after="0" w:line="182" w:lineRule="exact"/>
        <w:rPr>
          <w:sz w:val="20"/>
          <w:szCs w:val="20"/>
          <w:color w:val="auto"/>
        </w:rPr>
      </w:pPr>
    </w:p>
    <w:p>
      <w:pPr>
        <w:ind w:left="6260"/>
        <w:spacing w:after="0"/>
        <w:tabs>
          <w:tab w:leader="none" w:pos="932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PROPERTY AND EQUIPMENT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A summary of property and equipment as of December 31 is as follows:</w:t>
            </w: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80" w:type="dxa"/>
            <w:vAlign w:val="bottom"/>
          </w:tcPr>
          <w:p>
            <w:pPr>
              <w:spacing w:after="0"/>
              <w:rPr>
                <w:sz w:val="17"/>
                <w:szCs w:val="17"/>
                <w:color w:val="auto"/>
              </w:rPr>
            </w:pPr>
          </w:p>
        </w:tc>
        <w:tc>
          <w:tcPr>
            <w:tcW w:w="80" w:type="dxa"/>
            <w:vAlign w:val="bottom"/>
            <w:tcBorders>
              <w:bottom w:val="single" w:sz="8" w:color="4D8ABE"/>
            </w:tcBorders>
          </w:tcPr>
          <w:p>
            <w:pPr>
              <w:spacing w:after="0"/>
              <w:rPr>
                <w:sz w:val="17"/>
                <w:szCs w:val="17"/>
                <w:color w:val="auto"/>
              </w:rPr>
            </w:pPr>
          </w:p>
        </w:tc>
        <w:tc>
          <w:tcPr>
            <w:tcW w:w="1600" w:type="dxa"/>
            <w:vAlign w:val="bottom"/>
            <w:tcBorders>
              <w:bottom w:val="single" w:sz="8" w:color="4D8ABE"/>
            </w:tcBorders>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4D8ABE"/>
              </w:rPr>
              <w:t>2008</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4D8ABE"/>
              <w:right w:val="single" w:sz="8" w:color="4D8ABE"/>
            </w:tcBorders>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shd w:val="clear" w:color="auto" w:fill="4D8ABE"/>
          </w:tcPr>
          <w:p>
            <w:pPr>
              <w:jc w:val="right"/>
              <w:ind w:right="163"/>
              <w:spacing w:after="0"/>
              <w:rPr>
                <w:sz w:val="20"/>
                <w:szCs w:val="20"/>
                <w:color w:val="auto"/>
              </w:rPr>
            </w:pPr>
            <w:r>
              <w:rPr>
                <w:rFonts w:ascii="Arial" w:cs="Arial" w:eastAsia="Arial" w:hAnsi="Arial"/>
                <w:sz w:val="15"/>
                <w:szCs w:val="15"/>
                <w:b w:val="1"/>
                <w:bCs w:val="1"/>
                <w:color w:val="FFFFFF"/>
              </w:rPr>
              <w:t>2009</w:t>
            </w:r>
          </w:p>
        </w:tc>
        <w:tc>
          <w:tcPr>
            <w:tcW w:w="580" w:type="dxa"/>
            <w:vAlign w:val="bottom"/>
            <w:tcBorders>
              <w:bottom w:val="single" w:sz="8" w:color="4D8ABE"/>
            </w:tcBorders>
          </w:tcPr>
          <w:p>
            <w:pPr>
              <w:spacing w:after="0"/>
              <w:rPr>
                <w:sz w:val="15"/>
                <w:szCs w:val="15"/>
                <w:color w:val="auto"/>
              </w:rPr>
            </w:pPr>
          </w:p>
        </w:tc>
        <w:tc>
          <w:tcPr>
            <w:tcW w:w="110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Land</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3.5</w:t>
            </w:r>
          </w:p>
        </w:tc>
        <w:tc>
          <w:tcPr>
            <w:tcW w:w="580" w:type="dxa"/>
            <w:vAlign w:val="bottom"/>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Buildings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18.8</w:t>
            </w:r>
          </w:p>
        </w:tc>
        <w:tc>
          <w:tcPr>
            <w:tcW w:w="58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Furniture, fixtures, and autos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199.5</w:t>
            </w: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222.2</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Computer equipment</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3"/>
              <w:spacing w:after="0"/>
              <w:rPr>
                <w:sz w:val="20"/>
                <w:szCs w:val="20"/>
                <w:color w:val="auto"/>
              </w:rPr>
            </w:pPr>
            <w:r>
              <w:rPr>
                <w:rFonts w:ascii="Arial" w:cs="Arial" w:eastAsia="Arial" w:hAnsi="Arial"/>
                <w:sz w:val="15"/>
                <w:szCs w:val="15"/>
                <w:color w:val="4D8ABE"/>
              </w:rPr>
              <w:t>171.9</w:t>
            </w:r>
          </w:p>
        </w:tc>
        <w:tc>
          <w:tcPr>
            <w:tcW w:w="58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180.4</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Leasehold improvements</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3"/>
              <w:spacing w:after="0"/>
              <w:rPr>
                <w:sz w:val="20"/>
                <w:szCs w:val="20"/>
                <w:color w:val="auto"/>
              </w:rPr>
            </w:pPr>
            <w:r>
              <w:rPr>
                <w:rFonts w:ascii="Arial" w:cs="Arial" w:eastAsia="Arial" w:hAnsi="Arial"/>
                <w:sz w:val="15"/>
                <w:szCs w:val="15"/>
                <w:color w:val="4D8ABE"/>
              </w:rPr>
              <w:t>309.9</w:t>
            </w:r>
          </w:p>
        </w:tc>
        <w:tc>
          <w:tcPr>
            <w:tcW w:w="58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319.2</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tcPr>
          <w:p>
            <w:pPr>
              <w:jc w:val="right"/>
              <w:ind w:right="163"/>
              <w:spacing w:after="0"/>
              <w:rPr>
                <w:sz w:val="20"/>
                <w:szCs w:val="20"/>
                <w:color w:val="auto"/>
              </w:rPr>
            </w:pPr>
            <w:r>
              <w:rPr>
                <w:rFonts w:ascii="Arial" w:cs="Arial" w:eastAsia="Arial" w:hAnsi="Arial"/>
                <w:sz w:val="15"/>
                <w:szCs w:val="15"/>
                <w:color w:val="4D8ABE"/>
              </w:rPr>
              <w:t>703.6</w:t>
            </w:r>
          </w:p>
        </w:tc>
        <w:tc>
          <w:tcPr>
            <w:tcW w:w="5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744.0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Property and equipment are stated at cost and are depreciated using primarily the straight-line method over the following estimated useful lives: buildings – up to 40 years; furniture and equipment – 3 to 15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DERIVATIVE FINANCIAL INSTRUMENTS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(Loss) and recognized in the Consolidated Statements of Operations when the hedged item affects earnings. The ineffective portions of the changes in the fair value of cash flow hedges are recognized in earnings.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FOREIGN CURRENCY TRANSLATION</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financial statements of our non-U.S. subsidiaries have been translated in accordance with the accounting guidance on foreign currency translation. Under the accounting guidance, asset and liability accounts are translated at the current exchange rate and income statement items are translated at the weighted-average exchange rate for the year. The resulting translation adjustments are recorded as a component of Accumulated Other Comprehensive Income (Loss), which is included in Shareholders’ Equity.</w:t>
      </w:r>
    </w:p>
    <w:p>
      <w:pPr>
        <w:spacing w:after="0" w:line="181"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SHAREHOLDERS’ EQUITY</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In August 2007 and October 2006 the Board of Directors authorized the repurchase of 5.0 million shares of our common stock, not to exceed a total purchase price of $400.0 and $325.0,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repurchased 2.2 million and 1.7 million shares of common stock at a total cost of $112.2 and $105.7 during 2008 and 2007, respectively. No shares were repurchased in 2009. There are 1.1 million shares, at a cost of up to $182.1, remaining authorized for repurchase under this authorization as of December 31, 2009. Under the 2006 authorization, we repurchased 4.4 million shares of common stock during 2007 at a total cost of $325.0.</w:t>
      </w:r>
    </w:p>
    <w:p>
      <w:pPr>
        <w:spacing w:after="0" w:line="185"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52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86B6A5"/>
        </w:rPr>
        <w:t>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We consider all highly liquid investments with an original maturity of three months or less when purchased to be cash equivalents.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RECENTLY ISSUED ACCOUNTING STANDARDS</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December 2007, the Financial Accounting Standards Board (“FASB”) issued new accounting guidance on retirement benefits. The new guidance requires additional disclosures about plan assets of a defined benefit pension or other postretirement plan. We adopted the guidance as of December 31, 2009. See Note 9 to the Consolidated Financial Statements for the disclosure.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December 2007, the FASB issued new accounting guidance on business combinations. The new guidance changes the requirements for an acquirer’s recognition and measurement of the assets acquired and the liabilities assumed in a business combination. We adopted the guidance effective January 1, 2009. There was no material impact of this adoption on our Consolidated Financial Statements.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March 2008, the FASB issued new accounting guidance on derivatives and hedging. The new guidance requires enhanced disclosures about derivative instruments and hedging activities to enable investors to better understand their effects on an entity’s financial position, financial performance and cash flows. We adopted the guidance as of March 31, 2009. See Note 13 to the Consolidated Financial Statements for the disclosure.</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May 2009, the FASB issued new accounting guidance on subsequent events. The new guidance requires disclosure of the date through which an entity has evaluated subsequent events and the basis for that date. We adopted the guidance effective for the second quarter of 2009.</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June 2009, the FASB issued new accounting guidance on transfers of financial assets. The new guidance eliminates the concept of a qualifying special-purpose entity and removes the exception from applying the current guidance for consolidation of variable interest entities to qualifying special purpose entities. The new guidance also defines the term participating interest to establish specific conditions for reporting a transfer of a portion of a financial asset as a sale. The Statement also requires that a transferor recognize and initially measure at fair value all assets obtained and liabilities incurred as a result of a transfer of financial assets accounted for as a sale. The guidance will be effective for us in 2010. We do not expect the adoption of this guidance to have a material impact on our Consolidated Financial Statements.</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June 2009, the FASB issued new accounting guidance on consolidation of variable interest entities. The new guidance amends the process for identifying the primary beneficiary in variable interest entities and requires ongoing assessments for purposes of identifying the primary beneficiary. The new guidance will be effective for us in 2010. We do not expect the adoption of this guidance to have a material impact on our Consolidated Financial Statements.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new guidance will be effective prospectively for our revenue arrangements entered into or materially modified in 2011. We are currently assessing the impact of the adopting of this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SUBSEQUENT EVENTS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February 2010, we entered into an agreement to acquire COMSYS IT Partners, Inc. (NASDAQ: CITP), a leading professional staffing firm. The agreement has been approved by the boards of directors of both companies. Subject to the terms of the agreement, the value of the consideration for each outstanding share of COMSYS common stock would be $17.65, for a total enterprise value of $431.0, including net debt retired by us at closing. The consideration is expected to be approximately 50% Manpower common stock and approximately 50% cash, unless we elect to pay all cash. The acquisition is expected to close in the second quarter of 2010.</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evaluated other events and transactions occurring after the balance sheet date through February 19, 2010, which is the date that the financial statements are issued, and noted no other events that are subject to recognition or disclosure.</w:t>
      </w:r>
    </w:p>
    <w:p>
      <w:pPr>
        <w:spacing w:after="0" w:line="177"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4D8ABE"/>
        </w:rPr>
        <w:t>02.</w:t>
      </w:r>
    </w:p>
    <w:p>
      <w:pPr>
        <w:spacing w:after="0"/>
        <w:rPr>
          <w:sz w:val="20"/>
          <w:szCs w:val="20"/>
          <w:color w:val="auto"/>
        </w:rPr>
      </w:pPr>
      <w:r>
        <w:rPr>
          <w:rFonts w:ascii="Arial" w:cs="Arial" w:eastAsia="Arial" w:hAnsi="Arial"/>
          <w:sz w:val="21"/>
          <w:szCs w:val="21"/>
          <w:color w:val="4D8ABE"/>
        </w:rPr>
        <w:t>Acquisitions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From time to time, we acquire and invest in companies throughout the world, including franchises. The total cash consideration for acquisitions, net of cash acquired, was $21.6, $242.0 and $122.8 in 2009, 2008 and 2007, respectively. Goodwill and intangible assets resulting from the 2009 acquisitions were $15.9 and $3.8, respectively, as of December 31, 2009.</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April 2008, we acquired Vitae, a leading professional placement firm in the Netherlands, for total consideration, net of cash acquired, of $114.7 (€72.6). Goodwill and intangible assets related to this transaction were $87.6 and $15.9, respectively, as of December 31, 2009 and $85.4 and $23.6, respectively, as of December 31, 2008.</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4D8ABE"/>
        </w:rPr>
        <w:t>03.</w:t>
      </w:r>
    </w:p>
    <w:p>
      <w:pPr>
        <w:spacing w:after="0"/>
        <w:rPr>
          <w:sz w:val="20"/>
          <w:szCs w:val="20"/>
          <w:color w:val="auto"/>
        </w:rPr>
      </w:pPr>
      <w:r>
        <w:rPr>
          <w:rFonts w:ascii="Arial" w:cs="Arial" w:eastAsia="Arial" w:hAnsi="Arial"/>
          <w:sz w:val="21"/>
          <w:szCs w:val="21"/>
          <w:color w:val="4D8ABE"/>
        </w:rPr>
        <w:t>Stock Compensation Plans</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account for share-based payments according to the accounting guidance on share-based payments. During 2009, 2008 and 2007 we recognized approximately $17.5, $21.1 and $26.0, respectively, in share-based compensation expense related to stock options, deferred stock, restricted stock, and the stock purchase plan (other than 2009), all of which is recorded in Selling and Administrative Expenses. The total income tax benefit recognized related to share-based compensation during 2009, 2008 and 2007 was $3.2, $3.2 and $3.3, respectively. Consideration received from stock-based awards for 2009, 2008 and 2007 was $15.1, $12.2 and $35.0, respectively. The excess income tax benefit recognized related to share-based compensation awards, which is recorded in Capital in Excess of Par Value, for 2009, 2008 and 2007 was approximately $1.2, $0.3 and $5.3, respectively. We recognize compensation expense on grants of share-based compensation awards on a straight-line basis over the vesting period of each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STOCK OPTIONS</w:t>
      </w:r>
    </w:p>
    <w:p>
      <w:pPr>
        <w:spacing w:after="0" w:line="237"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All share-based compensation is currently granted under our 2003 Equity Incentive Plan of Manpower Inc. (“2003 Plan”). Options and stock appreciation rights are granted at a price not less than 100% of the fair market value of the common stock at the date of grant. Generally, options are granted with a vesting period of up to four years and expire ten years from date of grant. As of December 31, 2009, 2008 and 2007 no stock appreciation rights had been granted or were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 summary of stock option activity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6"/>
              <w:spacing w:after="0"/>
              <w:rPr>
                <w:sz w:val="20"/>
                <w:szCs w:val="20"/>
                <w:color w:val="auto"/>
              </w:rPr>
            </w:pPr>
            <w:r>
              <w:rPr>
                <w:rFonts w:ascii="Arial" w:cs="Arial" w:eastAsia="Arial" w:hAnsi="Arial"/>
                <w:sz w:val="14"/>
                <w:szCs w:val="14"/>
                <w:b w:val="1"/>
                <w:bCs w:val="1"/>
                <w:color w:val="4D8ABE"/>
              </w:rPr>
              <w:t>Wtd. Avg.</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4D8ABE"/>
              </w:rPr>
              <w:t>Wtd. Avg.</w:t>
            </w:r>
          </w:p>
        </w:tc>
        <w:tc>
          <w:tcPr>
            <w:tcW w:w="1240" w:type="dxa"/>
            <w:vAlign w:val="bottom"/>
          </w:tcPr>
          <w:p>
            <w:pPr>
              <w:jc w:val="right"/>
              <w:ind w:right="26"/>
              <w:spacing w:after="0"/>
              <w:rPr>
                <w:sz w:val="20"/>
                <w:szCs w:val="20"/>
                <w:color w:val="auto"/>
              </w:rPr>
            </w:pPr>
            <w:r>
              <w:rPr>
                <w:rFonts w:ascii="Arial" w:cs="Arial" w:eastAsia="Arial" w:hAnsi="Arial"/>
                <w:sz w:val="14"/>
                <w:szCs w:val="14"/>
                <w:b w:val="1"/>
                <w:bCs w:val="1"/>
                <w:color w:val="4D8ABE"/>
              </w:rPr>
              <w:t>Remaining</w:t>
            </w:r>
          </w:p>
        </w:tc>
        <w:tc>
          <w:tcPr>
            <w:tcW w:w="40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4"/>
                <w:szCs w:val="14"/>
                <w:b w:val="1"/>
                <w:bCs w:val="1"/>
                <w:color w:val="4D8ABE"/>
              </w:rPr>
              <w:t>Aggregate</w:t>
            </w:r>
          </w:p>
        </w:tc>
      </w:tr>
      <w:tr>
        <w:trPr>
          <w:trHeight w:val="184"/>
        </w:trPr>
        <w:tc>
          <w:tcPr>
            <w:tcW w:w="4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4D8ABE"/>
              </w:rPr>
              <w:t>Exercise</w:t>
            </w:r>
          </w:p>
        </w:tc>
        <w:tc>
          <w:tcPr>
            <w:tcW w:w="1240" w:type="dxa"/>
            <w:vAlign w:val="bottom"/>
          </w:tcPr>
          <w:p>
            <w:pPr>
              <w:jc w:val="right"/>
              <w:ind w:right="26"/>
              <w:spacing w:after="0"/>
              <w:rPr>
                <w:sz w:val="20"/>
                <w:szCs w:val="20"/>
                <w:color w:val="auto"/>
              </w:rPr>
            </w:pPr>
            <w:r>
              <w:rPr>
                <w:rFonts w:ascii="Arial" w:cs="Arial" w:eastAsia="Arial" w:hAnsi="Arial"/>
                <w:sz w:val="14"/>
                <w:szCs w:val="14"/>
                <w:b w:val="1"/>
                <w:bCs w:val="1"/>
                <w:color w:val="4D8ABE"/>
              </w:rPr>
              <w:t>Contractual</w:t>
            </w:r>
          </w:p>
        </w:tc>
        <w:tc>
          <w:tcPr>
            <w:tcW w:w="40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4"/>
                <w:szCs w:val="14"/>
                <w:b w:val="1"/>
                <w:bCs w:val="1"/>
                <w:color w:val="4D8ABE"/>
              </w:rPr>
              <w:t>Intrinsic</w:t>
            </w:r>
          </w:p>
        </w:tc>
      </w:tr>
      <w:tr>
        <w:trPr>
          <w:trHeight w:val="184"/>
        </w:trPr>
        <w:tc>
          <w:tcPr>
            <w:tcW w:w="4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4D8ABE"/>
              </w:rPr>
              <w:t>Price Per</w:t>
            </w:r>
          </w:p>
        </w:tc>
        <w:tc>
          <w:tcPr>
            <w:tcW w:w="1240" w:type="dxa"/>
            <w:vAlign w:val="bottom"/>
          </w:tcPr>
          <w:p>
            <w:pPr>
              <w:jc w:val="right"/>
              <w:ind w:right="26"/>
              <w:spacing w:after="0"/>
              <w:rPr>
                <w:sz w:val="20"/>
                <w:szCs w:val="20"/>
                <w:color w:val="auto"/>
              </w:rPr>
            </w:pPr>
            <w:r>
              <w:rPr>
                <w:rFonts w:ascii="Arial" w:cs="Arial" w:eastAsia="Arial" w:hAnsi="Arial"/>
                <w:sz w:val="14"/>
                <w:szCs w:val="14"/>
                <w:b w:val="1"/>
                <w:bCs w:val="1"/>
                <w:color w:val="4D8ABE"/>
              </w:rPr>
              <w:t>Term</w:t>
            </w:r>
          </w:p>
        </w:tc>
        <w:tc>
          <w:tcPr>
            <w:tcW w:w="40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4"/>
                <w:szCs w:val="14"/>
                <w:b w:val="1"/>
                <w:bCs w:val="1"/>
                <w:color w:val="4D8ABE"/>
              </w:rPr>
              <w:t>Value</w:t>
            </w:r>
          </w:p>
        </w:tc>
      </w:tr>
      <w:tr>
        <w:trPr>
          <w:trHeight w:val="193"/>
        </w:trPr>
        <w:tc>
          <w:tcPr>
            <w:tcW w:w="4640" w:type="dxa"/>
            <w:vAlign w:val="bottom"/>
          </w:tcPr>
          <w:p>
            <w:pPr>
              <w:spacing w:after="0"/>
              <w:rPr>
                <w:sz w:val="16"/>
                <w:szCs w:val="16"/>
                <w:color w:val="auto"/>
              </w:rPr>
            </w:pPr>
          </w:p>
        </w:tc>
        <w:tc>
          <w:tcPr>
            <w:tcW w:w="2340" w:type="dxa"/>
            <w:vAlign w:val="bottom"/>
          </w:tcPr>
          <w:p>
            <w:pPr>
              <w:jc w:val="right"/>
              <w:ind w:right="24"/>
              <w:spacing w:after="0"/>
              <w:rPr>
                <w:sz w:val="20"/>
                <w:szCs w:val="20"/>
                <w:color w:val="auto"/>
              </w:rPr>
            </w:pPr>
            <w:r>
              <w:rPr>
                <w:rFonts w:ascii="Arial" w:cs="Arial" w:eastAsia="Arial" w:hAnsi="Arial"/>
                <w:sz w:val="14"/>
                <w:szCs w:val="14"/>
                <w:b w:val="1"/>
                <w:bCs w:val="1"/>
                <w:color w:val="4D8ABE"/>
              </w:rPr>
              <w:t>Shares (000)</w:t>
            </w:r>
          </w:p>
        </w:tc>
        <w:tc>
          <w:tcPr>
            <w:tcW w:w="4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4D8ABE"/>
              </w:rPr>
              <w:t>Share</w:t>
            </w:r>
          </w:p>
        </w:tc>
        <w:tc>
          <w:tcPr>
            <w:tcW w:w="1240" w:type="dxa"/>
            <w:vAlign w:val="bottom"/>
          </w:tcPr>
          <w:p>
            <w:pPr>
              <w:jc w:val="right"/>
              <w:ind w:right="26"/>
              <w:spacing w:after="0"/>
              <w:rPr>
                <w:sz w:val="20"/>
                <w:szCs w:val="20"/>
                <w:color w:val="auto"/>
              </w:rPr>
            </w:pPr>
            <w:r>
              <w:rPr>
                <w:rFonts w:ascii="Arial" w:cs="Arial" w:eastAsia="Arial" w:hAnsi="Arial"/>
                <w:sz w:val="14"/>
                <w:szCs w:val="14"/>
                <w:b w:val="1"/>
                <w:bCs w:val="1"/>
                <w:color w:val="4D8ABE"/>
              </w:rPr>
              <w:t>(years)</w:t>
            </w:r>
          </w:p>
        </w:tc>
        <w:tc>
          <w:tcPr>
            <w:tcW w:w="400" w:type="dxa"/>
            <w:vAlign w:val="bottom"/>
          </w:tcPr>
          <w:p>
            <w:pPr>
              <w:spacing w:after="0"/>
              <w:rPr>
                <w:sz w:val="16"/>
                <w:szCs w:val="16"/>
                <w:color w:val="auto"/>
              </w:rPr>
            </w:pPr>
          </w:p>
        </w:tc>
        <w:tc>
          <w:tcPr>
            <w:tcW w:w="1180" w:type="dxa"/>
            <w:vAlign w:val="bottom"/>
          </w:tcPr>
          <w:p>
            <w:pPr>
              <w:jc w:val="right"/>
              <w:ind w:right="147"/>
              <w:spacing w:after="0"/>
              <w:rPr>
                <w:sz w:val="20"/>
                <w:szCs w:val="20"/>
                <w:color w:val="auto"/>
              </w:rPr>
            </w:pPr>
            <w:r>
              <w:rPr>
                <w:rFonts w:ascii="Arial" w:cs="Arial" w:eastAsia="Arial" w:hAnsi="Arial"/>
                <w:sz w:val="14"/>
                <w:szCs w:val="14"/>
                <w:b w:val="1"/>
                <w:bCs w:val="1"/>
                <w:color w:val="4D8ABE"/>
              </w:rPr>
              <w:t>(in millions)</w:t>
            </w:r>
          </w:p>
        </w:tc>
      </w:tr>
      <w:tr>
        <w:trPr>
          <w:trHeight w:val="184"/>
        </w:trPr>
        <w:tc>
          <w:tcPr>
            <w:tcW w:w="4640" w:type="dxa"/>
            <w:vAlign w:val="bottom"/>
            <w:tcBorders>
              <w:top w:val="single" w:sz="8" w:color="4D8ABE"/>
            </w:tcBorders>
            <w:shd w:val="clear" w:color="auto" w:fill="E6EFFF"/>
          </w:tcPr>
          <w:p>
            <w:pPr>
              <w:spacing w:after="0"/>
              <w:rPr>
                <w:sz w:val="20"/>
                <w:szCs w:val="20"/>
                <w:color w:val="auto"/>
              </w:rPr>
            </w:pPr>
            <w:r>
              <w:rPr>
                <w:rFonts w:ascii="Arial" w:cs="Arial" w:eastAsia="Arial" w:hAnsi="Arial"/>
                <w:sz w:val="15"/>
                <w:szCs w:val="15"/>
                <w:color w:val="auto"/>
              </w:rPr>
              <w:t>Outstanding, January 1, 2007</w:t>
            </w:r>
          </w:p>
        </w:tc>
        <w:tc>
          <w:tcPr>
            <w:tcW w:w="2340" w:type="dxa"/>
            <w:vAlign w:val="bottom"/>
            <w:tcBorders>
              <w:top w:val="single" w:sz="8" w:color="4D8ABE"/>
            </w:tcBorders>
            <w:shd w:val="clear" w:color="auto" w:fill="E6EFFF"/>
          </w:tcPr>
          <w:p>
            <w:pPr>
              <w:jc w:val="right"/>
              <w:ind w:right="64"/>
              <w:spacing w:after="0"/>
              <w:rPr>
                <w:sz w:val="20"/>
                <w:szCs w:val="20"/>
                <w:color w:val="auto"/>
              </w:rPr>
            </w:pPr>
            <w:r>
              <w:rPr>
                <w:rFonts w:ascii="Arial" w:cs="Arial" w:eastAsia="Arial" w:hAnsi="Arial"/>
                <w:sz w:val="15"/>
                <w:szCs w:val="15"/>
                <w:color w:val="auto"/>
              </w:rPr>
              <w:t>4,497</w:t>
            </w:r>
          </w:p>
        </w:tc>
        <w:tc>
          <w:tcPr>
            <w:tcW w:w="420" w:type="dxa"/>
            <w:vAlign w:val="bottom"/>
            <w:tcBorders>
              <w:top w:val="single" w:sz="8" w:color="4D8ABE"/>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4D8ABE"/>
            </w:tcBorders>
            <w:shd w:val="clear" w:color="auto" w:fill="E6EFFF"/>
          </w:tcPr>
          <w:p>
            <w:pPr>
              <w:jc w:val="right"/>
              <w:spacing w:after="0"/>
              <w:rPr>
                <w:sz w:val="20"/>
                <w:szCs w:val="20"/>
                <w:color w:val="auto"/>
              </w:rPr>
            </w:pPr>
            <w:r>
              <w:rPr>
                <w:rFonts w:ascii="Arial" w:cs="Arial" w:eastAsia="Arial" w:hAnsi="Arial"/>
                <w:sz w:val="15"/>
                <w:szCs w:val="15"/>
                <w:color w:val="auto"/>
              </w:rPr>
              <w:t>41</w:t>
            </w:r>
          </w:p>
        </w:tc>
        <w:tc>
          <w:tcPr>
            <w:tcW w:w="320" w:type="dxa"/>
            <w:vAlign w:val="bottom"/>
            <w:tcBorders>
              <w:top w:val="single" w:sz="8" w:color="E6EFFF"/>
            </w:tcBorders>
            <w:shd w:val="clear" w:color="auto" w:fill="E6EFFF"/>
          </w:tcPr>
          <w:p>
            <w:pPr>
              <w:spacing w:after="0"/>
              <w:rPr>
                <w:sz w:val="15"/>
                <w:szCs w:val="15"/>
                <w:color w:val="auto"/>
              </w:rPr>
            </w:pPr>
          </w:p>
        </w:tc>
        <w:tc>
          <w:tcPr>
            <w:tcW w:w="1240" w:type="dxa"/>
            <w:vAlign w:val="bottom"/>
            <w:tcBorders>
              <w:top w:val="single" w:sz="8" w:color="4D8ABE"/>
            </w:tcBorders>
            <w:shd w:val="clear" w:color="auto" w:fill="E6EFFF"/>
          </w:tcPr>
          <w:p>
            <w:pPr>
              <w:spacing w:after="0"/>
              <w:rPr>
                <w:sz w:val="15"/>
                <w:szCs w:val="15"/>
                <w:color w:val="auto"/>
              </w:rPr>
            </w:pPr>
          </w:p>
        </w:tc>
        <w:tc>
          <w:tcPr>
            <w:tcW w:w="400" w:type="dxa"/>
            <w:vAlign w:val="bottom"/>
            <w:tcBorders>
              <w:top w:val="single" w:sz="8" w:color="4D8ABE"/>
            </w:tcBorders>
            <w:shd w:val="clear" w:color="auto" w:fill="E6EFFF"/>
          </w:tcPr>
          <w:p>
            <w:pPr>
              <w:spacing w:after="0"/>
              <w:rPr>
                <w:sz w:val="15"/>
                <w:szCs w:val="15"/>
                <w:color w:val="auto"/>
              </w:rPr>
            </w:pPr>
          </w:p>
        </w:tc>
        <w:tc>
          <w:tcPr>
            <w:tcW w:w="1180" w:type="dxa"/>
            <w:vAlign w:val="bottom"/>
            <w:tcBorders>
              <w:top w:val="single" w:sz="8" w:color="4D8ABE"/>
            </w:tcBorders>
            <w:shd w:val="clear" w:color="auto" w:fill="E6EFFF"/>
          </w:tcPr>
          <w:p>
            <w:pPr>
              <w:spacing w:after="0"/>
              <w:rPr>
                <w:sz w:val="15"/>
                <w:szCs w:val="15"/>
                <w:color w:val="auto"/>
              </w:rPr>
            </w:pPr>
          </w:p>
        </w:tc>
      </w:tr>
      <w:tr>
        <w:trPr>
          <w:trHeight w:val="184"/>
        </w:trPr>
        <w:tc>
          <w:tcPr>
            <w:tcW w:w="4640" w:type="dxa"/>
            <w:vAlign w:val="bottom"/>
          </w:tcPr>
          <w:p>
            <w:pPr>
              <w:ind w:left="140"/>
              <w:spacing w:after="0"/>
              <w:rPr>
                <w:sz w:val="20"/>
                <w:szCs w:val="20"/>
                <w:color w:val="auto"/>
              </w:rPr>
            </w:pPr>
            <w:r>
              <w:rPr>
                <w:rFonts w:ascii="Arial" w:cs="Arial" w:eastAsia="Arial" w:hAnsi="Arial"/>
                <w:sz w:val="15"/>
                <w:szCs w:val="15"/>
                <w:color w:val="auto"/>
              </w:rPr>
              <w:t>Granted</w:t>
            </w:r>
          </w:p>
        </w:tc>
        <w:tc>
          <w:tcPr>
            <w:tcW w:w="2340" w:type="dxa"/>
            <w:vAlign w:val="bottom"/>
          </w:tcPr>
          <w:p>
            <w:pPr>
              <w:jc w:val="right"/>
              <w:ind w:right="64"/>
              <w:spacing w:after="0"/>
              <w:rPr>
                <w:sz w:val="20"/>
                <w:szCs w:val="20"/>
                <w:color w:val="auto"/>
              </w:rPr>
            </w:pPr>
            <w:r>
              <w:rPr>
                <w:rFonts w:ascii="Arial" w:cs="Arial" w:eastAsia="Arial" w:hAnsi="Arial"/>
                <w:sz w:val="15"/>
                <w:szCs w:val="15"/>
                <w:color w:val="auto"/>
              </w:rPr>
              <w:t>835</w:t>
            </w: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77</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6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Exercised</w:t>
            </w:r>
          </w:p>
        </w:tc>
        <w:tc>
          <w:tcPr>
            <w:tcW w:w="234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(703)</w:t>
            </w:r>
          </w:p>
        </w:tc>
        <w:tc>
          <w:tcPr>
            <w:tcW w:w="420" w:type="dxa"/>
            <w:vAlign w:val="bottom"/>
            <w:shd w:val="clear" w:color="auto" w:fill="E6EFFF"/>
          </w:tcPr>
          <w:p>
            <w:pPr>
              <w:spacing w:after="0"/>
              <w:rPr>
                <w:sz w:val="15"/>
                <w:szCs w:val="15"/>
                <w:color w:val="auto"/>
              </w:rPr>
            </w:pPr>
          </w:p>
        </w:tc>
        <w:tc>
          <w:tcPr>
            <w:tcW w:w="1220" w:type="dxa"/>
            <w:vAlign w:val="bottom"/>
            <w:gridSpan w:val="2"/>
            <w:shd w:val="clear" w:color="auto" w:fill="E6EFFF"/>
          </w:tcPr>
          <w:p>
            <w:pPr>
              <w:jc w:val="right"/>
              <w:ind w:right="320"/>
              <w:spacing w:after="0"/>
              <w:rPr>
                <w:sz w:val="20"/>
                <w:szCs w:val="20"/>
                <w:color w:val="auto"/>
              </w:rPr>
            </w:pPr>
            <w:r>
              <w:rPr>
                <w:rFonts w:ascii="Arial" w:cs="Arial" w:eastAsia="Arial" w:hAnsi="Arial"/>
                <w:sz w:val="15"/>
                <w:szCs w:val="15"/>
                <w:color w:val="auto"/>
              </w:rPr>
              <w:t>36</w:t>
            </w:r>
          </w:p>
        </w:tc>
        <w:tc>
          <w:tcPr>
            <w:tcW w:w="1240" w:type="dxa"/>
            <w:vAlign w:val="bottom"/>
            <w:shd w:val="clear" w:color="auto" w:fill="E6EFFF"/>
          </w:tcPr>
          <w:p>
            <w:pPr>
              <w:spacing w:after="0"/>
              <w:rPr>
                <w:sz w:val="15"/>
                <w:szCs w:val="15"/>
                <w:color w:val="auto"/>
              </w:rPr>
            </w:pPr>
          </w:p>
        </w:tc>
        <w:tc>
          <w:tcPr>
            <w:tcW w:w="400" w:type="dxa"/>
            <w:vAlign w:val="bottom"/>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FFF"/>
          </w:tcPr>
          <w:p>
            <w:pPr>
              <w:jc w:val="right"/>
              <w:ind w:right="147"/>
              <w:spacing w:after="0"/>
              <w:rPr>
                <w:sz w:val="20"/>
                <w:szCs w:val="20"/>
                <w:color w:val="auto"/>
              </w:rPr>
            </w:pPr>
            <w:r>
              <w:rPr>
                <w:rFonts w:ascii="Arial" w:cs="Arial" w:eastAsia="Arial" w:hAnsi="Arial"/>
                <w:sz w:val="15"/>
                <w:szCs w:val="15"/>
                <w:color w:val="auto"/>
              </w:rPr>
              <w:t>31</w:t>
            </w:r>
          </w:p>
        </w:tc>
      </w:tr>
      <w:tr>
        <w:trPr>
          <w:trHeight w:val="184"/>
        </w:trPr>
        <w:tc>
          <w:tcPr>
            <w:tcW w:w="4640" w:type="dxa"/>
            <w:vAlign w:val="bottom"/>
          </w:tcPr>
          <w:p>
            <w:pPr>
              <w:ind w:left="140"/>
              <w:spacing w:after="0"/>
              <w:rPr>
                <w:sz w:val="20"/>
                <w:szCs w:val="20"/>
                <w:color w:val="auto"/>
              </w:rPr>
            </w:pPr>
            <w:r>
              <w:rPr>
                <w:rFonts w:ascii="Arial" w:cs="Arial" w:eastAsia="Arial" w:hAnsi="Arial"/>
                <w:sz w:val="15"/>
                <w:szCs w:val="15"/>
                <w:color w:val="auto"/>
              </w:rPr>
              <w:t>Expired or cancelled</w:t>
            </w:r>
          </w:p>
        </w:tc>
        <w:tc>
          <w:tcPr>
            <w:tcW w:w="2340" w:type="dxa"/>
            <w:vAlign w:val="bottom"/>
          </w:tcPr>
          <w:p>
            <w:pPr>
              <w:jc w:val="right"/>
              <w:ind w:right="4"/>
              <w:spacing w:after="0"/>
              <w:rPr>
                <w:sz w:val="20"/>
                <w:szCs w:val="20"/>
                <w:color w:val="auto"/>
              </w:rPr>
            </w:pPr>
            <w:r>
              <w:rPr>
                <w:rFonts w:ascii="Arial" w:cs="Arial" w:eastAsia="Arial" w:hAnsi="Arial"/>
                <w:sz w:val="15"/>
                <w:szCs w:val="15"/>
                <w:color w:val="auto"/>
              </w:rPr>
              <w:t>(250)</w:t>
            </w: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51</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640" w:type="dxa"/>
            <w:vAlign w:val="bottom"/>
            <w:tcBorders>
              <w:top w:val="single" w:sz="8" w:color="auto"/>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Outstanding, December 31, 2007</w:t>
            </w:r>
          </w:p>
        </w:tc>
        <w:tc>
          <w:tcPr>
            <w:tcW w:w="2340" w:type="dxa"/>
            <w:vAlign w:val="bottom"/>
            <w:tcBorders>
              <w:top w:val="single" w:sz="8" w:color="auto"/>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4,379</w:t>
            </w:r>
          </w:p>
        </w:tc>
        <w:tc>
          <w:tcPr>
            <w:tcW w:w="420" w:type="dxa"/>
            <w:vAlign w:val="bottom"/>
            <w:tcBorders>
              <w:top w:val="single" w:sz="8" w:color="auto"/>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48</w:t>
            </w:r>
          </w:p>
        </w:tc>
        <w:tc>
          <w:tcPr>
            <w:tcW w:w="320" w:type="dxa"/>
            <w:vAlign w:val="bottom"/>
            <w:tcBorders>
              <w:top w:val="single" w:sz="8" w:color="E6EFFF"/>
            </w:tcBorders>
            <w:shd w:val="clear" w:color="auto" w:fill="E6EFFF"/>
          </w:tcPr>
          <w:p>
            <w:pPr>
              <w:spacing w:after="0"/>
              <w:rPr>
                <w:sz w:val="15"/>
                <w:szCs w:val="15"/>
                <w:color w:val="auto"/>
              </w:rPr>
            </w:pPr>
          </w:p>
        </w:tc>
        <w:tc>
          <w:tcPr>
            <w:tcW w:w="1240" w:type="dxa"/>
            <w:vAlign w:val="bottom"/>
            <w:tcBorders>
              <w:top w:val="single" w:sz="8" w:color="auto"/>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6.5</w:t>
            </w:r>
          </w:p>
        </w:tc>
        <w:tc>
          <w:tcPr>
            <w:tcW w:w="400" w:type="dxa"/>
            <w:vAlign w:val="bottom"/>
            <w:tcBorders>
              <w:top w:val="single" w:sz="8" w:color="auto"/>
              <w:bottom w:val="single" w:sz="8" w:color="auto"/>
            </w:tcBorders>
            <w:shd w:val="clear" w:color="auto" w:fill="E6EFFF"/>
          </w:tcPr>
          <w:p>
            <w:pPr>
              <w:spacing w:after="0"/>
              <w:rPr>
                <w:sz w:val="15"/>
                <w:szCs w:val="15"/>
                <w:color w:val="auto"/>
              </w:rPr>
            </w:pPr>
          </w:p>
        </w:tc>
        <w:tc>
          <w:tcPr>
            <w:tcW w:w="1180" w:type="dxa"/>
            <w:vAlign w:val="bottom"/>
            <w:tcBorders>
              <w:top w:val="single" w:sz="8" w:color="auto"/>
              <w:bottom w:val="single" w:sz="8" w:color="auto"/>
            </w:tcBorders>
            <w:shd w:val="clear" w:color="auto" w:fill="E6EFFF"/>
          </w:tcPr>
          <w:p>
            <w:pPr>
              <w:spacing w:after="0"/>
              <w:rPr>
                <w:sz w:val="15"/>
                <w:szCs w:val="15"/>
                <w:color w:val="auto"/>
              </w:rPr>
            </w:pPr>
          </w:p>
        </w:tc>
      </w:tr>
      <w:tr>
        <w:trPr>
          <w:trHeight w:val="175"/>
        </w:trPr>
        <w:tc>
          <w:tcPr>
            <w:tcW w:w="4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Vested or expected to vest, December 31, 2007</w:t>
            </w:r>
          </w:p>
        </w:tc>
        <w:tc>
          <w:tcPr>
            <w:tcW w:w="23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4,298</w:t>
            </w: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320" w:type="dxa"/>
            <w:vAlign w:val="bottom"/>
            <w:tcBorders>
              <w:bottom w:val="single" w:sz="8" w:color="E6EFFF"/>
            </w:tcBorders>
          </w:tcPr>
          <w:p>
            <w:pPr>
              <w:spacing w:after="0"/>
              <w:rPr>
                <w:sz w:val="15"/>
                <w:szCs w:val="15"/>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6.4</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5"/>
        </w:trPr>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Exercisable, December 31, 2007</w:t>
            </w:r>
          </w:p>
        </w:tc>
        <w:tc>
          <w:tcPr>
            <w:tcW w:w="234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2,300</w:t>
            </w:r>
          </w:p>
        </w:tc>
        <w:tc>
          <w:tcPr>
            <w:tcW w:w="42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37</w:t>
            </w:r>
          </w:p>
        </w:tc>
        <w:tc>
          <w:tcPr>
            <w:tcW w:w="320" w:type="dxa"/>
            <w:vAlign w:val="bottom"/>
            <w:shd w:val="clear" w:color="auto" w:fill="E6EFFF"/>
          </w:tcPr>
          <w:p>
            <w:pPr>
              <w:spacing w:after="0"/>
              <w:rPr>
                <w:sz w:val="15"/>
                <w:szCs w:val="15"/>
                <w:color w:val="auto"/>
              </w:rPr>
            </w:pPr>
          </w:p>
        </w:tc>
        <w:tc>
          <w:tcPr>
            <w:tcW w:w="124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5.1</w:t>
            </w:r>
          </w:p>
        </w:tc>
        <w:tc>
          <w:tcPr>
            <w:tcW w:w="400" w:type="dxa"/>
            <w:vAlign w:val="bottom"/>
            <w:tcBorders>
              <w:bottom w:val="single" w:sz="8" w:color="auto"/>
            </w:tcBorders>
            <w:shd w:val="clear" w:color="auto" w:fill="E6EFFF"/>
          </w:tcPr>
          <w:p>
            <w:pPr>
              <w:spacing w:after="0"/>
              <w:rPr>
                <w:sz w:val="15"/>
                <w:szCs w:val="15"/>
                <w:color w:val="auto"/>
              </w:rPr>
            </w:pPr>
          </w:p>
        </w:tc>
        <w:tc>
          <w:tcPr>
            <w:tcW w:w="1180" w:type="dxa"/>
            <w:vAlign w:val="bottom"/>
            <w:tcBorders>
              <w:bottom w:val="single" w:sz="8" w:color="auto"/>
            </w:tcBorders>
            <w:shd w:val="clear" w:color="auto" w:fill="E6EFFF"/>
          </w:tcPr>
          <w:p>
            <w:pPr>
              <w:spacing w:after="0"/>
              <w:rPr>
                <w:sz w:val="15"/>
                <w:szCs w:val="15"/>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5"/>
                <w:szCs w:val="15"/>
                <w:color w:val="auto"/>
              </w:rPr>
              <w:t>Outstanding, January 1, 2008</w:t>
            </w:r>
          </w:p>
        </w:tc>
        <w:tc>
          <w:tcPr>
            <w:tcW w:w="2340" w:type="dxa"/>
            <w:vAlign w:val="bottom"/>
          </w:tcPr>
          <w:p>
            <w:pPr>
              <w:jc w:val="right"/>
              <w:ind w:right="64"/>
              <w:spacing w:after="0"/>
              <w:rPr>
                <w:sz w:val="20"/>
                <w:szCs w:val="20"/>
                <w:color w:val="auto"/>
              </w:rPr>
            </w:pPr>
            <w:r>
              <w:rPr>
                <w:rFonts w:ascii="Arial" w:cs="Arial" w:eastAsia="Arial" w:hAnsi="Arial"/>
                <w:sz w:val="15"/>
                <w:szCs w:val="15"/>
                <w:color w:val="auto"/>
              </w:rPr>
              <w:t>4,379</w:t>
            </w:r>
          </w:p>
        </w:tc>
        <w:tc>
          <w:tcPr>
            <w:tcW w:w="4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48</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6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Granted</w:t>
            </w:r>
          </w:p>
        </w:tc>
        <w:tc>
          <w:tcPr>
            <w:tcW w:w="234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980</w:t>
            </w:r>
          </w:p>
        </w:tc>
        <w:tc>
          <w:tcPr>
            <w:tcW w:w="420" w:type="dxa"/>
            <w:vAlign w:val="bottom"/>
            <w:shd w:val="clear" w:color="auto" w:fill="E6EFFF"/>
          </w:tcPr>
          <w:p>
            <w:pPr>
              <w:spacing w:after="0"/>
              <w:rPr>
                <w:sz w:val="15"/>
                <w:szCs w:val="15"/>
                <w:color w:val="auto"/>
              </w:rPr>
            </w:pPr>
          </w:p>
        </w:tc>
        <w:tc>
          <w:tcPr>
            <w:tcW w:w="1220" w:type="dxa"/>
            <w:vAlign w:val="bottom"/>
            <w:gridSpan w:val="2"/>
            <w:shd w:val="clear" w:color="auto" w:fill="E6EFFF"/>
          </w:tcPr>
          <w:p>
            <w:pPr>
              <w:jc w:val="right"/>
              <w:ind w:right="320"/>
              <w:spacing w:after="0"/>
              <w:rPr>
                <w:sz w:val="20"/>
                <w:szCs w:val="20"/>
                <w:color w:val="auto"/>
              </w:rPr>
            </w:pPr>
            <w:r>
              <w:rPr>
                <w:rFonts w:ascii="Arial" w:cs="Arial" w:eastAsia="Arial" w:hAnsi="Arial"/>
                <w:sz w:val="15"/>
                <w:szCs w:val="15"/>
                <w:color w:val="auto"/>
              </w:rPr>
              <w:t>56</w:t>
            </w:r>
          </w:p>
        </w:tc>
        <w:tc>
          <w:tcPr>
            <w:tcW w:w="1240" w:type="dxa"/>
            <w:vAlign w:val="bottom"/>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r>
      <w:tr>
        <w:trPr>
          <w:trHeight w:val="184"/>
        </w:trPr>
        <w:tc>
          <w:tcPr>
            <w:tcW w:w="4640" w:type="dxa"/>
            <w:vAlign w:val="bottom"/>
          </w:tcPr>
          <w:p>
            <w:pPr>
              <w:ind w:left="140"/>
              <w:spacing w:after="0"/>
              <w:rPr>
                <w:sz w:val="20"/>
                <w:szCs w:val="20"/>
                <w:color w:val="auto"/>
              </w:rPr>
            </w:pPr>
            <w:r>
              <w:rPr>
                <w:rFonts w:ascii="Arial" w:cs="Arial" w:eastAsia="Arial" w:hAnsi="Arial"/>
                <w:sz w:val="15"/>
                <w:szCs w:val="15"/>
                <w:color w:val="auto"/>
              </w:rPr>
              <w:t>Exercised</w:t>
            </w:r>
          </w:p>
        </w:tc>
        <w:tc>
          <w:tcPr>
            <w:tcW w:w="2340" w:type="dxa"/>
            <w:vAlign w:val="bottom"/>
          </w:tcPr>
          <w:p>
            <w:pPr>
              <w:jc w:val="right"/>
              <w:ind w:right="4"/>
              <w:spacing w:after="0"/>
              <w:rPr>
                <w:sz w:val="20"/>
                <w:szCs w:val="20"/>
                <w:color w:val="auto"/>
              </w:rPr>
            </w:pPr>
            <w:r>
              <w:rPr>
                <w:rFonts w:ascii="Arial" w:cs="Arial" w:eastAsia="Arial" w:hAnsi="Arial"/>
                <w:sz w:val="15"/>
                <w:szCs w:val="15"/>
                <w:color w:val="auto"/>
              </w:rPr>
              <w:t>(161)</w:t>
            </w: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36</w:t>
            </w:r>
          </w:p>
        </w:tc>
        <w:tc>
          <w:tcPr>
            <w:tcW w:w="1240" w:type="dxa"/>
            <w:vAlign w:val="bottom"/>
          </w:tcPr>
          <w:p>
            <w:pPr>
              <w:spacing w:after="0"/>
              <w:rPr>
                <w:sz w:val="15"/>
                <w:szCs w:val="15"/>
                <w:color w:val="auto"/>
              </w:rPr>
            </w:pPr>
          </w:p>
        </w:tc>
        <w:tc>
          <w:tcPr>
            <w:tcW w:w="4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47"/>
              <w:spacing w:after="0"/>
              <w:rPr>
                <w:sz w:val="20"/>
                <w:szCs w:val="20"/>
                <w:color w:val="auto"/>
              </w:rPr>
            </w:pPr>
            <w:r>
              <w:rPr>
                <w:rFonts w:ascii="Arial" w:cs="Arial" w:eastAsia="Arial" w:hAnsi="Arial"/>
                <w:sz w:val="15"/>
                <w:szCs w:val="15"/>
                <w:color w:val="auto"/>
              </w:rPr>
              <w:t>3</w:t>
            </w:r>
          </w:p>
        </w:tc>
      </w:tr>
      <w:tr>
        <w:trPr>
          <w:trHeight w:val="184"/>
        </w:trPr>
        <w:tc>
          <w:tcPr>
            <w:tcW w:w="46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Expired or cancelled</w:t>
            </w:r>
          </w:p>
        </w:tc>
        <w:tc>
          <w:tcPr>
            <w:tcW w:w="234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(171)</w:t>
            </w:r>
          </w:p>
        </w:tc>
        <w:tc>
          <w:tcPr>
            <w:tcW w:w="420" w:type="dxa"/>
            <w:vAlign w:val="bottom"/>
            <w:shd w:val="clear" w:color="auto" w:fill="E6EFFF"/>
          </w:tcPr>
          <w:p>
            <w:pPr>
              <w:spacing w:after="0"/>
              <w:rPr>
                <w:sz w:val="15"/>
                <w:szCs w:val="15"/>
                <w:color w:val="auto"/>
              </w:rPr>
            </w:pPr>
          </w:p>
        </w:tc>
        <w:tc>
          <w:tcPr>
            <w:tcW w:w="1220" w:type="dxa"/>
            <w:vAlign w:val="bottom"/>
            <w:gridSpan w:val="2"/>
            <w:shd w:val="clear" w:color="auto" w:fill="E6EFFF"/>
          </w:tcPr>
          <w:p>
            <w:pPr>
              <w:jc w:val="right"/>
              <w:ind w:right="320"/>
              <w:spacing w:after="0"/>
              <w:rPr>
                <w:sz w:val="20"/>
                <w:szCs w:val="20"/>
                <w:color w:val="auto"/>
              </w:rPr>
            </w:pPr>
            <w:r>
              <w:rPr>
                <w:rFonts w:ascii="Arial" w:cs="Arial" w:eastAsia="Arial" w:hAnsi="Arial"/>
                <w:sz w:val="15"/>
                <w:szCs w:val="15"/>
                <w:color w:val="auto"/>
              </w:rPr>
              <w:t>57</w:t>
            </w:r>
          </w:p>
        </w:tc>
        <w:tc>
          <w:tcPr>
            <w:tcW w:w="1240" w:type="dxa"/>
            <w:vAlign w:val="bottom"/>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r>
      <w:tr>
        <w:trPr>
          <w:trHeight w:val="175"/>
        </w:trPr>
        <w:tc>
          <w:tcPr>
            <w:tcW w:w="4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Outstanding, December 31, 2008</w:t>
            </w:r>
          </w:p>
        </w:tc>
        <w:tc>
          <w:tcPr>
            <w:tcW w:w="23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5,027</w:t>
            </w:r>
          </w:p>
        </w:tc>
        <w:tc>
          <w:tcPr>
            <w:tcW w:w="4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320" w:type="dxa"/>
            <w:vAlign w:val="bottom"/>
            <w:tcBorders>
              <w:bottom w:val="single" w:sz="8" w:color="E6EF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6.2</w:t>
            </w:r>
          </w:p>
        </w:tc>
        <w:tc>
          <w:tcPr>
            <w:tcW w:w="4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r>
      <w:tr>
        <w:trPr>
          <w:trHeight w:val="175"/>
        </w:trPr>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Vested or expected to vest, December 31, 2008</w:t>
            </w:r>
          </w:p>
        </w:tc>
        <w:tc>
          <w:tcPr>
            <w:tcW w:w="234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4,940</w:t>
            </w:r>
          </w:p>
        </w:tc>
        <w:tc>
          <w:tcPr>
            <w:tcW w:w="42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49</w:t>
            </w:r>
          </w:p>
        </w:tc>
        <w:tc>
          <w:tcPr>
            <w:tcW w:w="320" w:type="dxa"/>
            <w:vAlign w:val="bottom"/>
            <w:shd w:val="clear" w:color="auto" w:fill="E6EFFF"/>
          </w:tcPr>
          <w:p>
            <w:pPr>
              <w:spacing w:after="0"/>
              <w:rPr>
                <w:sz w:val="15"/>
                <w:szCs w:val="15"/>
                <w:color w:val="auto"/>
              </w:rPr>
            </w:pPr>
          </w:p>
        </w:tc>
        <w:tc>
          <w:tcPr>
            <w:tcW w:w="124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6.0</w:t>
            </w:r>
          </w:p>
        </w:tc>
        <w:tc>
          <w:tcPr>
            <w:tcW w:w="400" w:type="dxa"/>
            <w:vAlign w:val="bottom"/>
            <w:tcBorders>
              <w:bottom w:val="single" w:sz="8" w:color="auto"/>
            </w:tcBorders>
            <w:shd w:val="clear" w:color="auto" w:fill="E6EFFF"/>
          </w:tcPr>
          <w:p>
            <w:pPr>
              <w:spacing w:after="0"/>
              <w:rPr>
                <w:sz w:val="15"/>
                <w:szCs w:val="15"/>
                <w:color w:val="auto"/>
              </w:rPr>
            </w:pPr>
          </w:p>
        </w:tc>
        <w:tc>
          <w:tcPr>
            <w:tcW w:w="1180" w:type="dxa"/>
            <w:vAlign w:val="bottom"/>
            <w:tcBorders>
              <w:bottom w:val="single" w:sz="8" w:color="auto"/>
            </w:tcBorders>
            <w:shd w:val="clear" w:color="auto" w:fill="E6EFFF"/>
          </w:tcPr>
          <w:p>
            <w:pPr>
              <w:spacing w:after="0"/>
              <w:rPr>
                <w:sz w:val="15"/>
                <w:szCs w:val="15"/>
                <w:color w:val="auto"/>
              </w:rPr>
            </w:pPr>
          </w:p>
        </w:tc>
      </w:tr>
      <w:tr>
        <w:trPr>
          <w:trHeight w:val="175"/>
        </w:trPr>
        <w:tc>
          <w:tcPr>
            <w:tcW w:w="4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Exercisable, December 31, 2008</w:t>
            </w:r>
          </w:p>
        </w:tc>
        <w:tc>
          <w:tcPr>
            <w:tcW w:w="23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2,868</w:t>
            </w: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320" w:type="dxa"/>
            <w:vAlign w:val="bottom"/>
            <w:tcBorders>
              <w:bottom w:val="single" w:sz="8" w:color="E6EFFF"/>
            </w:tcBorders>
          </w:tcPr>
          <w:p>
            <w:pPr>
              <w:spacing w:after="0"/>
              <w:rPr>
                <w:sz w:val="15"/>
                <w:szCs w:val="15"/>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4.8</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5"/>
        </w:trPr>
        <w:tc>
          <w:tcPr>
            <w:tcW w:w="4640" w:type="dxa"/>
            <w:vAlign w:val="bottom"/>
            <w:shd w:val="clear" w:color="auto" w:fill="E6EFFF"/>
          </w:tcPr>
          <w:p>
            <w:pPr>
              <w:spacing w:after="0"/>
              <w:rPr>
                <w:sz w:val="20"/>
                <w:szCs w:val="20"/>
                <w:color w:val="auto"/>
              </w:rPr>
            </w:pPr>
            <w:r>
              <w:rPr>
                <w:rFonts w:ascii="Arial" w:cs="Arial" w:eastAsia="Arial" w:hAnsi="Arial"/>
                <w:sz w:val="15"/>
                <w:szCs w:val="15"/>
                <w:color w:val="auto"/>
              </w:rPr>
              <w:t>Outstanding, January 1, 2009</w:t>
            </w:r>
          </w:p>
        </w:tc>
        <w:tc>
          <w:tcPr>
            <w:tcW w:w="234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5,027</w:t>
            </w:r>
          </w:p>
        </w:tc>
        <w:tc>
          <w:tcPr>
            <w:tcW w:w="420" w:type="dxa"/>
            <w:vAlign w:val="bottom"/>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50</w:t>
            </w:r>
          </w:p>
        </w:tc>
        <w:tc>
          <w:tcPr>
            <w:tcW w:w="320" w:type="dxa"/>
            <w:vAlign w:val="bottom"/>
            <w:shd w:val="clear" w:color="auto" w:fill="E6EFFF"/>
          </w:tcPr>
          <w:p>
            <w:pPr>
              <w:spacing w:after="0"/>
              <w:rPr>
                <w:sz w:val="15"/>
                <w:szCs w:val="15"/>
                <w:color w:val="auto"/>
              </w:rPr>
            </w:pPr>
          </w:p>
        </w:tc>
        <w:tc>
          <w:tcPr>
            <w:tcW w:w="1240" w:type="dxa"/>
            <w:vAlign w:val="bottom"/>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r>
      <w:tr>
        <w:trPr>
          <w:trHeight w:val="184"/>
        </w:trPr>
        <w:tc>
          <w:tcPr>
            <w:tcW w:w="4640" w:type="dxa"/>
            <w:vAlign w:val="bottom"/>
          </w:tcPr>
          <w:p>
            <w:pPr>
              <w:ind w:left="140"/>
              <w:spacing w:after="0"/>
              <w:rPr>
                <w:sz w:val="20"/>
                <w:szCs w:val="20"/>
                <w:color w:val="auto"/>
              </w:rPr>
            </w:pPr>
            <w:r>
              <w:rPr>
                <w:rFonts w:ascii="Arial" w:cs="Arial" w:eastAsia="Arial" w:hAnsi="Arial"/>
                <w:sz w:val="15"/>
                <w:szCs w:val="15"/>
                <w:color w:val="auto"/>
              </w:rPr>
              <w:t>Granted</w:t>
            </w:r>
          </w:p>
        </w:tc>
        <w:tc>
          <w:tcPr>
            <w:tcW w:w="2340" w:type="dxa"/>
            <w:vAlign w:val="bottom"/>
          </w:tcPr>
          <w:p>
            <w:pPr>
              <w:jc w:val="right"/>
              <w:ind w:right="64"/>
              <w:spacing w:after="0"/>
              <w:rPr>
                <w:sz w:val="20"/>
                <w:szCs w:val="20"/>
                <w:color w:val="auto"/>
              </w:rPr>
            </w:pPr>
            <w:r>
              <w:rPr>
                <w:rFonts w:ascii="Arial" w:cs="Arial" w:eastAsia="Arial" w:hAnsi="Arial"/>
                <w:sz w:val="15"/>
                <w:szCs w:val="15"/>
                <w:color w:val="auto"/>
              </w:rPr>
              <w:t>1,349</w:t>
            </w: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31</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640" w:type="dxa"/>
            <w:vAlign w:val="bottom"/>
            <w:shd w:val="clear" w:color="auto" w:fill="E6EFFF"/>
          </w:tcPr>
          <w:p>
            <w:pPr>
              <w:ind w:left="140"/>
              <w:spacing w:after="0"/>
              <w:rPr>
                <w:sz w:val="20"/>
                <w:szCs w:val="20"/>
                <w:color w:val="auto"/>
              </w:rPr>
            </w:pPr>
            <w:r>
              <w:rPr>
                <w:rFonts w:ascii="Arial" w:cs="Arial" w:eastAsia="Arial" w:hAnsi="Arial"/>
                <w:sz w:val="15"/>
                <w:szCs w:val="15"/>
                <w:color w:val="auto"/>
              </w:rPr>
              <w:t>Exercised</w:t>
            </w:r>
          </w:p>
        </w:tc>
        <w:tc>
          <w:tcPr>
            <w:tcW w:w="234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(339)</w:t>
            </w:r>
          </w:p>
        </w:tc>
        <w:tc>
          <w:tcPr>
            <w:tcW w:w="420" w:type="dxa"/>
            <w:vAlign w:val="bottom"/>
            <w:shd w:val="clear" w:color="auto" w:fill="E6EFFF"/>
          </w:tcPr>
          <w:p>
            <w:pPr>
              <w:spacing w:after="0"/>
              <w:rPr>
                <w:sz w:val="15"/>
                <w:szCs w:val="15"/>
                <w:color w:val="auto"/>
              </w:rPr>
            </w:pPr>
          </w:p>
        </w:tc>
        <w:tc>
          <w:tcPr>
            <w:tcW w:w="1220" w:type="dxa"/>
            <w:vAlign w:val="bottom"/>
            <w:gridSpan w:val="2"/>
            <w:shd w:val="clear" w:color="auto" w:fill="E6EFFF"/>
          </w:tcPr>
          <w:p>
            <w:pPr>
              <w:jc w:val="right"/>
              <w:ind w:right="320"/>
              <w:spacing w:after="0"/>
              <w:rPr>
                <w:sz w:val="20"/>
                <w:szCs w:val="20"/>
                <w:color w:val="auto"/>
              </w:rPr>
            </w:pPr>
            <w:r>
              <w:rPr>
                <w:rFonts w:ascii="Arial" w:cs="Arial" w:eastAsia="Arial" w:hAnsi="Arial"/>
                <w:sz w:val="15"/>
                <w:szCs w:val="15"/>
                <w:color w:val="auto"/>
              </w:rPr>
              <w:t>33</w:t>
            </w:r>
          </w:p>
        </w:tc>
        <w:tc>
          <w:tcPr>
            <w:tcW w:w="1240" w:type="dxa"/>
            <w:vAlign w:val="bottom"/>
            <w:shd w:val="clear" w:color="auto" w:fill="E6EFFF"/>
          </w:tcPr>
          <w:p>
            <w:pPr>
              <w:spacing w:after="0"/>
              <w:rPr>
                <w:sz w:val="15"/>
                <w:szCs w:val="15"/>
                <w:color w:val="auto"/>
              </w:rPr>
            </w:pPr>
          </w:p>
        </w:tc>
        <w:tc>
          <w:tcPr>
            <w:tcW w:w="400" w:type="dxa"/>
            <w:vAlign w:val="bottom"/>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E6EFFF"/>
          </w:tcPr>
          <w:p>
            <w:pPr>
              <w:jc w:val="right"/>
              <w:ind w:right="147"/>
              <w:spacing w:after="0"/>
              <w:rPr>
                <w:sz w:val="20"/>
                <w:szCs w:val="20"/>
                <w:color w:val="auto"/>
              </w:rPr>
            </w:pPr>
            <w:r>
              <w:rPr>
                <w:rFonts w:ascii="Arial" w:cs="Arial" w:eastAsia="Arial" w:hAnsi="Arial"/>
                <w:sz w:val="15"/>
                <w:szCs w:val="15"/>
                <w:color w:val="auto"/>
              </w:rPr>
              <w:t>5</w:t>
            </w:r>
          </w:p>
        </w:tc>
      </w:tr>
      <w:tr>
        <w:trPr>
          <w:trHeight w:val="184"/>
        </w:trPr>
        <w:tc>
          <w:tcPr>
            <w:tcW w:w="4640" w:type="dxa"/>
            <w:vAlign w:val="bottom"/>
          </w:tcPr>
          <w:p>
            <w:pPr>
              <w:ind w:left="140"/>
              <w:spacing w:after="0"/>
              <w:rPr>
                <w:sz w:val="20"/>
                <w:szCs w:val="20"/>
                <w:color w:val="auto"/>
              </w:rPr>
            </w:pPr>
            <w:r>
              <w:rPr>
                <w:rFonts w:ascii="Arial" w:cs="Arial" w:eastAsia="Arial" w:hAnsi="Arial"/>
                <w:sz w:val="15"/>
                <w:szCs w:val="15"/>
                <w:color w:val="auto"/>
              </w:rPr>
              <w:t>Expired or cancelled</w:t>
            </w:r>
          </w:p>
        </w:tc>
        <w:tc>
          <w:tcPr>
            <w:tcW w:w="2340" w:type="dxa"/>
            <w:vAlign w:val="bottom"/>
          </w:tcPr>
          <w:p>
            <w:pPr>
              <w:jc w:val="right"/>
              <w:ind w:right="4"/>
              <w:spacing w:after="0"/>
              <w:rPr>
                <w:sz w:val="20"/>
                <w:szCs w:val="20"/>
                <w:color w:val="auto"/>
              </w:rPr>
            </w:pPr>
            <w:r>
              <w:rPr>
                <w:rFonts w:ascii="Arial" w:cs="Arial" w:eastAsia="Arial" w:hAnsi="Arial"/>
                <w:sz w:val="15"/>
                <w:szCs w:val="15"/>
                <w:color w:val="auto"/>
              </w:rPr>
              <w:t>(179)</w:t>
            </w: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53</w:t>
            </w: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5"/>
        </w:trPr>
        <w:tc>
          <w:tcPr>
            <w:tcW w:w="4640" w:type="dxa"/>
            <w:vAlign w:val="bottom"/>
            <w:tcBorders>
              <w:top w:val="single" w:sz="8" w:color="auto"/>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Outstanding, December 31, 2009</w:t>
            </w:r>
          </w:p>
        </w:tc>
        <w:tc>
          <w:tcPr>
            <w:tcW w:w="2340" w:type="dxa"/>
            <w:vAlign w:val="bottom"/>
            <w:tcBorders>
              <w:top w:val="single" w:sz="8" w:color="auto"/>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5,858</w:t>
            </w:r>
          </w:p>
        </w:tc>
        <w:tc>
          <w:tcPr>
            <w:tcW w:w="420" w:type="dxa"/>
            <w:vAlign w:val="bottom"/>
            <w:tcBorders>
              <w:top w:val="single" w:sz="8" w:color="auto"/>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46</w:t>
            </w:r>
          </w:p>
        </w:tc>
        <w:tc>
          <w:tcPr>
            <w:tcW w:w="320" w:type="dxa"/>
            <w:vAlign w:val="bottom"/>
            <w:tcBorders>
              <w:top w:val="single" w:sz="8" w:color="E6EFFF"/>
              <w:bottom w:val="single" w:sz="8" w:color="E6EFFF"/>
            </w:tcBorders>
            <w:shd w:val="clear" w:color="auto" w:fill="E6EFFF"/>
          </w:tcPr>
          <w:p>
            <w:pPr>
              <w:spacing w:after="0"/>
              <w:rPr>
                <w:sz w:val="16"/>
                <w:szCs w:val="16"/>
                <w:color w:val="auto"/>
              </w:rPr>
            </w:pPr>
          </w:p>
        </w:tc>
        <w:tc>
          <w:tcPr>
            <w:tcW w:w="1240" w:type="dxa"/>
            <w:vAlign w:val="bottom"/>
            <w:tcBorders>
              <w:top w:val="single" w:sz="8" w:color="auto"/>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6.1</w:t>
            </w:r>
          </w:p>
        </w:tc>
        <w:tc>
          <w:tcPr>
            <w:tcW w:w="400" w:type="dxa"/>
            <w:vAlign w:val="bottom"/>
            <w:tcBorders>
              <w:top w:val="single" w:sz="8" w:color="auto"/>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shd w:val="clear" w:color="auto" w:fill="E6EFFF"/>
          </w:tcPr>
          <w:p>
            <w:pPr>
              <w:jc w:val="right"/>
              <w:ind w:right="147"/>
              <w:spacing w:after="0"/>
              <w:rPr>
                <w:sz w:val="20"/>
                <w:szCs w:val="20"/>
                <w:color w:val="auto"/>
              </w:rPr>
            </w:pPr>
            <w:r>
              <w:rPr>
                <w:rFonts w:ascii="Arial" w:cs="Arial" w:eastAsia="Arial" w:hAnsi="Arial"/>
                <w:sz w:val="15"/>
                <w:szCs w:val="15"/>
                <w:color w:val="auto"/>
              </w:rPr>
              <w:t>67</w:t>
            </w:r>
          </w:p>
        </w:tc>
      </w:tr>
      <w:tr>
        <w:trPr>
          <w:trHeight w:val="170"/>
        </w:trPr>
        <w:tc>
          <w:tcPr>
            <w:tcW w:w="464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Vested or expected to vest, December 31, 2009</w:t>
            </w:r>
          </w:p>
        </w:tc>
        <w:tc>
          <w:tcPr>
            <w:tcW w:w="2340" w:type="dxa"/>
            <w:vAlign w:val="bottom"/>
            <w:tcBorders>
              <w:bottom w:val="single" w:sz="8" w:color="auto"/>
            </w:tcBorders>
          </w:tcPr>
          <w:p>
            <w:pPr>
              <w:jc w:val="right"/>
              <w:ind w:right="64"/>
              <w:spacing w:after="0" w:line="167" w:lineRule="exact"/>
              <w:rPr>
                <w:sz w:val="20"/>
                <w:szCs w:val="20"/>
                <w:color w:val="auto"/>
              </w:rPr>
            </w:pPr>
            <w:r>
              <w:rPr>
                <w:rFonts w:ascii="Arial" w:cs="Arial" w:eastAsia="Arial" w:hAnsi="Arial"/>
                <w:sz w:val="15"/>
                <w:szCs w:val="15"/>
                <w:color w:val="auto"/>
              </w:rPr>
              <w:t>5,767</w:t>
            </w:r>
          </w:p>
        </w:tc>
        <w:tc>
          <w:tcPr>
            <w:tcW w:w="420" w:type="dxa"/>
            <w:vAlign w:val="bottom"/>
            <w:tcBorders>
              <w:bottom w:val="single" w:sz="8" w:color="auto"/>
            </w:tcBorders>
          </w:tcPr>
          <w:p>
            <w:pPr>
              <w:jc w:val="right"/>
              <w:ind w:right="183"/>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46</w:t>
            </w:r>
          </w:p>
        </w:tc>
        <w:tc>
          <w:tcPr>
            <w:tcW w:w="320" w:type="dxa"/>
            <w:vAlign w:val="bottom"/>
            <w:tcBorders>
              <w:bottom w:val="single" w:sz="8" w:color="E6EFFF"/>
            </w:tcBorders>
          </w:tcPr>
          <w:p>
            <w:pPr>
              <w:spacing w:after="0"/>
              <w:rPr>
                <w:sz w:val="14"/>
                <w:szCs w:val="14"/>
                <w:color w:val="auto"/>
              </w:rPr>
            </w:pPr>
          </w:p>
        </w:tc>
        <w:tc>
          <w:tcPr>
            <w:tcW w:w="12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6.1</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87"/>
        </w:trPr>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Exercisable, December 31, 2009</w:t>
            </w:r>
          </w:p>
        </w:tc>
        <w:tc>
          <w:tcPr>
            <w:tcW w:w="234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3,330</w:t>
            </w:r>
          </w:p>
        </w:tc>
        <w:tc>
          <w:tcPr>
            <w:tcW w:w="42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47</w:t>
            </w:r>
          </w:p>
        </w:tc>
        <w:tc>
          <w:tcPr>
            <w:tcW w:w="320" w:type="dxa"/>
            <w:vAlign w:val="bottom"/>
            <w:tcBorders>
              <w:bottom w:val="single" w:sz="8" w:color="E6EFFF"/>
            </w:tcBorders>
            <w:shd w:val="clear" w:color="auto" w:fill="E6EFFF"/>
          </w:tcPr>
          <w:p>
            <w:pPr>
              <w:spacing w:after="0"/>
              <w:rPr>
                <w:sz w:val="16"/>
                <w:szCs w:val="16"/>
                <w:color w:val="auto"/>
              </w:rPr>
            </w:pPr>
          </w:p>
        </w:tc>
        <w:tc>
          <w:tcPr>
            <w:tcW w:w="124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4.4</w:t>
            </w:r>
          </w:p>
        </w:tc>
        <w:tc>
          <w:tcPr>
            <w:tcW w:w="400" w:type="dxa"/>
            <w:vAlign w:val="bottom"/>
            <w:tcBorders>
              <w:bottom w:val="single" w:sz="8" w:color="auto"/>
            </w:tcBorders>
            <w:shd w:val="clear" w:color="auto" w:fill="E6EFFF"/>
          </w:tcPr>
          <w:p>
            <w:pPr>
              <w:jc w:val="right"/>
              <w:ind w:right="1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E6EFFF"/>
          </w:tcPr>
          <w:p>
            <w:pPr>
              <w:jc w:val="right"/>
              <w:ind w:right="147"/>
              <w:spacing w:after="0"/>
              <w:rPr>
                <w:sz w:val="20"/>
                <w:szCs w:val="20"/>
                <w:color w:val="auto"/>
              </w:rPr>
            </w:pPr>
            <w:r>
              <w:rPr>
                <w:rFonts w:ascii="Arial" w:cs="Arial" w:eastAsia="Arial" w:hAnsi="Arial"/>
                <w:sz w:val="15"/>
                <w:szCs w:val="15"/>
                <w:color w:val="auto"/>
              </w:rPr>
              <w:t>35</w:t>
            </w:r>
          </w:p>
        </w:tc>
      </w:tr>
    </w:tbl>
    <w:p>
      <w:pPr>
        <w:spacing w:after="0" w:line="146"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54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t>Options outstanding and exercisable as of December 31, 2009 are as follows: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4D8ABE"/>
        </w:rPr>
        <w:t>Options Outstanding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Borders>
              <w:top w:val="single" w:sz="8" w:color="4D8ABE"/>
            </w:tcBorders>
          </w:tcPr>
          <w:p>
            <w:pPr>
              <w:spacing w:after="0"/>
              <w:rPr>
                <w:sz w:val="15"/>
                <w:szCs w:val="15"/>
                <w:color w:val="auto"/>
              </w:rPr>
            </w:pPr>
          </w:p>
        </w:tc>
        <w:tc>
          <w:tcPr>
            <w:tcW w:w="3160" w:type="dxa"/>
            <w:vAlign w:val="bottom"/>
            <w:tcBorders>
              <w:top w:val="single" w:sz="8" w:color="4D8ABE"/>
            </w:tcBorders>
          </w:tcPr>
          <w:p>
            <w:pPr>
              <w:spacing w:after="0"/>
              <w:rPr>
                <w:sz w:val="15"/>
                <w:szCs w:val="15"/>
                <w:color w:val="auto"/>
              </w:rPr>
            </w:pPr>
          </w:p>
        </w:tc>
        <w:tc>
          <w:tcPr>
            <w:tcW w:w="1140" w:type="dxa"/>
            <w:vAlign w:val="bottom"/>
            <w:tcBorders>
              <w:top w:val="single" w:sz="8" w:color="4D8ABE"/>
            </w:tcBorders>
          </w:tcPr>
          <w:p>
            <w:pPr>
              <w:jc w:val="right"/>
              <w:ind w:right="47"/>
              <w:spacing w:after="0"/>
              <w:rPr>
                <w:sz w:val="20"/>
                <w:szCs w:val="20"/>
                <w:color w:val="auto"/>
              </w:rPr>
            </w:pPr>
            <w:r>
              <w:rPr>
                <w:rFonts w:ascii="Arial" w:cs="Arial" w:eastAsia="Arial" w:hAnsi="Arial"/>
                <w:sz w:val="14"/>
                <w:szCs w:val="14"/>
                <w:b w:val="1"/>
                <w:bCs w:val="1"/>
                <w:color w:val="4D8ABE"/>
              </w:rPr>
              <w:t>Weighted-</w:t>
            </w:r>
          </w:p>
        </w:tc>
        <w:tc>
          <w:tcPr>
            <w:tcW w:w="380" w:type="dxa"/>
            <w:vAlign w:val="bottom"/>
            <w:tcBorders>
              <w:top w:val="single" w:sz="8" w:color="4D8ABE"/>
            </w:tcBorders>
          </w:tcPr>
          <w:p>
            <w:pPr>
              <w:spacing w:after="0"/>
              <w:rPr>
                <w:sz w:val="15"/>
                <w:szCs w:val="15"/>
                <w:color w:val="auto"/>
              </w:rPr>
            </w:pPr>
          </w:p>
        </w:tc>
        <w:tc>
          <w:tcPr>
            <w:tcW w:w="840" w:type="dxa"/>
            <w:vAlign w:val="bottom"/>
            <w:tcBorders>
              <w:top w:val="single" w:sz="8" w:color="4D8ABE"/>
            </w:tcBorders>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b w:val="1"/>
                <w:bCs w:val="1"/>
                <w:color w:val="4D8ABE"/>
              </w:rPr>
              <w:t>Average</w:t>
            </w:r>
          </w:p>
        </w:tc>
        <w:tc>
          <w:tcPr>
            <w:tcW w:w="3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D8ABE"/>
              </w:rPr>
              <w:t>Weighted-</w:t>
            </w:r>
          </w:p>
        </w:tc>
      </w:tr>
      <w:tr>
        <w:trPr>
          <w:trHeight w:val="184"/>
        </w:trPr>
        <w:tc>
          <w:tcPr>
            <w:tcW w:w="3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b w:val="1"/>
                <w:bCs w:val="1"/>
                <w:color w:val="4D8ABE"/>
              </w:rPr>
              <w:t>Remaining</w:t>
            </w:r>
          </w:p>
        </w:tc>
        <w:tc>
          <w:tcPr>
            <w:tcW w:w="3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D8ABE"/>
              </w:rPr>
              <w:t>Average</w:t>
            </w:r>
          </w:p>
        </w:tc>
      </w:tr>
      <w:tr>
        <w:trPr>
          <w:trHeight w:val="184"/>
        </w:trPr>
        <w:tc>
          <w:tcPr>
            <w:tcW w:w="3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b w:val="1"/>
                <w:bCs w:val="1"/>
                <w:color w:val="4D8ABE"/>
              </w:rPr>
              <w:t>Contractual</w:t>
            </w:r>
          </w:p>
        </w:tc>
        <w:tc>
          <w:tcPr>
            <w:tcW w:w="3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D8ABE"/>
              </w:rPr>
              <w:t>Exercise</w:t>
            </w:r>
          </w:p>
        </w:tc>
      </w:tr>
      <w:tr>
        <w:trPr>
          <w:trHeight w:val="193"/>
        </w:trPr>
        <w:tc>
          <w:tcPr>
            <w:tcW w:w="3000" w:type="dxa"/>
            <w:vAlign w:val="bottom"/>
          </w:tcPr>
          <w:p>
            <w:pPr>
              <w:spacing w:after="0"/>
              <w:rPr>
                <w:sz w:val="20"/>
                <w:szCs w:val="20"/>
                <w:color w:val="auto"/>
              </w:rPr>
            </w:pPr>
            <w:r>
              <w:rPr>
                <w:rFonts w:ascii="Arial" w:cs="Arial" w:eastAsia="Arial" w:hAnsi="Arial"/>
                <w:sz w:val="14"/>
                <w:szCs w:val="14"/>
                <w:b w:val="1"/>
                <w:bCs w:val="1"/>
                <w:color w:val="4D8ABE"/>
              </w:rPr>
              <w:t>Exercise Price</w:t>
            </w:r>
          </w:p>
        </w:tc>
        <w:tc>
          <w:tcPr>
            <w:tcW w:w="3160" w:type="dxa"/>
            <w:vAlign w:val="bottom"/>
          </w:tcPr>
          <w:p>
            <w:pPr>
              <w:jc w:val="right"/>
              <w:ind w:right="205"/>
              <w:spacing w:after="0"/>
              <w:rPr>
                <w:sz w:val="20"/>
                <w:szCs w:val="20"/>
                <w:color w:val="auto"/>
              </w:rPr>
            </w:pPr>
            <w:r>
              <w:rPr>
                <w:rFonts w:ascii="Arial" w:cs="Arial" w:eastAsia="Arial" w:hAnsi="Arial"/>
                <w:sz w:val="14"/>
                <w:szCs w:val="14"/>
                <w:b w:val="1"/>
                <w:bCs w:val="1"/>
                <w:color w:val="4D8ABE"/>
              </w:rPr>
              <w:t>Shares (000)</w:t>
            </w:r>
          </w:p>
        </w:tc>
        <w:tc>
          <w:tcPr>
            <w:tcW w:w="1140" w:type="dxa"/>
            <w:vAlign w:val="bottom"/>
          </w:tcPr>
          <w:p>
            <w:pPr>
              <w:jc w:val="right"/>
              <w:ind w:right="47"/>
              <w:spacing w:after="0"/>
              <w:rPr>
                <w:sz w:val="20"/>
                <w:szCs w:val="20"/>
                <w:color w:val="auto"/>
              </w:rPr>
            </w:pPr>
            <w:r>
              <w:rPr>
                <w:rFonts w:ascii="Arial" w:cs="Arial" w:eastAsia="Arial" w:hAnsi="Arial"/>
                <w:sz w:val="14"/>
                <w:szCs w:val="14"/>
                <w:b w:val="1"/>
                <w:bCs w:val="1"/>
                <w:color w:val="4D8ABE"/>
              </w:rPr>
              <w:t>Life (years)</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D8ABE"/>
              </w:rPr>
              <w:t>Price</w:t>
            </w:r>
          </w:p>
        </w:tc>
      </w:tr>
      <w:tr>
        <w:trPr>
          <w:trHeight w:val="183"/>
        </w:trPr>
        <w:tc>
          <w:tcPr>
            <w:tcW w:w="3000" w:type="dxa"/>
            <w:vAlign w:val="bottom"/>
            <w:tcBorders>
              <w:top w:val="single" w:sz="8" w:color="4D8ABE"/>
            </w:tcBorders>
          </w:tcPr>
          <w:p>
            <w:pPr>
              <w:spacing w:after="0"/>
              <w:rPr>
                <w:sz w:val="20"/>
                <w:szCs w:val="20"/>
                <w:color w:val="auto"/>
              </w:rPr>
            </w:pPr>
            <w:r>
              <w:rPr>
                <w:rFonts w:ascii="Arial" w:cs="Arial" w:eastAsia="Arial" w:hAnsi="Arial"/>
                <w:sz w:val="15"/>
                <w:szCs w:val="15"/>
                <w:color w:val="auto"/>
              </w:rPr>
              <w:t>$9-$34</w:t>
            </w:r>
          </w:p>
        </w:tc>
        <w:tc>
          <w:tcPr>
            <w:tcW w:w="3160" w:type="dxa"/>
            <w:vAlign w:val="bottom"/>
            <w:tcBorders>
              <w:top w:val="single" w:sz="8" w:color="4D8ABE"/>
            </w:tcBorders>
          </w:tcPr>
          <w:p>
            <w:pPr>
              <w:jc w:val="right"/>
              <w:ind w:right="245"/>
              <w:spacing w:after="0"/>
              <w:rPr>
                <w:sz w:val="20"/>
                <w:szCs w:val="20"/>
                <w:color w:val="auto"/>
              </w:rPr>
            </w:pPr>
            <w:r>
              <w:rPr>
                <w:rFonts w:ascii="Arial" w:cs="Arial" w:eastAsia="Arial" w:hAnsi="Arial"/>
                <w:sz w:val="15"/>
                <w:szCs w:val="15"/>
                <w:color w:val="auto"/>
              </w:rPr>
              <w:t>2,264</w:t>
            </w:r>
          </w:p>
        </w:tc>
        <w:tc>
          <w:tcPr>
            <w:tcW w:w="1140" w:type="dxa"/>
            <w:vAlign w:val="bottom"/>
            <w:tcBorders>
              <w:top w:val="single" w:sz="8" w:color="4D8ABE"/>
            </w:tcBorders>
          </w:tcPr>
          <w:p>
            <w:pPr>
              <w:jc w:val="right"/>
              <w:ind w:right="47"/>
              <w:spacing w:after="0"/>
              <w:rPr>
                <w:sz w:val="20"/>
                <w:szCs w:val="20"/>
                <w:color w:val="auto"/>
              </w:rPr>
            </w:pPr>
            <w:r>
              <w:rPr>
                <w:rFonts w:ascii="Arial" w:cs="Arial" w:eastAsia="Arial" w:hAnsi="Arial"/>
                <w:sz w:val="15"/>
                <w:szCs w:val="15"/>
                <w:color w:val="auto"/>
              </w:rPr>
              <w:t>6.2</w:t>
            </w:r>
          </w:p>
        </w:tc>
        <w:tc>
          <w:tcPr>
            <w:tcW w:w="380" w:type="dxa"/>
            <w:vAlign w:val="bottom"/>
            <w:tcBorders>
              <w:top w:val="single" w:sz="8" w:color="4D8ABE"/>
            </w:tcBorders>
          </w:tcPr>
          <w:p>
            <w:pPr>
              <w:jc w:val="right"/>
              <w:ind w:right="12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4D8ABE"/>
            </w:tcBorders>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5"/>
                <w:szCs w:val="15"/>
                <w:color w:val="auto"/>
              </w:rPr>
            </w:pPr>
          </w:p>
        </w:tc>
      </w:tr>
      <w:tr>
        <w:trPr>
          <w:trHeight w:val="184"/>
        </w:trPr>
        <w:tc>
          <w:tcPr>
            <w:tcW w:w="3000" w:type="dxa"/>
            <w:vAlign w:val="bottom"/>
          </w:tcPr>
          <w:p>
            <w:pPr>
              <w:spacing w:after="0"/>
              <w:rPr>
                <w:sz w:val="20"/>
                <w:szCs w:val="20"/>
                <w:color w:val="auto"/>
              </w:rPr>
            </w:pPr>
            <w:r>
              <w:rPr>
                <w:rFonts w:ascii="Arial" w:cs="Arial" w:eastAsia="Arial" w:hAnsi="Arial"/>
                <w:sz w:val="15"/>
                <w:szCs w:val="15"/>
                <w:color w:val="auto"/>
              </w:rPr>
              <w:t>$35-$44</w:t>
            </w:r>
          </w:p>
        </w:tc>
        <w:tc>
          <w:tcPr>
            <w:tcW w:w="3160" w:type="dxa"/>
            <w:vAlign w:val="bottom"/>
          </w:tcPr>
          <w:p>
            <w:pPr>
              <w:jc w:val="right"/>
              <w:ind w:right="245"/>
              <w:spacing w:after="0"/>
              <w:rPr>
                <w:sz w:val="20"/>
                <w:szCs w:val="20"/>
                <w:color w:val="auto"/>
              </w:rPr>
            </w:pPr>
            <w:r>
              <w:rPr>
                <w:rFonts w:ascii="Arial" w:cs="Arial" w:eastAsia="Arial" w:hAnsi="Arial"/>
                <w:sz w:val="15"/>
                <w:szCs w:val="15"/>
                <w:color w:val="auto"/>
              </w:rPr>
              <w:t>1,178</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4.4</w:t>
            </w:r>
          </w:p>
        </w:tc>
        <w:tc>
          <w:tcPr>
            <w:tcW w:w="3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44</w:t>
            </w:r>
          </w:p>
        </w:tc>
      </w:tr>
      <w:tr>
        <w:trPr>
          <w:trHeight w:val="184"/>
        </w:trPr>
        <w:tc>
          <w:tcPr>
            <w:tcW w:w="3000" w:type="dxa"/>
            <w:vAlign w:val="bottom"/>
          </w:tcPr>
          <w:p>
            <w:pPr>
              <w:spacing w:after="0"/>
              <w:rPr>
                <w:sz w:val="20"/>
                <w:szCs w:val="20"/>
                <w:color w:val="auto"/>
              </w:rPr>
            </w:pPr>
            <w:r>
              <w:rPr>
                <w:rFonts w:ascii="Arial" w:cs="Arial" w:eastAsia="Arial" w:hAnsi="Arial"/>
                <w:sz w:val="15"/>
                <w:szCs w:val="15"/>
                <w:color w:val="auto"/>
              </w:rPr>
              <w:t>$45-$55</w:t>
            </w:r>
          </w:p>
        </w:tc>
        <w:tc>
          <w:tcPr>
            <w:tcW w:w="3160" w:type="dxa"/>
            <w:vAlign w:val="bottom"/>
          </w:tcPr>
          <w:p>
            <w:pPr>
              <w:jc w:val="right"/>
              <w:ind w:right="245"/>
              <w:spacing w:after="0"/>
              <w:rPr>
                <w:sz w:val="20"/>
                <w:szCs w:val="20"/>
                <w:color w:val="auto"/>
              </w:rPr>
            </w:pPr>
            <w:r>
              <w:rPr>
                <w:rFonts w:ascii="Arial" w:cs="Arial" w:eastAsia="Arial" w:hAnsi="Arial"/>
                <w:sz w:val="15"/>
                <w:szCs w:val="15"/>
                <w:color w:val="auto"/>
              </w:rPr>
              <w:t>898</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5.9</w:t>
            </w:r>
          </w:p>
        </w:tc>
        <w:tc>
          <w:tcPr>
            <w:tcW w:w="3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r>
      <w:tr>
        <w:trPr>
          <w:trHeight w:val="185"/>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$56-$93</w:t>
            </w:r>
          </w:p>
        </w:tc>
        <w:tc>
          <w:tcPr>
            <w:tcW w:w="31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1,518</w:t>
            </w: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7.5</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66</w:t>
            </w:r>
          </w:p>
        </w:tc>
      </w:tr>
      <w:tr>
        <w:trPr>
          <w:trHeight w:val="178"/>
        </w:trPr>
        <w:tc>
          <w:tcPr>
            <w:tcW w:w="30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5,858</w:t>
            </w: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6.1</w:t>
            </w:r>
          </w:p>
        </w:tc>
        <w:tc>
          <w:tcPr>
            <w:tcW w:w="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-612140</wp:posOffset>
            </wp:positionV>
            <wp:extent cx="7266940" cy="1238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940" cy="1238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-371475</wp:posOffset>
            </wp:positionV>
            <wp:extent cx="7266940" cy="1168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694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-137795</wp:posOffset>
            </wp:positionV>
            <wp:extent cx="7266940" cy="138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940" cy="138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4D8ABE"/>
        </w:rPr>
        <w:t>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414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41475" cy="698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4D8ABE"/>
              </w:rPr>
              <w:t>Weighted-</w:t>
            </w:r>
          </w:p>
        </w:tc>
      </w:tr>
      <w:tr>
        <w:trPr>
          <w:trHeight w:val="184"/>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4D8ABE"/>
              </w:rPr>
              <w:t>Average</w:t>
            </w:r>
          </w:p>
        </w:tc>
      </w:tr>
      <w:tr>
        <w:trPr>
          <w:trHeight w:val="184"/>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4D8ABE"/>
              </w:rPr>
              <w:t>Exercise</w:t>
            </w:r>
          </w:p>
        </w:tc>
      </w:tr>
      <w:tr>
        <w:trPr>
          <w:trHeight w:val="193"/>
        </w:trPr>
        <w:tc>
          <w:tcPr>
            <w:tcW w:w="1140" w:type="dxa"/>
            <w:vAlign w:val="bottom"/>
            <w:tcBorders>
              <w:bottom w:val="single" w:sz="8" w:color="4D8ABE"/>
            </w:tcBorders>
          </w:tcPr>
          <w:p>
            <w:pPr>
              <w:jc w:val="right"/>
              <w:ind w:right="6"/>
              <w:spacing w:after="0"/>
              <w:rPr>
                <w:sz w:val="20"/>
                <w:szCs w:val="20"/>
                <w:color w:val="auto"/>
              </w:rPr>
            </w:pPr>
            <w:r>
              <w:rPr>
                <w:rFonts w:ascii="Arial" w:cs="Arial" w:eastAsia="Arial" w:hAnsi="Arial"/>
                <w:sz w:val="14"/>
                <w:szCs w:val="14"/>
                <w:b w:val="1"/>
                <w:bCs w:val="1"/>
                <w:color w:val="4D8ABE"/>
              </w:rPr>
              <w:t>Shares (000)</w:t>
            </w:r>
          </w:p>
        </w:tc>
        <w:tc>
          <w:tcPr>
            <w:tcW w:w="360" w:type="dxa"/>
            <w:vAlign w:val="bottom"/>
            <w:tcBorders>
              <w:bottom w:val="single" w:sz="8" w:color="4D8ABE"/>
            </w:tcBorders>
          </w:tcPr>
          <w:p>
            <w:pPr>
              <w:spacing w:after="0"/>
              <w:rPr>
                <w:sz w:val="16"/>
                <w:szCs w:val="16"/>
                <w:color w:val="auto"/>
              </w:rPr>
            </w:pPr>
          </w:p>
        </w:tc>
        <w:tc>
          <w:tcPr>
            <w:tcW w:w="1080" w:type="dxa"/>
            <w:vAlign w:val="bottom"/>
            <w:tcBorders>
              <w:bottom w:val="single" w:sz="8" w:color="4D8ABE"/>
            </w:tcBorders>
          </w:tcPr>
          <w:p>
            <w:pPr>
              <w:jc w:val="right"/>
              <w:ind w:right="149"/>
              <w:spacing w:after="0"/>
              <w:rPr>
                <w:sz w:val="20"/>
                <w:szCs w:val="20"/>
                <w:color w:val="auto"/>
              </w:rPr>
            </w:pPr>
            <w:r>
              <w:rPr>
                <w:rFonts w:ascii="Arial" w:cs="Arial" w:eastAsia="Arial" w:hAnsi="Arial"/>
                <w:sz w:val="14"/>
                <w:szCs w:val="14"/>
                <w:b w:val="1"/>
                <w:bCs w:val="1"/>
                <w:color w:val="4D8ABE"/>
              </w:rPr>
              <w:t>Price</w:t>
            </w:r>
          </w:p>
        </w:tc>
      </w:tr>
      <w:tr>
        <w:trPr>
          <w:trHeight w:val="183"/>
        </w:trPr>
        <w:tc>
          <w:tcPr>
            <w:tcW w:w="1140" w:type="dxa"/>
            <w:vAlign w:val="bottom"/>
          </w:tcPr>
          <w:p>
            <w:pPr>
              <w:jc w:val="right"/>
              <w:ind w:right="46"/>
              <w:spacing w:after="0"/>
              <w:rPr>
                <w:sz w:val="20"/>
                <w:szCs w:val="20"/>
                <w:color w:val="auto"/>
              </w:rPr>
            </w:pPr>
            <w:r>
              <w:rPr>
                <w:rFonts w:ascii="Arial" w:cs="Arial" w:eastAsia="Arial" w:hAnsi="Arial"/>
                <w:sz w:val="15"/>
                <w:szCs w:val="15"/>
                <w:color w:val="auto"/>
              </w:rPr>
              <w:t>934</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9"/>
              <w:spacing w:after="0"/>
              <w:rPr>
                <w:sz w:val="20"/>
                <w:szCs w:val="20"/>
                <w:color w:val="auto"/>
              </w:rPr>
            </w:pPr>
            <w:r>
              <w:rPr>
                <w:rFonts w:ascii="Arial" w:cs="Arial" w:eastAsia="Arial" w:hAnsi="Arial"/>
                <w:sz w:val="15"/>
                <w:szCs w:val="15"/>
                <w:color w:val="auto"/>
              </w:rPr>
              <w:t>33</w:t>
            </w:r>
          </w:p>
        </w:tc>
      </w:tr>
      <w:tr>
        <w:trPr>
          <w:trHeight w:val="184"/>
        </w:trPr>
        <w:tc>
          <w:tcPr>
            <w:tcW w:w="1140" w:type="dxa"/>
            <w:vAlign w:val="bottom"/>
          </w:tcPr>
          <w:p>
            <w:pPr>
              <w:jc w:val="right"/>
              <w:ind w:right="46"/>
              <w:spacing w:after="0"/>
              <w:rPr>
                <w:sz w:val="20"/>
                <w:szCs w:val="20"/>
                <w:color w:val="auto"/>
              </w:rPr>
            </w:pPr>
            <w:r>
              <w:rPr>
                <w:rFonts w:ascii="Arial" w:cs="Arial" w:eastAsia="Arial" w:hAnsi="Arial"/>
                <w:sz w:val="15"/>
                <w:szCs w:val="15"/>
                <w:color w:val="auto"/>
              </w:rPr>
              <w:t>1,173</w:t>
            </w:r>
          </w:p>
        </w:tc>
        <w:tc>
          <w:tcPr>
            <w:tcW w:w="360" w:type="dxa"/>
            <w:vAlign w:val="bottom"/>
          </w:tcPr>
          <w:p>
            <w:pPr>
              <w:spacing w:after="0"/>
              <w:rPr>
                <w:sz w:val="15"/>
                <w:szCs w:val="15"/>
                <w:color w:val="auto"/>
              </w:rPr>
            </w:pPr>
          </w:p>
        </w:tc>
        <w:tc>
          <w:tcPr>
            <w:tcW w:w="1080" w:type="dxa"/>
            <w:vAlign w:val="bottom"/>
          </w:tcPr>
          <w:p>
            <w:pPr>
              <w:jc w:val="right"/>
              <w:ind w:right="149"/>
              <w:spacing w:after="0"/>
              <w:rPr>
                <w:sz w:val="20"/>
                <w:szCs w:val="20"/>
                <w:color w:val="auto"/>
              </w:rPr>
            </w:pPr>
            <w:r>
              <w:rPr>
                <w:rFonts w:ascii="Arial" w:cs="Arial" w:eastAsia="Arial" w:hAnsi="Arial"/>
                <w:sz w:val="15"/>
                <w:szCs w:val="15"/>
                <w:color w:val="auto"/>
              </w:rPr>
              <w:t>44</w:t>
            </w:r>
          </w:p>
        </w:tc>
      </w:tr>
    </w:tbl>
    <w:p>
      <w:pPr>
        <w:ind w:left="2180" w:hanging="1422"/>
        <w:spacing w:after="0"/>
        <w:tabs>
          <w:tab w:leader="none" w:pos="21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52</w:t>
      </w:r>
    </w:p>
    <w:p>
      <w:pPr>
        <w:spacing w:after="0" w:line="11" w:lineRule="exact"/>
        <w:rPr>
          <w:rFonts w:ascii="Arial" w:cs="Arial" w:eastAsia="Arial" w:hAnsi="Arial"/>
          <w:sz w:val="15"/>
          <w:szCs w:val="15"/>
          <w:color w:val="auto"/>
        </w:rPr>
      </w:pPr>
    </w:p>
    <w:p>
      <w:pPr>
        <w:ind w:left="2180" w:hanging="1422"/>
        <w:spacing w:after="0"/>
        <w:tabs>
          <w:tab w:leader="none" w:pos="2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70</w:t>
      </w:r>
    </w:p>
    <w:p>
      <w:pPr>
        <w:spacing w:after="0" w:line="23" w:lineRule="exact"/>
        <w:rPr>
          <w:sz w:val="20"/>
          <w:szCs w:val="20"/>
          <w:color w:val="auto"/>
        </w:rPr>
      </w:pPr>
    </w:p>
    <w:p>
      <w:pPr>
        <w:ind w:left="640"/>
        <w:spacing w:after="0"/>
        <w:tabs>
          <w:tab w:leader="none" w:pos="1220" w:val="left"/>
          <w:tab w:leader="none" w:pos="2160" w:val="left"/>
        </w:tabs>
        <w:rPr>
          <w:sz w:val="20"/>
          <w:szCs w:val="20"/>
          <w:color w:val="auto"/>
        </w:rPr>
      </w:pPr>
      <w:r>
        <w:rPr>
          <w:rFonts w:ascii="Arial" w:cs="Arial" w:eastAsia="Arial" w:hAnsi="Arial"/>
          <w:sz w:val="15"/>
          <w:szCs w:val="15"/>
          <w:color w:val="auto"/>
        </w:rPr>
        <w:t>3,330</w:t>
        <w:tab/>
        <w:t>$</w:t>
      </w:r>
      <w:r>
        <w:rPr>
          <w:sz w:val="20"/>
          <w:szCs w:val="20"/>
          <w:color w:val="auto"/>
        </w:rPr>
        <w:tab/>
      </w:r>
      <w:r>
        <w:rPr>
          <w:rFonts w:ascii="Arial" w:cs="Arial" w:eastAsia="Arial" w:hAnsi="Arial"/>
          <w:sz w:val="15"/>
          <w:szCs w:val="15"/>
          <w:color w:val="auto"/>
        </w:rPr>
        <w:t>47</w:t>
      </w:r>
    </w:p>
    <w:p>
      <w:pPr>
        <w:spacing w:after="0" w:line="210" w:lineRule="exact"/>
        <w:rPr>
          <w:sz w:val="20"/>
          <w:szCs w:val="20"/>
          <w:color w:val="auto"/>
        </w:rPr>
      </w:pPr>
    </w:p>
    <w:p>
      <w:pPr>
        <w:sectPr>
          <w:pgSz w:w="11900" w:h="16838" w:orient="portrait"/>
          <w:cols w:equalWidth="0" w:num="2">
            <w:col w:w="8520" w:space="340"/>
            <w:col w:w="2580"/>
          </w:cols>
          <w:pgMar w:left="240" w:top="142" w:right="219" w:bottom="1440" w:gutter="0" w:footer="0" w:header="0"/>
        </w:sectPr>
      </w:pPr>
    </w:p>
    <w:p>
      <w:pPr>
        <w:jc w:val="both"/>
        <w:ind w:right="20"/>
        <w:spacing w:after="0" w:line="244" w:lineRule="auto"/>
        <w:rPr>
          <w:sz w:val="20"/>
          <w:szCs w:val="20"/>
          <w:color w:val="auto"/>
        </w:rPr>
      </w:pPr>
      <w:r>
        <w:rPr>
          <w:rFonts w:ascii="Arial" w:cs="Arial" w:eastAsia="Arial" w:hAnsi="Arial"/>
          <w:sz w:val="15"/>
          <w:szCs w:val="15"/>
          <w:color w:val="auto"/>
        </w:rPr>
        <w:t>We have recognized expense of $12.7, $14.0 and $13.3 related to stock options for the years ended December 31, 2009, 2008 and 2007, respectively. The total fair value of options vested during the same periods were $13.3, $12.5 and $12.8, respectively. As of December 31, 2009, total unrecognized compensation cost was approximately $23.1, net of estimated forfeitures, which we expect to recognize over a weighted-average period of approximately 1.7 years.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We estimated the fair value of each stock option on the date of grant using the Black-Scholes option pricing model and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146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1740" w:type="dxa"/>
            <w:vAlign w:val="bottom"/>
            <w:tcBorders>
              <w:bottom w:val="single" w:sz="8" w:color="4D8ABE"/>
            </w:tcBorders>
          </w:tcPr>
          <w:p>
            <w:pPr>
              <w:jc w:val="right"/>
              <w:ind w:right="445"/>
              <w:spacing w:after="0"/>
              <w:rPr>
                <w:sz w:val="20"/>
                <w:szCs w:val="20"/>
                <w:color w:val="auto"/>
              </w:rPr>
            </w:pPr>
            <w:r>
              <w:rPr>
                <w:rFonts w:ascii="Arial" w:cs="Arial" w:eastAsia="Arial" w:hAnsi="Arial"/>
                <w:sz w:val="14"/>
                <w:szCs w:val="14"/>
                <w:b w:val="1"/>
                <w:bCs w:val="1"/>
                <w:color w:val="4D8ABE"/>
              </w:rPr>
              <w:t>2008</w:t>
            </w:r>
          </w:p>
        </w:tc>
        <w:tc>
          <w:tcPr>
            <w:tcW w:w="116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Average risk-free interest rate</w:t>
            </w:r>
          </w:p>
        </w:tc>
        <w:tc>
          <w:tcPr>
            <w:tcW w:w="146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1.8%</w:t>
            </w:r>
          </w:p>
        </w:tc>
        <w:tc>
          <w:tcPr>
            <w:tcW w:w="1740" w:type="dxa"/>
            <w:vAlign w:val="bottom"/>
            <w:shd w:val="clear" w:color="auto" w:fill="E6EFFF"/>
          </w:tcPr>
          <w:p>
            <w:pPr>
              <w:jc w:val="right"/>
              <w:ind w:right="445"/>
              <w:spacing w:after="0"/>
              <w:rPr>
                <w:sz w:val="20"/>
                <w:szCs w:val="20"/>
                <w:color w:val="auto"/>
              </w:rPr>
            </w:pPr>
            <w:r>
              <w:rPr>
                <w:rFonts w:ascii="Arial" w:cs="Arial" w:eastAsia="Arial" w:hAnsi="Arial"/>
                <w:sz w:val="15"/>
                <w:szCs w:val="15"/>
                <w:color w:val="auto"/>
              </w:rPr>
              <w:t>2.7%</w:t>
            </w:r>
          </w:p>
        </w:tc>
        <w:tc>
          <w:tcPr>
            <w:tcW w:w="116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4.8%</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Expected dividend yield</w:t>
            </w:r>
          </w:p>
        </w:tc>
        <w:tc>
          <w:tcPr>
            <w:tcW w:w="146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2.5%</w:t>
            </w:r>
          </w:p>
        </w:tc>
        <w:tc>
          <w:tcPr>
            <w:tcW w:w="1740" w:type="dxa"/>
            <w:vAlign w:val="bottom"/>
          </w:tcPr>
          <w:p>
            <w:pPr>
              <w:jc w:val="right"/>
              <w:ind w:right="445"/>
              <w:spacing w:after="0"/>
              <w:rPr>
                <w:sz w:val="20"/>
                <w:szCs w:val="20"/>
                <w:color w:val="auto"/>
              </w:rPr>
            </w:pPr>
            <w:r>
              <w:rPr>
                <w:rFonts w:ascii="Arial" w:cs="Arial" w:eastAsia="Arial" w:hAnsi="Arial"/>
                <w:sz w:val="15"/>
                <w:szCs w:val="15"/>
                <w:color w:val="auto"/>
              </w:rPr>
              <w:t>1.2%</w:t>
            </w:r>
          </w:p>
        </w:tc>
        <w:tc>
          <w:tcPr>
            <w:tcW w:w="1160" w:type="dxa"/>
            <w:vAlign w:val="bottom"/>
          </w:tcPr>
          <w:p>
            <w:pPr>
              <w:jc w:val="right"/>
              <w:ind w:right="145"/>
              <w:spacing w:after="0"/>
              <w:rPr>
                <w:sz w:val="20"/>
                <w:szCs w:val="20"/>
                <w:color w:val="auto"/>
              </w:rPr>
            </w:pPr>
            <w:r>
              <w:rPr>
                <w:rFonts w:ascii="Arial" w:cs="Arial" w:eastAsia="Arial" w:hAnsi="Arial"/>
                <w:sz w:val="15"/>
                <w:szCs w:val="15"/>
                <w:color w:val="auto"/>
              </w:rPr>
              <w:t>0.9%</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Expected volatility</w:t>
            </w:r>
          </w:p>
        </w:tc>
        <w:tc>
          <w:tcPr>
            <w:tcW w:w="146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42.0%</w:t>
            </w:r>
          </w:p>
        </w:tc>
        <w:tc>
          <w:tcPr>
            <w:tcW w:w="1740" w:type="dxa"/>
            <w:vAlign w:val="bottom"/>
            <w:shd w:val="clear" w:color="auto" w:fill="E6EFFF"/>
          </w:tcPr>
          <w:p>
            <w:pPr>
              <w:jc w:val="right"/>
              <w:ind w:right="445"/>
              <w:spacing w:after="0"/>
              <w:rPr>
                <w:sz w:val="20"/>
                <w:szCs w:val="20"/>
                <w:color w:val="auto"/>
              </w:rPr>
            </w:pPr>
            <w:r>
              <w:rPr>
                <w:rFonts w:ascii="Arial" w:cs="Arial" w:eastAsia="Arial" w:hAnsi="Arial"/>
                <w:sz w:val="15"/>
                <w:szCs w:val="15"/>
                <w:color w:val="auto"/>
              </w:rPr>
              <w:t>30.0%</w:t>
            </w:r>
          </w:p>
        </w:tc>
        <w:tc>
          <w:tcPr>
            <w:tcW w:w="116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27.0%</w:t>
            </w:r>
          </w:p>
        </w:tc>
      </w:tr>
      <w:tr>
        <w:trPr>
          <w:trHeight w:val="187"/>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Expected term (years)</w:t>
            </w:r>
          </w:p>
        </w:tc>
        <w:tc>
          <w:tcPr>
            <w:tcW w:w="146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5.5</w:t>
            </w:r>
          </w:p>
        </w:tc>
        <w:tc>
          <w:tcPr>
            <w:tcW w:w="17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rPr>
              <w:t>4.9</w:t>
            </w:r>
          </w:p>
        </w:tc>
        <w:tc>
          <w:tcPr>
            <w:tcW w:w="116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4.7</w:t>
            </w:r>
          </w:p>
        </w:tc>
      </w:tr>
    </w:tbl>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average risk-free interest rate is based on the five-year U.S.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of options granted during the year was $9.73, $15.17 and $22.27 in 2009, 2008 and 2007,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DEFERRED STOCK</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the deferred stock is settled in shares of common stock according to the terms and conditions under the 2003 Plan. As of December 31, 2009, 2008 and 2007, there were 17,288, 13,819 and 9,743 respectively, shares of deferred stock awarded under this arrangement, all of which are vested.</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Non-employee directors also receive an annual grant of deferred stock (or restricted stock, if they so elect) as additional compensation for board service. The award vests in one year in equal quarterly installments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2003 Plan. As of December 31, 2009, 2008 and 2007, there were 13,378, 9,663 and 10,864, respectively, shares of deferred stock and 14,710, 7,028 and 2,331, respectively, shares of restricted stock granted under this arrangement, all of which are vested. We recognized expense of $0.7, $0.8 and $1.0 related to deferred stock in 2009, 2008 and 2007,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RESTRICTED STOCK</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grant restricted stock and restricted stock unit awards to certain employees and to non-employee directors who may elect to receive restricted stock rather than deferred stock as described above. Restrictions lapse over periods ranging up to six years. We value restricted stock awards at the closing market value of our common stock on the date of grant.</w:t>
      </w:r>
    </w:p>
    <w:p>
      <w:pPr>
        <w:spacing w:after="0" w:line="181"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type w:val="continuous"/>
        </w:sectPr>
      </w:pPr>
    </w:p>
    <w:bookmarkStart w:id="91" w:name="page92"/>
    <w:bookmarkEnd w:id="91"/>
    <w:p>
      <w:pPr>
        <w:ind w:left="8"/>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8"/>
          <w:szCs w:val="18"/>
          <w:color w:val="86B6A5"/>
        </w:rPr>
        <w:t>in millions, except share and per share data</w:t>
      </w:r>
    </w:p>
    <w:p>
      <w:pPr>
        <w:spacing w:after="0" w:line="215" w:lineRule="exact"/>
        <w:rPr>
          <w:sz w:val="20"/>
          <w:szCs w:val="20"/>
          <w:color w:val="auto"/>
        </w:rPr>
      </w:pPr>
    </w:p>
    <w:p>
      <w:pPr>
        <w:ind w:left="8"/>
        <w:spacing w:after="0"/>
        <w:rPr>
          <w:sz w:val="20"/>
          <w:szCs w:val="20"/>
          <w:color w:val="auto"/>
        </w:rPr>
      </w:pPr>
      <w:r>
        <w:rPr>
          <w:rFonts w:ascii="Arial" w:cs="Arial" w:eastAsia="Arial" w:hAnsi="Arial"/>
          <w:sz w:val="15"/>
          <w:szCs w:val="15"/>
          <w:color w:val="auto"/>
        </w:rPr>
        <w:t>A summary of restricted stock activity is as follows:</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Pr>
          <w:p>
            <w:pPr>
              <w:jc w:val="right"/>
              <w:ind w:right="47"/>
              <w:spacing w:after="0"/>
              <w:rPr>
                <w:sz w:val="20"/>
                <w:szCs w:val="20"/>
                <w:color w:val="auto"/>
              </w:rPr>
            </w:pPr>
            <w:r>
              <w:rPr>
                <w:rFonts w:ascii="Arial" w:cs="Arial" w:eastAsia="Arial" w:hAnsi="Arial"/>
                <w:sz w:val="14"/>
                <w:szCs w:val="14"/>
                <w:b w:val="1"/>
                <w:bCs w:val="1"/>
                <w:color w:val="4D8ABE"/>
              </w:rPr>
              <w:t>Wtd. Avg.</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4"/>
        </w:trPr>
        <w:tc>
          <w:tcPr>
            <w:tcW w:w="3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Arial" w:cs="Arial" w:eastAsia="Arial" w:hAnsi="Arial"/>
                <w:sz w:val="14"/>
                <w:szCs w:val="14"/>
                <w:b w:val="1"/>
                <w:bCs w:val="1"/>
                <w:color w:val="4D8ABE"/>
              </w:rPr>
              <w:t>Wtd. Avg.</w:t>
            </w:r>
          </w:p>
        </w:tc>
        <w:tc>
          <w:tcPr>
            <w:tcW w:w="1360" w:type="dxa"/>
            <w:vAlign w:val="bottom"/>
          </w:tcPr>
          <w:p>
            <w:pPr>
              <w:jc w:val="right"/>
              <w:ind w:right="47"/>
              <w:spacing w:after="0"/>
              <w:rPr>
                <w:sz w:val="20"/>
                <w:szCs w:val="20"/>
                <w:color w:val="auto"/>
              </w:rPr>
            </w:pPr>
            <w:r>
              <w:rPr>
                <w:rFonts w:ascii="Arial" w:cs="Arial" w:eastAsia="Arial" w:hAnsi="Arial"/>
                <w:sz w:val="14"/>
                <w:szCs w:val="14"/>
                <w:b w:val="1"/>
                <w:bCs w:val="1"/>
                <w:color w:val="4D8ABE"/>
              </w:rPr>
              <w:t>Remaining</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4"/>
        </w:trPr>
        <w:tc>
          <w:tcPr>
            <w:tcW w:w="3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Arial" w:cs="Arial" w:eastAsia="Arial" w:hAnsi="Arial"/>
                <w:sz w:val="14"/>
                <w:szCs w:val="14"/>
                <w:b w:val="1"/>
                <w:bCs w:val="1"/>
                <w:color w:val="4D8ABE"/>
              </w:rPr>
              <w:t>Price Per</w:t>
            </w:r>
          </w:p>
        </w:tc>
        <w:tc>
          <w:tcPr>
            <w:tcW w:w="1360" w:type="dxa"/>
            <w:vAlign w:val="bottom"/>
          </w:tcPr>
          <w:p>
            <w:pPr>
              <w:jc w:val="right"/>
              <w:ind w:right="47"/>
              <w:spacing w:after="0"/>
              <w:rPr>
                <w:sz w:val="20"/>
                <w:szCs w:val="20"/>
                <w:color w:val="auto"/>
              </w:rPr>
            </w:pPr>
            <w:r>
              <w:rPr>
                <w:rFonts w:ascii="Arial" w:cs="Arial" w:eastAsia="Arial" w:hAnsi="Arial"/>
                <w:sz w:val="14"/>
                <w:szCs w:val="14"/>
                <w:b w:val="1"/>
                <w:bCs w:val="1"/>
                <w:color w:val="4D8ABE"/>
              </w:rPr>
              <w:t>Contractual</w:t>
            </w:r>
          </w:p>
        </w:tc>
        <w:tc>
          <w:tcPr>
            <w:tcW w:w="420" w:type="dxa"/>
            <w:vAlign w:val="bottom"/>
          </w:tcPr>
          <w:p>
            <w:pPr>
              <w:spacing w:after="0"/>
              <w:rPr>
                <w:sz w:val="15"/>
                <w:szCs w:val="15"/>
                <w:color w:val="auto"/>
              </w:rPr>
            </w:pPr>
          </w:p>
        </w:tc>
        <w:tc>
          <w:tcPr>
            <w:tcW w:w="1380" w:type="dxa"/>
            <w:vAlign w:val="bottom"/>
          </w:tcPr>
          <w:p>
            <w:pPr>
              <w:jc w:val="right"/>
              <w:ind w:right="149"/>
              <w:spacing w:after="0"/>
              <w:rPr>
                <w:sz w:val="20"/>
                <w:szCs w:val="20"/>
                <w:color w:val="auto"/>
              </w:rPr>
            </w:pPr>
            <w:r>
              <w:rPr>
                <w:rFonts w:ascii="Arial" w:cs="Arial" w:eastAsia="Arial" w:hAnsi="Arial"/>
                <w:sz w:val="14"/>
                <w:szCs w:val="14"/>
                <w:b w:val="1"/>
                <w:bCs w:val="1"/>
                <w:color w:val="4D8ABE"/>
              </w:rPr>
              <w:t>Aggregate</w:t>
            </w:r>
          </w:p>
        </w:tc>
      </w:tr>
      <w:tr>
        <w:trPr>
          <w:trHeight w:val="193"/>
        </w:trPr>
        <w:tc>
          <w:tcPr>
            <w:tcW w:w="3720" w:type="dxa"/>
            <w:vAlign w:val="bottom"/>
            <w:tcBorders>
              <w:bottom w:val="single" w:sz="8" w:color="4D8ABE"/>
            </w:tcBorders>
          </w:tcPr>
          <w:p>
            <w:pPr>
              <w:spacing w:after="0"/>
              <w:rPr>
                <w:sz w:val="16"/>
                <w:szCs w:val="16"/>
                <w:color w:val="auto"/>
              </w:rPr>
            </w:pPr>
          </w:p>
        </w:tc>
        <w:tc>
          <w:tcPr>
            <w:tcW w:w="2560" w:type="dxa"/>
            <w:vAlign w:val="bottom"/>
            <w:tcBorders>
              <w:bottom w:val="single" w:sz="8" w:color="4D8ABE"/>
            </w:tcBorders>
          </w:tcPr>
          <w:p>
            <w:pPr>
              <w:jc w:val="right"/>
              <w:ind w:right="4"/>
              <w:spacing w:after="0"/>
              <w:rPr>
                <w:sz w:val="20"/>
                <w:szCs w:val="20"/>
                <w:color w:val="auto"/>
              </w:rPr>
            </w:pPr>
            <w:r>
              <w:rPr>
                <w:rFonts w:ascii="Arial" w:cs="Arial" w:eastAsia="Arial" w:hAnsi="Arial"/>
                <w:sz w:val="14"/>
                <w:szCs w:val="14"/>
                <w:b w:val="1"/>
                <w:bCs w:val="1"/>
                <w:color w:val="4D8ABE"/>
              </w:rPr>
              <w:t>Shares (000)</w:t>
            </w:r>
          </w:p>
        </w:tc>
        <w:tc>
          <w:tcPr>
            <w:tcW w:w="560" w:type="dxa"/>
            <w:vAlign w:val="bottom"/>
            <w:tcBorders>
              <w:bottom w:val="single" w:sz="8" w:color="4D8ABE"/>
            </w:tcBorders>
          </w:tcPr>
          <w:p>
            <w:pPr>
              <w:spacing w:after="0"/>
              <w:rPr>
                <w:sz w:val="16"/>
                <w:szCs w:val="16"/>
                <w:color w:val="auto"/>
              </w:rPr>
            </w:pPr>
          </w:p>
        </w:tc>
        <w:tc>
          <w:tcPr>
            <w:tcW w:w="1440" w:type="dxa"/>
            <w:vAlign w:val="bottom"/>
            <w:tcBorders>
              <w:bottom w:val="single" w:sz="8" w:color="4D8ABE"/>
            </w:tcBorders>
          </w:tcPr>
          <w:p>
            <w:pPr>
              <w:jc w:val="right"/>
              <w:ind w:right="365"/>
              <w:spacing w:after="0"/>
              <w:rPr>
                <w:sz w:val="20"/>
                <w:szCs w:val="20"/>
                <w:color w:val="auto"/>
              </w:rPr>
            </w:pPr>
            <w:r>
              <w:rPr>
                <w:rFonts w:ascii="Arial" w:cs="Arial" w:eastAsia="Arial" w:hAnsi="Arial"/>
                <w:sz w:val="14"/>
                <w:szCs w:val="14"/>
                <w:b w:val="1"/>
                <w:bCs w:val="1"/>
                <w:color w:val="4D8ABE"/>
              </w:rPr>
              <w:t>Share</w:t>
            </w:r>
          </w:p>
        </w:tc>
        <w:tc>
          <w:tcPr>
            <w:tcW w:w="1360" w:type="dxa"/>
            <w:vAlign w:val="bottom"/>
            <w:tcBorders>
              <w:bottom w:val="single" w:sz="8" w:color="4D8ABE"/>
            </w:tcBorders>
          </w:tcPr>
          <w:p>
            <w:pPr>
              <w:jc w:val="right"/>
              <w:ind w:right="47"/>
              <w:spacing w:after="0"/>
              <w:rPr>
                <w:sz w:val="20"/>
                <w:szCs w:val="20"/>
                <w:color w:val="auto"/>
              </w:rPr>
            </w:pPr>
            <w:r>
              <w:rPr>
                <w:rFonts w:ascii="Arial" w:cs="Arial" w:eastAsia="Arial" w:hAnsi="Arial"/>
                <w:sz w:val="14"/>
                <w:szCs w:val="14"/>
                <w:b w:val="1"/>
                <w:bCs w:val="1"/>
                <w:color w:val="4D8ABE"/>
              </w:rPr>
              <w:t>Term (years)</w:t>
            </w:r>
          </w:p>
        </w:tc>
        <w:tc>
          <w:tcPr>
            <w:tcW w:w="420" w:type="dxa"/>
            <w:vAlign w:val="bottom"/>
            <w:tcBorders>
              <w:bottom w:val="single" w:sz="8" w:color="4D8ABE"/>
            </w:tcBorders>
          </w:tcPr>
          <w:p>
            <w:pPr>
              <w:spacing w:after="0"/>
              <w:rPr>
                <w:sz w:val="16"/>
                <w:szCs w:val="16"/>
                <w:color w:val="auto"/>
              </w:rPr>
            </w:pPr>
          </w:p>
        </w:tc>
        <w:tc>
          <w:tcPr>
            <w:tcW w:w="1380" w:type="dxa"/>
            <w:vAlign w:val="bottom"/>
            <w:tcBorders>
              <w:bottom w:val="single" w:sz="8" w:color="4D8ABE"/>
            </w:tcBorders>
          </w:tcPr>
          <w:p>
            <w:pPr>
              <w:jc w:val="right"/>
              <w:ind w:right="149"/>
              <w:spacing w:after="0"/>
              <w:rPr>
                <w:sz w:val="20"/>
                <w:szCs w:val="20"/>
                <w:color w:val="auto"/>
              </w:rPr>
            </w:pPr>
            <w:r>
              <w:rPr>
                <w:rFonts w:ascii="Arial" w:cs="Arial" w:eastAsia="Arial" w:hAnsi="Arial"/>
                <w:sz w:val="14"/>
                <w:szCs w:val="14"/>
                <w:b w:val="1"/>
                <w:bCs w:val="1"/>
                <w:color w:val="4D8ABE"/>
              </w:rPr>
              <w:t>Intrinsic Value</w:t>
            </w:r>
          </w:p>
        </w:tc>
      </w:tr>
      <w:tr>
        <w:trPr>
          <w:trHeight w:val="184"/>
        </w:trPr>
        <w:tc>
          <w:tcPr>
            <w:tcW w:w="3720" w:type="dxa"/>
            <w:vAlign w:val="bottom"/>
            <w:shd w:val="clear" w:color="auto" w:fill="E6EFFF"/>
          </w:tcPr>
          <w:p>
            <w:pPr>
              <w:spacing w:after="0"/>
              <w:rPr>
                <w:sz w:val="20"/>
                <w:szCs w:val="20"/>
                <w:color w:val="auto"/>
              </w:rPr>
            </w:pPr>
            <w:r>
              <w:rPr>
                <w:rFonts w:ascii="Arial" w:cs="Arial" w:eastAsia="Arial" w:hAnsi="Arial"/>
                <w:sz w:val="15"/>
                <w:szCs w:val="15"/>
                <w:color w:val="auto"/>
              </w:rPr>
              <w:t>Unvested, January 1, 2007</w:t>
            </w:r>
          </w:p>
        </w:tc>
        <w:tc>
          <w:tcPr>
            <w:tcW w:w="256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205</w:t>
            </w:r>
          </w:p>
        </w:tc>
        <w:tc>
          <w:tcPr>
            <w:tcW w:w="56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shd w:val="clear" w:color="auto" w:fill="E6EFFF"/>
          </w:tcPr>
          <w:p>
            <w:pPr>
              <w:jc w:val="right"/>
              <w:ind w:right="365"/>
              <w:spacing w:after="0"/>
              <w:rPr>
                <w:sz w:val="20"/>
                <w:szCs w:val="20"/>
                <w:color w:val="auto"/>
              </w:rPr>
            </w:pPr>
            <w:r>
              <w:rPr>
                <w:rFonts w:ascii="Arial" w:cs="Arial" w:eastAsia="Arial" w:hAnsi="Arial"/>
                <w:sz w:val="15"/>
                <w:szCs w:val="15"/>
                <w:color w:val="auto"/>
              </w:rPr>
              <w:t>44</w:t>
            </w:r>
          </w:p>
        </w:tc>
        <w:tc>
          <w:tcPr>
            <w:tcW w:w="1360" w:type="dxa"/>
            <w:vAlign w:val="bottom"/>
            <w:shd w:val="clear" w:color="auto" w:fill="E6EFFF"/>
          </w:tcPr>
          <w:p>
            <w:pPr>
              <w:jc w:val="right"/>
              <w:ind w:right="47"/>
              <w:spacing w:after="0"/>
              <w:rPr>
                <w:sz w:val="20"/>
                <w:szCs w:val="20"/>
                <w:color w:val="auto"/>
              </w:rPr>
            </w:pPr>
            <w:r>
              <w:rPr>
                <w:rFonts w:ascii="Arial" w:cs="Arial" w:eastAsia="Arial" w:hAnsi="Arial"/>
                <w:sz w:val="15"/>
                <w:szCs w:val="15"/>
                <w:color w:val="auto"/>
              </w:rPr>
              <w:t>1.8</w:t>
            </w:r>
          </w:p>
        </w:tc>
        <w:tc>
          <w:tcPr>
            <w:tcW w:w="420" w:type="dxa"/>
            <w:vAlign w:val="bottom"/>
            <w:shd w:val="clear" w:color="auto" w:fill="E6EFFF"/>
          </w:tcPr>
          <w:p>
            <w:pPr>
              <w:spacing w:after="0"/>
              <w:rPr>
                <w:sz w:val="15"/>
                <w:szCs w:val="15"/>
                <w:color w:val="auto"/>
              </w:rPr>
            </w:pPr>
          </w:p>
        </w:tc>
        <w:tc>
          <w:tcPr>
            <w:tcW w:w="1380" w:type="dxa"/>
            <w:vAlign w:val="bottom"/>
            <w:shd w:val="clear" w:color="auto" w:fill="E6EFFF"/>
          </w:tcPr>
          <w:p>
            <w:pPr>
              <w:spacing w:after="0"/>
              <w:rPr>
                <w:sz w:val="15"/>
                <w:szCs w:val="15"/>
                <w:color w:val="auto"/>
              </w:rPr>
            </w:pPr>
          </w:p>
        </w:tc>
      </w:tr>
      <w:tr>
        <w:trPr>
          <w:trHeight w:val="184"/>
        </w:trPr>
        <w:tc>
          <w:tcPr>
            <w:tcW w:w="3720" w:type="dxa"/>
            <w:vAlign w:val="bottom"/>
          </w:tcPr>
          <w:p>
            <w:pPr>
              <w:spacing w:after="0"/>
              <w:rPr>
                <w:sz w:val="20"/>
                <w:szCs w:val="20"/>
                <w:color w:val="auto"/>
              </w:rPr>
            </w:pPr>
            <w:r>
              <w:rPr>
                <w:rFonts w:ascii="Arial" w:cs="Arial" w:eastAsia="Arial" w:hAnsi="Arial"/>
                <w:sz w:val="15"/>
                <w:szCs w:val="15"/>
                <w:color w:val="auto"/>
              </w:rPr>
              <w:t>Granted</w:t>
            </w:r>
          </w:p>
        </w:tc>
        <w:tc>
          <w:tcPr>
            <w:tcW w:w="2560" w:type="dxa"/>
            <w:vAlign w:val="bottom"/>
          </w:tcPr>
          <w:p>
            <w:pPr>
              <w:jc w:val="right"/>
              <w:ind w:right="44"/>
              <w:spacing w:after="0"/>
              <w:rPr>
                <w:sz w:val="20"/>
                <w:szCs w:val="20"/>
                <w:color w:val="auto"/>
              </w:rPr>
            </w:pPr>
            <w:r>
              <w:rPr>
                <w:rFonts w:ascii="Arial" w:cs="Arial" w:eastAsia="Arial" w:hAnsi="Arial"/>
                <w:sz w:val="15"/>
                <w:szCs w:val="15"/>
                <w:color w:val="auto"/>
              </w:rPr>
              <w:t>26</w:t>
            </w:r>
          </w:p>
        </w:tc>
        <w:tc>
          <w:tcPr>
            <w:tcW w:w="56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Arial" w:cs="Arial" w:eastAsia="Arial" w:hAnsi="Arial"/>
                <w:sz w:val="15"/>
                <w:szCs w:val="15"/>
                <w:color w:val="auto"/>
              </w:rPr>
              <w:t>83</w:t>
            </w: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4"/>
        </w:trPr>
        <w:tc>
          <w:tcPr>
            <w:tcW w:w="3720" w:type="dxa"/>
            <w:vAlign w:val="bottom"/>
            <w:shd w:val="clear" w:color="auto" w:fill="E6EFFF"/>
          </w:tcPr>
          <w:p>
            <w:pPr>
              <w:spacing w:after="0"/>
              <w:rPr>
                <w:sz w:val="20"/>
                <w:szCs w:val="20"/>
                <w:color w:val="auto"/>
              </w:rPr>
            </w:pPr>
            <w:r>
              <w:rPr>
                <w:rFonts w:ascii="Arial" w:cs="Arial" w:eastAsia="Arial" w:hAnsi="Arial"/>
                <w:sz w:val="15"/>
                <w:szCs w:val="15"/>
                <w:color w:val="auto"/>
              </w:rPr>
              <w:t>Vested</w:t>
            </w:r>
          </w:p>
        </w:tc>
        <w:tc>
          <w:tcPr>
            <w:tcW w:w="256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(12)</w:t>
            </w:r>
          </w:p>
        </w:tc>
        <w:tc>
          <w:tcPr>
            <w:tcW w:w="560" w:type="dxa"/>
            <w:vAlign w:val="bottom"/>
            <w:shd w:val="clear" w:color="auto" w:fill="E6EFFF"/>
          </w:tcPr>
          <w:p>
            <w:pPr>
              <w:spacing w:after="0"/>
              <w:rPr>
                <w:sz w:val="15"/>
                <w:szCs w:val="15"/>
                <w:color w:val="auto"/>
              </w:rPr>
            </w:pPr>
          </w:p>
        </w:tc>
        <w:tc>
          <w:tcPr>
            <w:tcW w:w="1440" w:type="dxa"/>
            <w:vAlign w:val="bottom"/>
            <w:shd w:val="clear" w:color="auto" w:fill="E6EFFF"/>
          </w:tcPr>
          <w:p>
            <w:pPr>
              <w:jc w:val="right"/>
              <w:ind w:right="365"/>
              <w:spacing w:after="0"/>
              <w:rPr>
                <w:sz w:val="20"/>
                <w:szCs w:val="20"/>
                <w:color w:val="auto"/>
              </w:rPr>
            </w:pPr>
            <w:r>
              <w:rPr>
                <w:rFonts w:ascii="Arial" w:cs="Arial" w:eastAsia="Arial" w:hAnsi="Arial"/>
                <w:sz w:val="15"/>
                <w:szCs w:val="15"/>
                <w:color w:val="auto"/>
              </w:rPr>
              <w:t>51</w:t>
            </w:r>
          </w:p>
        </w:tc>
        <w:tc>
          <w:tcPr>
            <w:tcW w:w="1360" w:type="dxa"/>
            <w:vAlign w:val="bottom"/>
            <w:shd w:val="clear" w:color="auto" w:fill="E6EFFF"/>
          </w:tcPr>
          <w:p>
            <w:pPr>
              <w:spacing w:after="0"/>
              <w:rPr>
                <w:sz w:val="15"/>
                <w:szCs w:val="15"/>
                <w:color w:val="auto"/>
              </w:rPr>
            </w:pPr>
          </w:p>
        </w:tc>
        <w:tc>
          <w:tcPr>
            <w:tcW w:w="420" w:type="dxa"/>
            <w:vAlign w:val="bottom"/>
            <w:shd w:val="clear" w:color="auto" w:fill="E6EFFF"/>
          </w:tcPr>
          <w:p>
            <w:pPr>
              <w:spacing w:after="0"/>
              <w:rPr>
                <w:sz w:val="15"/>
                <w:szCs w:val="15"/>
                <w:color w:val="auto"/>
              </w:rPr>
            </w:pPr>
          </w:p>
        </w:tc>
        <w:tc>
          <w:tcPr>
            <w:tcW w:w="1380" w:type="dxa"/>
            <w:vAlign w:val="bottom"/>
            <w:shd w:val="clear" w:color="auto" w:fill="E6EFFF"/>
          </w:tcPr>
          <w:p>
            <w:pPr>
              <w:spacing w:after="0"/>
              <w:rPr>
                <w:sz w:val="15"/>
                <w:szCs w:val="15"/>
                <w:color w:val="auto"/>
              </w:rPr>
            </w:pPr>
          </w:p>
        </w:tc>
      </w:tr>
      <w:tr>
        <w:trPr>
          <w:trHeight w:val="184"/>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Forfeited</w:t>
            </w:r>
          </w:p>
        </w:tc>
        <w:tc>
          <w:tcPr>
            <w:tcW w:w="2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53</w:t>
            </w:r>
          </w:p>
        </w:tc>
        <w:tc>
          <w:tcPr>
            <w:tcW w:w="1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5"/>
        </w:trPr>
        <w:tc>
          <w:tcPr>
            <w:tcW w:w="37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Unvested, December 31, 2007</w:t>
            </w:r>
          </w:p>
        </w:tc>
        <w:tc>
          <w:tcPr>
            <w:tcW w:w="2560" w:type="dxa"/>
            <w:vAlign w:val="bottom"/>
            <w:tcBorders>
              <w:bottom w:val="single" w:sz="8" w:color="auto"/>
            </w:tcBorders>
            <w:shd w:val="clear" w:color="auto" w:fill="E6EFFF"/>
          </w:tcPr>
          <w:p>
            <w:pPr>
              <w:jc w:val="right"/>
              <w:ind w:right="44"/>
              <w:spacing w:after="0"/>
              <w:rPr>
                <w:sz w:val="20"/>
                <w:szCs w:val="20"/>
                <w:color w:val="auto"/>
              </w:rPr>
            </w:pPr>
            <w:r>
              <w:rPr>
                <w:rFonts w:ascii="Arial" w:cs="Arial" w:eastAsia="Arial" w:hAnsi="Arial"/>
                <w:sz w:val="15"/>
                <w:szCs w:val="15"/>
                <w:color w:val="auto"/>
              </w:rPr>
              <w:t>215</w:t>
            </w:r>
          </w:p>
        </w:tc>
        <w:tc>
          <w:tcPr>
            <w:tcW w:w="560" w:type="dxa"/>
            <w:vAlign w:val="bottom"/>
            <w:tcBorders>
              <w:bottom w:val="single" w:sz="8" w:color="auto"/>
            </w:tcBorders>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E6EFFF"/>
          </w:tcPr>
          <w:p>
            <w:pPr>
              <w:jc w:val="right"/>
              <w:ind w:right="365"/>
              <w:spacing w:after="0"/>
              <w:rPr>
                <w:sz w:val="20"/>
                <w:szCs w:val="20"/>
                <w:color w:val="auto"/>
              </w:rPr>
            </w:pPr>
            <w:r>
              <w:rPr>
                <w:rFonts w:ascii="Arial" w:cs="Arial" w:eastAsia="Arial" w:hAnsi="Arial"/>
                <w:sz w:val="15"/>
                <w:szCs w:val="15"/>
                <w:color w:val="auto"/>
              </w:rPr>
              <w:t>49</w:t>
            </w:r>
          </w:p>
        </w:tc>
        <w:tc>
          <w:tcPr>
            <w:tcW w:w="1360" w:type="dxa"/>
            <w:vAlign w:val="bottom"/>
            <w:tcBorders>
              <w:bottom w:val="single" w:sz="8" w:color="auto"/>
            </w:tcBorders>
            <w:shd w:val="clear" w:color="auto" w:fill="E6EFFF"/>
          </w:tcPr>
          <w:p>
            <w:pPr>
              <w:jc w:val="right"/>
              <w:ind w:right="47"/>
              <w:spacing w:after="0"/>
              <w:rPr>
                <w:sz w:val="20"/>
                <w:szCs w:val="20"/>
                <w:color w:val="auto"/>
              </w:rPr>
            </w:pPr>
            <w:r>
              <w:rPr>
                <w:rFonts w:ascii="Arial" w:cs="Arial" w:eastAsia="Arial" w:hAnsi="Arial"/>
                <w:sz w:val="15"/>
                <w:szCs w:val="15"/>
                <w:color w:val="auto"/>
              </w:rPr>
              <w:t>2.2</w:t>
            </w:r>
          </w:p>
        </w:tc>
        <w:tc>
          <w:tcPr>
            <w:tcW w:w="42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tcBorders>
            <w:shd w:val="clear" w:color="auto" w:fill="E6EFFF"/>
          </w:tcPr>
          <w:p>
            <w:pPr>
              <w:spacing w:after="0"/>
              <w:rPr>
                <w:sz w:val="15"/>
                <w:szCs w:val="15"/>
                <w:color w:val="auto"/>
              </w:rPr>
            </w:pPr>
          </w:p>
        </w:tc>
      </w:tr>
      <w:tr>
        <w:trPr>
          <w:trHeight w:val="175"/>
        </w:trPr>
        <w:tc>
          <w:tcPr>
            <w:tcW w:w="3720" w:type="dxa"/>
            <w:vAlign w:val="bottom"/>
          </w:tcPr>
          <w:p>
            <w:pPr>
              <w:spacing w:after="0"/>
              <w:rPr>
                <w:sz w:val="20"/>
                <w:szCs w:val="20"/>
                <w:color w:val="auto"/>
              </w:rPr>
            </w:pPr>
            <w:r>
              <w:rPr>
                <w:rFonts w:ascii="Arial" w:cs="Arial" w:eastAsia="Arial" w:hAnsi="Arial"/>
                <w:sz w:val="15"/>
                <w:szCs w:val="15"/>
                <w:color w:val="auto"/>
              </w:rPr>
              <w:t>Granted</w:t>
            </w:r>
          </w:p>
        </w:tc>
        <w:tc>
          <w:tcPr>
            <w:tcW w:w="2560" w:type="dxa"/>
            <w:vAlign w:val="bottom"/>
          </w:tcPr>
          <w:p>
            <w:pPr>
              <w:jc w:val="right"/>
              <w:ind w:right="44"/>
              <w:spacing w:after="0"/>
              <w:rPr>
                <w:sz w:val="20"/>
                <w:szCs w:val="20"/>
                <w:color w:val="auto"/>
              </w:rPr>
            </w:pPr>
            <w:r>
              <w:rPr>
                <w:rFonts w:ascii="Arial" w:cs="Arial" w:eastAsia="Arial" w:hAnsi="Arial"/>
                <w:sz w:val="15"/>
                <w:szCs w:val="15"/>
                <w:color w:val="auto"/>
              </w:rPr>
              <w:t>66</w:t>
            </w:r>
          </w:p>
        </w:tc>
        <w:tc>
          <w:tcPr>
            <w:tcW w:w="56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365"/>
              <w:spacing w:after="0"/>
              <w:rPr>
                <w:sz w:val="20"/>
                <w:szCs w:val="20"/>
                <w:color w:val="auto"/>
              </w:rPr>
            </w:pPr>
            <w:r>
              <w:rPr>
                <w:rFonts w:ascii="Arial" w:cs="Arial" w:eastAsia="Arial" w:hAnsi="Arial"/>
                <w:sz w:val="15"/>
                <w:szCs w:val="15"/>
                <w:color w:val="auto"/>
              </w:rPr>
              <w:t>57</w:t>
            </w: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4"/>
        </w:trPr>
        <w:tc>
          <w:tcPr>
            <w:tcW w:w="37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Vested</w:t>
            </w:r>
          </w:p>
        </w:tc>
        <w:tc>
          <w:tcPr>
            <w:tcW w:w="2560" w:type="dxa"/>
            <w:vAlign w:val="bottom"/>
            <w:tcBorders>
              <w:bottom w:val="single" w:sz="8" w:color="auto"/>
            </w:tcBorders>
            <w:shd w:val="clear" w:color="auto" w:fill="E6EFFF"/>
          </w:tcPr>
          <w:p>
            <w:pPr>
              <w:jc w:val="right"/>
              <w:ind w:right="4"/>
              <w:spacing w:after="0"/>
              <w:rPr>
                <w:sz w:val="20"/>
                <w:szCs w:val="20"/>
                <w:color w:val="auto"/>
              </w:rPr>
            </w:pPr>
            <w:r>
              <w:rPr>
                <w:rFonts w:ascii="Arial" w:cs="Arial" w:eastAsia="Arial" w:hAnsi="Arial"/>
                <w:sz w:val="15"/>
                <w:szCs w:val="15"/>
                <w:color w:val="auto"/>
              </w:rPr>
              <w:t>(89)</w:t>
            </w:r>
          </w:p>
        </w:tc>
        <w:tc>
          <w:tcPr>
            <w:tcW w:w="560" w:type="dxa"/>
            <w:vAlign w:val="bottom"/>
            <w:tcBorders>
              <w:bottom w:val="single" w:sz="8" w:color="auto"/>
            </w:tcBorders>
            <w:shd w:val="clear" w:color="auto" w:fill="E6EFFF"/>
          </w:tcPr>
          <w:p>
            <w:pPr>
              <w:spacing w:after="0"/>
              <w:rPr>
                <w:sz w:val="15"/>
                <w:szCs w:val="15"/>
                <w:color w:val="auto"/>
              </w:rPr>
            </w:pPr>
          </w:p>
        </w:tc>
        <w:tc>
          <w:tcPr>
            <w:tcW w:w="1440" w:type="dxa"/>
            <w:vAlign w:val="bottom"/>
            <w:tcBorders>
              <w:bottom w:val="single" w:sz="8" w:color="auto"/>
            </w:tcBorders>
            <w:shd w:val="clear" w:color="auto" w:fill="E6EFFF"/>
          </w:tcPr>
          <w:p>
            <w:pPr>
              <w:jc w:val="right"/>
              <w:ind w:right="365"/>
              <w:spacing w:after="0"/>
              <w:rPr>
                <w:sz w:val="20"/>
                <w:szCs w:val="20"/>
                <w:color w:val="auto"/>
              </w:rPr>
            </w:pPr>
            <w:r>
              <w:rPr>
                <w:rFonts w:ascii="Arial" w:cs="Arial" w:eastAsia="Arial" w:hAnsi="Arial"/>
                <w:sz w:val="15"/>
                <w:szCs w:val="15"/>
                <w:color w:val="auto"/>
              </w:rPr>
              <w:t>42</w:t>
            </w:r>
          </w:p>
        </w:tc>
        <w:tc>
          <w:tcPr>
            <w:tcW w:w="1360" w:type="dxa"/>
            <w:vAlign w:val="bottom"/>
            <w:tcBorders>
              <w:bottom w:val="single" w:sz="8" w:color="auto"/>
            </w:tcBorders>
            <w:shd w:val="clear" w:color="auto" w:fill="E6EFFF"/>
          </w:tcPr>
          <w:p>
            <w:pPr>
              <w:spacing w:after="0"/>
              <w:rPr>
                <w:sz w:val="15"/>
                <w:szCs w:val="15"/>
                <w:color w:val="auto"/>
              </w:rPr>
            </w:pPr>
          </w:p>
        </w:tc>
        <w:tc>
          <w:tcPr>
            <w:tcW w:w="42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tcBorders>
            <w:shd w:val="clear" w:color="auto" w:fill="E6EFFF"/>
          </w:tcPr>
          <w:p>
            <w:pPr>
              <w:spacing w:after="0"/>
              <w:rPr>
                <w:sz w:val="15"/>
                <w:szCs w:val="15"/>
                <w:color w:val="auto"/>
              </w:rPr>
            </w:pPr>
          </w:p>
        </w:tc>
      </w:tr>
      <w:tr>
        <w:trPr>
          <w:trHeight w:val="175"/>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Unvested, December 31, 2008</w:t>
            </w:r>
          </w:p>
        </w:tc>
        <w:tc>
          <w:tcPr>
            <w:tcW w:w="2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192</w:t>
            </w:r>
          </w:p>
        </w:tc>
        <w:tc>
          <w:tcPr>
            <w:tcW w:w="5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55</w:t>
            </w:r>
          </w:p>
        </w:tc>
        <w:tc>
          <w:tcPr>
            <w:tcW w:w="13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2.7</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5"/>
        </w:trPr>
        <w:tc>
          <w:tcPr>
            <w:tcW w:w="3720" w:type="dxa"/>
            <w:vAlign w:val="bottom"/>
            <w:shd w:val="clear" w:color="auto" w:fill="E6EFFF"/>
          </w:tcPr>
          <w:p>
            <w:pPr>
              <w:spacing w:after="0"/>
              <w:rPr>
                <w:sz w:val="20"/>
                <w:szCs w:val="20"/>
                <w:color w:val="auto"/>
              </w:rPr>
            </w:pPr>
            <w:r>
              <w:rPr>
                <w:rFonts w:ascii="Arial" w:cs="Arial" w:eastAsia="Arial" w:hAnsi="Arial"/>
                <w:sz w:val="15"/>
                <w:szCs w:val="15"/>
                <w:color w:val="auto"/>
              </w:rPr>
              <w:t>Granted</w:t>
            </w:r>
          </w:p>
        </w:tc>
        <w:tc>
          <w:tcPr>
            <w:tcW w:w="256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197</w:t>
            </w:r>
          </w:p>
        </w:tc>
        <w:tc>
          <w:tcPr>
            <w:tcW w:w="56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shd w:val="clear" w:color="auto" w:fill="E6EFFF"/>
          </w:tcPr>
          <w:p>
            <w:pPr>
              <w:jc w:val="right"/>
              <w:ind w:right="365"/>
              <w:spacing w:after="0"/>
              <w:rPr>
                <w:sz w:val="20"/>
                <w:szCs w:val="20"/>
                <w:color w:val="auto"/>
              </w:rPr>
            </w:pPr>
            <w:r>
              <w:rPr>
                <w:rFonts w:ascii="Arial" w:cs="Arial" w:eastAsia="Arial" w:hAnsi="Arial"/>
                <w:sz w:val="15"/>
                <w:szCs w:val="15"/>
                <w:color w:val="auto"/>
              </w:rPr>
              <w:t>31</w:t>
            </w:r>
          </w:p>
        </w:tc>
        <w:tc>
          <w:tcPr>
            <w:tcW w:w="1360" w:type="dxa"/>
            <w:vAlign w:val="bottom"/>
            <w:shd w:val="clear" w:color="auto" w:fill="E6EFFF"/>
          </w:tcPr>
          <w:p>
            <w:pPr>
              <w:spacing w:after="0"/>
              <w:rPr>
                <w:sz w:val="15"/>
                <w:szCs w:val="15"/>
                <w:color w:val="auto"/>
              </w:rPr>
            </w:pPr>
          </w:p>
        </w:tc>
        <w:tc>
          <w:tcPr>
            <w:tcW w:w="420" w:type="dxa"/>
            <w:vAlign w:val="bottom"/>
            <w:shd w:val="clear" w:color="auto" w:fill="E6EFFF"/>
          </w:tcPr>
          <w:p>
            <w:pPr>
              <w:spacing w:after="0"/>
              <w:rPr>
                <w:sz w:val="15"/>
                <w:szCs w:val="15"/>
                <w:color w:val="auto"/>
              </w:rPr>
            </w:pPr>
          </w:p>
        </w:tc>
        <w:tc>
          <w:tcPr>
            <w:tcW w:w="1380" w:type="dxa"/>
            <w:vAlign w:val="bottom"/>
            <w:shd w:val="clear" w:color="auto" w:fill="E6EFFF"/>
          </w:tcPr>
          <w:p>
            <w:pPr>
              <w:spacing w:after="0"/>
              <w:rPr>
                <w:sz w:val="15"/>
                <w:szCs w:val="15"/>
                <w:color w:val="auto"/>
              </w:rPr>
            </w:pPr>
          </w:p>
        </w:tc>
      </w:tr>
      <w:tr>
        <w:trPr>
          <w:trHeight w:val="184"/>
        </w:trPr>
        <w:tc>
          <w:tcPr>
            <w:tcW w:w="3720" w:type="dxa"/>
            <w:vAlign w:val="bottom"/>
          </w:tcPr>
          <w:p>
            <w:pPr>
              <w:spacing w:after="0"/>
              <w:rPr>
                <w:sz w:val="20"/>
                <w:szCs w:val="20"/>
                <w:color w:val="auto"/>
              </w:rPr>
            </w:pPr>
            <w:r>
              <w:rPr>
                <w:rFonts w:ascii="Arial" w:cs="Arial" w:eastAsia="Arial" w:hAnsi="Arial"/>
                <w:sz w:val="15"/>
                <w:szCs w:val="15"/>
                <w:color w:val="auto"/>
              </w:rPr>
              <w:t>Vested</w:t>
            </w:r>
          </w:p>
        </w:tc>
        <w:tc>
          <w:tcPr>
            <w:tcW w:w="256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56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Arial" w:cs="Arial" w:eastAsia="Arial" w:hAnsi="Arial"/>
                <w:sz w:val="15"/>
                <w:szCs w:val="15"/>
                <w:color w:val="auto"/>
              </w:rPr>
              <w:t>34</w:t>
            </w: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4"/>
        </w:trPr>
        <w:tc>
          <w:tcPr>
            <w:tcW w:w="37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Forfeited</w:t>
            </w:r>
          </w:p>
        </w:tc>
        <w:tc>
          <w:tcPr>
            <w:tcW w:w="2560" w:type="dxa"/>
            <w:vAlign w:val="bottom"/>
            <w:tcBorders>
              <w:bottom w:val="single" w:sz="8" w:color="auto"/>
            </w:tcBorders>
            <w:shd w:val="clear" w:color="auto" w:fill="E6EFFF"/>
          </w:tcPr>
          <w:p>
            <w:pPr>
              <w:jc w:val="right"/>
              <w:ind w:right="4"/>
              <w:spacing w:after="0"/>
              <w:rPr>
                <w:sz w:val="20"/>
                <w:szCs w:val="20"/>
                <w:color w:val="auto"/>
              </w:rPr>
            </w:pPr>
            <w:r>
              <w:rPr>
                <w:rFonts w:ascii="Arial" w:cs="Arial" w:eastAsia="Arial" w:hAnsi="Arial"/>
                <w:sz w:val="15"/>
                <w:szCs w:val="15"/>
                <w:color w:val="auto"/>
              </w:rPr>
              <w:t>(5)</w:t>
            </w:r>
          </w:p>
        </w:tc>
        <w:tc>
          <w:tcPr>
            <w:tcW w:w="560" w:type="dxa"/>
            <w:vAlign w:val="bottom"/>
            <w:tcBorders>
              <w:bottom w:val="single" w:sz="8" w:color="auto"/>
            </w:tcBorders>
            <w:shd w:val="clear" w:color="auto" w:fill="E6EFFF"/>
          </w:tcPr>
          <w:p>
            <w:pPr>
              <w:spacing w:after="0"/>
              <w:rPr>
                <w:sz w:val="15"/>
                <w:szCs w:val="15"/>
                <w:color w:val="auto"/>
              </w:rPr>
            </w:pPr>
          </w:p>
        </w:tc>
        <w:tc>
          <w:tcPr>
            <w:tcW w:w="1440" w:type="dxa"/>
            <w:vAlign w:val="bottom"/>
            <w:tcBorders>
              <w:bottom w:val="single" w:sz="8" w:color="auto"/>
            </w:tcBorders>
            <w:shd w:val="clear" w:color="auto" w:fill="E6EFFF"/>
          </w:tcPr>
          <w:p>
            <w:pPr>
              <w:jc w:val="right"/>
              <w:ind w:right="365"/>
              <w:spacing w:after="0"/>
              <w:rPr>
                <w:sz w:val="20"/>
                <w:szCs w:val="20"/>
                <w:color w:val="auto"/>
              </w:rPr>
            </w:pPr>
            <w:r>
              <w:rPr>
                <w:rFonts w:ascii="Arial" w:cs="Arial" w:eastAsia="Arial" w:hAnsi="Arial"/>
                <w:sz w:val="15"/>
                <w:szCs w:val="15"/>
                <w:color w:val="auto"/>
              </w:rPr>
              <w:t>45</w:t>
            </w:r>
          </w:p>
        </w:tc>
        <w:tc>
          <w:tcPr>
            <w:tcW w:w="1360" w:type="dxa"/>
            <w:vAlign w:val="bottom"/>
            <w:tcBorders>
              <w:bottom w:val="single" w:sz="8" w:color="auto"/>
            </w:tcBorders>
            <w:shd w:val="clear" w:color="auto" w:fill="E6EFFF"/>
          </w:tcPr>
          <w:p>
            <w:pPr>
              <w:spacing w:after="0"/>
              <w:rPr>
                <w:sz w:val="15"/>
                <w:szCs w:val="15"/>
                <w:color w:val="auto"/>
              </w:rPr>
            </w:pPr>
          </w:p>
        </w:tc>
        <w:tc>
          <w:tcPr>
            <w:tcW w:w="42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tcBorders>
            <w:shd w:val="clear" w:color="auto" w:fill="E6EFFF"/>
          </w:tcPr>
          <w:p>
            <w:pPr>
              <w:spacing w:after="0"/>
              <w:rPr>
                <w:sz w:val="15"/>
                <w:szCs w:val="15"/>
                <w:color w:val="auto"/>
              </w:rPr>
            </w:pPr>
          </w:p>
        </w:tc>
      </w:tr>
      <w:tr>
        <w:trPr>
          <w:trHeight w:val="178"/>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Unvested, December 31, 2009</w:t>
            </w:r>
          </w:p>
        </w:tc>
        <w:tc>
          <w:tcPr>
            <w:tcW w:w="2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369</w:t>
            </w:r>
          </w:p>
        </w:tc>
        <w:tc>
          <w:tcPr>
            <w:tcW w:w="5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43</w:t>
            </w:r>
          </w:p>
        </w:tc>
        <w:tc>
          <w:tcPr>
            <w:tcW w:w="13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1.6</w:t>
            </w:r>
          </w:p>
        </w:tc>
        <w:tc>
          <w:tcPr>
            <w:tcW w:w="4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20</w:t>
            </w:r>
          </w:p>
        </w:tc>
      </w:tr>
    </w:tbl>
    <w:p>
      <w:pPr>
        <w:spacing w:after="0" w:line="175"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During 2009, 2008 and 2007, we recognized $5.5, $2.8 and $2.7, respectively, of expense related to restricted stock awards. As of December 31, 2009, there was approximately $6.5 of total unrecognized compensation cost related to unvested restricted stock, which we expect to recognize over a weighted-average period of approximately 2.1 years.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86B6A5"/>
        </w:rPr>
        <w:t>PERFORMANCE SHARE UNITS</w:t>
      </w:r>
    </w:p>
    <w:p>
      <w:pPr>
        <w:spacing w:after="0" w:line="237"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Our 2003 Plan allows us to grant performance share units. Vesting of units occurs at the end of the performance period, generally three years, except in the case of death, disability or termination of employment, and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198"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In February 2006, 2007 and 2008, we granted performance share units with a performance criteria of average Operating Profit Margin over the three-year performance period of 2006-2008, 2007-2009 and 2008-2010, respectively. We did not grant any performance share units in 2009.</w:t>
      </w:r>
    </w:p>
    <w:p>
      <w:pPr>
        <w:spacing w:after="0" w:line="194"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In the event the performance criteria exceeds the target performance level, an additional number of shares, up to the Outstanding Award level, may be granted. In the event the performance criteria falls below the target performance level, a reduced number of shares, as low as the Threshold Award level, may be granted. If the average Operating Profit Margin falls below the threshold performance level, no shares will be granted.</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Threshold, Target and Outstanding Award levels for each outstanding grant, adjusted for forfeitures, are as follows:</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218"/>
        </w:trPr>
        <w:tc>
          <w:tcPr>
            <w:tcW w:w="5020" w:type="dxa"/>
            <w:vAlign w:val="bottom"/>
            <w:tcBorders>
              <w:bottom w:val="single" w:sz="8" w:color="4D8ABE"/>
            </w:tcBorders>
          </w:tcPr>
          <w:p>
            <w:pPr>
              <w:spacing w:after="0"/>
              <w:rPr>
                <w:sz w:val="19"/>
                <w:szCs w:val="19"/>
                <w:color w:val="auto"/>
              </w:rPr>
            </w:pPr>
          </w:p>
        </w:tc>
        <w:tc>
          <w:tcPr>
            <w:tcW w:w="4960" w:type="dxa"/>
            <w:vAlign w:val="bottom"/>
            <w:tcBorders>
              <w:bottom w:val="single" w:sz="8" w:color="4D8ABE"/>
            </w:tcBorders>
          </w:tcPr>
          <w:p>
            <w:pPr>
              <w:jc w:val="right"/>
              <w:ind w:right="385"/>
              <w:spacing w:after="0"/>
              <w:rPr>
                <w:sz w:val="20"/>
                <w:szCs w:val="20"/>
                <w:color w:val="auto"/>
              </w:rPr>
            </w:pPr>
            <w:r>
              <w:rPr>
                <w:rFonts w:ascii="Arial" w:cs="Arial" w:eastAsia="Arial" w:hAnsi="Arial"/>
                <w:sz w:val="14"/>
                <w:szCs w:val="14"/>
                <w:b w:val="1"/>
                <w:bCs w:val="1"/>
                <w:color w:val="4D8ABE"/>
              </w:rPr>
              <w:t>2007-2009</w:t>
            </w:r>
            <w:r>
              <w:rPr>
                <w:rFonts w:ascii="Arial" w:cs="Arial" w:eastAsia="Arial" w:hAnsi="Arial"/>
                <w:sz w:val="19"/>
                <w:szCs w:val="19"/>
                <w:b w:val="1"/>
                <w:bCs w:val="1"/>
                <w:color w:val="4D8ABE"/>
                <w:vertAlign w:val="superscript"/>
              </w:rPr>
              <w:t>(a)</w:t>
            </w:r>
          </w:p>
        </w:tc>
        <w:tc>
          <w:tcPr>
            <w:tcW w:w="146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2008-2010</w:t>
            </w:r>
            <w:r>
              <w:rPr>
                <w:rFonts w:ascii="Arial" w:cs="Arial" w:eastAsia="Arial" w:hAnsi="Arial"/>
                <w:sz w:val="19"/>
                <w:szCs w:val="19"/>
                <w:b w:val="1"/>
                <w:bCs w:val="1"/>
                <w:color w:val="4D8ABE"/>
                <w:vertAlign w:val="superscript"/>
              </w:rPr>
              <w:t>(b)</w:t>
            </w:r>
          </w:p>
        </w:tc>
      </w:tr>
      <w:tr>
        <w:trPr>
          <w:trHeight w:val="175"/>
        </w:trPr>
        <w:tc>
          <w:tcPr>
            <w:tcW w:w="5020" w:type="dxa"/>
            <w:vAlign w:val="bottom"/>
            <w:shd w:val="clear" w:color="auto" w:fill="E6EFFF"/>
          </w:tcPr>
          <w:p>
            <w:pPr>
              <w:spacing w:after="0"/>
              <w:rPr>
                <w:sz w:val="20"/>
                <w:szCs w:val="20"/>
                <w:color w:val="auto"/>
              </w:rPr>
            </w:pPr>
            <w:r>
              <w:rPr>
                <w:rFonts w:ascii="Arial" w:cs="Arial" w:eastAsia="Arial" w:hAnsi="Arial"/>
                <w:sz w:val="15"/>
                <w:szCs w:val="15"/>
                <w:color w:val="auto"/>
              </w:rPr>
              <w:t>Threshold Award</w:t>
            </w:r>
          </w:p>
        </w:tc>
        <w:tc>
          <w:tcPr>
            <w:tcW w:w="4960" w:type="dxa"/>
            <w:vAlign w:val="bottom"/>
            <w:shd w:val="clear" w:color="auto" w:fill="E6EFFF"/>
          </w:tcPr>
          <w:p>
            <w:pPr>
              <w:jc w:val="right"/>
              <w:ind w:right="385"/>
              <w:spacing w:after="0"/>
              <w:rPr>
                <w:sz w:val="20"/>
                <w:szCs w:val="20"/>
                <w:color w:val="auto"/>
              </w:rPr>
            </w:pPr>
            <w:r>
              <w:rPr>
                <w:rFonts w:ascii="Arial" w:cs="Arial" w:eastAsia="Arial" w:hAnsi="Arial"/>
                <w:sz w:val="15"/>
                <w:szCs w:val="15"/>
                <w:color w:val="auto"/>
              </w:rPr>
              <w:t>28,250</w:t>
            </w:r>
          </w:p>
        </w:tc>
        <w:tc>
          <w:tcPr>
            <w:tcW w:w="146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34,500</w:t>
            </w:r>
          </w:p>
        </w:tc>
      </w:tr>
      <w:tr>
        <w:trPr>
          <w:trHeight w:val="184"/>
        </w:trPr>
        <w:tc>
          <w:tcPr>
            <w:tcW w:w="5020" w:type="dxa"/>
            <w:vAlign w:val="bottom"/>
          </w:tcPr>
          <w:p>
            <w:pPr>
              <w:spacing w:after="0"/>
              <w:rPr>
                <w:sz w:val="20"/>
                <w:szCs w:val="20"/>
                <w:color w:val="auto"/>
              </w:rPr>
            </w:pPr>
            <w:r>
              <w:rPr>
                <w:rFonts w:ascii="Arial" w:cs="Arial" w:eastAsia="Arial" w:hAnsi="Arial"/>
                <w:sz w:val="15"/>
                <w:szCs w:val="15"/>
                <w:color w:val="auto"/>
              </w:rPr>
              <w:t>Target Award</w:t>
            </w:r>
          </w:p>
        </w:tc>
        <w:tc>
          <w:tcPr>
            <w:tcW w:w="4960" w:type="dxa"/>
            <w:vAlign w:val="bottom"/>
          </w:tcPr>
          <w:p>
            <w:pPr>
              <w:jc w:val="right"/>
              <w:ind w:right="385"/>
              <w:spacing w:after="0"/>
              <w:rPr>
                <w:sz w:val="20"/>
                <w:szCs w:val="20"/>
                <w:color w:val="auto"/>
              </w:rPr>
            </w:pPr>
            <w:r>
              <w:rPr>
                <w:rFonts w:ascii="Arial" w:cs="Arial" w:eastAsia="Arial" w:hAnsi="Arial"/>
                <w:sz w:val="15"/>
                <w:szCs w:val="15"/>
                <w:color w:val="auto"/>
              </w:rPr>
              <w:t>113,000</w:t>
            </w:r>
          </w:p>
        </w:tc>
        <w:tc>
          <w:tcPr>
            <w:tcW w:w="1460" w:type="dxa"/>
            <w:vAlign w:val="bottom"/>
          </w:tcPr>
          <w:p>
            <w:pPr>
              <w:jc w:val="right"/>
              <w:ind w:right="145"/>
              <w:spacing w:after="0"/>
              <w:rPr>
                <w:sz w:val="20"/>
                <w:szCs w:val="20"/>
                <w:color w:val="auto"/>
              </w:rPr>
            </w:pPr>
            <w:r>
              <w:rPr>
                <w:rFonts w:ascii="Arial" w:cs="Arial" w:eastAsia="Arial" w:hAnsi="Arial"/>
                <w:sz w:val="15"/>
                <w:szCs w:val="15"/>
                <w:color w:val="auto"/>
              </w:rPr>
              <w:t>138,000</w:t>
            </w:r>
          </w:p>
        </w:tc>
      </w:tr>
      <w:tr>
        <w:trPr>
          <w:trHeight w:val="187"/>
        </w:trPr>
        <w:tc>
          <w:tcPr>
            <w:tcW w:w="50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Outstanding Award</w:t>
            </w:r>
          </w:p>
        </w:tc>
        <w:tc>
          <w:tcPr>
            <w:tcW w:w="4960" w:type="dxa"/>
            <w:vAlign w:val="bottom"/>
            <w:tcBorders>
              <w:bottom w:val="single" w:sz="8" w:color="auto"/>
            </w:tcBorders>
            <w:shd w:val="clear" w:color="auto" w:fill="E6EFFF"/>
          </w:tcPr>
          <w:p>
            <w:pPr>
              <w:jc w:val="right"/>
              <w:ind w:right="385"/>
              <w:spacing w:after="0"/>
              <w:rPr>
                <w:sz w:val="20"/>
                <w:szCs w:val="20"/>
                <w:color w:val="auto"/>
              </w:rPr>
            </w:pPr>
            <w:r>
              <w:rPr>
                <w:rFonts w:ascii="Arial" w:cs="Arial" w:eastAsia="Arial" w:hAnsi="Arial"/>
                <w:sz w:val="15"/>
                <w:szCs w:val="15"/>
                <w:color w:val="auto"/>
              </w:rPr>
              <w:t>197,750</w:t>
            </w:r>
          </w:p>
        </w:tc>
        <w:tc>
          <w:tcPr>
            <w:tcW w:w="146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241,500</w:t>
            </w:r>
          </w:p>
        </w:tc>
      </w:tr>
    </w:tbl>
    <w:p>
      <w:pPr>
        <w:spacing w:after="0" w:line="4" w:lineRule="exact"/>
        <w:rPr>
          <w:sz w:val="20"/>
          <w:szCs w:val="20"/>
          <w:color w:val="auto"/>
        </w:rPr>
      </w:pPr>
    </w:p>
    <w:p>
      <w:pPr>
        <w:ind w:left="188" w:hanging="188"/>
        <w:spacing w:after="0"/>
        <w:tabs>
          <w:tab w:leader="none" w:pos="1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118,000 performance share units were granted in 2007 at the Target Award level for the 2007-2009 performance period, of which 5,000 units have been forfeited.</w:t>
      </w:r>
    </w:p>
    <w:p>
      <w:pPr>
        <w:ind w:left="188" w:hanging="188"/>
        <w:spacing w:after="0"/>
        <w:tabs>
          <w:tab w:leader="none" w:pos="1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140,000 performance share units were granted in 2008 at the Target Award level for the 2008-2010 performance period, of which 2,000 units have been forfeited.</w:t>
      </w:r>
    </w:p>
    <w:p>
      <w:pPr>
        <w:spacing w:after="0" w:line="205" w:lineRule="exact"/>
        <w:rPr>
          <w:sz w:val="20"/>
          <w:szCs w:val="20"/>
          <w:color w:val="auto"/>
        </w:rPr>
      </w:pPr>
    </w:p>
    <w:p>
      <w:pPr>
        <w:jc w:val="both"/>
        <w:ind w:left="8"/>
        <w:spacing w:after="0" w:line="241" w:lineRule="auto"/>
        <w:rPr>
          <w:sz w:val="20"/>
          <w:szCs w:val="20"/>
          <w:color w:val="auto"/>
        </w:rPr>
      </w:pPr>
      <w:r>
        <w:rPr>
          <w:rFonts w:ascii="Arial" w:cs="Arial" w:eastAsia="Arial" w:hAnsi="Arial"/>
          <w:sz w:val="15"/>
          <w:szCs w:val="15"/>
          <w:color w:val="auto"/>
        </w:rPr>
        <w:t>We recognize and adjust compensation expense based on the likelihood of the performance criteria specified in the award being achieved. The compensation expense is recognized over the performance period and is recorded in Selling and Administrative Expenses. The average Operating Profit Margin for the 2006-2008 performance period reached the outstanding performance level, and the units were settled for 180,250 shares of common stock during the first quarter of 2009. The average Operating Profit Margin for the 2007-2009 performance period did not meet the threshold performance level, and therefore, no shares will be granted. We currently expect that the average Operating Profit Margin for the 2008-2010 performance period will not meet the threshold performance level. We have recognized a total compensation benefit of $1.5 for 2009 and total compensation expense of $1.2 and $5.8 in 2008 and 2007, respectively, related to the performance share units.</w:t>
      </w:r>
    </w:p>
    <w:p>
      <w:pPr>
        <w:spacing w:after="0" w:line="185" w:lineRule="exact"/>
        <w:rPr>
          <w:sz w:val="20"/>
          <w:szCs w:val="20"/>
          <w:color w:val="auto"/>
        </w:rPr>
      </w:pPr>
    </w:p>
    <w:p>
      <w:pPr>
        <w:ind w:left="8"/>
        <w:spacing w:after="0"/>
        <w:tabs>
          <w:tab w:leader="none" w:pos="2268" w:val="left"/>
        </w:tabs>
        <w:rPr>
          <w:sz w:val="20"/>
          <w:szCs w:val="20"/>
          <w:color w:val="auto"/>
        </w:rPr>
      </w:pPr>
      <w:r>
        <w:rPr>
          <w:rFonts w:ascii="Arial" w:cs="Arial" w:eastAsia="Arial" w:hAnsi="Arial"/>
          <w:sz w:val="14"/>
          <w:szCs w:val="14"/>
          <w:b w:val="1"/>
          <w:bCs w:val="1"/>
          <w:color w:val="auto"/>
        </w:rPr>
        <w:t xml:space="preserve">56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11" w:right="219" w:bottom="1440" w:gutter="0" w:footer="0" w:header="0"/>
        </w:sectPr>
      </w:pPr>
    </w:p>
    <w:bookmarkStart w:id="92" w:name="page93"/>
    <w:bookmarkEnd w:id="92"/>
    <w:p>
      <w:pPr>
        <w:ind w:left="20"/>
        <w:spacing w:after="0"/>
        <w:rPr>
          <w:sz w:val="20"/>
          <w:szCs w:val="20"/>
          <w:color w:val="auto"/>
        </w:rPr>
      </w:pPr>
      <w:r>
        <w:rPr>
          <w:rFonts w:ascii="Arial" w:cs="Arial" w:eastAsia="Arial" w:hAnsi="Arial"/>
          <w:sz w:val="18"/>
          <w:szCs w:val="18"/>
          <w:b w:val="1"/>
          <w:bCs w:val="1"/>
          <w:color w:val="86B6A5"/>
        </w:rPr>
        <w:t>OTHER STOCK PLANS</w:t>
      </w:r>
    </w:p>
    <w:p>
      <w:pPr>
        <w:spacing w:after="0" w:line="237" w:lineRule="exact"/>
        <w:rPr>
          <w:sz w:val="20"/>
          <w:szCs w:val="20"/>
          <w:color w:val="auto"/>
        </w:rPr>
      </w:pPr>
    </w:p>
    <w:p>
      <w:pPr>
        <w:jc w:val="both"/>
        <w:ind w:left="20" w:right="40"/>
        <w:spacing w:after="0" w:line="244" w:lineRule="auto"/>
        <w:rPr>
          <w:sz w:val="20"/>
          <w:szCs w:val="20"/>
          <w:color w:val="auto"/>
        </w:rPr>
      </w:pPr>
      <w:r>
        <w:rPr>
          <w:rFonts w:ascii="Arial" w:cs="Arial" w:eastAsia="Arial" w:hAnsi="Arial"/>
          <w:sz w:val="15"/>
          <w:szCs w:val="15"/>
          <w:color w:val="auto"/>
        </w:rPr>
        <w:t>Under the 1990 Employee Stock Purchase Plan, designated employees meeting certain service requirements may purchase shares of our common stock through payroll deductions. These shares may be purchased at the lesser of 85% of their fair market value at the beginning or end of each year. The plan was suspended in 2009 and therefore we did not recognize any expense in 2009. We recognized expense of $1.8 and $3.0 for shares purchased under the plan in 2008 and 2007, respectively.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fair value of each share purchased under the plan is estimated using the Black-Scholes option-pricing model and the following weighted-average assumptions: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6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4600" w:type="dxa"/>
            <w:vAlign w:val="bottom"/>
            <w:tcBorders>
              <w:bottom w:val="single" w:sz="8" w:color="4D8ABE"/>
            </w:tcBorders>
          </w:tcPr>
          <w:p>
            <w:pPr>
              <w:jc w:val="right"/>
              <w:ind w:right="565"/>
              <w:spacing w:after="0"/>
              <w:rPr>
                <w:sz w:val="20"/>
                <w:szCs w:val="20"/>
                <w:color w:val="auto"/>
              </w:rPr>
            </w:pPr>
            <w:r>
              <w:rPr>
                <w:rFonts w:ascii="Arial" w:cs="Arial" w:eastAsia="Arial" w:hAnsi="Arial"/>
                <w:sz w:val="14"/>
                <w:szCs w:val="14"/>
                <w:b w:val="1"/>
                <w:bCs w:val="1"/>
                <w:color w:val="4D8ABE"/>
              </w:rPr>
              <w:t>2008</w:t>
            </w:r>
          </w:p>
        </w:tc>
        <w:tc>
          <w:tcPr>
            <w:tcW w:w="128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2007</w:t>
            </w:r>
          </w:p>
        </w:tc>
      </w:tr>
      <w:tr>
        <w:trPr>
          <w:trHeight w:val="184"/>
        </w:trPr>
        <w:tc>
          <w:tcPr>
            <w:tcW w:w="5560" w:type="dxa"/>
            <w:vAlign w:val="bottom"/>
            <w:shd w:val="clear" w:color="auto" w:fill="E6EFFF"/>
          </w:tcPr>
          <w:p>
            <w:pPr>
              <w:spacing w:after="0"/>
              <w:rPr>
                <w:sz w:val="20"/>
                <w:szCs w:val="20"/>
                <w:color w:val="auto"/>
              </w:rPr>
            </w:pPr>
            <w:r>
              <w:rPr>
                <w:rFonts w:ascii="Arial" w:cs="Arial" w:eastAsia="Arial" w:hAnsi="Arial"/>
                <w:sz w:val="15"/>
                <w:szCs w:val="15"/>
                <w:color w:val="auto"/>
              </w:rPr>
              <w:t>Average risk-free interest rate</w:t>
            </w:r>
          </w:p>
        </w:tc>
        <w:tc>
          <w:tcPr>
            <w:tcW w:w="4600" w:type="dxa"/>
            <w:vAlign w:val="bottom"/>
            <w:shd w:val="clear" w:color="auto" w:fill="E6EFFF"/>
          </w:tcPr>
          <w:p>
            <w:pPr>
              <w:jc w:val="right"/>
              <w:ind w:right="565"/>
              <w:spacing w:after="0"/>
              <w:rPr>
                <w:sz w:val="20"/>
                <w:szCs w:val="20"/>
                <w:color w:val="auto"/>
              </w:rPr>
            </w:pPr>
            <w:r>
              <w:rPr>
                <w:rFonts w:ascii="Arial" w:cs="Arial" w:eastAsia="Arial" w:hAnsi="Arial"/>
                <w:sz w:val="15"/>
                <w:szCs w:val="15"/>
                <w:color w:val="auto"/>
              </w:rPr>
              <w:t>3.2%</w:t>
            </w:r>
          </w:p>
        </w:tc>
        <w:tc>
          <w:tcPr>
            <w:tcW w:w="128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5.0%</w:t>
            </w:r>
          </w:p>
        </w:tc>
      </w:tr>
      <w:tr>
        <w:trPr>
          <w:trHeight w:val="184"/>
        </w:trPr>
        <w:tc>
          <w:tcPr>
            <w:tcW w:w="55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4600" w:type="dxa"/>
            <w:vAlign w:val="bottom"/>
          </w:tcPr>
          <w:p>
            <w:pPr>
              <w:jc w:val="right"/>
              <w:ind w:right="565"/>
              <w:spacing w:after="0"/>
              <w:rPr>
                <w:sz w:val="20"/>
                <w:szCs w:val="20"/>
                <w:color w:val="auto"/>
              </w:rPr>
            </w:pPr>
            <w:r>
              <w:rPr>
                <w:rFonts w:ascii="Arial" w:cs="Arial" w:eastAsia="Arial" w:hAnsi="Arial"/>
                <w:sz w:val="15"/>
                <w:szCs w:val="15"/>
                <w:color w:val="auto"/>
              </w:rPr>
              <w:t>1.2%</w:t>
            </w:r>
          </w:p>
        </w:tc>
        <w:tc>
          <w:tcPr>
            <w:tcW w:w="1280" w:type="dxa"/>
            <w:vAlign w:val="bottom"/>
          </w:tcPr>
          <w:p>
            <w:pPr>
              <w:jc w:val="right"/>
              <w:ind w:right="145"/>
              <w:spacing w:after="0"/>
              <w:rPr>
                <w:sz w:val="20"/>
                <w:szCs w:val="20"/>
                <w:color w:val="auto"/>
              </w:rPr>
            </w:pPr>
            <w:r>
              <w:rPr>
                <w:rFonts w:ascii="Arial" w:cs="Arial" w:eastAsia="Arial" w:hAnsi="Arial"/>
                <w:sz w:val="15"/>
                <w:szCs w:val="15"/>
                <w:color w:val="auto"/>
              </w:rPr>
              <w:t>0.9%</w:t>
            </w:r>
          </w:p>
        </w:tc>
      </w:tr>
      <w:tr>
        <w:trPr>
          <w:trHeight w:val="184"/>
        </w:trPr>
        <w:tc>
          <w:tcPr>
            <w:tcW w:w="5560" w:type="dxa"/>
            <w:vAlign w:val="bottom"/>
            <w:shd w:val="clear" w:color="auto" w:fill="E6EFFF"/>
          </w:tcPr>
          <w:p>
            <w:pPr>
              <w:spacing w:after="0"/>
              <w:rPr>
                <w:sz w:val="20"/>
                <w:szCs w:val="20"/>
                <w:color w:val="auto"/>
              </w:rPr>
            </w:pPr>
            <w:r>
              <w:rPr>
                <w:rFonts w:ascii="Arial" w:cs="Arial" w:eastAsia="Arial" w:hAnsi="Arial"/>
                <w:sz w:val="15"/>
                <w:szCs w:val="15"/>
                <w:color w:val="auto"/>
              </w:rPr>
              <w:t>Expected volatility</w:t>
            </w:r>
          </w:p>
        </w:tc>
        <w:tc>
          <w:tcPr>
            <w:tcW w:w="4600" w:type="dxa"/>
            <w:vAlign w:val="bottom"/>
            <w:shd w:val="clear" w:color="auto" w:fill="E6EFFF"/>
          </w:tcPr>
          <w:p>
            <w:pPr>
              <w:jc w:val="right"/>
              <w:ind w:right="565"/>
              <w:spacing w:after="0"/>
              <w:rPr>
                <w:sz w:val="20"/>
                <w:szCs w:val="20"/>
                <w:color w:val="auto"/>
              </w:rPr>
            </w:pPr>
            <w:r>
              <w:rPr>
                <w:rFonts w:ascii="Arial" w:cs="Arial" w:eastAsia="Arial" w:hAnsi="Arial"/>
                <w:sz w:val="15"/>
                <w:szCs w:val="15"/>
                <w:color w:val="auto"/>
              </w:rPr>
              <w:t>30.0%</w:t>
            </w:r>
          </w:p>
        </w:tc>
        <w:tc>
          <w:tcPr>
            <w:tcW w:w="128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27.0%</w:t>
            </w:r>
          </w:p>
        </w:tc>
      </w:tr>
      <w:tr>
        <w:trPr>
          <w:trHeight w:val="187"/>
        </w:trPr>
        <w:tc>
          <w:tcPr>
            <w:tcW w:w="5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Expected term (years)</w:t>
            </w:r>
          </w:p>
        </w:tc>
        <w:tc>
          <w:tcPr>
            <w:tcW w:w="460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rPr>
              <w:t>1.0</w:t>
            </w:r>
          </w:p>
        </w:tc>
        <w:tc>
          <w:tcPr>
            <w:tcW w:w="12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1.0</w:t>
            </w:r>
          </w:p>
        </w:tc>
      </w:tr>
    </w:tbl>
    <w:p>
      <w:pPr>
        <w:spacing w:after="0" w:line="1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These assumptions are determined using the same methodology applied in determining the assumptions used in calculating the fair value of our stock options.</w:t>
      </w:r>
    </w:p>
    <w:p>
      <w:pPr>
        <w:spacing w:after="0" w:line="207"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5"/>
          <w:szCs w:val="15"/>
          <w:color w:val="auto"/>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expense of $0.1, $0.5 and $0.2 for shares purchased under the plan in 2009, 2008 and 2007, respectively.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1"/>
          <w:szCs w:val="21"/>
          <w:color w:val="4D8ABE"/>
        </w:rPr>
        <w:t>04.</w:t>
      </w:r>
    </w:p>
    <w:p>
      <w:pPr>
        <w:ind w:left="20"/>
        <w:spacing w:after="0"/>
        <w:rPr>
          <w:sz w:val="20"/>
          <w:szCs w:val="20"/>
          <w:color w:val="auto"/>
        </w:rPr>
      </w:pPr>
      <w:r>
        <w:rPr>
          <w:rFonts w:ascii="Arial" w:cs="Arial" w:eastAsia="Arial" w:hAnsi="Arial"/>
          <w:sz w:val="21"/>
          <w:szCs w:val="21"/>
          <w:color w:val="4D8ABE"/>
        </w:rPr>
        <w:t>Net (Loss) Earnings Per Share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(Loss) Earnings Per Share presented in this Note has been revised for the effects of the restatement disclosed in Note 1 to the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calculation of Net (Loss) Earnings Per Share – Basic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2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1560" w:type="dxa"/>
            <w:vAlign w:val="bottom"/>
            <w:tcBorders>
              <w:bottom w:val="single" w:sz="8" w:color="4D8ABE"/>
              <w:right w:val="single" w:sz="8" w:color="4D8ABE"/>
            </w:tcBorders>
          </w:tcPr>
          <w:p>
            <w:pPr>
              <w:spacing w:after="0"/>
              <w:rPr>
                <w:sz w:val="16"/>
                <w:szCs w:val="16"/>
                <w:color w:val="auto"/>
              </w:rPr>
            </w:pP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700" w:type="dxa"/>
            <w:vAlign w:val="bottom"/>
            <w:tcBorders>
              <w:bottom w:val="single" w:sz="8" w:color="4D8ABE"/>
            </w:tcBorders>
          </w:tcPr>
          <w:p>
            <w:pPr>
              <w:spacing w:after="0"/>
              <w:rPr>
                <w:sz w:val="16"/>
                <w:szCs w:val="16"/>
                <w:color w:val="auto"/>
              </w:rPr>
            </w:pPr>
          </w:p>
        </w:tc>
        <w:tc>
          <w:tcPr>
            <w:tcW w:w="620" w:type="dxa"/>
            <w:vAlign w:val="bottom"/>
            <w:tcBorders>
              <w:bottom w:val="single" w:sz="8" w:color="4D8ABE"/>
            </w:tcBorders>
          </w:tcPr>
          <w:p>
            <w:pPr>
              <w:jc w:val="right"/>
              <w:ind w:right="25"/>
              <w:spacing w:after="0"/>
              <w:rPr>
                <w:sz w:val="20"/>
                <w:szCs w:val="20"/>
                <w:color w:val="auto"/>
              </w:rPr>
            </w:pPr>
            <w:r>
              <w:rPr>
                <w:rFonts w:ascii="Arial" w:cs="Arial" w:eastAsia="Arial" w:hAnsi="Arial"/>
                <w:sz w:val="14"/>
                <w:szCs w:val="14"/>
                <w:b w:val="1"/>
                <w:bCs w:val="1"/>
                <w:color w:val="4D8ABE"/>
              </w:rPr>
              <w:t>2008</w:t>
            </w:r>
          </w:p>
        </w:tc>
        <w:tc>
          <w:tcPr>
            <w:tcW w:w="58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E6EFFF"/>
          </w:tcPr>
          <w:p>
            <w:pPr>
              <w:spacing w:after="0"/>
              <w:rPr>
                <w:sz w:val="20"/>
                <w:szCs w:val="20"/>
                <w:color w:val="auto"/>
              </w:rPr>
            </w:pPr>
            <w:r>
              <w:rPr>
                <w:rFonts w:ascii="Arial" w:cs="Arial" w:eastAsia="Arial" w:hAnsi="Arial"/>
                <w:sz w:val="15"/>
                <w:szCs w:val="15"/>
                <w:color w:val="auto"/>
              </w:rPr>
              <w:t>Net (loss) earnings available to common shareholders</w:t>
            </w:r>
          </w:p>
        </w:tc>
        <w:tc>
          <w:tcPr>
            <w:tcW w:w="156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05"/>
              <w:spacing w:after="0"/>
              <w:rPr>
                <w:sz w:val="20"/>
                <w:szCs w:val="20"/>
                <w:color w:val="auto"/>
              </w:rPr>
            </w:pPr>
            <w:r>
              <w:rPr>
                <w:rFonts w:ascii="Arial" w:cs="Arial" w:eastAsia="Arial" w:hAnsi="Arial"/>
                <w:sz w:val="15"/>
                <w:szCs w:val="15"/>
                <w:color w:val="4D8ABE"/>
              </w:rPr>
              <w:t>(9.2)</w:t>
            </w:r>
          </w:p>
        </w:tc>
        <w:tc>
          <w:tcPr>
            <w:tcW w:w="700" w:type="dxa"/>
            <w:vAlign w:val="bottom"/>
            <w:shd w:val="clear" w:color="auto" w:fill="E6EFFF"/>
          </w:tcPr>
          <w:p>
            <w:pPr>
              <w:jc w:val="right"/>
              <w:ind w:right="5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205.5</w:t>
            </w:r>
          </w:p>
        </w:tc>
        <w:tc>
          <w:tcPr>
            <w:tcW w:w="58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473.7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Weighted-average common shares outstanding (in millions)</w:t>
            </w:r>
          </w:p>
        </w:tc>
        <w:tc>
          <w:tcPr>
            <w:tcW w:w="156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78.3</w:t>
            </w: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78.7</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Total</w:t>
            </w:r>
          </w:p>
        </w:tc>
        <w:tc>
          <w:tcPr>
            <w:tcW w:w="156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05"/>
              <w:spacing w:after="0"/>
              <w:rPr>
                <w:sz w:val="20"/>
                <w:szCs w:val="20"/>
                <w:color w:val="auto"/>
              </w:rPr>
            </w:pPr>
            <w:r>
              <w:rPr>
                <w:rFonts w:ascii="Arial" w:cs="Arial" w:eastAsia="Arial" w:hAnsi="Arial"/>
                <w:sz w:val="15"/>
                <w:szCs w:val="15"/>
                <w:color w:val="4D8ABE"/>
              </w:rPr>
              <w:t>(0.12)</w:t>
            </w:r>
          </w:p>
        </w:tc>
        <w:tc>
          <w:tcPr>
            <w:tcW w:w="700" w:type="dxa"/>
            <w:vAlign w:val="bottom"/>
            <w:tcBorders>
              <w:bottom w:val="single" w:sz="8" w:color="auto"/>
            </w:tcBorders>
            <w:shd w:val="clear" w:color="auto" w:fill="E6EFFF"/>
          </w:tcPr>
          <w:p>
            <w:pPr>
              <w:jc w:val="right"/>
              <w:ind w:right="54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2.61</w:t>
            </w:r>
          </w:p>
        </w:tc>
        <w:tc>
          <w:tcPr>
            <w:tcW w:w="580" w:type="dxa"/>
            <w:vAlign w:val="bottom"/>
            <w:tcBorders>
              <w:bottom w:val="single" w:sz="8" w:color="auto"/>
            </w:tcBorders>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The calculation of Net (Loss) Earnings Per Share – Diluted is as follows: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vMerge w:val="restart"/>
          </w:tcPr>
          <w:p>
            <w:pPr>
              <w:spacing w:after="0"/>
              <w:rPr>
                <w:sz w:val="20"/>
                <w:szCs w:val="20"/>
                <w:color w:val="auto"/>
              </w:rPr>
            </w:pPr>
            <w:r>
              <w:rPr>
                <w:rFonts w:ascii="Arial" w:cs="Arial" w:eastAsia="Arial" w:hAnsi="Arial"/>
                <w:sz w:val="14"/>
                <w:szCs w:val="14"/>
                <w:b w:val="1"/>
                <w:bCs w:val="1"/>
                <w:color w:val="4D8ABE"/>
              </w:rPr>
              <w:t>Year Ended December 31</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4D8ABE"/>
              </w:rPr>
              <w:t>2008</w:t>
            </w:r>
          </w:p>
        </w:tc>
        <w:tc>
          <w:tcPr>
            <w:tcW w:w="580" w:type="dxa"/>
            <w:vAlign w:val="bottom"/>
          </w:tcPr>
          <w:p>
            <w:pPr>
              <w:spacing w:after="0"/>
              <w:rPr>
                <w:sz w:val="17"/>
                <w:szCs w:val="17"/>
                <w:color w:val="auto"/>
              </w:rPr>
            </w:pPr>
          </w:p>
        </w:tc>
        <w:tc>
          <w:tcPr>
            <w:tcW w:w="10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4D8ABE"/>
              </w:rPr>
              <w:t>2007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Borders>
              <w:bottom w:val="single" w:sz="8" w:color="4D8ABE"/>
            </w:tcBorders>
            <w:vMerge w:val="continue"/>
          </w:tcPr>
          <w:p>
            <w:pPr>
              <w:spacing w:after="0"/>
              <w:rPr>
                <w:sz w:val="16"/>
                <w:szCs w:val="16"/>
                <w:color w:val="auto"/>
              </w:rPr>
            </w:pPr>
          </w:p>
        </w:tc>
        <w:tc>
          <w:tcPr>
            <w:tcW w:w="1560" w:type="dxa"/>
            <w:vAlign w:val="bottom"/>
            <w:tcBorders>
              <w:bottom w:val="single" w:sz="8" w:color="4D8ABE"/>
              <w:right w:val="single" w:sz="8" w:color="4D8ABE"/>
            </w:tcBorders>
          </w:tcPr>
          <w:p>
            <w:pPr>
              <w:spacing w:after="0"/>
              <w:rPr>
                <w:sz w:val="16"/>
                <w:szCs w:val="16"/>
                <w:color w:val="auto"/>
              </w:rPr>
            </w:pP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700" w:type="dxa"/>
            <w:vAlign w:val="bottom"/>
            <w:tcBorders>
              <w:bottom w:val="single" w:sz="8" w:color="4D8ABE"/>
            </w:tcBorders>
          </w:tcPr>
          <w:p>
            <w:pPr>
              <w:spacing w:after="0"/>
              <w:rPr>
                <w:sz w:val="16"/>
                <w:szCs w:val="16"/>
                <w:color w:val="auto"/>
              </w:rPr>
            </w:pPr>
          </w:p>
        </w:tc>
        <w:tc>
          <w:tcPr>
            <w:tcW w:w="620" w:type="dxa"/>
            <w:vAlign w:val="bottom"/>
            <w:tcBorders>
              <w:bottom w:val="single" w:sz="8" w:color="4D8ABE"/>
            </w:tcBorders>
            <w:vMerge w:val="continue"/>
          </w:tcPr>
          <w:p>
            <w:pPr>
              <w:spacing w:after="0"/>
              <w:rPr>
                <w:sz w:val="16"/>
                <w:szCs w:val="16"/>
                <w:color w:val="auto"/>
              </w:rPr>
            </w:pPr>
          </w:p>
        </w:tc>
        <w:tc>
          <w:tcPr>
            <w:tcW w:w="58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shd w:val="clear" w:color="auto" w:fill="E6EFFF"/>
          </w:tcPr>
          <w:p>
            <w:pPr>
              <w:spacing w:after="0"/>
              <w:rPr>
                <w:sz w:val="20"/>
                <w:szCs w:val="20"/>
                <w:color w:val="auto"/>
              </w:rPr>
            </w:pPr>
            <w:r>
              <w:rPr>
                <w:rFonts w:ascii="Arial" w:cs="Arial" w:eastAsia="Arial" w:hAnsi="Arial"/>
                <w:sz w:val="15"/>
                <w:szCs w:val="15"/>
                <w:color w:val="auto"/>
              </w:rPr>
              <w:t>Net (loss) earnings available to common shareholders</w:t>
            </w:r>
          </w:p>
        </w:tc>
        <w:tc>
          <w:tcPr>
            <w:tcW w:w="156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05"/>
              <w:spacing w:after="0"/>
              <w:rPr>
                <w:sz w:val="20"/>
                <w:szCs w:val="20"/>
                <w:color w:val="auto"/>
              </w:rPr>
            </w:pPr>
            <w:r>
              <w:rPr>
                <w:rFonts w:ascii="Arial" w:cs="Arial" w:eastAsia="Arial" w:hAnsi="Arial"/>
                <w:sz w:val="15"/>
                <w:szCs w:val="15"/>
                <w:color w:val="4D8ABE"/>
              </w:rPr>
              <w:t>(9.2)</w:t>
            </w:r>
          </w:p>
        </w:tc>
        <w:tc>
          <w:tcPr>
            <w:tcW w:w="700" w:type="dxa"/>
            <w:vAlign w:val="bottom"/>
            <w:shd w:val="clear" w:color="auto" w:fill="E6EFFF"/>
          </w:tcPr>
          <w:p>
            <w:pPr>
              <w:jc w:val="right"/>
              <w:ind w:right="5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205.5</w:t>
            </w:r>
          </w:p>
        </w:tc>
        <w:tc>
          <w:tcPr>
            <w:tcW w:w="58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473.7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Weighted-average common shares outstanding (in millions)</w:t>
            </w:r>
          </w:p>
        </w:tc>
        <w:tc>
          <w:tcPr>
            <w:tcW w:w="1560" w:type="dxa"/>
            <w:vAlign w:val="bottom"/>
            <w:tcBorders>
              <w:right w:val="single" w:sz="8" w:color="4D8ABE"/>
            </w:tcBorders>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78.3</w:t>
            </w:r>
          </w:p>
        </w:tc>
        <w:tc>
          <w:tcPr>
            <w:tcW w:w="700" w:type="dxa"/>
            <w:vAlign w:val="bottom"/>
          </w:tcPr>
          <w:p>
            <w:pPr>
              <w:spacing w:after="0"/>
              <w:rPr>
                <w:sz w:val="15"/>
                <w:szCs w:val="15"/>
                <w:color w:val="auto"/>
              </w:rPr>
            </w:pP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78.7</w:t>
            </w:r>
          </w:p>
        </w:tc>
        <w:tc>
          <w:tcPr>
            <w:tcW w:w="58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Arial" w:cs="Arial" w:eastAsia="Arial" w:hAnsi="Arial"/>
                <w:sz w:val="15"/>
                <w:szCs w:val="15"/>
                <w:color w:val="auto"/>
              </w:rPr>
              <w:t>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20" w:type="dxa"/>
            <w:vAlign w:val="bottom"/>
            <w:shd w:val="clear" w:color="auto" w:fill="E6EFFF"/>
          </w:tcPr>
          <w:p>
            <w:pPr>
              <w:spacing w:after="0"/>
              <w:rPr>
                <w:sz w:val="20"/>
                <w:szCs w:val="20"/>
                <w:color w:val="auto"/>
              </w:rPr>
            </w:pPr>
            <w:r>
              <w:rPr>
                <w:rFonts w:ascii="Arial" w:cs="Arial" w:eastAsia="Arial" w:hAnsi="Arial"/>
                <w:sz w:val="15"/>
                <w:szCs w:val="15"/>
                <w:color w:val="auto"/>
              </w:rPr>
              <w:t>Effect of restricted stock grants (in millions)</w:t>
            </w:r>
          </w:p>
        </w:tc>
        <w:tc>
          <w:tcPr>
            <w:tcW w:w="156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w:t>
            </w:r>
          </w:p>
        </w:tc>
        <w:tc>
          <w:tcPr>
            <w:tcW w:w="700" w:type="dxa"/>
            <w:vAlign w:val="bottom"/>
            <w:shd w:val="clear" w:color="auto" w:fill="E6EFFF"/>
          </w:tcPr>
          <w:p>
            <w:pPr>
              <w:spacing w:after="0"/>
              <w:rPr>
                <w:sz w:val="15"/>
                <w:szCs w:val="15"/>
                <w:color w:val="auto"/>
              </w:rPr>
            </w:pPr>
          </w:p>
        </w:tc>
        <w:tc>
          <w:tcPr>
            <w:tcW w:w="62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0.3</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Effect of dilutive securities – stock options (in millions)</w:t>
            </w:r>
          </w:p>
        </w:tc>
        <w:tc>
          <w:tcPr>
            <w:tcW w:w="156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w:t>
            </w: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0.7</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Borders>
              <w:bottom w:val="single" w:sz="8" w:color="auto"/>
            </w:tcBorders>
            <w:shd w:val="clear" w:color="auto" w:fill="E6EFFF"/>
          </w:tcPr>
          <w:p>
            <w:pPr>
              <w:spacing w:after="0"/>
              <w:rPr>
                <w:sz w:val="15"/>
                <w:szCs w:val="15"/>
                <w:color w:val="auto"/>
              </w:rPr>
            </w:pPr>
          </w:p>
        </w:tc>
        <w:tc>
          <w:tcPr>
            <w:tcW w:w="156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78.3</w:t>
            </w:r>
          </w:p>
        </w:tc>
        <w:tc>
          <w:tcPr>
            <w:tcW w:w="700" w:type="dxa"/>
            <w:vAlign w:val="bottom"/>
            <w:tcBorders>
              <w:bottom w:val="single" w:sz="8" w:color="auto"/>
            </w:tcBorders>
            <w:shd w:val="clear" w:color="auto" w:fill="E6EFFF"/>
          </w:tcPr>
          <w:p>
            <w:pPr>
              <w:spacing w:after="0"/>
              <w:rPr>
                <w:sz w:val="15"/>
                <w:szCs w:val="15"/>
                <w:color w:val="auto"/>
              </w:rPr>
            </w:pPr>
          </w:p>
        </w:tc>
        <w:tc>
          <w:tcPr>
            <w:tcW w:w="62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79.7</w:t>
            </w:r>
          </w:p>
        </w:tc>
        <w:tc>
          <w:tcPr>
            <w:tcW w:w="58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84.6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56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05"/>
              <w:spacing w:after="0"/>
              <w:rPr>
                <w:sz w:val="20"/>
                <w:szCs w:val="20"/>
                <w:color w:val="auto"/>
              </w:rPr>
            </w:pPr>
            <w:r>
              <w:rPr>
                <w:rFonts w:ascii="Arial" w:cs="Arial" w:eastAsia="Arial" w:hAnsi="Arial"/>
                <w:sz w:val="15"/>
                <w:szCs w:val="15"/>
                <w:color w:val="4D8ABE"/>
              </w:rPr>
              <w:t>(0.12)</w:t>
            </w:r>
          </w:p>
        </w:tc>
        <w:tc>
          <w:tcPr>
            <w:tcW w:w="7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2.58</w:t>
            </w:r>
          </w:p>
        </w:tc>
        <w:tc>
          <w:tcPr>
            <w:tcW w:w="5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5.60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720" w:type="dxa"/>
            <w:vAlign w:val="bottom"/>
            <w:gridSpan w:val="4"/>
          </w:tcPr>
          <w:p>
            <w:pPr>
              <w:jc w:val="right"/>
              <w:ind w:right="23"/>
              <w:spacing w:after="0"/>
              <w:rPr>
                <w:sz w:val="20"/>
                <w:szCs w:val="20"/>
                <w:color w:val="auto"/>
              </w:rPr>
            </w:pPr>
            <w:r>
              <w:rPr>
                <w:rFonts w:ascii="Arial" w:cs="Arial" w:eastAsia="Arial" w:hAnsi="Arial"/>
                <w:sz w:val="14"/>
                <w:szCs w:val="14"/>
                <w:b w:val="1"/>
                <w:bCs w:val="1"/>
                <w:color w:val="939598"/>
              </w:rPr>
              <w:t>Notes to Consolidated Financial Statements</w:t>
            </w: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 xml:space="preserve">Manpower 2009 Annual Report </w:t>
            </w:r>
            <w:r>
              <w:rPr>
                <w:rFonts w:ascii="Arial" w:cs="Arial" w:eastAsia="Arial" w:hAnsi="Arial"/>
                <w:sz w:val="14"/>
                <w:szCs w:val="14"/>
                <w:b w:val="1"/>
                <w:bCs w:val="1"/>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shd w:val="clear" w:color="auto" w:fill="808080"/>
          </w:tcPr>
          <w:p>
            <w:pPr>
              <w:spacing w:after="0"/>
              <w:rPr>
                <w:sz w:val="5"/>
                <w:szCs w:val="5"/>
                <w:color w:val="auto"/>
              </w:rPr>
            </w:pPr>
          </w:p>
        </w:tc>
        <w:tc>
          <w:tcPr>
            <w:tcW w:w="5520" w:type="dxa"/>
            <w:vAlign w:val="bottom"/>
            <w:shd w:val="clear" w:color="auto" w:fill="808080"/>
          </w:tcPr>
          <w:p>
            <w:pPr>
              <w:spacing w:after="0"/>
              <w:rPr>
                <w:sz w:val="5"/>
                <w:szCs w:val="5"/>
                <w:color w:val="auto"/>
              </w:rPr>
            </w:pPr>
          </w:p>
        </w:tc>
        <w:tc>
          <w:tcPr>
            <w:tcW w:w="156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80" w:type="dxa"/>
            <w:vAlign w:val="bottom"/>
            <w:tcBorders>
              <w:right w:val="single" w:sz="8" w:color="808080"/>
            </w:tcBorders>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11" w:right="1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15"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Due to the net loss for the year ended December 31, 2009, the assumed exercise of stock-based awards had an antidilutive effect and therefore was not included in the calculation of Net Loss Per Share – Diluted for the year ended December 31, 2009. The calculations of Net Earnings Per Share – Diluted for the years ended December 31, 2008 and 2007 do not include certain stock-based awards because the exercise price for these awards was greater than the average market price of the common shares during that year. The number, exercise prices and weighted-average remaining life of these antidilutive awards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4D8ABE"/>
              <w:right w:val="single" w:sz="8" w:color="4D8ABE"/>
            </w:tcBorders>
          </w:tcPr>
          <w:p>
            <w:pPr>
              <w:spacing w:after="0"/>
              <w:rPr>
                <w:sz w:val="17"/>
                <w:szCs w:val="17"/>
                <w:color w:val="auto"/>
              </w:rPr>
            </w:pPr>
          </w:p>
        </w:tc>
        <w:tc>
          <w:tcPr>
            <w:tcW w:w="1500" w:type="dxa"/>
            <w:vAlign w:val="bottom"/>
            <w:tcBorders>
              <w:bottom w:val="single" w:sz="8" w:color="4D8ABE"/>
              <w:right w:val="single" w:sz="8" w:color="4D8ABE"/>
            </w:tcBorders>
            <w:shd w:val="clear" w:color="auto" w:fill="4D8ABE"/>
          </w:tcPr>
          <w:p>
            <w:pPr>
              <w:jc w:val="right"/>
              <w:ind w:right="43"/>
              <w:spacing w:after="0"/>
              <w:rPr>
                <w:sz w:val="20"/>
                <w:szCs w:val="20"/>
                <w:color w:val="auto"/>
              </w:rPr>
            </w:pPr>
            <w:r>
              <w:rPr>
                <w:rFonts w:ascii="Arial" w:cs="Arial" w:eastAsia="Arial" w:hAnsi="Arial"/>
                <w:sz w:val="15"/>
                <w:szCs w:val="15"/>
                <w:b w:val="1"/>
                <w:bCs w:val="1"/>
                <w:color w:val="FFFFFF"/>
              </w:rPr>
              <w:t>2009</w:t>
            </w:r>
          </w:p>
        </w:tc>
        <w:tc>
          <w:tcPr>
            <w:tcW w:w="1780" w:type="dxa"/>
            <w:vAlign w:val="bottom"/>
            <w:tcBorders>
              <w:bottom w:val="single" w:sz="8" w:color="4D8ABE"/>
            </w:tcBorders>
          </w:tcPr>
          <w:p>
            <w:pPr>
              <w:jc w:val="right"/>
              <w:ind w:right="343"/>
              <w:spacing w:after="0"/>
              <w:rPr>
                <w:sz w:val="20"/>
                <w:szCs w:val="20"/>
                <w:color w:val="auto"/>
              </w:rPr>
            </w:pPr>
            <w:r>
              <w:rPr>
                <w:rFonts w:ascii="Arial" w:cs="Arial" w:eastAsia="Arial" w:hAnsi="Arial"/>
                <w:sz w:val="15"/>
                <w:szCs w:val="15"/>
                <w:b w:val="1"/>
                <w:bCs w:val="1"/>
                <w:color w:val="4D8ABE"/>
              </w:rPr>
              <w:t>2008</w:t>
            </w:r>
          </w:p>
        </w:tc>
        <w:tc>
          <w:tcPr>
            <w:tcW w:w="1160" w:type="dxa"/>
            <w:vAlign w:val="bottom"/>
            <w:tcBorders>
              <w:bottom w:val="single" w:sz="8" w:color="4D8ABE"/>
            </w:tcBorders>
          </w:tcPr>
          <w:p>
            <w:pPr>
              <w:jc w:val="right"/>
              <w:ind w:right="25"/>
              <w:spacing w:after="0"/>
              <w:rPr>
                <w:sz w:val="20"/>
                <w:szCs w:val="20"/>
                <w:color w:val="auto"/>
              </w:rPr>
            </w:pPr>
            <w:r>
              <w:rPr>
                <w:rFonts w:ascii="Arial" w:cs="Arial" w:eastAsia="Arial" w:hAnsi="Arial"/>
                <w:sz w:val="14"/>
                <w:szCs w:val="14"/>
                <w:b w:val="1"/>
                <w:bCs w:val="1"/>
                <w:color w:val="4D8ABE"/>
              </w:rPr>
              <w:t>2007</w:t>
            </w:r>
          </w:p>
        </w:tc>
      </w:tr>
      <w:tr>
        <w:trPr>
          <w:trHeight w:val="164"/>
        </w:trPr>
        <w:tc>
          <w:tcPr>
            <w:tcW w:w="7000" w:type="dxa"/>
            <w:vAlign w:val="bottom"/>
            <w:tcBorders>
              <w:right w:val="single" w:sz="8" w:color="4D8ABE"/>
            </w:tcBorders>
            <w:shd w:val="clear" w:color="auto" w:fill="E6EFFF"/>
          </w:tcPr>
          <w:p>
            <w:pPr>
              <w:spacing w:after="0" w:line="164" w:lineRule="exact"/>
              <w:rPr>
                <w:sz w:val="20"/>
                <w:szCs w:val="20"/>
                <w:color w:val="auto"/>
              </w:rPr>
            </w:pPr>
            <w:r>
              <w:rPr>
                <w:rFonts w:ascii="Arial" w:cs="Arial" w:eastAsia="Arial" w:hAnsi="Arial"/>
                <w:sz w:val="15"/>
                <w:szCs w:val="15"/>
                <w:color w:val="auto"/>
              </w:rPr>
              <w:t>Shares (in thousands)</w:t>
            </w:r>
          </w:p>
        </w:tc>
        <w:tc>
          <w:tcPr>
            <w:tcW w:w="1500" w:type="dxa"/>
            <w:vAlign w:val="bottom"/>
            <w:tcBorders>
              <w:right w:val="single" w:sz="8" w:color="4D8ABE"/>
            </w:tcBorders>
            <w:shd w:val="clear" w:color="auto" w:fill="E6EFFF"/>
          </w:tcPr>
          <w:p>
            <w:pPr>
              <w:jc w:val="right"/>
              <w:ind w:right="43"/>
              <w:spacing w:after="0" w:line="164" w:lineRule="exact"/>
              <w:rPr>
                <w:sz w:val="20"/>
                <w:szCs w:val="20"/>
                <w:color w:val="auto"/>
              </w:rPr>
            </w:pPr>
            <w:r>
              <w:rPr>
                <w:rFonts w:ascii="Arial" w:cs="Arial" w:eastAsia="Arial" w:hAnsi="Arial"/>
                <w:sz w:val="15"/>
                <w:szCs w:val="15"/>
                <w:color w:val="4D8ABE"/>
              </w:rPr>
              <w:t>6,231</w:t>
            </w:r>
          </w:p>
        </w:tc>
        <w:tc>
          <w:tcPr>
            <w:tcW w:w="1780" w:type="dxa"/>
            <w:vAlign w:val="bottom"/>
            <w:shd w:val="clear" w:color="auto" w:fill="E6EFFF"/>
          </w:tcPr>
          <w:p>
            <w:pPr>
              <w:jc w:val="right"/>
              <w:ind w:right="343"/>
              <w:spacing w:after="0" w:line="164" w:lineRule="exact"/>
              <w:rPr>
                <w:sz w:val="20"/>
                <w:szCs w:val="20"/>
                <w:color w:val="auto"/>
              </w:rPr>
            </w:pPr>
            <w:r>
              <w:rPr>
                <w:rFonts w:ascii="Arial" w:cs="Arial" w:eastAsia="Arial" w:hAnsi="Arial"/>
                <w:sz w:val="15"/>
                <w:szCs w:val="15"/>
                <w:color w:val="auto"/>
              </w:rPr>
              <w:t>2,452</w:t>
            </w:r>
          </w:p>
        </w:tc>
        <w:tc>
          <w:tcPr>
            <w:tcW w:w="1160" w:type="dxa"/>
            <w:vAlign w:val="bottom"/>
            <w:shd w:val="clear" w:color="auto" w:fill="E6EFFF"/>
          </w:tcPr>
          <w:p>
            <w:pPr>
              <w:jc w:val="right"/>
              <w:ind w:right="25"/>
              <w:spacing w:after="0" w:line="164" w:lineRule="exact"/>
              <w:rPr>
                <w:sz w:val="20"/>
                <w:szCs w:val="20"/>
                <w:color w:val="auto"/>
              </w:rPr>
            </w:pPr>
            <w:r>
              <w:rPr>
                <w:rFonts w:ascii="Arial" w:cs="Arial" w:eastAsia="Arial" w:hAnsi="Arial"/>
                <w:sz w:val="15"/>
                <w:szCs w:val="15"/>
                <w:color w:val="auto"/>
              </w:rPr>
              <w:t>785</w:t>
            </w:r>
          </w:p>
        </w:tc>
      </w:tr>
      <w:tr>
        <w:trPr>
          <w:trHeight w:val="172"/>
        </w:trPr>
        <w:tc>
          <w:tcPr>
            <w:tcW w:w="70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Exercise price ranges</w:t>
            </w:r>
          </w:p>
        </w:tc>
        <w:tc>
          <w:tcPr>
            <w:tcW w:w="1500" w:type="dxa"/>
            <w:vAlign w:val="bottom"/>
            <w:tcBorders>
              <w:right w:val="single" w:sz="8" w:color="4D8ABE"/>
            </w:tcBorders>
          </w:tcPr>
          <w:p>
            <w:pPr>
              <w:jc w:val="right"/>
              <w:ind w:right="43"/>
              <w:spacing w:after="0"/>
              <w:rPr>
                <w:sz w:val="20"/>
                <w:szCs w:val="20"/>
                <w:color w:val="auto"/>
              </w:rPr>
            </w:pPr>
            <w:r>
              <w:rPr>
                <w:rFonts w:ascii="Arial" w:cs="Arial" w:eastAsia="Arial" w:hAnsi="Arial"/>
                <w:sz w:val="15"/>
                <w:szCs w:val="15"/>
                <w:color w:val="4D8ABE"/>
              </w:rPr>
              <w:t>$ 9-$93</w:t>
            </w:r>
          </w:p>
        </w:tc>
        <w:tc>
          <w:tcPr>
            <w:tcW w:w="1780" w:type="dxa"/>
            <w:vAlign w:val="bottom"/>
          </w:tcPr>
          <w:p>
            <w:pPr>
              <w:jc w:val="right"/>
              <w:ind w:right="343"/>
              <w:spacing w:after="0"/>
              <w:rPr>
                <w:sz w:val="20"/>
                <w:szCs w:val="20"/>
                <w:color w:val="auto"/>
              </w:rPr>
            </w:pPr>
            <w:r>
              <w:rPr>
                <w:rFonts w:ascii="Arial" w:cs="Arial" w:eastAsia="Arial" w:hAnsi="Arial"/>
                <w:sz w:val="15"/>
                <w:szCs w:val="15"/>
                <w:color w:val="auto"/>
              </w:rPr>
              <w:t>$52-$93</w:t>
            </w:r>
          </w:p>
        </w:tc>
        <w:tc>
          <w:tcPr>
            <w:tcW w:w="1160" w:type="dxa"/>
            <w:vAlign w:val="bottom"/>
          </w:tcPr>
          <w:p>
            <w:pPr>
              <w:jc w:val="right"/>
              <w:ind w:right="25"/>
              <w:spacing w:after="0"/>
              <w:rPr>
                <w:sz w:val="20"/>
                <w:szCs w:val="20"/>
                <w:color w:val="auto"/>
              </w:rPr>
            </w:pPr>
            <w:r>
              <w:rPr>
                <w:rFonts w:ascii="Arial" w:cs="Arial" w:eastAsia="Arial" w:hAnsi="Arial"/>
                <w:sz w:val="15"/>
                <w:szCs w:val="15"/>
                <w:color w:val="auto"/>
              </w:rPr>
              <w:t>$76-$93</w:t>
            </w:r>
          </w:p>
        </w:tc>
      </w:tr>
      <w:tr>
        <w:trPr>
          <w:trHeight w:val="175"/>
        </w:trPr>
        <w:tc>
          <w:tcPr>
            <w:tcW w:w="700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Weighted-average remaining life</w:t>
            </w:r>
          </w:p>
        </w:tc>
        <w:tc>
          <w:tcPr>
            <w:tcW w:w="1500" w:type="dxa"/>
            <w:vAlign w:val="bottom"/>
            <w:tcBorders>
              <w:bottom w:val="single" w:sz="8" w:color="auto"/>
              <w:right w:val="single" w:sz="8" w:color="4D8ABE"/>
            </w:tcBorders>
            <w:shd w:val="clear" w:color="auto" w:fill="E6EFFF"/>
          </w:tcPr>
          <w:p>
            <w:pPr>
              <w:jc w:val="right"/>
              <w:ind w:right="43"/>
              <w:spacing w:after="0"/>
              <w:rPr>
                <w:sz w:val="20"/>
                <w:szCs w:val="20"/>
                <w:color w:val="auto"/>
              </w:rPr>
            </w:pPr>
            <w:r>
              <w:rPr>
                <w:rFonts w:ascii="Arial" w:cs="Arial" w:eastAsia="Arial" w:hAnsi="Arial"/>
                <w:sz w:val="15"/>
                <w:szCs w:val="15"/>
                <w:color w:val="4D8ABE"/>
              </w:rPr>
              <w:t>6.2 years</w:t>
            </w:r>
          </w:p>
        </w:tc>
        <w:tc>
          <w:tcPr>
            <w:tcW w:w="1780" w:type="dxa"/>
            <w:vAlign w:val="bottom"/>
            <w:tcBorders>
              <w:bottom w:val="single" w:sz="8" w:color="auto"/>
            </w:tcBorders>
            <w:shd w:val="clear" w:color="auto" w:fill="E6EFFF"/>
          </w:tcPr>
          <w:p>
            <w:pPr>
              <w:jc w:val="right"/>
              <w:ind w:right="343"/>
              <w:spacing w:after="0"/>
              <w:rPr>
                <w:sz w:val="20"/>
                <w:szCs w:val="20"/>
                <w:color w:val="auto"/>
              </w:rPr>
            </w:pPr>
            <w:r>
              <w:rPr>
                <w:rFonts w:ascii="Arial" w:cs="Arial" w:eastAsia="Arial" w:hAnsi="Arial"/>
                <w:sz w:val="15"/>
                <w:szCs w:val="15"/>
                <w:color w:val="auto"/>
              </w:rPr>
              <w:t>8.3 years</w:t>
            </w:r>
          </w:p>
        </w:tc>
        <w:tc>
          <w:tcPr>
            <w:tcW w:w="116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9.3 years</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4D8ABE"/>
        </w:rPr>
        <w:t>05.</w:t>
      </w:r>
    </w:p>
    <w:p>
      <w:pPr>
        <w:spacing w:after="0"/>
        <w:rPr>
          <w:sz w:val="20"/>
          <w:szCs w:val="20"/>
          <w:color w:val="auto"/>
        </w:rPr>
      </w:pPr>
      <w:r>
        <w:rPr>
          <w:rFonts w:ascii="Arial" w:cs="Arial" w:eastAsia="Arial" w:hAnsi="Arial"/>
          <w:sz w:val="21"/>
          <w:szCs w:val="21"/>
          <w:color w:val="4D8ABE"/>
        </w:rPr>
        <w:t>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The provision for income taxes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100" w:type="dxa"/>
            <w:vAlign w:val="bottom"/>
            <w:tcBorders>
              <w:left w:val="single" w:sz="8" w:color="4D8ABE"/>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580" w:type="dxa"/>
            <w:vAlign w:val="bottom"/>
            <w:tcBorders>
              <w:bottom w:val="single" w:sz="8" w:color="4D8ABE"/>
            </w:tcBorders>
          </w:tcPr>
          <w:p>
            <w:pPr>
              <w:spacing w:after="0"/>
              <w:rPr>
                <w:sz w:val="16"/>
                <w:szCs w:val="16"/>
                <w:color w:val="auto"/>
              </w:rPr>
            </w:pPr>
          </w:p>
        </w:tc>
        <w:tc>
          <w:tcPr>
            <w:tcW w:w="78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54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c>
          <w:tcPr>
            <w:tcW w:w="0" w:type="dxa"/>
            <w:vAlign w:val="bottom"/>
          </w:tcPr>
          <w:p>
            <w:pPr>
              <w:spacing w:after="0"/>
              <w:rPr>
                <w:sz w:val="1"/>
                <w:szCs w:val="1"/>
                <w:color w:val="auto"/>
              </w:rPr>
            </w:pPr>
          </w:p>
        </w:tc>
      </w:tr>
      <w:tr>
        <w:trPr>
          <w:trHeight w:val="175"/>
        </w:trPr>
        <w:tc>
          <w:tcPr>
            <w:tcW w:w="706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Current</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780" w:type="dxa"/>
            <w:vAlign w:val="bottom"/>
            <w:shd w:val="clear" w:color="auto" w:fill="E6EFFF"/>
          </w:tcPr>
          <w:p>
            <w:pPr>
              <w:spacing w:after="0"/>
              <w:rPr>
                <w:sz w:val="15"/>
                <w:szCs w:val="15"/>
                <w:color w:val="auto"/>
              </w:rPr>
            </w:pP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United States</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Federal</w:t>
            </w:r>
          </w:p>
        </w:tc>
        <w:tc>
          <w:tcPr>
            <w:tcW w:w="100" w:type="dxa"/>
            <w:vAlign w:val="bottom"/>
            <w:tcBorders>
              <w:lef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(31.8)</w:t>
            </w:r>
          </w:p>
        </w:tc>
        <w:tc>
          <w:tcPr>
            <w:tcW w:w="580" w:type="dxa"/>
            <w:vAlign w:val="bottom"/>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46.1</w:t>
            </w:r>
          </w:p>
        </w:tc>
        <w:tc>
          <w:tcPr>
            <w:tcW w:w="54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State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6.8</w:t>
            </w:r>
          </w:p>
        </w:tc>
        <w:tc>
          <w:tcPr>
            <w:tcW w:w="5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3.6</w:t>
            </w:r>
          </w:p>
        </w:tc>
        <w:tc>
          <w:tcPr>
            <w:tcW w:w="5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Non-U.S.</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40.5</w:t>
            </w:r>
          </w:p>
        </w:tc>
        <w:tc>
          <w:tcPr>
            <w:tcW w:w="58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220.2</w:t>
            </w:r>
          </w:p>
        </w:tc>
        <w:tc>
          <w:tcPr>
            <w:tcW w:w="54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255.3</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current</w:t>
            </w: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15.5</w:t>
            </w: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269.9</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281.1</w:t>
            </w:r>
          </w:p>
        </w:tc>
        <w:tc>
          <w:tcPr>
            <w:tcW w:w="0" w:type="dxa"/>
            <w:vAlign w:val="bottom"/>
          </w:tcPr>
          <w:p>
            <w:pPr>
              <w:spacing w:after="0"/>
              <w:rPr>
                <w:sz w:val="1"/>
                <w:szCs w:val="1"/>
                <w:color w:val="auto"/>
              </w:rPr>
            </w:pPr>
          </w:p>
        </w:tc>
      </w:tr>
      <w:tr>
        <w:trPr>
          <w:trHeight w:val="175"/>
        </w:trPr>
        <w:tc>
          <w:tcPr>
            <w:tcW w:w="706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Deferred</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780" w:type="dxa"/>
            <w:vAlign w:val="bottom"/>
            <w:shd w:val="clear" w:color="auto" w:fill="E6EFFF"/>
          </w:tcPr>
          <w:p>
            <w:pPr>
              <w:spacing w:after="0"/>
              <w:rPr>
                <w:sz w:val="15"/>
                <w:szCs w:val="15"/>
                <w:color w:val="auto"/>
              </w:rPr>
            </w:pP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United States</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Federal</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(3.5)</w:t>
            </w:r>
          </w:p>
        </w:tc>
        <w:tc>
          <w:tcPr>
            <w:tcW w:w="58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(27.3)</w:t>
            </w: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State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(4.6)</w:t>
            </w:r>
          </w:p>
        </w:tc>
        <w:tc>
          <w:tcPr>
            <w:tcW w:w="5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5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Non-U.S.</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(21.1)</w:t>
            </w:r>
          </w:p>
        </w:tc>
        <w:tc>
          <w:tcPr>
            <w:tcW w:w="58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(4.5)</w:t>
            </w:r>
          </w:p>
        </w:tc>
        <w:tc>
          <w:tcPr>
            <w:tcW w:w="54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deferred</w:t>
            </w: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(29.2)</w:t>
            </w: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(32.8)</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78"/>
        </w:trPr>
        <w:tc>
          <w:tcPr>
            <w:tcW w:w="70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Total provision</w:t>
            </w:r>
          </w:p>
        </w:tc>
        <w:tc>
          <w:tcPr>
            <w:tcW w:w="100" w:type="dxa"/>
            <w:vAlign w:val="bottom"/>
            <w:tcBorders>
              <w:left w:val="single" w:sz="8" w:color="4D8ABE"/>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(13.7)</w:t>
            </w:r>
          </w:p>
        </w:tc>
        <w:tc>
          <w:tcPr>
            <w:tcW w:w="580" w:type="dxa"/>
            <w:vAlign w:val="bottom"/>
            <w:tcBorders>
              <w:bottom w:val="single" w:sz="8" w:color="auto"/>
            </w:tcBorders>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237.1</w:t>
            </w:r>
          </w:p>
        </w:tc>
        <w:tc>
          <w:tcPr>
            <w:tcW w:w="540" w:type="dxa"/>
            <w:vAlign w:val="bottom"/>
            <w:tcBorders>
              <w:bottom w:val="single" w:sz="8" w:color="auto"/>
            </w:tcBorders>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354"/>
        </w:trPr>
        <w:tc>
          <w:tcPr>
            <w:tcW w:w="9120" w:type="dxa"/>
            <w:vAlign w:val="bottom"/>
            <w:gridSpan w:val="4"/>
          </w:tcPr>
          <w:p>
            <w:pPr>
              <w:spacing w:after="0"/>
              <w:rPr>
                <w:sz w:val="20"/>
                <w:szCs w:val="20"/>
                <w:color w:val="auto"/>
              </w:rPr>
            </w:pPr>
            <w:r>
              <w:rPr>
                <w:rFonts w:ascii="Arial" w:cs="Arial" w:eastAsia="Arial" w:hAnsi="Arial"/>
                <w:sz w:val="15"/>
                <w:szCs w:val="15"/>
                <w:color w:val="auto"/>
              </w:rPr>
              <w:t>A reconciliation between taxes computed at the U.S. Federal statutory rate of 35% and the consolidated effective tax rate is as follows: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060" w:type="dxa"/>
            <w:vAlign w:val="bottom"/>
            <w:vMerge w:val="restart"/>
          </w:tcPr>
          <w:p>
            <w:pPr>
              <w:spacing w:after="0"/>
              <w:rPr>
                <w:sz w:val="20"/>
                <w:szCs w:val="20"/>
                <w:color w:val="auto"/>
              </w:rPr>
            </w:pPr>
            <w:r>
              <w:rPr>
                <w:rFonts w:ascii="Arial" w:cs="Arial" w:eastAsia="Arial" w:hAnsi="Arial"/>
                <w:sz w:val="14"/>
                <w:szCs w:val="14"/>
                <w:b w:val="1"/>
                <w:bCs w:val="1"/>
                <w:color w:val="4D8ABE"/>
              </w:rPr>
              <w:t>Year Ended December 31</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540" w:type="dxa"/>
            <w:vAlign w:val="bottom"/>
          </w:tcPr>
          <w:p>
            <w:pPr>
              <w:spacing w:after="0"/>
              <w:rPr>
                <w:sz w:val="17"/>
                <w:szCs w:val="17"/>
                <w:color w:val="auto"/>
              </w:rPr>
            </w:pPr>
          </w:p>
        </w:tc>
        <w:tc>
          <w:tcPr>
            <w:tcW w:w="10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2007</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4D8ABE"/>
            </w:tcBorders>
            <w:vMerge w:val="continue"/>
          </w:tcPr>
          <w:p>
            <w:pPr>
              <w:spacing w:after="0"/>
              <w:rPr>
                <w:sz w:val="16"/>
                <w:szCs w:val="16"/>
                <w:color w:val="auto"/>
              </w:rPr>
            </w:pPr>
          </w:p>
        </w:tc>
        <w:tc>
          <w:tcPr>
            <w:tcW w:w="100" w:type="dxa"/>
            <w:vAlign w:val="bottom"/>
            <w:tcBorders>
              <w:left w:val="single" w:sz="8" w:color="4D8ABE"/>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580" w:type="dxa"/>
            <w:vAlign w:val="bottom"/>
            <w:tcBorders>
              <w:bottom w:val="single" w:sz="8" w:color="4D8ABE"/>
            </w:tcBorders>
          </w:tcPr>
          <w:p>
            <w:pPr>
              <w:spacing w:after="0"/>
              <w:rPr>
                <w:sz w:val="16"/>
                <w:szCs w:val="16"/>
                <w:color w:val="auto"/>
              </w:rPr>
            </w:pPr>
          </w:p>
        </w:tc>
        <w:tc>
          <w:tcPr>
            <w:tcW w:w="780" w:type="dxa"/>
            <w:vAlign w:val="bottom"/>
            <w:tcBorders>
              <w:bottom w:val="single" w:sz="8" w:color="4D8ABE"/>
            </w:tcBorders>
            <w:vMerge w:val="continue"/>
          </w:tcPr>
          <w:p>
            <w:pPr>
              <w:spacing w:after="0"/>
              <w:rPr>
                <w:sz w:val="16"/>
                <w:szCs w:val="16"/>
                <w:color w:val="auto"/>
              </w:rPr>
            </w:pPr>
          </w:p>
        </w:tc>
        <w:tc>
          <w:tcPr>
            <w:tcW w:w="54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Income tax based on statutory rate</w:t>
            </w:r>
          </w:p>
        </w:tc>
        <w:tc>
          <w:tcPr>
            <w:tcW w:w="100" w:type="dxa"/>
            <w:vAlign w:val="bottom"/>
            <w:tcBorders>
              <w:lef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(8.0)</w:t>
            </w:r>
          </w:p>
        </w:tc>
        <w:tc>
          <w:tcPr>
            <w:tcW w:w="580" w:type="dxa"/>
            <w:vAlign w:val="bottom"/>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154.9</w:t>
            </w:r>
          </w:p>
        </w:tc>
        <w:tc>
          <w:tcPr>
            <w:tcW w:w="54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271.9</w:t>
            </w: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Increase (decrease) resulting from:</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State income taxes, net of federal benefit</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2.9</w:t>
            </w:r>
          </w:p>
        </w:tc>
        <w:tc>
          <w:tcPr>
            <w:tcW w:w="58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2.8</w:t>
            </w: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Non-U.S. tax rate difference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3.3</w:t>
            </w:r>
          </w:p>
        </w:tc>
        <w:tc>
          <w:tcPr>
            <w:tcW w:w="5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(3.7)</w:t>
            </w:r>
          </w:p>
        </w:tc>
        <w:tc>
          <w:tcPr>
            <w:tcW w:w="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Repatriation of non-U.S. earnings</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(37.2)</w:t>
            </w:r>
          </w:p>
        </w:tc>
        <w:tc>
          <w:tcPr>
            <w:tcW w:w="58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16.7</w:t>
            </w: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Change in valuation reserve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10.6</w:t>
            </w:r>
          </w:p>
        </w:tc>
        <w:tc>
          <w:tcPr>
            <w:tcW w:w="5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8.5</w:t>
            </w:r>
          </w:p>
        </w:tc>
        <w:tc>
          <w:tcPr>
            <w:tcW w:w="5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Non-deductible goodwill impairment charge</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21.4</w:t>
            </w:r>
          </w:p>
        </w:tc>
        <w:tc>
          <w:tcPr>
            <w:tcW w:w="58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49.3</w:t>
            </w: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Non-deductible competition investigation in France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(1.8)</w:t>
            </w:r>
          </w:p>
        </w:tc>
        <w:tc>
          <w:tcPr>
            <w:tcW w:w="5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17.6</w:t>
            </w:r>
          </w:p>
        </w:tc>
        <w:tc>
          <w:tcPr>
            <w:tcW w:w="5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Other, net</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(4.9)</w:t>
            </w:r>
          </w:p>
        </w:tc>
        <w:tc>
          <w:tcPr>
            <w:tcW w:w="58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(9.0)</w:t>
            </w:r>
          </w:p>
        </w:tc>
        <w:tc>
          <w:tcPr>
            <w:tcW w:w="54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8"/>
        </w:trPr>
        <w:tc>
          <w:tcPr>
            <w:tcW w:w="7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Tax provision</w:t>
            </w:r>
          </w:p>
        </w:tc>
        <w:tc>
          <w:tcPr>
            <w:tcW w:w="100" w:type="dxa"/>
            <w:vAlign w:val="bottom"/>
            <w:tcBorders>
              <w:left w:val="single" w:sz="8" w:color="4D8ABE"/>
              <w:bottom w:val="single" w:sz="8" w:color="auto"/>
            </w:tcBorders>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(13.7)</w:t>
            </w:r>
          </w:p>
        </w:tc>
        <w:tc>
          <w:tcPr>
            <w:tcW w:w="5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237.1</w:t>
            </w: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58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94" w:name="page95"/>
    <w:bookmarkEnd w:id="94"/>
    <w:p>
      <w:pPr>
        <w:ind w:left="8"/>
        <w:spacing w:after="0" w:line="249" w:lineRule="auto"/>
        <w:rPr>
          <w:sz w:val="20"/>
          <w:szCs w:val="20"/>
          <w:color w:val="auto"/>
        </w:rPr>
      </w:pPr>
      <w:r>
        <w:rPr>
          <w:rFonts w:ascii="Arial" w:cs="Arial" w:eastAsia="Arial" w:hAnsi="Arial"/>
          <w:sz w:val="15"/>
          <w:szCs w:val="15"/>
          <w:color w:val="auto"/>
        </w:rPr>
        <w:t>Deferred income taxes are recorded on temporary differences at the tax rate expected to be in effect when the temporary differences reverse. Temporary differences, which gave rise to the deferred taxes are as follows:</w:t>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20"/>
        </w:trPr>
        <w:tc>
          <w:tcPr>
            <w:tcW w:w="8080" w:type="dxa"/>
            <w:vAlign w:val="bottom"/>
            <w:tcBorders>
              <w:right w:val="single" w:sz="8" w:color="4D8ABE"/>
            </w:tcBorders>
            <w:vMerge w:val="restart"/>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560" w:type="dxa"/>
            <w:vAlign w:val="bottom"/>
          </w:tcPr>
          <w:p>
            <w:pPr>
              <w:spacing w:after="0" w:line="20" w:lineRule="exact"/>
              <w:rPr>
                <w:sz w:val="1"/>
                <w:szCs w:val="1"/>
                <w:color w:val="auto"/>
              </w:rPr>
            </w:pPr>
          </w:p>
        </w:tc>
        <w:tc>
          <w:tcPr>
            <w:tcW w:w="11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080" w:type="dxa"/>
            <w:vAlign w:val="bottom"/>
            <w:tcBorders>
              <w:bottom w:val="single" w:sz="8" w:color="4D8ABE"/>
              <w:right w:val="single" w:sz="8" w:color="4D8ABE"/>
            </w:tcBorders>
            <w:vMerge w:val="continue"/>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560" w:type="dxa"/>
            <w:vAlign w:val="bottom"/>
            <w:tcBorders>
              <w:bottom w:val="single" w:sz="8" w:color="4D8ABE"/>
            </w:tcBorders>
          </w:tcPr>
          <w:p>
            <w:pPr>
              <w:spacing w:after="0"/>
              <w:rPr>
                <w:sz w:val="15"/>
                <w:szCs w:val="15"/>
                <w:color w:val="auto"/>
              </w:rPr>
            </w:pPr>
          </w:p>
        </w:tc>
        <w:tc>
          <w:tcPr>
            <w:tcW w:w="112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Current Future Income Tax Benefits (Expense)</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56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Accrued payroll taxes and insurance</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10.1</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4"/>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Employee compensation payable</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23.3</w:t>
            </w:r>
          </w:p>
        </w:tc>
        <w:tc>
          <w:tcPr>
            <w:tcW w:w="56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Pension and postretirement benefits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(1.3)</w:t>
            </w:r>
          </w:p>
        </w:tc>
        <w:tc>
          <w:tcPr>
            <w:tcW w:w="56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Other</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32.0</w:t>
            </w:r>
          </w:p>
        </w:tc>
        <w:tc>
          <w:tcPr>
            <w:tcW w:w="56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Valuation allowance</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(0.1)</w:t>
            </w: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64.0</w:t>
            </w:r>
          </w:p>
        </w:tc>
        <w:tc>
          <w:tcPr>
            <w:tcW w:w="560" w:type="dxa"/>
            <w:vAlign w:val="bottom"/>
            <w:tcBorders>
              <w:bottom w:val="single" w:sz="8" w:color="auto"/>
            </w:tcBorders>
            <w:shd w:val="clear" w:color="auto" w:fill="E6EFFF"/>
          </w:tcPr>
          <w:p>
            <w:pPr>
              <w:spacing w:after="0"/>
              <w:rPr>
                <w:sz w:val="15"/>
                <w:szCs w:val="15"/>
                <w:color w:val="auto"/>
              </w:rPr>
            </w:pPr>
          </w:p>
        </w:tc>
        <w:tc>
          <w:tcPr>
            <w:tcW w:w="112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73.0</w:t>
            </w: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Noncurrent Future Income Tax Benefits (Expense)</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Accrued payroll taxes and insurance</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19.5</w:t>
            </w:r>
          </w:p>
        </w:tc>
        <w:tc>
          <w:tcPr>
            <w:tcW w:w="56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Pension and postretirement benefits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53.4</w:t>
            </w:r>
          </w:p>
        </w:tc>
        <w:tc>
          <w:tcPr>
            <w:tcW w:w="56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line="184" w:lineRule="exact"/>
              <w:rPr>
                <w:sz w:val="20"/>
                <w:szCs w:val="20"/>
                <w:color w:val="auto"/>
              </w:rPr>
            </w:pPr>
            <w:r>
              <w:rPr>
                <w:rFonts w:ascii="Arial" w:cs="Arial" w:eastAsia="Arial" w:hAnsi="Arial"/>
                <w:sz w:val="15"/>
                <w:szCs w:val="15"/>
                <w:color w:val="auto"/>
              </w:rPr>
              <w:t xml:space="preserve">Intangible assets </w:t>
            </w:r>
            <w:r>
              <w:rPr>
                <w:rFonts w:ascii="Arial" w:cs="Arial" w:eastAsia="Arial" w:hAnsi="Arial"/>
                <w:sz w:val="21"/>
                <w:szCs w:val="21"/>
                <w:color w:val="auto"/>
                <w:vertAlign w:val="superscript"/>
              </w:rPr>
              <w:t>(1)</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(47.5)</w:t>
            </w:r>
          </w:p>
        </w:tc>
        <w:tc>
          <w:tcPr>
            <w:tcW w:w="56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line="184" w:lineRule="exact"/>
              <w:rPr>
                <w:sz w:val="20"/>
                <w:szCs w:val="20"/>
                <w:color w:val="auto"/>
              </w:rPr>
            </w:pPr>
            <w:r>
              <w:rPr>
                <w:rFonts w:ascii="Arial" w:cs="Arial" w:eastAsia="Arial" w:hAnsi="Arial"/>
                <w:sz w:val="15"/>
                <w:szCs w:val="15"/>
                <w:color w:val="auto"/>
              </w:rPr>
              <w:t xml:space="preserve">Net operating losses and other </w:t>
            </w:r>
            <w:r>
              <w:rPr>
                <w:rFonts w:ascii="Arial" w:cs="Arial" w:eastAsia="Arial" w:hAnsi="Arial"/>
                <w:sz w:val="21"/>
                <w:szCs w:val="21"/>
                <w:color w:val="auto"/>
                <w:vertAlign w:val="superscript"/>
              </w:rPr>
              <w:t>(1)</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189.9</w:t>
            </w:r>
          </w:p>
        </w:tc>
        <w:tc>
          <w:tcPr>
            <w:tcW w:w="56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Arial" w:cs="Arial" w:eastAsia="Arial" w:hAnsi="Arial"/>
                <w:sz w:val="15"/>
                <w:szCs w:val="15"/>
                <w:color w:val="auto"/>
              </w:rPr>
              <w:t>131.2</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Valuation allowance</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(116.6)</w:t>
            </w:r>
          </w:p>
        </w:tc>
        <w:tc>
          <w:tcPr>
            <w:tcW w:w="560" w:type="dxa"/>
            <w:vAlign w:val="bottom"/>
            <w:tcBorders>
              <w:bottom w:val="single" w:sz="8" w:color="auto"/>
            </w:tcBorders>
            <w:shd w:val="clear" w:color="auto" w:fill="E6EFFF"/>
          </w:tcPr>
          <w:p>
            <w:pPr>
              <w:spacing w:after="0"/>
              <w:rPr>
                <w:sz w:val="15"/>
                <w:szCs w:val="15"/>
                <w:color w:val="auto"/>
              </w:rPr>
            </w:pPr>
          </w:p>
        </w:tc>
        <w:tc>
          <w:tcPr>
            <w:tcW w:w="112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(112.1)</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98.7</w:t>
            </w: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56.6</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Total future tax benefits</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162.7</w:t>
            </w:r>
          </w:p>
        </w:tc>
        <w:tc>
          <w:tcPr>
            <w:tcW w:w="560" w:type="dxa"/>
            <w:vAlign w:val="bottom"/>
            <w:tcBorders>
              <w:bottom w:val="single" w:sz="8" w:color="auto"/>
            </w:tcBorders>
            <w:shd w:val="clear" w:color="auto" w:fill="E6EFFF"/>
          </w:tcPr>
          <w:p>
            <w:pPr>
              <w:jc w:val="right"/>
              <w:ind w:right="40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129.6</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Current tax asset</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67.4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4"/>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Current tax liability</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(3.4)</w:t>
            </w:r>
          </w:p>
        </w:tc>
        <w:tc>
          <w:tcPr>
            <w:tcW w:w="56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Noncurrent tax asset</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112.0</w:t>
            </w:r>
          </w:p>
        </w:tc>
        <w:tc>
          <w:tcPr>
            <w:tcW w:w="56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Arial" w:cs="Arial" w:eastAsia="Arial" w:hAnsi="Arial"/>
                <w:sz w:val="15"/>
                <w:szCs w:val="15"/>
                <w:color w:val="auto"/>
              </w:rPr>
              <w:t>96.5</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Noncurrent tax liability</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(13.3)</w:t>
            </w:r>
          </w:p>
        </w:tc>
        <w:tc>
          <w:tcPr>
            <w:tcW w:w="560" w:type="dxa"/>
            <w:vAlign w:val="bottom"/>
            <w:tcBorders>
              <w:bottom w:val="single" w:sz="8" w:color="auto"/>
            </w:tcBorders>
            <w:shd w:val="clear" w:color="auto" w:fill="E6EFFF"/>
          </w:tcPr>
          <w:p>
            <w:pPr>
              <w:spacing w:after="0"/>
              <w:rPr>
                <w:sz w:val="15"/>
                <w:szCs w:val="15"/>
                <w:color w:val="auto"/>
              </w:rPr>
            </w:pPr>
          </w:p>
        </w:tc>
        <w:tc>
          <w:tcPr>
            <w:tcW w:w="112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Total future tax benefits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162.7</w:t>
            </w:r>
          </w:p>
        </w:tc>
        <w:tc>
          <w:tcPr>
            <w:tcW w:w="5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129.6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8" w:right="20" w:hanging="8"/>
        <w:spacing w:after="0" w:line="212" w:lineRule="auto"/>
        <w:tabs>
          <w:tab w:leader="none" w:pos="136"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The 2008 amounts originally presented above for Intangible assets and Net operating losses and other have been revised by approximately $50.0 to correct the prior year presentation. This change did not affect the deferred tax assets and liabilities reported in the 2008 Consolidated Balance Sheet.</w:t>
      </w:r>
    </w:p>
    <w:p>
      <w:pPr>
        <w:spacing w:after="0" w:line="197"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The current tax liability is recorded in Accrued Liabilities, the noncurrent tax asset is recorded in Other Assets and the noncurrent tax liability is recorded in Other Long-Term Liabilities in the Consolidated Balance Sheets.</w:t>
      </w:r>
    </w:p>
    <w:p>
      <w:pPr>
        <w:spacing w:after="0" w:line="194"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We have non-U.S. net operating loss carryforwards and U.S. state net operating loss carryforwards totaling $528.1 and $12.2, respectively, as of December 31, 2009. The net operating loss carryforwards expire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5300" w:type="dxa"/>
            <w:vAlign w:val="bottom"/>
            <w:tcBorders>
              <w:bottom w:val="single" w:sz="8" w:color="4D8ABE"/>
            </w:tcBorders>
          </w:tcPr>
          <w:p>
            <w:pPr>
              <w:spacing w:after="0"/>
              <w:rPr>
                <w:sz w:val="16"/>
                <w:szCs w:val="16"/>
                <w:color w:val="auto"/>
              </w:rPr>
            </w:pPr>
          </w:p>
        </w:tc>
        <w:tc>
          <w:tcPr>
            <w:tcW w:w="3240" w:type="dxa"/>
            <w:vAlign w:val="bottom"/>
            <w:tcBorders>
              <w:bottom w:val="single" w:sz="8" w:color="4D8ABE"/>
            </w:tcBorders>
          </w:tcPr>
          <w:p>
            <w:pPr>
              <w:spacing w:after="0"/>
              <w:rPr>
                <w:sz w:val="16"/>
                <w:szCs w:val="16"/>
                <w:color w:val="auto"/>
              </w:rPr>
            </w:pPr>
          </w:p>
        </w:tc>
        <w:tc>
          <w:tcPr>
            <w:tcW w:w="1100" w:type="dxa"/>
            <w:vAlign w:val="bottom"/>
            <w:tcBorders>
              <w:bottom w:val="single" w:sz="8" w:color="4D8ABE"/>
            </w:tcBorders>
          </w:tcPr>
          <w:p>
            <w:pPr>
              <w:jc w:val="right"/>
              <w:ind w:right="44"/>
              <w:spacing w:after="0"/>
              <w:rPr>
                <w:sz w:val="20"/>
                <w:szCs w:val="20"/>
                <w:color w:val="auto"/>
              </w:rPr>
            </w:pPr>
            <w:r>
              <w:rPr>
                <w:rFonts w:ascii="Arial" w:cs="Arial" w:eastAsia="Arial" w:hAnsi="Arial"/>
                <w:sz w:val="14"/>
                <w:szCs w:val="14"/>
                <w:b w:val="1"/>
                <w:bCs w:val="1"/>
                <w:color w:val="4D8ABE"/>
              </w:rPr>
              <w:t>Non-U.S.</w:t>
            </w:r>
          </w:p>
        </w:tc>
        <w:tc>
          <w:tcPr>
            <w:tcW w:w="560" w:type="dxa"/>
            <w:vAlign w:val="bottom"/>
            <w:tcBorders>
              <w:bottom w:val="single" w:sz="8" w:color="4D8ABE"/>
            </w:tcBorders>
          </w:tcPr>
          <w:p>
            <w:pPr>
              <w:spacing w:after="0"/>
              <w:rPr>
                <w:sz w:val="16"/>
                <w:szCs w:val="16"/>
                <w:color w:val="auto"/>
              </w:rPr>
            </w:pPr>
          </w:p>
        </w:tc>
        <w:tc>
          <w:tcPr>
            <w:tcW w:w="124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U.S. State</w:t>
            </w:r>
          </w:p>
        </w:tc>
      </w:tr>
      <w:tr>
        <w:trPr>
          <w:trHeight w:val="184"/>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2010</w:t>
            </w:r>
          </w:p>
        </w:tc>
        <w:tc>
          <w:tcPr>
            <w:tcW w:w="3240" w:type="dxa"/>
            <w:vAlign w:val="bottom"/>
            <w:shd w:val="clear" w:color="auto" w:fill="E6EFFF"/>
          </w:tcPr>
          <w:p>
            <w:pPr>
              <w:jc w:val="right"/>
              <w:ind w:right="3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1.4</w:t>
            </w:r>
          </w:p>
        </w:tc>
        <w:tc>
          <w:tcPr>
            <w:tcW w:w="560" w:type="dxa"/>
            <w:vAlign w:val="bottom"/>
            <w:shd w:val="clear" w:color="auto" w:fill="E6EFFF"/>
          </w:tcPr>
          <w:p>
            <w:pPr>
              <w:jc w:val="right"/>
              <w:ind w:right="2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0.1</w:t>
            </w:r>
          </w:p>
        </w:tc>
      </w:tr>
      <w:tr>
        <w:trPr>
          <w:trHeight w:val="184"/>
        </w:trPr>
        <w:tc>
          <w:tcPr>
            <w:tcW w:w="5300" w:type="dxa"/>
            <w:vAlign w:val="bottom"/>
          </w:tcPr>
          <w:p>
            <w:pPr>
              <w:spacing w:after="0"/>
              <w:rPr>
                <w:sz w:val="20"/>
                <w:szCs w:val="20"/>
                <w:color w:val="auto"/>
              </w:rPr>
            </w:pPr>
            <w:r>
              <w:rPr>
                <w:rFonts w:ascii="Arial" w:cs="Arial" w:eastAsia="Arial" w:hAnsi="Arial"/>
                <w:sz w:val="15"/>
                <w:szCs w:val="15"/>
                <w:color w:val="auto"/>
              </w:rPr>
              <w:t>2011</w:t>
            </w:r>
          </w:p>
        </w:tc>
        <w:tc>
          <w:tcPr>
            <w:tcW w:w="3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2.5</w:t>
            </w:r>
          </w:p>
        </w:tc>
        <w:tc>
          <w:tcPr>
            <w:tcW w:w="5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0.2</w:t>
            </w:r>
          </w:p>
        </w:tc>
      </w:tr>
      <w:tr>
        <w:trPr>
          <w:trHeight w:val="184"/>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2012</w:t>
            </w:r>
          </w:p>
        </w:tc>
        <w:tc>
          <w:tcPr>
            <w:tcW w:w="32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6.5</w:t>
            </w:r>
          </w:p>
        </w:tc>
        <w:tc>
          <w:tcPr>
            <w:tcW w:w="560" w:type="dxa"/>
            <w:vAlign w:val="bottom"/>
            <w:shd w:val="clear" w:color="auto" w:fill="E6EFFF"/>
          </w:tcPr>
          <w:p>
            <w:pPr>
              <w:spacing w:after="0"/>
              <w:rPr>
                <w:sz w:val="15"/>
                <w:szCs w:val="15"/>
                <w:color w:val="auto"/>
              </w:rPr>
            </w:pPr>
          </w:p>
        </w:tc>
        <w:tc>
          <w:tcPr>
            <w:tcW w:w="124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0.1</w:t>
            </w:r>
          </w:p>
        </w:tc>
      </w:tr>
      <w:tr>
        <w:trPr>
          <w:trHeight w:val="184"/>
        </w:trPr>
        <w:tc>
          <w:tcPr>
            <w:tcW w:w="5300" w:type="dxa"/>
            <w:vAlign w:val="bottom"/>
          </w:tcPr>
          <w:p>
            <w:pPr>
              <w:spacing w:after="0"/>
              <w:rPr>
                <w:sz w:val="20"/>
                <w:szCs w:val="20"/>
                <w:color w:val="auto"/>
              </w:rPr>
            </w:pPr>
            <w:r>
              <w:rPr>
                <w:rFonts w:ascii="Arial" w:cs="Arial" w:eastAsia="Arial" w:hAnsi="Arial"/>
                <w:sz w:val="15"/>
                <w:szCs w:val="15"/>
                <w:color w:val="auto"/>
              </w:rPr>
              <w:t>2013</w:t>
            </w:r>
          </w:p>
        </w:tc>
        <w:tc>
          <w:tcPr>
            <w:tcW w:w="3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12.9</w:t>
            </w:r>
          </w:p>
        </w:tc>
        <w:tc>
          <w:tcPr>
            <w:tcW w:w="5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0.1</w:t>
            </w:r>
          </w:p>
        </w:tc>
      </w:tr>
      <w:tr>
        <w:trPr>
          <w:trHeight w:val="184"/>
        </w:trPr>
        <w:tc>
          <w:tcPr>
            <w:tcW w:w="5300" w:type="dxa"/>
            <w:vAlign w:val="bottom"/>
            <w:shd w:val="clear" w:color="auto" w:fill="E6EFFF"/>
          </w:tcPr>
          <w:p>
            <w:pPr>
              <w:spacing w:after="0"/>
              <w:rPr>
                <w:sz w:val="20"/>
                <w:szCs w:val="20"/>
                <w:color w:val="auto"/>
              </w:rPr>
            </w:pPr>
            <w:r>
              <w:rPr>
                <w:rFonts w:ascii="Arial" w:cs="Arial" w:eastAsia="Arial" w:hAnsi="Arial"/>
                <w:sz w:val="15"/>
                <w:szCs w:val="15"/>
                <w:color w:val="auto"/>
              </w:rPr>
              <w:t>2014</w:t>
            </w:r>
          </w:p>
        </w:tc>
        <w:tc>
          <w:tcPr>
            <w:tcW w:w="32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23.4</w:t>
            </w:r>
          </w:p>
        </w:tc>
        <w:tc>
          <w:tcPr>
            <w:tcW w:w="560" w:type="dxa"/>
            <w:vAlign w:val="bottom"/>
            <w:shd w:val="clear" w:color="auto" w:fill="E6EFFF"/>
          </w:tcPr>
          <w:p>
            <w:pPr>
              <w:spacing w:after="0"/>
              <w:rPr>
                <w:sz w:val="15"/>
                <w:szCs w:val="15"/>
                <w:color w:val="auto"/>
              </w:rPr>
            </w:pPr>
          </w:p>
        </w:tc>
        <w:tc>
          <w:tcPr>
            <w:tcW w:w="124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0.1</w:t>
            </w:r>
          </w:p>
        </w:tc>
      </w:tr>
      <w:tr>
        <w:trPr>
          <w:trHeight w:val="184"/>
        </w:trPr>
        <w:tc>
          <w:tcPr>
            <w:tcW w:w="5300" w:type="dxa"/>
            <w:vAlign w:val="bottom"/>
          </w:tcPr>
          <w:p>
            <w:pPr>
              <w:spacing w:after="0"/>
              <w:rPr>
                <w:sz w:val="20"/>
                <w:szCs w:val="20"/>
                <w:color w:val="auto"/>
              </w:rPr>
            </w:pPr>
            <w:r>
              <w:rPr>
                <w:rFonts w:ascii="Arial" w:cs="Arial" w:eastAsia="Arial" w:hAnsi="Arial"/>
                <w:sz w:val="15"/>
                <w:szCs w:val="15"/>
                <w:color w:val="auto"/>
              </w:rPr>
              <w:t>Thereafter</w:t>
            </w:r>
          </w:p>
        </w:tc>
        <w:tc>
          <w:tcPr>
            <w:tcW w:w="3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144.8</w:t>
            </w:r>
          </w:p>
        </w:tc>
        <w:tc>
          <w:tcPr>
            <w:tcW w:w="5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11.6</w:t>
            </w:r>
          </w:p>
        </w:tc>
      </w:tr>
      <w:tr>
        <w:trPr>
          <w:trHeight w:val="184"/>
        </w:trPr>
        <w:tc>
          <w:tcPr>
            <w:tcW w:w="53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No expirations</w:t>
            </w:r>
          </w:p>
        </w:tc>
        <w:tc>
          <w:tcPr>
            <w:tcW w:w="32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44"/>
              <w:spacing w:after="0"/>
              <w:rPr>
                <w:sz w:val="20"/>
                <w:szCs w:val="20"/>
                <w:color w:val="auto"/>
              </w:rPr>
            </w:pPr>
            <w:r>
              <w:rPr>
                <w:rFonts w:ascii="Arial" w:cs="Arial" w:eastAsia="Arial" w:hAnsi="Arial"/>
                <w:sz w:val="15"/>
                <w:szCs w:val="15"/>
                <w:color w:val="auto"/>
              </w:rPr>
              <w:t>336.6</w:t>
            </w:r>
          </w:p>
        </w:tc>
        <w:tc>
          <w:tcPr>
            <w:tcW w:w="560" w:type="dxa"/>
            <w:vAlign w:val="bottom"/>
            <w:tcBorders>
              <w:bottom w:val="single" w:sz="8" w:color="auto"/>
            </w:tcBorders>
            <w:shd w:val="clear" w:color="auto" w:fill="E6EFFF"/>
          </w:tcPr>
          <w:p>
            <w:pPr>
              <w:spacing w:after="0"/>
              <w:rPr>
                <w:sz w:val="15"/>
                <w:szCs w:val="15"/>
                <w:color w:val="auto"/>
              </w:rPr>
            </w:pPr>
          </w:p>
        </w:tc>
        <w:tc>
          <w:tcPr>
            <w:tcW w:w="124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w:t>
            </w:r>
          </w:p>
        </w:tc>
      </w:tr>
      <w:tr>
        <w:trPr>
          <w:trHeight w:val="178"/>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net operating loss carryforwards</w:t>
            </w:r>
          </w:p>
        </w:tc>
        <w:tc>
          <w:tcPr>
            <w:tcW w:w="32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528.1</w:t>
            </w:r>
          </w:p>
        </w:tc>
        <w:tc>
          <w:tcPr>
            <w:tcW w:w="5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12.2</w:t>
            </w:r>
          </w:p>
        </w:tc>
      </w:tr>
    </w:tbl>
    <w:p>
      <w:pPr>
        <w:spacing w:after="0" w:line="175" w:lineRule="exact"/>
        <w:rPr>
          <w:sz w:val="20"/>
          <w:szCs w:val="20"/>
          <w:color w:val="auto"/>
        </w:rPr>
      </w:pPr>
    </w:p>
    <w:p>
      <w:pPr>
        <w:jc w:val="both"/>
        <w:ind w:left="8"/>
        <w:spacing w:after="0" w:line="244" w:lineRule="auto"/>
        <w:rPr>
          <w:sz w:val="20"/>
          <w:szCs w:val="20"/>
          <w:color w:val="auto"/>
        </w:rPr>
      </w:pPr>
      <w:r>
        <w:rPr>
          <w:rFonts w:ascii="Arial" w:cs="Arial" w:eastAsia="Arial" w:hAnsi="Arial"/>
          <w:sz w:val="15"/>
          <w:szCs w:val="15"/>
          <w:color w:val="auto"/>
        </w:rPr>
        <w:t>We have recorded a deferred tax asset of $163.7 as of December 31, 2009, for the benefit of these net operating losses. Realization of this asset is dependent on generating sufficient taxable income prior to the expiration of the loss carryforwards. A valuation allowance of $116.7 has been recorded as of December 31, 2009, as management believes that realization of certain net operating loss carryforwards and other deferred tax assets is unlikely.</w:t>
      </w:r>
    </w:p>
    <w:p>
      <w:pPr>
        <w:spacing w:after="0" w:line="198" w:lineRule="exact"/>
        <w:rPr>
          <w:sz w:val="20"/>
          <w:szCs w:val="20"/>
          <w:color w:val="auto"/>
        </w:rPr>
      </w:pPr>
    </w:p>
    <w:p>
      <w:pPr>
        <w:jc w:val="both"/>
        <w:ind w:left="8" w:right="20"/>
        <w:spacing w:after="0" w:line="242" w:lineRule="auto"/>
        <w:rPr>
          <w:sz w:val="20"/>
          <w:szCs w:val="20"/>
          <w:color w:val="auto"/>
        </w:rPr>
      </w:pPr>
      <w:r>
        <w:rPr>
          <w:rFonts w:ascii="Arial" w:cs="Arial" w:eastAsia="Arial" w:hAnsi="Arial"/>
          <w:sz w:val="15"/>
          <w:szCs w:val="15"/>
          <w:color w:val="auto"/>
        </w:rPr>
        <w:t>Pretax income of non-U.S operations was $3.4, $454.7 and $553.3 in 2009, 2008 and 2007, respectively. We have not provided U.S. income taxes and non-U.S. withholding taxes on $689.7 of unremitted earnings of non-U.S. subsidiaries that are considered to be reinvested indefinitely. Deferred taxes are provided on the earnings of non-U.S. subsidiaries that will likely be remitted to the U.S. As of December 31, 2009 and 2008, we have recorded a deferred tax liability of $31.7 and $44.4, respectively, related to non-U.S. earnings that we plan to remit.</w:t>
      </w:r>
    </w:p>
    <w:p>
      <w:pPr>
        <w:spacing w:after="0" w:line="201"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As of December 31, 2009, we have gross unrecognized tax benefits related to various tax jurisdictions, including interest and penalties, of $44.4. We have related tax benefits of $13.4, and the net amount of $31.0 would favorably affect the effective tax rate if recognized. During 2009, we had benefits related to the U.S. statute expiration for 2004 and 2005 and a tax audit settlement of $4.8 for the years 2003 through 2007. We do not expect our unrecognized tax benefits to change significantly over the next 12 months.</w:t>
      </w:r>
    </w:p>
    <w:p>
      <w:pPr>
        <w:spacing w:after="0" w:line="183" w:lineRule="exact"/>
        <w:rPr>
          <w:sz w:val="20"/>
          <w:szCs w:val="20"/>
          <w:color w:val="auto"/>
        </w:rPr>
      </w:pPr>
    </w:p>
    <w:p>
      <w:pPr>
        <w:ind w:left="6268"/>
        <w:spacing w:after="0"/>
        <w:tabs>
          <w:tab w:leader="none" w:pos="9328"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As of December 31, 2008, we have gross unrecognized tax benefits related to various tax jurisdictions, including interest and penalties, of $50.9. We have related tax benefits of $12.8, and the net amount of $38.1 would favorably affect the effective tax rate if recognized. Audits related to 2004 and 2007 were settled in 2008 for an $11.7 benefit.</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recognize accrued interest and penalties related to unrecognized tax benefits in income tax expense. We accrued net interest and penalties of $0.4 and $0.3 during 2009 and 2008,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related to our unrecognized tax benefits during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80" w:type="dxa"/>
            <w:vAlign w:val="bottom"/>
            <w:tcBorders>
              <w:right w:val="single" w:sz="8" w:color="4D8ABE"/>
            </w:tcBorders>
          </w:tcPr>
          <w:p>
            <w:pPr>
              <w:spacing w:after="0" w:line="20" w:lineRule="exact"/>
              <w:rPr>
                <w:sz w:val="1"/>
                <w:szCs w:val="1"/>
                <w:color w:val="auto"/>
              </w:rPr>
            </w:pPr>
          </w:p>
        </w:tc>
        <w:tc>
          <w:tcPr>
            <w:tcW w:w="8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600" w:type="dxa"/>
            <w:vAlign w:val="bottom"/>
          </w:tcPr>
          <w:p>
            <w:pPr>
              <w:spacing w:after="0" w:line="20" w:lineRule="exact"/>
              <w:rPr>
                <w:sz w:val="1"/>
                <w:szCs w:val="1"/>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080" w:type="dxa"/>
            <w:vAlign w:val="bottom"/>
            <w:tcBorders>
              <w:bottom w:val="single" w:sz="8" w:color="4D8ABE"/>
              <w:right w:val="single" w:sz="8" w:color="4D8ABE"/>
            </w:tcBorders>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600" w:type="dxa"/>
            <w:vAlign w:val="bottom"/>
            <w:tcBorders>
              <w:bottom w:val="single" w:sz="8" w:color="4D8ABE"/>
            </w:tcBorders>
          </w:tcPr>
          <w:p>
            <w:pPr>
              <w:spacing w:after="0"/>
              <w:rPr>
                <w:sz w:val="15"/>
                <w:szCs w:val="15"/>
                <w:color w:val="auto"/>
              </w:rPr>
            </w:pPr>
          </w:p>
        </w:tc>
        <w:tc>
          <w:tcPr>
            <w:tcW w:w="108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Gross unrecognized tax benefits, beginning of year</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49.3</w:t>
            </w:r>
          </w:p>
        </w:tc>
        <w:tc>
          <w:tcPr>
            <w:tcW w:w="600" w:type="dxa"/>
            <w:vAlign w:val="bottom"/>
            <w:shd w:val="clear" w:color="auto" w:fill="E6EFFF"/>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Increases in prior year tax positions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6.5</w:t>
            </w:r>
          </w:p>
        </w:tc>
        <w:tc>
          <w:tcPr>
            <w:tcW w:w="6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Decreases in prior year tax positions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(1.4)</w:t>
            </w:r>
          </w:p>
        </w:tc>
        <w:tc>
          <w:tcPr>
            <w:tcW w:w="60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Increases for current year tax positions</w:t>
            </w:r>
          </w:p>
        </w:tc>
        <w:tc>
          <w:tcPr>
            <w:tcW w:w="8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1.7</w:t>
            </w:r>
          </w:p>
        </w:tc>
        <w:tc>
          <w:tcPr>
            <w:tcW w:w="6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Expiration of statute of limitations and audit settlements</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(14.4)</w:t>
            </w:r>
          </w:p>
        </w:tc>
        <w:tc>
          <w:tcPr>
            <w:tcW w:w="60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Gross unrecognized tax benefits,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41.7</w:t>
            </w:r>
          </w:p>
        </w:tc>
        <w:tc>
          <w:tcPr>
            <w:tcW w:w="6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49.3</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Potential interest and penalties</w:t>
            </w: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2.7</w:t>
            </w:r>
          </w:p>
        </w:tc>
        <w:tc>
          <w:tcPr>
            <w:tcW w:w="60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Balance,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44.4</w:t>
            </w:r>
          </w:p>
        </w:tc>
        <w:tc>
          <w:tcPr>
            <w:tcW w:w="6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50.9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conduct business globally in 82 countries and territories. We are routinely audited by the tax authorities of the various tax jurisdictions in which we operate. Generally, the tax years that could be subject to examination are 2006 through 2009 for our major operations in the U.S., France, Germany, Italy, Japan and the United Kingdom. As of December 31, 2009, we are subject to tax audits in France and the U.S. We believe that resolution of such audits will not have a material impact on earnings.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4D8ABE"/>
        </w:rPr>
        <w:t>06.</w:t>
      </w:r>
    </w:p>
    <w:p>
      <w:pPr>
        <w:spacing w:after="0"/>
        <w:rPr>
          <w:sz w:val="20"/>
          <w:szCs w:val="20"/>
          <w:color w:val="auto"/>
        </w:rPr>
      </w:pPr>
      <w:r>
        <w:rPr>
          <w:rFonts w:ascii="Arial" w:cs="Arial" w:eastAsia="Arial" w:hAnsi="Arial"/>
          <w:sz w:val="21"/>
          <w:szCs w:val="21"/>
          <w:color w:val="4D8ABE"/>
        </w:rPr>
        <w:t>Accounts Receivable Securitization</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We and certain of our U.S. subsidiaries had an agreement (the “Receivables Facility”) with a financial institution whereby we could transfer on a continuous basis an interest in all eligible trade accounts receivable. In June 2009, we terminated this program, which would have expired in July 2009, as we did not anticipate a need for this liquidity and anticipated a significant increase in associated fees and borrowing costs.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Pursuant to the Receivables Facility, we formed Ironwood Capital Corporation (“ICC”), a wholly owned, special purpose, bankruptcy-remote subsidiary that is fully consolidated in our financial statements. ICC was formed for the sole purpose of transferring receivables that we and certain of our subsidiaries generate. Under the Receivables Facility, we and certain of our subsidiaries, irrevocably and without recourse, could transfer all of our accounts receivable to ICC. ICC, in turn, subject to certain conditions, would from time to time transfer to a third party an undivided interest in these receivables and was permitted to receive advances of up to $100.0 for the transfer of such undivided interest. Under the Receivables Facility, ICC had the ability to repurchase, in full or in part, the accounts receivable it transferred to the third party. Therefore, transfers made did not qualify for sale accounting, and accordingly, the receivables transferred to the third party remained on our consolidated balance sheet with the corresponding advance being recorded as debt and amounts charged on outstanding borrowings during the year were recorded as interest expense.</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interest rate for the Receivables Facility was variable and tied to A1+/P1 rated commercial paper. In 2009 and 2008, the average interest rate was 1.8% and 3.1%, respectively, and we made total interest payments of $0.1 and $0.9, respectively. As of December 31, 2008, there were borrowings of $64.0 outstanding under this program at an interest rate of 2.4%, which were recorded as current maturities of long-term debt. These borrowings were repaid in March 2009.</w:t>
      </w:r>
    </w:p>
    <w:p>
      <w:pPr>
        <w:spacing w:after="0" w:line="198"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Fees associated with the amounts advanced were $0.4, $0.9 and $0.3 in 2009, 2008 and 2007, respectively, and were recorded as Other Expense in the Consolidated Statements of Operations.</w:t>
      </w:r>
    </w:p>
    <w:p>
      <w:pPr>
        <w:spacing w:after="0" w:line="177"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60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96" w:name="page97"/>
    <w:bookmarkEnd w:id="96"/>
    <w:p>
      <w:pPr>
        <w:ind w:left="8"/>
        <w:spacing w:after="0"/>
        <w:rPr>
          <w:sz w:val="20"/>
          <w:szCs w:val="20"/>
          <w:color w:val="auto"/>
        </w:rPr>
      </w:pPr>
      <w:r>
        <w:rPr>
          <w:rFonts w:ascii="Arial" w:cs="Arial" w:eastAsia="Arial" w:hAnsi="Arial"/>
          <w:sz w:val="21"/>
          <w:szCs w:val="21"/>
          <w:color w:val="4D8ABE"/>
        </w:rPr>
        <w:t>07.</w:t>
      </w:r>
    </w:p>
    <w:p>
      <w:pPr>
        <w:ind w:left="8"/>
        <w:spacing w:after="0"/>
        <w:rPr>
          <w:sz w:val="20"/>
          <w:szCs w:val="20"/>
          <w:color w:val="auto"/>
        </w:rPr>
      </w:pPr>
      <w:r>
        <w:rPr>
          <w:rFonts w:ascii="Arial" w:cs="Arial" w:eastAsia="Arial" w:hAnsi="Arial"/>
          <w:sz w:val="21"/>
          <w:szCs w:val="21"/>
          <w:color w:val="4D8ABE"/>
        </w:rPr>
        <w:t>Goodwill</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5"/>
          <w:szCs w:val="15"/>
          <w:color w:val="auto"/>
        </w:rPr>
        <w:t>Changes in the carrying value of goodwill by reportable segment and Corporate are as follows:</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b w:val="1"/>
                <w:bCs w:val="1"/>
                <w:color w:val="4D8ABE"/>
              </w:rPr>
              <w:t>Asia</w:t>
            </w:r>
          </w:p>
        </w:tc>
        <w:tc>
          <w:tcPr>
            <w:tcW w:w="2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4"/>
                <w:szCs w:val="14"/>
                <w:b w:val="1"/>
                <w:bCs w:val="1"/>
                <w:color w:val="4D8ABE"/>
              </w:rPr>
              <w:t>Right</w:t>
            </w:r>
          </w:p>
        </w:tc>
        <w:tc>
          <w:tcPr>
            <w:tcW w:w="280" w:type="dxa"/>
            <w:vAlign w:val="bottom"/>
          </w:tcPr>
          <w:p>
            <w:pPr>
              <w:spacing w:after="0"/>
              <w:rPr>
                <w:sz w:val="15"/>
                <w:szCs w:val="15"/>
                <w:color w:val="auto"/>
              </w:rPr>
            </w:pPr>
          </w:p>
        </w:tc>
        <w:tc>
          <w:tcPr>
            <w:tcW w:w="820" w:type="dxa"/>
            <w:vAlign w:val="bottom"/>
          </w:tcPr>
          <w:p>
            <w:pPr>
              <w:jc w:val="right"/>
              <w:ind w:right="46"/>
              <w:spacing w:after="0"/>
              <w:rPr>
                <w:sz w:val="20"/>
                <w:szCs w:val="20"/>
                <w:color w:val="auto"/>
              </w:rPr>
            </w:pPr>
            <w:r>
              <w:rPr>
                <w:rFonts w:ascii="Arial" w:cs="Arial" w:eastAsia="Arial" w:hAnsi="Arial"/>
                <w:sz w:val="14"/>
                <w:szCs w:val="14"/>
                <w:b w:val="1"/>
                <w:bCs w:val="1"/>
                <w:color w:val="4D8ABE"/>
              </w:rPr>
              <w:t>Jefferson</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1"/>
        </w:trPr>
        <w:tc>
          <w:tcPr>
            <w:tcW w:w="2260" w:type="dxa"/>
            <w:vAlign w:val="bottom"/>
            <w:tcBorders>
              <w:bottom w:val="single" w:sz="8" w:color="4D8ABE"/>
            </w:tcBorders>
          </w:tcPr>
          <w:p>
            <w:pPr>
              <w:spacing w:after="0"/>
              <w:rPr>
                <w:sz w:val="17"/>
                <w:szCs w:val="17"/>
                <w:color w:val="auto"/>
              </w:rPr>
            </w:pPr>
          </w:p>
        </w:tc>
        <w:tc>
          <w:tcPr>
            <w:tcW w:w="380" w:type="dxa"/>
            <w:vAlign w:val="bottom"/>
            <w:tcBorders>
              <w:bottom w:val="single" w:sz="8" w:color="4D8ABE"/>
            </w:tcBorders>
          </w:tcPr>
          <w:p>
            <w:pPr>
              <w:spacing w:after="0"/>
              <w:rPr>
                <w:sz w:val="17"/>
                <w:szCs w:val="17"/>
                <w:color w:val="auto"/>
              </w:rPr>
            </w:pPr>
          </w:p>
        </w:tc>
        <w:tc>
          <w:tcPr>
            <w:tcW w:w="860" w:type="dxa"/>
            <w:vAlign w:val="bottom"/>
            <w:tcBorders>
              <w:bottom w:val="single" w:sz="8" w:color="4D8ABE"/>
            </w:tcBorders>
          </w:tcPr>
          <w:p>
            <w:pPr>
              <w:jc w:val="right"/>
              <w:ind w:right="66"/>
              <w:spacing w:after="0"/>
              <w:rPr>
                <w:sz w:val="20"/>
                <w:szCs w:val="20"/>
                <w:color w:val="auto"/>
              </w:rPr>
            </w:pPr>
            <w:r>
              <w:rPr>
                <w:rFonts w:ascii="Arial" w:cs="Arial" w:eastAsia="Arial" w:hAnsi="Arial"/>
                <w:sz w:val="14"/>
                <w:szCs w:val="14"/>
                <w:b w:val="1"/>
                <w:bCs w:val="1"/>
                <w:color w:val="4D8ABE"/>
              </w:rPr>
              <w:t>Americas</w:t>
            </w:r>
          </w:p>
        </w:tc>
        <w:tc>
          <w:tcPr>
            <w:tcW w:w="340" w:type="dxa"/>
            <w:vAlign w:val="bottom"/>
            <w:tcBorders>
              <w:bottom w:val="single" w:sz="8" w:color="4D8ABE"/>
            </w:tcBorders>
          </w:tcPr>
          <w:p>
            <w:pPr>
              <w:spacing w:after="0"/>
              <w:rPr>
                <w:sz w:val="17"/>
                <w:szCs w:val="17"/>
                <w:color w:val="auto"/>
              </w:rPr>
            </w:pPr>
          </w:p>
        </w:tc>
        <w:tc>
          <w:tcPr>
            <w:tcW w:w="740" w:type="dxa"/>
            <w:vAlign w:val="bottom"/>
            <w:tcBorders>
              <w:bottom w:val="single" w:sz="8" w:color="4D8ABE"/>
            </w:tcBorders>
          </w:tcPr>
          <w:p>
            <w:pPr>
              <w:jc w:val="right"/>
              <w:ind w:right="26"/>
              <w:spacing w:after="0"/>
              <w:rPr>
                <w:sz w:val="20"/>
                <w:szCs w:val="20"/>
                <w:color w:val="auto"/>
              </w:rPr>
            </w:pPr>
            <w:r>
              <w:rPr>
                <w:rFonts w:ascii="Arial" w:cs="Arial" w:eastAsia="Arial" w:hAnsi="Arial"/>
                <w:sz w:val="14"/>
                <w:szCs w:val="14"/>
                <w:b w:val="1"/>
                <w:bCs w:val="1"/>
                <w:color w:val="4D8ABE"/>
              </w:rPr>
              <w:t>France</w:t>
            </w:r>
          </w:p>
        </w:tc>
        <w:tc>
          <w:tcPr>
            <w:tcW w:w="360" w:type="dxa"/>
            <w:vAlign w:val="bottom"/>
            <w:tcBorders>
              <w:bottom w:val="single" w:sz="8" w:color="4D8ABE"/>
            </w:tcBorders>
          </w:tcPr>
          <w:p>
            <w:pPr>
              <w:spacing w:after="0"/>
              <w:rPr>
                <w:sz w:val="17"/>
                <w:szCs w:val="17"/>
                <w:color w:val="auto"/>
              </w:rPr>
            </w:pPr>
          </w:p>
        </w:tc>
        <w:tc>
          <w:tcPr>
            <w:tcW w:w="780" w:type="dxa"/>
            <w:vAlign w:val="bottom"/>
            <w:tcBorders>
              <w:bottom w:val="single" w:sz="8" w:color="4D8ABE"/>
            </w:tcBorders>
          </w:tcPr>
          <w:p>
            <w:pPr>
              <w:jc w:val="right"/>
              <w:ind w:right="26"/>
              <w:spacing w:after="0" w:line="202" w:lineRule="exact"/>
              <w:rPr>
                <w:sz w:val="20"/>
                <w:szCs w:val="20"/>
                <w:color w:val="auto"/>
              </w:rPr>
            </w:pPr>
            <w:r>
              <w:rPr>
                <w:rFonts w:ascii="Arial" w:cs="Arial" w:eastAsia="Arial" w:hAnsi="Arial"/>
                <w:sz w:val="14"/>
                <w:szCs w:val="14"/>
                <w:b w:val="1"/>
                <w:bCs w:val="1"/>
                <w:color w:val="4D8ABE"/>
              </w:rPr>
              <w:t>EMEA</w:t>
            </w:r>
            <w:r>
              <w:rPr>
                <w:rFonts w:ascii="Arial" w:cs="Arial" w:eastAsia="Arial" w:hAnsi="Arial"/>
                <w:sz w:val="19"/>
                <w:szCs w:val="19"/>
                <w:b w:val="1"/>
                <w:bCs w:val="1"/>
                <w:color w:val="4D8ABE"/>
                <w:vertAlign w:val="superscript"/>
              </w:rPr>
              <w:t>(1)</w:t>
            </w:r>
          </w:p>
        </w:tc>
        <w:tc>
          <w:tcPr>
            <w:tcW w:w="360" w:type="dxa"/>
            <w:vAlign w:val="bottom"/>
            <w:tcBorders>
              <w:bottom w:val="single" w:sz="8" w:color="4D8ABE"/>
            </w:tcBorders>
          </w:tcPr>
          <w:p>
            <w:pPr>
              <w:spacing w:after="0"/>
              <w:rPr>
                <w:sz w:val="17"/>
                <w:szCs w:val="17"/>
                <w:color w:val="auto"/>
              </w:rPr>
            </w:pPr>
          </w:p>
        </w:tc>
        <w:tc>
          <w:tcPr>
            <w:tcW w:w="740" w:type="dxa"/>
            <w:vAlign w:val="bottom"/>
            <w:tcBorders>
              <w:bottom w:val="single" w:sz="8" w:color="4D8ABE"/>
            </w:tcBorders>
          </w:tcPr>
          <w:p>
            <w:pPr>
              <w:jc w:val="right"/>
              <w:ind w:right="46"/>
              <w:spacing w:after="0"/>
              <w:rPr>
                <w:sz w:val="20"/>
                <w:szCs w:val="20"/>
                <w:color w:val="auto"/>
              </w:rPr>
            </w:pPr>
            <w:r>
              <w:rPr>
                <w:rFonts w:ascii="Arial" w:cs="Arial" w:eastAsia="Arial" w:hAnsi="Arial"/>
                <w:sz w:val="14"/>
                <w:szCs w:val="14"/>
                <w:b w:val="1"/>
                <w:bCs w:val="1"/>
                <w:color w:val="4D8ABE"/>
              </w:rPr>
              <w:t>Pacific</w:t>
            </w:r>
          </w:p>
        </w:tc>
        <w:tc>
          <w:tcPr>
            <w:tcW w:w="200" w:type="dxa"/>
            <w:vAlign w:val="bottom"/>
            <w:tcBorders>
              <w:bottom w:val="single" w:sz="8" w:color="4D8ABE"/>
            </w:tcBorders>
          </w:tcPr>
          <w:p>
            <w:pPr>
              <w:spacing w:after="0"/>
              <w:rPr>
                <w:sz w:val="17"/>
                <w:szCs w:val="17"/>
                <w:color w:val="auto"/>
              </w:rPr>
            </w:pPr>
          </w:p>
        </w:tc>
        <w:tc>
          <w:tcPr>
            <w:tcW w:w="980" w:type="dxa"/>
            <w:vAlign w:val="bottom"/>
            <w:tcBorders>
              <w:bottom w:val="single" w:sz="8" w:color="4D8ABE"/>
            </w:tcBorders>
          </w:tcPr>
          <w:p>
            <w:pPr>
              <w:jc w:val="right"/>
              <w:ind w:right="46"/>
              <w:spacing w:after="0"/>
              <w:rPr>
                <w:sz w:val="20"/>
                <w:szCs w:val="20"/>
                <w:color w:val="auto"/>
              </w:rPr>
            </w:pPr>
            <w:r>
              <w:rPr>
                <w:rFonts w:ascii="Arial" w:cs="Arial" w:eastAsia="Arial" w:hAnsi="Arial"/>
                <w:sz w:val="14"/>
                <w:szCs w:val="14"/>
                <w:b w:val="1"/>
                <w:bCs w:val="1"/>
                <w:color w:val="4D8ABE"/>
                <w:w w:val="98"/>
              </w:rPr>
              <w:t>Management</w:t>
            </w:r>
          </w:p>
        </w:tc>
        <w:tc>
          <w:tcPr>
            <w:tcW w:w="280" w:type="dxa"/>
            <w:vAlign w:val="bottom"/>
            <w:tcBorders>
              <w:bottom w:val="single" w:sz="8" w:color="4D8ABE"/>
            </w:tcBorders>
          </w:tcPr>
          <w:p>
            <w:pPr>
              <w:spacing w:after="0"/>
              <w:rPr>
                <w:sz w:val="17"/>
                <w:szCs w:val="17"/>
                <w:color w:val="auto"/>
              </w:rPr>
            </w:pPr>
          </w:p>
        </w:tc>
        <w:tc>
          <w:tcPr>
            <w:tcW w:w="820" w:type="dxa"/>
            <w:vAlign w:val="bottom"/>
            <w:tcBorders>
              <w:bottom w:val="single" w:sz="8" w:color="4D8ABE"/>
            </w:tcBorders>
          </w:tcPr>
          <w:p>
            <w:pPr>
              <w:jc w:val="right"/>
              <w:ind w:right="46"/>
              <w:spacing w:after="0"/>
              <w:rPr>
                <w:sz w:val="20"/>
                <w:szCs w:val="20"/>
                <w:color w:val="auto"/>
              </w:rPr>
            </w:pPr>
            <w:r>
              <w:rPr>
                <w:rFonts w:ascii="Arial" w:cs="Arial" w:eastAsia="Arial" w:hAnsi="Arial"/>
                <w:sz w:val="14"/>
                <w:szCs w:val="14"/>
                <w:b w:val="1"/>
                <w:bCs w:val="1"/>
                <w:color w:val="4D8ABE"/>
              </w:rPr>
              <w:t>Wells</w:t>
            </w:r>
          </w:p>
        </w:tc>
        <w:tc>
          <w:tcPr>
            <w:tcW w:w="220" w:type="dxa"/>
            <w:vAlign w:val="bottom"/>
            <w:tcBorders>
              <w:bottom w:val="single" w:sz="8" w:color="4D8ABE"/>
            </w:tcBorders>
          </w:tcPr>
          <w:p>
            <w:pPr>
              <w:spacing w:after="0"/>
              <w:rPr>
                <w:sz w:val="17"/>
                <w:szCs w:val="17"/>
                <w:color w:val="auto"/>
              </w:rPr>
            </w:pPr>
          </w:p>
        </w:tc>
        <w:tc>
          <w:tcPr>
            <w:tcW w:w="980" w:type="dxa"/>
            <w:vAlign w:val="bottom"/>
            <w:tcBorders>
              <w:bottom w:val="single" w:sz="8" w:color="4D8ABE"/>
            </w:tcBorders>
          </w:tcPr>
          <w:p>
            <w:pPr>
              <w:jc w:val="right"/>
              <w:spacing w:after="0" w:line="202" w:lineRule="exact"/>
              <w:rPr>
                <w:sz w:val="20"/>
                <w:szCs w:val="20"/>
                <w:color w:val="auto"/>
              </w:rPr>
            </w:pPr>
            <w:r>
              <w:rPr>
                <w:rFonts w:ascii="Arial" w:cs="Arial" w:eastAsia="Arial" w:hAnsi="Arial"/>
                <w:sz w:val="14"/>
                <w:szCs w:val="14"/>
                <w:b w:val="1"/>
                <w:bCs w:val="1"/>
                <w:color w:val="4D8ABE"/>
                <w:w w:val="92"/>
              </w:rPr>
              <w:t>Corporate</w:t>
            </w:r>
            <w:r>
              <w:rPr>
                <w:rFonts w:ascii="Arial" w:cs="Arial" w:eastAsia="Arial" w:hAnsi="Arial"/>
                <w:sz w:val="19"/>
                <w:szCs w:val="19"/>
                <w:b w:val="1"/>
                <w:bCs w:val="1"/>
                <w:color w:val="4D8ABE"/>
                <w:w w:val="92"/>
                <w:vertAlign w:val="superscript"/>
              </w:rPr>
              <w:t>(2),(4)</w:t>
            </w:r>
          </w:p>
        </w:tc>
        <w:tc>
          <w:tcPr>
            <w:tcW w:w="260" w:type="dxa"/>
            <w:vAlign w:val="bottom"/>
            <w:tcBorders>
              <w:bottom w:val="single" w:sz="8" w:color="4D8ABE"/>
            </w:tcBorders>
          </w:tcPr>
          <w:p>
            <w:pPr>
              <w:spacing w:after="0"/>
              <w:rPr>
                <w:sz w:val="17"/>
                <w:szCs w:val="17"/>
                <w:color w:val="auto"/>
              </w:rPr>
            </w:pPr>
          </w:p>
        </w:tc>
        <w:tc>
          <w:tcPr>
            <w:tcW w:w="880" w:type="dxa"/>
            <w:vAlign w:val="bottom"/>
            <w:tcBorders>
              <w:bottom w:val="single" w:sz="8" w:color="4D8ABE"/>
            </w:tcBorders>
          </w:tcPr>
          <w:p>
            <w:pPr>
              <w:jc w:val="right"/>
              <w:ind w:right="126"/>
              <w:spacing w:after="0" w:line="202" w:lineRule="exact"/>
              <w:rPr>
                <w:sz w:val="20"/>
                <w:szCs w:val="20"/>
                <w:color w:val="auto"/>
              </w:rPr>
            </w:pPr>
            <w:r>
              <w:rPr>
                <w:rFonts w:ascii="Arial" w:cs="Arial" w:eastAsia="Arial" w:hAnsi="Arial"/>
                <w:sz w:val="14"/>
                <w:szCs w:val="14"/>
                <w:b w:val="1"/>
                <w:bCs w:val="1"/>
                <w:color w:val="4D8ABE"/>
              </w:rPr>
              <w:t>Total</w:t>
            </w:r>
            <w:r>
              <w:rPr>
                <w:rFonts w:ascii="Arial" w:cs="Arial" w:eastAsia="Arial" w:hAnsi="Arial"/>
                <w:sz w:val="19"/>
                <w:szCs w:val="19"/>
                <w:b w:val="1"/>
                <w:bCs w:val="1"/>
                <w:color w:val="4D8ABE"/>
                <w:vertAlign w:val="superscript"/>
              </w:rPr>
              <w:t>(4)</w:t>
            </w:r>
          </w:p>
        </w:tc>
      </w:tr>
      <w:tr>
        <w:trPr>
          <w:trHeight w:val="175"/>
        </w:trPr>
        <w:tc>
          <w:tcPr>
            <w:tcW w:w="2260" w:type="dxa"/>
            <w:vAlign w:val="bottom"/>
            <w:shd w:val="clear" w:color="auto" w:fill="E6EFFF"/>
          </w:tcPr>
          <w:p>
            <w:pPr>
              <w:spacing w:after="0" w:line="175" w:lineRule="exact"/>
              <w:rPr>
                <w:sz w:val="20"/>
                <w:szCs w:val="20"/>
                <w:color w:val="auto"/>
              </w:rPr>
            </w:pPr>
            <w:r>
              <w:rPr>
                <w:rFonts w:ascii="Arial" w:cs="Arial" w:eastAsia="Arial" w:hAnsi="Arial"/>
                <w:sz w:val="15"/>
                <w:szCs w:val="15"/>
                <w:color w:val="auto"/>
              </w:rPr>
              <w:t>Balance, December 31, 2007</w:t>
            </w:r>
            <w:r>
              <w:rPr>
                <w:rFonts w:ascii="Arial" w:cs="Arial" w:eastAsia="Arial" w:hAnsi="Arial"/>
                <w:sz w:val="20"/>
                <w:szCs w:val="20"/>
                <w:color w:val="auto"/>
                <w:vertAlign w:val="superscript"/>
              </w:rPr>
              <w:t>(3)</w:t>
            </w:r>
          </w:p>
        </w:tc>
        <w:tc>
          <w:tcPr>
            <w:tcW w:w="380" w:type="dxa"/>
            <w:vAlign w:val="bottom"/>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128.0</w:t>
            </w:r>
          </w:p>
        </w:tc>
        <w:tc>
          <w:tcPr>
            <w:tcW w:w="34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0.2</w:t>
            </w:r>
          </w:p>
        </w:tc>
        <w:tc>
          <w:tcPr>
            <w:tcW w:w="360" w:type="dxa"/>
            <w:vAlign w:val="bottom"/>
            <w:shd w:val="clear" w:color="auto" w:fill="E6EFFF"/>
          </w:tcPr>
          <w:p>
            <w:pPr>
              <w:jc w:val="right"/>
              <w:ind w:right="85"/>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226.3</w:t>
            </w:r>
          </w:p>
        </w:tc>
        <w:tc>
          <w:tcPr>
            <w:tcW w:w="360" w:type="dxa"/>
            <w:vAlign w:val="bottom"/>
            <w:shd w:val="clear" w:color="auto" w:fill="E6EFFF"/>
          </w:tcPr>
          <w:p>
            <w:pPr>
              <w:jc w:val="right"/>
              <w:ind w:right="125"/>
              <w:spacing w:after="0"/>
              <w:rPr>
                <w:sz w:val="20"/>
                <w:szCs w:val="20"/>
                <w:color w:val="auto"/>
              </w:rPr>
            </w:pPr>
            <w:r>
              <w:rPr>
                <w:rFonts w:ascii="Arial" w:cs="Arial" w:eastAsia="Arial" w:hAnsi="Arial"/>
                <w:sz w:val="15"/>
                <w:szCs w:val="15"/>
                <w:color w:val="auto"/>
              </w:rPr>
              <w:t>$</w:t>
            </w:r>
          </w:p>
        </w:tc>
        <w:tc>
          <w:tcPr>
            <w:tcW w:w="74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56.4</w:t>
            </w:r>
          </w:p>
        </w:tc>
        <w:tc>
          <w:tcPr>
            <w:tcW w:w="2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151.3</w:t>
            </w:r>
          </w:p>
        </w:tc>
        <w:tc>
          <w:tcPr>
            <w:tcW w:w="28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w:t>
            </w:r>
          </w:p>
        </w:tc>
        <w:tc>
          <w:tcPr>
            <w:tcW w:w="8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0.6</w:t>
            </w:r>
          </w:p>
        </w:tc>
        <w:tc>
          <w:tcPr>
            <w:tcW w:w="2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483.1</w:t>
            </w:r>
          </w:p>
        </w:tc>
        <w:tc>
          <w:tcPr>
            <w:tcW w:w="260" w:type="dxa"/>
            <w:vAlign w:val="bottom"/>
            <w:shd w:val="clear" w:color="auto" w:fill="E6EFFF"/>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1,045.9</w:t>
            </w:r>
          </w:p>
        </w:tc>
      </w:tr>
      <w:tr>
        <w:trPr>
          <w:trHeight w:val="184"/>
        </w:trPr>
        <w:tc>
          <w:tcPr>
            <w:tcW w:w="2260" w:type="dxa"/>
            <w:vAlign w:val="bottom"/>
          </w:tcPr>
          <w:p>
            <w:pPr>
              <w:spacing w:after="0"/>
              <w:rPr>
                <w:sz w:val="20"/>
                <w:szCs w:val="20"/>
                <w:color w:val="auto"/>
              </w:rPr>
            </w:pPr>
            <w:r>
              <w:rPr>
                <w:rFonts w:ascii="Arial" w:cs="Arial" w:eastAsia="Arial" w:hAnsi="Arial"/>
                <w:sz w:val="15"/>
                <w:szCs w:val="15"/>
                <w:color w:val="auto"/>
              </w:rPr>
              <w:t>Goodwill acquired</w:t>
            </w:r>
          </w:p>
        </w:tc>
        <w:tc>
          <w:tcPr>
            <w:tcW w:w="380" w:type="dxa"/>
            <w:vAlign w:val="bottom"/>
          </w:tcPr>
          <w:p>
            <w:pPr>
              <w:spacing w:after="0"/>
              <w:rPr>
                <w:sz w:val="15"/>
                <w:szCs w:val="15"/>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36.5</w:t>
            </w:r>
          </w:p>
        </w:tc>
        <w:tc>
          <w:tcPr>
            <w:tcW w:w="34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rPr>
              <w:t>3.4</w:t>
            </w:r>
          </w:p>
        </w:tc>
        <w:tc>
          <w:tcPr>
            <w:tcW w:w="36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5"/>
                <w:szCs w:val="15"/>
                <w:color w:val="auto"/>
              </w:rPr>
              <w:t>94.5</w:t>
            </w:r>
          </w:p>
        </w:tc>
        <w:tc>
          <w:tcPr>
            <w:tcW w:w="360" w:type="dxa"/>
            <w:vAlign w:val="bottom"/>
          </w:tcPr>
          <w:p>
            <w:pPr>
              <w:spacing w:after="0"/>
              <w:rPr>
                <w:sz w:val="15"/>
                <w:szCs w:val="15"/>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4.3</w:t>
            </w:r>
          </w:p>
        </w:tc>
        <w:tc>
          <w:tcPr>
            <w:tcW w:w="280" w:type="dxa"/>
            <w:vAlign w:val="bottom"/>
          </w:tcPr>
          <w:p>
            <w:pPr>
              <w:spacing w:after="0"/>
              <w:rPr>
                <w:sz w:val="15"/>
                <w:szCs w:val="15"/>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0.4</w:t>
            </w:r>
          </w:p>
        </w:tc>
        <w:tc>
          <w:tcPr>
            <w:tcW w:w="220" w:type="dxa"/>
            <w:vAlign w:val="bottom"/>
          </w:tcPr>
          <w:p>
            <w:pPr>
              <w:spacing w:after="0"/>
              <w:rPr>
                <w:sz w:val="15"/>
                <w:szCs w:val="15"/>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141.2</w:t>
            </w:r>
          </w:p>
        </w:tc>
      </w:tr>
      <w:tr>
        <w:trPr>
          <w:trHeight w:val="184"/>
        </w:trPr>
        <w:tc>
          <w:tcPr>
            <w:tcW w:w="2260" w:type="dxa"/>
            <w:vAlign w:val="bottom"/>
            <w:shd w:val="clear" w:color="auto" w:fill="E6EFFF"/>
          </w:tcPr>
          <w:p>
            <w:pPr>
              <w:spacing w:after="0"/>
              <w:rPr>
                <w:sz w:val="20"/>
                <w:szCs w:val="20"/>
                <w:color w:val="auto"/>
              </w:rPr>
            </w:pPr>
            <w:r>
              <w:rPr>
                <w:rFonts w:ascii="Arial" w:cs="Arial" w:eastAsia="Arial" w:hAnsi="Arial"/>
                <w:sz w:val="15"/>
                <w:szCs w:val="15"/>
                <w:color w:val="auto"/>
              </w:rPr>
              <w:t>Currency impact and other</w:t>
            </w:r>
          </w:p>
        </w:tc>
        <w:tc>
          <w:tcPr>
            <w:tcW w:w="38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(2.2)</w:t>
            </w:r>
          </w:p>
        </w:tc>
        <w:tc>
          <w:tcPr>
            <w:tcW w:w="340" w:type="dxa"/>
            <w:vAlign w:val="bottom"/>
            <w:shd w:val="clear" w:color="auto" w:fill="E6EFFF"/>
          </w:tcPr>
          <w:p>
            <w:pPr>
              <w:spacing w:after="0"/>
              <w:rPr>
                <w:sz w:val="15"/>
                <w:szCs w:val="15"/>
                <w:color w:val="auto"/>
              </w:rPr>
            </w:pPr>
          </w:p>
        </w:tc>
        <w:tc>
          <w:tcPr>
            <w:tcW w:w="74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w:t>
            </w:r>
          </w:p>
        </w:tc>
        <w:tc>
          <w:tcPr>
            <w:tcW w:w="36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(54.6)</w:t>
            </w:r>
          </w:p>
        </w:tc>
        <w:tc>
          <w:tcPr>
            <w:tcW w:w="360" w:type="dxa"/>
            <w:vAlign w:val="bottom"/>
            <w:shd w:val="clear" w:color="auto" w:fill="E6EFFF"/>
          </w:tcPr>
          <w:p>
            <w:pPr>
              <w:spacing w:after="0"/>
              <w:rPr>
                <w:sz w:val="15"/>
                <w:szCs w:val="15"/>
                <w:color w:val="auto"/>
              </w:rPr>
            </w:pPr>
          </w:p>
        </w:tc>
        <w:tc>
          <w:tcPr>
            <w:tcW w:w="74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0.1</w:t>
            </w:r>
          </w:p>
        </w:tc>
        <w:tc>
          <w:tcPr>
            <w:tcW w:w="20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
              <w:spacing w:after="0"/>
              <w:rPr>
                <w:sz w:val="20"/>
                <w:szCs w:val="20"/>
                <w:color w:val="auto"/>
              </w:rPr>
            </w:pPr>
            <w:r>
              <w:rPr>
                <w:rFonts w:ascii="Arial" w:cs="Arial" w:eastAsia="Arial" w:hAnsi="Arial"/>
                <w:sz w:val="15"/>
                <w:szCs w:val="15"/>
                <w:color w:val="auto"/>
              </w:rPr>
              <w:t>(15.6)</w:t>
            </w:r>
          </w:p>
        </w:tc>
        <w:tc>
          <w:tcPr>
            <w:tcW w:w="280" w:type="dxa"/>
            <w:vAlign w:val="bottom"/>
            <w:shd w:val="clear" w:color="auto" w:fill="E6EFFF"/>
          </w:tcPr>
          <w:p>
            <w:pPr>
              <w:spacing w:after="0"/>
              <w:rPr>
                <w:sz w:val="15"/>
                <w:szCs w:val="15"/>
                <w:color w:val="auto"/>
              </w:rPr>
            </w:pPr>
          </w:p>
        </w:tc>
        <w:tc>
          <w:tcPr>
            <w:tcW w:w="8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(1.1)</w:t>
            </w:r>
          </w:p>
        </w:tc>
        <w:tc>
          <w:tcPr>
            <w:tcW w:w="26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(73.4)</w:t>
            </w:r>
          </w:p>
        </w:tc>
      </w:tr>
      <w:tr>
        <w:trPr>
          <w:trHeight w:val="184"/>
        </w:trPr>
        <w:tc>
          <w:tcPr>
            <w:tcW w:w="2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Impairment charge</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(140.8)</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(140.8)</w:t>
            </w:r>
          </w:p>
        </w:tc>
      </w:tr>
      <w:tr>
        <w:trPr>
          <w:trHeight w:val="175"/>
        </w:trPr>
        <w:tc>
          <w:tcPr>
            <w:tcW w:w="2260" w:type="dxa"/>
            <w:vAlign w:val="bottom"/>
            <w:shd w:val="clear" w:color="auto" w:fill="E6EFFF"/>
          </w:tcPr>
          <w:p>
            <w:pPr>
              <w:spacing w:after="0"/>
              <w:rPr>
                <w:sz w:val="20"/>
                <w:szCs w:val="20"/>
                <w:color w:val="auto"/>
              </w:rPr>
            </w:pPr>
            <w:r>
              <w:rPr>
                <w:rFonts w:ascii="Arial" w:cs="Arial" w:eastAsia="Arial" w:hAnsi="Arial"/>
                <w:sz w:val="15"/>
                <w:szCs w:val="15"/>
                <w:color w:val="auto"/>
              </w:rPr>
              <w:t>Balance, December 31, 2008</w:t>
            </w:r>
          </w:p>
        </w:tc>
        <w:tc>
          <w:tcPr>
            <w:tcW w:w="38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162.3</w:t>
            </w:r>
          </w:p>
        </w:tc>
        <w:tc>
          <w:tcPr>
            <w:tcW w:w="340" w:type="dxa"/>
            <w:vAlign w:val="bottom"/>
            <w:shd w:val="clear" w:color="auto" w:fill="E6EFFF"/>
          </w:tcPr>
          <w:p>
            <w:pPr>
              <w:spacing w:after="0"/>
              <w:rPr>
                <w:sz w:val="15"/>
                <w:szCs w:val="15"/>
                <w:color w:val="auto"/>
              </w:rPr>
            </w:pPr>
          </w:p>
        </w:tc>
        <w:tc>
          <w:tcPr>
            <w:tcW w:w="74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3.6</w:t>
            </w:r>
          </w:p>
        </w:tc>
        <w:tc>
          <w:tcPr>
            <w:tcW w:w="36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266.2</w:t>
            </w:r>
          </w:p>
        </w:tc>
        <w:tc>
          <w:tcPr>
            <w:tcW w:w="360" w:type="dxa"/>
            <w:vAlign w:val="bottom"/>
            <w:shd w:val="clear" w:color="auto" w:fill="E6EFFF"/>
          </w:tcPr>
          <w:p>
            <w:pPr>
              <w:spacing w:after="0"/>
              <w:rPr>
                <w:sz w:val="15"/>
                <w:szCs w:val="15"/>
                <w:color w:val="auto"/>
              </w:rPr>
            </w:pPr>
          </w:p>
        </w:tc>
        <w:tc>
          <w:tcPr>
            <w:tcW w:w="74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56.5</w:t>
            </w:r>
          </w:p>
        </w:tc>
        <w:tc>
          <w:tcPr>
            <w:tcW w:w="20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140.0</w:t>
            </w:r>
          </w:p>
        </w:tc>
        <w:tc>
          <w:tcPr>
            <w:tcW w:w="280" w:type="dxa"/>
            <w:vAlign w:val="bottom"/>
            <w:shd w:val="clear" w:color="auto" w:fill="E6EFFF"/>
          </w:tcPr>
          <w:p>
            <w:pPr>
              <w:spacing w:after="0"/>
              <w:rPr>
                <w:sz w:val="15"/>
                <w:szCs w:val="15"/>
                <w:color w:val="auto"/>
              </w:rPr>
            </w:pPr>
          </w:p>
        </w:tc>
        <w:tc>
          <w:tcPr>
            <w:tcW w:w="8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1.0</w:t>
            </w:r>
          </w:p>
        </w:tc>
        <w:tc>
          <w:tcPr>
            <w:tcW w:w="2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126"/>
              <w:spacing w:after="0"/>
              <w:rPr>
                <w:sz w:val="20"/>
                <w:szCs w:val="20"/>
                <w:color w:val="auto"/>
              </w:rPr>
            </w:pPr>
            <w:r>
              <w:rPr>
                <w:rFonts w:ascii="Arial" w:cs="Arial" w:eastAsia="Arial" w:hAnsi="Arial"/>
                <w:sz w:val="15"/>
                <w:szCs w:val="15"/>
                <w:color w:val="auto"/>
              </w:rPr>
              <w:t>343.3</w:t>
            </w:r>
          </w:p>
        </w:tc>
        <w:tc>
          <w:tcPr>
            <w:tcW w:w="26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972.9</w:t>
            </w:r>
          </w:p>
        </w:tc>
      </w:tr>
      <w:tr>
        <w:trPr>
          <w:trHeight w:val="184"/>
        </w:trPr>
        <w:tc>
          <w:tcPr>
            <w:tcW w:w="2260" w:type="dxa"/>
            <w:vAlign w:val="bottom"/>
          </w:tcPr>
          <w:p>
            <w:pPr>
              <w:spacing w:after="0"/>
              <w:rPr>
                <w:sz w:val="20"/>
                <w:szCs w:val="20"/>
                <w:color w:val="auto"/>
              </w:rPr>
            </w:pPr>
            <w:r>
              <w:rPr>
                <w:rFonts w:ascii="Arial" w:cs="Arial" w:eastAsia="Arial" w:hAnsi="Arial"/>
                <w:sz w:val="15"/>
                <w:szCs w:val="15"/>
                <w:color w:val="auto"/>
              </w:rPr>
              <w:t>Goodwill acquired</w:t>
            </w:r>
          </w:p>
        </w:tc>
        <w:tc>
          <w:tcPr>
            <w:tcW w:w="380" w:type="dxa"/>
            <w:vAlign w:val="bottom"/>
          </w:tcPr>
          <w:p>
            <w:pPr>
              <w:spacing w:after="0"/>
              <w:rPr>
                <w:sz w:val="15"/>
                <w:szCs w:val="15"/>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7.3</w:t>
            </w:r>
          </w:p>
        </w:tc>
        <w:tc>
          <w:tcPr>
            <w:tcW w:w="34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rPr>
              <w:t>3.4</w:t>
            </w:r>
          </w:p>
        </w:tc>
        <w:tc>
          <w:tcPr>
            <w:tcW w:w="36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4.1</w:t>
            </w:r>
          </w:p>
        </w:tc>
        <w:tc>
          <w:tcPr>
            <w:tcW w:w="280" w:type="dxa"/>
            <w:vAlign w:val="bottom"/>
          </w:tcPr>
          <w:p>
            <w:pPr>
              <w:spacing w:after="0"/>
              <w:rPr>
                <w:sz w:val="15"/>
                <w:szCs w:val="15"/>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5"/>
                <w:szCs w:val="15"/>
                <w:color w:val="auto"/>
              </w:rPr>
            </w:pPr>
          </w:p>
        </w:tc>
        <w:tc>
          <w:tcPr>
            <w:tcW w:w="9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color w:val="auto"/>
              </w:rPr>
              <w:t>15.9</w:t>
            </w:r>
          </w:p>
        </w:tc>
      </w:tr>
      <w:tr>
        <w:trPr>
          <w:trHeight w:val="184"/>
        </w:trPr>
        <w:tc>
          <w:tcPr>
            <w:tcW w:w="2260" w:type="dxa"/>
            <w:vAlign w:val="bottom"/>
            <w:shd w:val="clear" w:color="auto" w:fill="E6EFFF"/>
          </w:tcPr>
          <w:p>
            <w:pPr>
              <w:spacing w:after="0"/>
              <w:rPr>
                <w:sz w:val="20"/>
                <w:szCs w:val="20"/>
                <w:color w:val="auto"/>
              </w:rPr>
            </w:pPr>
            <w:r>
              <w:rPr>
                <w:rFonts w:ascii="Arial" w:cs="Arial" w:eastAsia="Arial" w:hAnsi="Arial"/>
                <w:sz w:val="15"/>
                <w:szCs w:val="15"/>
                <w:color w:val="auto"/>
              </w:rPr>
              <w:t>Currency impact and other</w:t>
            </w:r>
          </w:p>
        </w:tc>
        <w:tc>
          <w:tcPr>
            <w:tcW w:w="38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1.7</w:t>
            </w:r>
          </w:p>
        </w:tc>
        <w:tc>
          <w:tcPr>
            <w:tcW w:w="340" w:type="dxa"/>
            <w:vAlign w:val="bottom"/>
            <w:shd w:val="clear" w:color="auto" w:fill="E6EFFF"/>
          </w:tcPr>
          <w:p>
            <w:pPr>
              <w:spacing w:after="0"/>
              <w:rPr>
                <w:sz w:val="15"/>
                <w:szCs w:val="15"/>
                <w:color w:val="auto"/>
              </w:rPr>
            </w:pPr>
          </w:p>
        </w:tc>
        <w:tc>
          <w:tcPr>
            <w:tcW w:w="740" w:type="dxa"/>
            <w:vAlign w:val="bottom"/>
            <w:shd w:val="clear" w:color="auto" w:fill="E6EFFF"/>
          </w:tcPr>
          <w:p>
            <w:pPr>
              <w:jc w:val="right"/>
              <w:ind w:right="26"/>
              <w:spacing w:after="0"/>
              <w:rPr>
                <w:sz w:val="20"/>
                <w:szCs w:val="20"/>
                <w:color w:val="auto"/>
              </w:rPr>
            </w:pPr>
            <w:r>
              <w:rPr>
                <w:rFonts w:ascii="Arial" w:cs="Arial" w:eastAsia="Arial" w:hAnsi="Arial"/>
                <w:sz w:val="15"/>
                <w:szCs w:val="15"/>
                <w:color w:val="auto"/>
              </w:rPr>
              <w:t>0.1</w:t>
            </w:r>
          </w:p>
        </w:tc>
        <w:tc>
          <w:tcPr>
            <w:tcW w:w="360" w:type="dxa"/>
            <w:vAlign w:val="bottom"/>
            <w:shd w:val="clear" w:color="auto" w:fill="E6EFFF"/>
          </w:tcPr>
          <w:p>
            <w:pPr>
              <w:spacing w:after="0"/>
              <w:rPr>
                <w:sz w:val="15"/>
                <w:szCs w:val="15"/>
                <w:color w:val="auto"/>
              </w:rPr>
            </w:pPr>
          </w:p>
        </w:tc>
        <w:tc>
          <w:tcPr>
            <w:tcW w:w="78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20.7</w:t>
            </w:r>
          </w:p>
        </w:tc>
        <w:tc>
          <w:tcPr>
            <w:tcW w:w="360" w:type="dxa"/>
            <w:vAlign w:val="bottom"/>
            <w:shd w:val="clear" w:color="auto" w:fill="E6EFFF"/>
          </w:tcPr>
          <w:p>
            <w:pPr>
              <w:spacing w:after="0"/>
              <w:rPr>
                <w:sz w:val="15"/>
                <w:szCs w:val="15"/>
                <w:color w:val="auto"/>
              </w:rPr>
            </w:pPr>
          </w:p>
        </w:tc>
        <w:tc>
          <w:tcPr>
            <w:tcW w:w="74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2.4</w:t>
            </w:r>
          </w:p>
        </w:tc>
        <w:tc>
          <w:tcPr>
            <w:tcW w:w="20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6.6</w:t>
            </w:r>
          </w:p>
        </w:tc>
        <w:tc>
          <w:tcPr>
            <w:tcW w:w="280" w:type="dxa"/>
            <w:vAlign w:val="bottom"/>
            <w:shd w:val="clear" w:color="auto" w:fill="E6EFFF"/>
          </w:tcPr>
          <w:p>
            <w:pPr>
              <w:spacing w:after="0"/>
              <w:rPr>
                <w:sz w:val="15"/>
                <w:szCs w:val="15"/>
                <w:color w:val="auto"/>
              </w:rPr>
            </w:pPr>
          </w:p>
        </w:tc>
        <w:tc>
          <w:tcPr>
            <w:tcW w:w="820" w:type="dxa"/>
            <w:vAlign w:val="bottom"/>
            <w:shd w:val="clear" w:color="auto" w:fill="E6EF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6"/>
              <w:spacing w:after="0"/>
              <w:rPr>
                <w:sz w:val="20"/>
                <w:szCs w:val="20"/>
                <w:color w:val="auto"/>
              </w:rPr>
            </w:pPr>
            <w:r>
              <w:rPr>
                <w:rFonts w:ascii="Arial" w:cs="Arial" w:eastAsia="Arial" w:hAnsi="Arial"/>
                <w:sz w:val="15"/>
                <w:szCs w:val="15"/>
                <w:color w:val="auto"/>
              </w:rPr>
              <w:t>(0.2)</w:t>
            </w:r>
          </w:p>
        </w:tc>
        <w:tc>
          <w:tcPr>
            <w:tcW w:w="26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31.3</w:t>
            </w:r>
          </w:p>
        </w:tc>
      </w:tr>
      <w:tr>
        <w:trPr>
          <w:trHeight w:val="184"/>
        </w:trPr>
        <w:tc>
          <w:tcPr>
            <w:tcW w:w="2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Impairment charge</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(61.0)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(61.0)</w:t>
            </w:r>
          </w:p>
        </w:tc>
      </w:tr>
      <w:tr>
        <w:trPr>
          <w:trHeight w:val="178"/>
        </w:trPr>
        <w:tc>
          <w:tcPr>
            <w:tcW w:w="22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Balance, December 31, 2009</w:t>
            </w:r>
          </w:p>
        </w:tc>
        <w:tc>
          <w:tcPr>
            <w:tcW w:w="380" w:type="dxa"/>
            <w:vAlign w:val="bottom"/>
            <w:tcBorders>
              <w:bottom w:val="single" w:sz="8" w:color="auto"/>
            </w:tcBorders>
            <w:shd w:val="clear" w:color="auto" w:fill="E6EFFF"/>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E6EFFF"/>
          </w:tcPr>
          <w:p>
            <w:pPr>
              <w:jc w:val="right"/>
              <w:ind w:right="66"/>
              <w:spacing w:after="0"/>
              <w:rPr>
                <w:sz w:val="20"/>
                <w:szCs w:val="20"/>
                <w:color w:val="auto"/>
              </w:rPr>
            </w:pPr>
            <w:r>
              <w:rPr>
                <w:rFonts w:ascii="Arial" w:cs="Arial" w:eastAsia="Arial" w:hAnsi="Arial"/>
                <w:sz w:val="15"/>
                <w:szCs w:val="15"/>
                <w:color w:val="auto"/>
              </w:rPr>
              <w:t>171.3</w:t>
            </w:r>
          </w:p>
        </w:tc>
        <w:tc>
          <w:tcPr>
            <w:tcW w:w="340" w:type="dxa"/>
            <w:vAlign w:val="bottom"/>
            <w:tcBorders>
              <w:bottom w:val="single" w:sz="8" w:color="auto"/>
            </w:tcBorders>
            <w:shd w:val="clear" w:color="auto" w:fill="E6EFFF"/>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E6EFFF"/>
          </w:tcPr>
          <w:p>
            <w:pPr>
              <w:jc w:val="right"/>
              <w:ind w:right="26"/>
              <w:spacing w:after="0"/>
              <w:rPr>
                <w:sz w:val="20"/>
                <w:szCs w:val="20"/>
                <w:color w:val="auto"/>
              </w:rPr>
            </w:pPr>
            <w:r>
              <w:rPr>
                <w:rFonts w:ascii="Arial" w:cs="Arial" w:eastAsia="Arial" w:hAnsi="Arial"/>
                <w:sz w:val="15"/>
                <w:szCs w:val="15"/>
                <w:color w:val="auto"/>
              </w:rPr>
              <w:t>7.1</w:t>
            </w:r>
          </w:p>
        </w:tc>
        <w:tc>
          <w:tcPr>
            <w:tcW w:w="360" w:type="dxa"/>
            <w:vAlign w:val="bottom"/>
            <w:tcBorders>
              <w:bottom w:val="single" w:sz="8" w:color="auto"/>
            </w:tcBorders>
            <w:shd w:val="clear" w:color="auto" w:fill="E6EFFF"/>
          </w:tcPr>
          <w:p>
            <w:pPr>
              <w:jc w:val="right"/>
              <w:ind w:right="8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6EFFF"/>
          </w:tcPr>
          <w:p>
            <w:pPr>
              <w:jc w:val="right"/>
              <w:ind w:right="66"/>
              <w:spacing w:after="0"/>
              <w:rPr>
                <w:sz w:val="20"/>
                <w:szCs w:val="20"/>
                <w:color w:val="auto"/>
              </w:rPr>
            </w:pPr>
            <w:r>
              <w:rPr>
                <w:rFonts w:ascii="Arial" w:cs="Arial" w:eastAsia="Arial" w:hAnsi="Arial"/>
                <w:sz w:val="15"/>
                <w:szCs w:val="15"/>
                <w:color w:val="auto"/>
              </w:rPr>
              <w:t>286.9</w:t>
            </w:r>
          </w:p>
        </w:tc>
        <w:tc>
          <w:tcPr>
            <w:tcW w:w="360" w:type="dxa"/>
            <w:vAlign w:val="bottom"/>
            <w:tcBorders>
              <w:bottom w:val="single" w:sz="8" w:color="auto"/>
            </w:tcBorders>
            <w:shd w:val="clear" w:color="auto" w:fill="E6EFFF"/>
          </w:tcPr>
          <w:p>
            <w:pPr>
              <w:jc w:val="right"/>
              <w:ind w:right="1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E6EFFF"/>
          </w:tcPr>
          <w:p>
            <w:pPr>
              <w:jc w:val="right"/>
              <w:ind w:right="46"/>
              <w:spacing w:after="0"/>
              <w:rPr>
                <w:sz w:val="20"/>
                <w:szCs w:val="20"/>
                <w:color w:val="auto"/>
              </w:rPr>
            </w:pPr>
            <w:r>
              <w:rPr>
                <w:rFonts w:ascii="Arial" w:cs="Arial" w:eastAsia="Arial" w:hAnsi="Arial"/>
                <w:sz w:val="15"/>
                <w:szCs w:val="15"/>
                <w:color w:val="auto"/>
              </w:rPr>
              <w:t>58.9</w:t>
            </w:r>
          </w:p>
        </w:tc>
        <w:tc>
          <w:tcPr>
            <w:tcW w:w="2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E6EFFF"/>
          </w:tcPr>
          <w:p>
            <w:pPr>
              <w:jc w:val="right"/>
              <w:ind w:right="46"/>
              <w:spacing w:after="0"/>
              <w:rPr>
                <w:sz w:val="20"/>
                <w:szCs w:val="20"/>
                <w:color w:val="auto"/>
              </w:rPr>
            </w:pPr>
            <w:r>
              <w:rPr>
                <w:rFonts w:ascii="Arial" w:cs="Arial" w:eastAsia="Arial" w:hAnsi="Arial"/>
                <w:sz w:val="15"/>
                <w:szCs w:val="15"/>
                <w:color w:val="auto"/>
              </w:rPr>
              <w:t>150.7</w:t>
            </w:r>
          </w:p>
        </w:tc>
        <w:tc>
          <w:tcPr>
            <w:tcW w:w="28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6EFFF"/>
          </w:tcPr>
          <w:p>
            <w:pPr>
              <w:jc w:val="right"/>
              <w:ind w:right="46"/>
              <w:spacing w:after="0"/>
              <w:rPr>
                <w:sz w:val="20"/>
                <w:szCs w:val="20"/>
                <w:color w:val="auto"/>
              </w:rPr>
            </w:pPr>
            <w:r>
              <w:rPr>
                <w:rFonts w:ascii="Arial" w:cs="Arial" w:eastAsia="Arial" w:hAnsi="Arial"/>
                <w:sz w:val="15"/>
                <w:szCs w:val="15"/>
                <w:color w:val="auto"/>
              </w:rPr>
              <w:t>2.1</w:t>
            </w:r>
          </w:p>
        </w:tc>
        <w:tc>
          <w:tcPr>
            <w:tcW w:w="2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E6EFFF"/>
          </w:tcPr>
          <w:p>
            <w:pPr>
              <w:jc w:val="right"/>
              <w:ind w:right="126"/>
              <w:spacing w:after="0"/>
              <w:rPr>
                <w:sz w:val="20"/>
                <w:szCs w:val="20"/>
                <w:color w:val="auto"/>
              </w:rPr>
            </w:pPr>
            <w:r>
              <w:rPr>
                <w:rFonts w:ascii="Arial" w:cs="Arial" w:eastAsia="Arial" w:hAnsi="Arial"/>
                <w:sz w:val="15"/>
                <w:szCs w:val="15"/>
                <w:color w:val="auto"/>
              </w:rPr>
              <w:t>282.1</w:t>
            </w:r>
          </w:p>
        </w:tc>
        <w:tc>
          <w:tcPr>
            <w:tcW w:w="260" w:type="dxa"/>
            <w:vAlign w:val="bottom"/>
            <w:tcBorders>
              <w:bottom w:val="single" w:sz="8" w:color="auto"/>
            </w:tcBorders>
            <w:shd w:val="clear" w:color="auto" w:fill="E6EFFF"/>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959.1</w:t>
            </w:r>
          </w:p>
        </w:tc>
      </w:tr>
    </w:tbl>
    <w:p>
      <w:pPr>
        <w:spacing w:after="0" w:line="4" w:lineRule="exact"/>
        <w:rPr>
          <w:sz w:val="20"/>
          <w:szCs w:val="20"/>
          <w:color w:val="auto"/>
        </w:rPr>
      </w:pPr>
    </w:p>
    <w:p>
      <w:pPr>
        <w:ind w:left="188" w:hanging="188"/>
        <w:spacing w:after="0"/>
        <w:tabs>
          <w:tab w:leader="none" w:pos="188"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Balances related to Italy are $4.9 and $4.8 as of December 31, 2009 and 2008, respectively. The increase represents the impact of currency.</w:t>
      </w:r>
    </w:p>
    <w:p>
      <w:pPr>
        <w:ind w:left="188" w:hanging="188"/>
        <w:spacing w:after="0"/>
        <w:tabs>
          <w:tab w:leader="none" w:pos="188" w:val="left"/>
        </w:tabs>
        <w:numPr>
          <w:ilvl w:val="0"/>
          <w:numId w:val="32"/>
        </w:numPr>
        <w:rPr>
          <w:rFonts w:ascii="Arial" w:cs="Arial" w:eastAsia="Arial" w:hAnsi="Arial"/>
          <w:sz w:val="12"/>
          <w:szCs w:val="12"/>
          <w:color w:val="auto"/>
        </w:rPr>
      </w:pPr>
      <w:r>
        <w:rPr>
          <w:rFonts w:ascii="Arial" w:cs="Arial" w:eastAsia="Arial" w:hAnsi="Arial"/>
          <w:sz w:val="12"/>
          <w:szCs w:val="12"/>
          <w:color w:val="auto"/>
        </w:rPr>
        <w:t>For further information on the goodwill impairment charge, see Note 1 to the Consolidated Financial Statements.</w:t>
      </w:r>
    </w:p>
    <w:p>
      <w:pPr>
        <w:ind w:left="188" w:hanging="188"/>
        <w:spacing w:after="0"/>
        <w:tabs>
          <w:tab w:leader="none" w:pos="18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There were no significant reductions to goodwill as a result of dispositions or impairments prior to 2008.</w:t>
      </w:r>
    </w:p>
    <w:p>
      <w:pPr>
        <w:ind w:left="188" w:hanging="188"/>
        <w:spacing w:after="0"/>
        <w:tabs>
          <w:tab w:leader="none" w:pos="188"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Balances are net of accumulated impairment loss of $201.8 and $140.8 as of December 31, 2009 and 2008, respectively.</w:t>
      </w:r>
    </w:p>
    <w:p>
      <w:pPr>
        <w:spacing w:after="0" w:line="205"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The majority of the Corporate balance at December 31, 2009 relates to goodwill attributable to our acquisitions of Right Management ($184.4) and Jefferson Wells ($88.2).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the table below for the composition of goodwill balances by reporting unit.</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5"/>
          <w:szCs w:val="15"/>
          <w:color w:val="auto"/>
        </w:rPr>
        <w:t>Goodwill balances by reporting unit are as follows:</w:t>
      </w:r>
    </w:p>
    <w:p>
      <w:pPr>
        <w:spacing w:after="0" w:line="204" w:lineRule="exact"/>
        <w:rPr>
          <w:sz w:val="20"/>
          <w:szCs w:val="20"/>
          <w:color w:val="auto"/>
        </w:rPr>
      </w:pPr>
    </w:p>
    <w:tbl>
      <w:tblPr>
        <w:tblLayout w:type="fixed"/>
        <w:tblInd w:w="8" w:type="dxa"/>
        <w:tblCellMar>
          <w:top w:w="0" w:type="dxa"/>
          <w:left w:w="0" w:type="dxa"/>
          <w:bottom w:w="0" w:type="dxa"/>
          <w:right w:w="0" w:type="dxa"/>
        </w:tblCellMar>
      </w:tblPr>
      <w:tr>
        <w:trPr>
          <w:trHeight w:val="20"/>
        </w:trPr>
        <w:tc>
          <w:tcPr>
            <w:tcW w:w="8100" w:type="dxa"/>
            <w:vAlign w:val="bottom"/>
            <w:tcBorders>
              <w:right w:val="single" w:sz="8" w:color="4D8ABE"/>
            </w:tcBorders>
            <w:vMerge w:val="restart"/>
          </w:tcPr>
          <w:p>
            <w:pPr>
              <w:spacing w:after="0"/>
              <w:rPr>
                <w:sz w:val="20"/>
                <w:szCs w:val="20"/>
                <w:color w:val="auto"/>
              </w:rPr>
            </w:pPr>
            <w:r>
              <w:rPr>
                <w:rFonts w:ascii="Arial" w:cs="Arial" w:eastAsia="Arial" w:hAnsi="Arial"/>
                <w:sz w:val="14"/>
                <w:szCs w:val="14"/>
                <w:b w:val="1"/>
                <w:bCs w:val="1"/>
                <w:color w:val="4D8ABE"/>
              </w:rPr>
              <w:t>December 31</w:t>
            </w:r>
          </w:p>
        </w:tc>
        <w:tc>
          <w:tcPr>
            <w:tcW w:w="6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580" w:type="dxa"/>
            <w:vAlign w:val="bottom"/>
          </w:tcPr>
          <w:p>
            <w:pPr>
              <w:spacing w:after="0" w:line="20" w:lineRule="exact"/>
              <w:rPr>
                <w:sz w:val="1"/>
                <w:szCs w:val="1"/>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100" w:type="dxa"/>
            <w:vAlign w:val="bottom"/>
            <w:tcBorders>
              <w:bottom w:val="single" w:sz="8" w:color="4D8ABE"/>
              <w:right w:val="single" w:sz="8" w:color="4D8ABE"/>
            </w:tcBorders>
            <w:vMerge w:val="continue"/>
          </w:tcPr>
          <w:p>
            <w:pPr>
              <w:spacing w:after="0"/>
              <w:rPr>
                <w:sz w:val="15"/>
                <w:szCs w:val="15"/>
                <w:color w:val="auto"/>
              </w:rPr>
            </w:pPr>
          </w:p>
        </w:tc>
        <w:tc>
          <w:tcPr>
            <w:tcW w:w="6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580" w:type="dxa"/>
            <w:vAlign w:val="bottom"/>
            <w:tcBorders>
              <w:bottom w:val="single" w:sz="8" w:color="4D8ABE"/>
            </w:tcBorders>
          </w:tcPr>
          <w:p>
            <w:pPr>
              <w:spacing w:after="0"/>
              <w:rPr>
                <w:sz w:val="15"/>
                <w:szCs w:val="15"/>
                <w:color w:val="auto"/>
              </w:rPr>
            </w:pPr>
          </w:p>
        </w:tc>
        <w:tc>
          <w:tcPr>
            <w:tcW w:w="110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Right Management</w:t>
            </w:r>
          </w:p>
        </w:tc>
        <w:tc>
          <w:tcPr>
            <w:tcW w:w="60" w:type="dxa"/>
            <w:vAlign w:val="bottom"/>
            <w:shd w:val="clear" w:color="auto" w:fill="E6EFFF"/>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335.1</w:t>
            </w:r>
          </w:p>
        </w:tc>
        <w:tc>
          <w:tcPr>
            <w:tcW w:w="580" w:type="dxa"/>
            <w:vAlign w:val="bottom"/>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324.4</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United States</w:t>
            </w:r>
          </w:p>
        </w:tc>
        <w:tc>
          <w:tcPr>
            <w:tcW w:w="6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158.2</w:t>
            </w:r>
          </w:p>
        </w:tc>
        <w:tc>
          <w:tcPr>
            <w:tcW w:w="5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150.9</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Elan</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128.6</w:t>
            </w: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116.1</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Netherlands (Vitae)</w:t>
            </w:r>
          </w:p>
        </w:tc>
        <w:tc>
          <w:tcPr>
            <w:tcW w:w="6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87.6</w:t>
            </w:r>
          </w:p>
        </w:tc>
        <w:tc>
          <w:tcPr>
            <w:tcW w:w="5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85.4</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90.3</w:t>
            </w: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150.2</w:t>
            </w:r>
          </w:p>
        </w:tc>
        <w:tc>
          <w:tcPr>
            <w:tcW w:w="0" w:type="dxa"/>
            <w:vAlign w:val="bottom"/>
          </w:tcPr>
          <w:p>
            <w:pPr>
              <w:spacing w:after="0"/>
              <w:rPr>
                <w:sz w:val="1"/>
                <w:szCs w:val="1"/>
                <w:color w:val="auto"/>
              </w:rPr>
            </w:pPr>
          </w:p>
        </w:tc>
      </w:tr>
      <w:tr>
        <w:trPr>
          <w:trHeight w:val="187"/>
        </w:trPr>
        <w:tc>
          <w:tcPr>
            <w:tcW w:w="810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Other reporting units</w:t>
            </w:r>
          </w:p>
        </w:tc>
        <w:tc>
          <w:tcPr>
            <w:tcW w:w="6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159.3</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145.9</w:t>
            </w:r>
          </w:p>
        </w:tc>
        <w:tc>
          <w:tcPr>
            <w:tcW w:w="0" w:type="dxa"/>
            <w:vAlign w:val="bottom"/>
          </w:tcPr>
          <w:p>
            <w:pPr>
              <w:spacing w:after="0"/>
              <w:rPr>
                <w:sz w:val="1"/>
                <w:szCs w:val="1"/>
                <w:color w:val="auto"/>
              </w:rPr>
            </w:pPr>
          </w:p>
        </w:tc>
      </w:tr>
      <w:tr>
        <w:trPr>
          <w:trHeight w:val="187"/>
        </w:trPr>
        <w:tc>
          <w:tcPr>
            <w:tcW w:w="810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Total goodwill</w:t>
            </w:r>
          </w:p>
        </w:tc>
        <w:tc>
          <w:tcPr>
            <w:tcW w:w="6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959.1</w:t>
            </w:r>
          </w:p>
        </w:tc>
        <w:tc>
          <w:tcPr>
            <w:tcW w:w="580" w:type="dxa"/>
            <w:vAlign w:val="bottom"/>
            <w:tcBorders>
              <w:bottom w:val="single" w:sz="8" w:color="auto"/>
            </w:tcBorders>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972.9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8"/>
        <w:spacing w:after="0"/>
        <w:rPr>
          <w:sz w:val="20"/>
          <w:szCs w:val="20"/>
          <w:color w:val="auto"/>
        </w:rPr>
      </w:pPr>
      <w:r>
        <w:rPr>
          <w:rFonts w:ascii="Arial" w:cs="Arial" w:eastAsia="Arial" w:hAnsi="Arial"/>
          <w:sz w:val="21"/>
          <w:szCs w:val="21"/>
          <w:color w:val="4D8ABE"/>
        </w:rPr>
        <w:t>08.</w:t>
      </w:r>
    </w:p>
    <w:p>
      <w:pPr>
        <w:ind w:left="8"/>
        <w:spacing w:after="0"/>
        <w:rPr>
          <w:sz w:val="20"/>
          <w:szCs w:val="20"/>
          <w:color w:val="auto"/>
        </w:rPr>
      </w:pPr>
      <w:r>
        <w:rPr>
          <w:rFonts w:ascii="Arial" w:cs="Arial" w:eastAsia="Arial" w:hAnsi="Arial"/>
          <w:sz w:val="21"/>
          <w:szCs w:val="21"/>
          <w:color w:val="4D8ABE"/>
        </w:rPr>
        <w:t>Debt</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5"/>
          <w:szCs w:val="15"/>
          <w:color w:val="auto"/>
        </w:rPr>
        <w:t>Information concerning Short-Term Borrowings is as follows:</w:t>
      </w:r>
    </w:p>
    <w:p>
      <w:pPr>
        <w:spacing w:after="0" w:line="204" w:lineRule="exact"/>
        <w:rPr>
          <w:sz w:val="20"/>
          <w:szCs w:val="20"/>
          <w:color w:val="auto"/>
        </w:rPr>
      </w:pPr>
    </w:p>
    <w:tbl>
      <w:tblPr>
        <w:tblLayout w:type="fixed"/>
        <w:tblInd w:w="8" w:type="dxa"/>
        <w:tblCellMar>
          <w:top w:w="0" w:type="dxa"/>
          <w:left w:w="0" w:type="dxa"/>
          <w:bottom w:w="0" w:type="dxa"/>
          <w:right w:w="0" w:type="dxa"/>
        </w:tblCellMar>
      </w:tblPr>
      <w:tr>
        <w:trPr>
          <w:trHeight w:val="20"/>
        </w:trPr>
        <w:tc>
          <w:tcPr>
            <w:tcW w:w="8080" w:type="dxa"/>
            <w:vAlign w:val="bottom"/>
            <w:tcBorders>
              <w:right w:val="single" w:sz="8" w:color="4D8ABE"/>
            </w:tcBorders>
            <w:vMerge w:val="restart"/>
          </w:tcPr>
          <w:p>
            <w:pPr>
              <w:spacing w:after="0"/>
              <w:rPr>
                <w:sz w:val="20"/>
                <w:szCs w:val="20"/>
                <w:color w:val="auto"/>
              </w:rPr>
            </w:pPr>
            <w:r>
              <w:rPr>
                <w:rFonts w:ascii="Arial" w:cs="Arial" w:eastAsia="Arial" w:hAnsi="Arial"/>
                <w:sz w:val="14"/>
                <w:szCs w:val="14"/>
                <w:b w:val="1"/>
                <w:bCs w:val="1"/>
                <w:color w:val="4D8ABE"/>
              </w:rPr>
              <w:t>December 31</w:t>
            </w:r>
          </w:p>
        </w:tc>
        <w:tc>
          <w:tcPr>
            <w:tcW w:w="8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6"/>
              <w:spacing w:after="0"/>
              <w:rPr>
                <w:sz w:val="20"/>
                <w:szCs w:val="20"/>
                <w:color w:val="auto"/>
              </w:rPr>
            </w:pPr>
            <w:r>
              <w:rPr>
                <w:rFonts w:ascii="Arial" w:cs="Arial" w:eastAsia="Arial" w:hAnsi="Arial"/>
                <w:sz w:val="14"/>
                <w:szCs w:val="14"/>
                <w:b w:val="1"/>
                <w:bCs w:val="1"/>
                <w:color w:val="FFFFFF"/>
              </w:rPr>
              <w:t>2009</w:t>
            </w:r>
          </w:p>
        </w:tc>
        <w:tc>
          <w:tcPr>
            <w:tcW w:w="600" w:type="dxa"/>
            <w:vAlign w:val="bottom"/>
          </w:tcPr>
          <w:p>
            <w:pPr>
              <w:spacing w:after="0" w:line="20" w:lineRule="exact"/>
              <w:rPr>
                <w:sz w:val="1"/>
                <w:szCs w:val="1"/>
                <w:color w:val="auto"/>
              </w:rPr>
            </w:pPr>
          </w:p>
        </w:tc>
        <w:tc>
          <w:tcPr>
            <w:tcW w:w="108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080" w:type="dxa"/>
            <w:vAlign w:val="bottom"/>
            <w:tcBorders>
              <w:bottom w:val="single" w:sz="8" w:color="4D8ABE"/>
              <w:right w:val="single" w:sz="8" w:color="4D8ABE"/>
            </w:tcBorders>
            <w:vMerge w:val="continue"/>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600" w:type="dxa"/>
            <w:vAlign w:val="bottom"/>
            <w:tcBorders>
              <w:bottom w:val="single" w:sz="8" w:color="4D8ABE"/>
            </w:tcBorders>
          </w:tcPr>
          <w:p>
            <w:pPr>
              <w:spacing w:after="0"/>
              <w:rPr>
                <w:sz w:val="15"/>
                <w:szCs w:val="15"/>
                <w:color w:val="auto"/>
              </w:rPr>
            </w:pPr>
          </w:p>
        </w:tc>
        <w:tc>
          <w:tcPr>
            <w:tcW w:w="108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Short-term borrowings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shd w:val="clear" w:color="auto" w:fill="E6EFFF"/>
          </w:tcPr>
          <w:p>
            <w:pPr>
              <w:jc w:val="right"/>
              <w:ind w:right="166"/>
              <w:spacing w:after="0"/>
              <w:rPr>
                <w:sz w:val="20"/>
                <w:szCs w:val="20"/>
                <w:color w:val="auto"/>
              </w:rPr>
            </w:pPr>
            <w:r>
              <w:rPr>
                <w:rFonts w:ascii="Arial" w:cs="Arial" w:eastAsia="Arial" w:hAnsi="Arial"/>
                <w:sz w:val="15"/>
                <w:szCs w:val="15"/>
                <w:color w:val="4D8ABE"/>
              </w:rPr>
              <w:t>41.3</w:t>
            </w:r>
          </w:p>
        </w:tc>
        <w:tc>
          <w:tcPr>
            <w:tcW w:w="600" w:type="dxa"/>
            <w:vAlign w:val="bottom"/>
            <w:shd w:val="clear" w:color="auto" w:fill="E6EFFF"/>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187"/>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Weighted-average interest rates</w:t>
            </w: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4D8ABE"/>
            </w:tcBorders>
          </w:tcPr>
          <w:p>
            <w:pPr>
              <w:jc w:val="right"/>
              <w:ind w:right="166"/>
              <w:spacing w:after="0"/>
              <w:rPr>
                <w:sz w:val="20"/>
                <w:szCs w:val="20"/>
                <w:color w:val="auto"/>
              </w:rPr>
            </w:pPr>
            <w:r>
              <w:rPr>
                <w:rFonts w:ascii="Arial" w:cs="Arial" w:eastAsia="Arial" w:hAnsi="Arial"/>
                <w:sz w:val="15"/>
                <w:szCs w:val="15"/>
                <w:color w:val="4D8ABE"/>
              </w:rPr>
              <w:t>8.1%</w:t>
            </w: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8" w:right="20"/>
        <w:spacing w:after="0" w:line="244" w:lineRule="auto"/>
        <w:rPr>
          <w:sz w:val="20"/>
          <w:szCs w:val="20"/>
          <w:color w:val="auto"/>
        </w:rPr>
      </w:pPr>
      <w:r>
        <w:rPr>
          <w:rFonts w:ascii="Arial" w:cs="Arial" w:eastAsia="Arial" w:hAnsi="Arial"/>
          <w:sz w:val="15"/>
          <w:szCs w:val="15"/>
          <w:color w:val="auto"/>
        </w:rPr>
        <w:t>We maintain separate bank credit lines with financial institutions to meet working capital needs of our subsidiary operations. As of December 31, 2009, such uncommitted credit lines totaled $408.4, of which $367.1 was unused. Due to limitations on subsidiary borrowings in our revolving credit agreement, additional subsidiary borrowings of $257.7 could be made under these facilities as of December 31, 2009.</w:t>
      </w:r>
    </w:p>
    <w:p>
      <w:pPr>
        <w:spacing w:after="0" w:line="181"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35"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 summary of Long-Term Debt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80" w:type="dxa"/>
            <w:vAlign w:val="bottom"/>
            <w:tcBorders>
              <w:right w:val="single" w:sz="8" w:color="4D8ABE"/>
            </w:tcBorders>
            <w:vMerge w:val="restart"/>
          </w:tcPr>
          <w:p>
            <w:pPr>
              <w:spacing w:after="0"/>
              <w:rPr>
                <w:sz w:val="20"/>
                <w:szCs w:val="20"/>
                <w:color w:val="auto"/>
              </w:rPr>
            </w:pPr>
            <w:r>
              <w:rPr>
                <w:rFonts w:ascii="Arial" w:cs="Arial" w:eastAsia="Arial" w:hAnsi="Arial"/>
                <w:sz w:val="14"/>
                <w:szCs w:val="14"/>
                <w:b w:val="1"/>
                <w:bCs w:val="1"/>
                <w:color w:val="4D8ABE"/>
              </w:rPr>
              <w:t>December 31</w:t>
            </w:r>
          </w:p>
        </w:tc>
        <w:tc>
          <w:tcPr>
            <w:tcW w:w="8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580" w:type="dxa"/>
            <w:vAlign w:val="bottom"/>
          </w:tcPr>
          <w:p>
            <w:pPr>
              <w:spacing w:after="0" w:line="20" w:lineRule="exact"/>
              <w:rPr>
                <w:sz w:val="1"/>
                <w:szCs w:val="1"/>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080" w:type="dxa"/>
            <w:vAlign w:val="bottom"/>
            <w:tcBorders>
              <w:bottom w:val="single" w:sz="8" w:color="4D8ABE"/>
              <w:right w:val="single" w:sz="8" w:color="4D8ABE"/>
            </w:tcBorders>
            <w:vMerge w:val="continue"/>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580" w:type="dxa"/>
            <w:vAlign w:val="bottom"/>
            <w:tcBorders>
              <w:bottom w:val="single" w:sz="8" w:color="4D8ABE"/>
            </w:tcBorders>
          </w:tcPr>
          <w:p>
            <w:pPr>
              <w:spacing w:after="0"/>
              <w:rPr>
                <w:sz w:val="15"/>
                <w:szCs w:val="15"/>
                <w:color w:val="auto"/>
              </w:rPr>
            </w:pPr>
          </w:p>
        </w:tc>
        <w:tc>
          <w:tcPr>
            <w:tcW w:w="110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Euro-denominated notes: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€300 due June 2012</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429.0</w:t>
            </w: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418.2</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€200 due June 2013</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285.6</w:t>
            </w: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278.4</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Revolving credit agreement:</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Euro-denominated borrowings</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139.7</w:t>
            </w: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1600" w:type="dxa"/>
            <w:vAlign w:val="bottom"/>
            <w:tcBorders>
              <w:right w:val="single" w:sz="8" w:color="4D8ABE"/>
            </w:tcBorders>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Accounts receivable securitization</w:t>
            </w:r>
          </w:p>
        </w:tc>
        <w:tc>
          <w:tcPr>
            <w:tcW w:w="8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5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184"/>
        </w:trPr>
        <w:tc>
          <w:tcPr>
            <w:tcW w:w="8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1.4</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716.0</w:t>
            </w:r>
          </w:p>
        </w:tc>
        <w:tc>
          <w:tcPr>
            <w:tcW w:w="58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901.9</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Less – current maturities</w:t>
            </w: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0.4</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Long-term debt</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715.6</w:t>
            </w:r>
          </w:p>
        </w:tc>
        <w:tc>
          <w:tcPr>
            <w:tcW w:w="580" w:type="dxa"/>
            <w:vAlign w:val="bottom"/>
            <w:tcBorders>
              <w:bottom w:val="single" w:sz="8" w:color="auto"/>
            </w:tcBorders>
            <w:shd w:val="clear" w:color="auto" w:fill="E6EFFF"/>
          </w:tcPr>
          <w:p>
            <w:pPr>
              <w:jc w:val="right"/>
              <w:ind w:right="4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837.3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EURO NOTES</w:t>
      </w:r>
    </w:p>
    <w:p>
      <w:pPr>
        <w:spacing w:after="0" w:line="237"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Our €300.0 aggregate principal amount 4.50% notes are due June 1, 2012 (the “€300.0 Notes”). The €300.0 Notes were issued at a price of 99.518% to yield an effective interest rate of 4.58%. The discount of €1.4 ($1.8) is being amortized to interest expense over the term of the notes. Interest is payable annually on June 1.</w:t>
      </w:r>
    </w:p>
    <w:p>
      <w:pPr>
        <w:spacing w:after="0" w:line="194"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Our €200.0 aggregate principal amount 4.75% notes are due June 14, 2013 (the “€200.0 Notes”). The €200.0 Notes were issued at a price of 99.349% to yield an effective interest rate of 4.862%. The discount of €1.3 ($1.6) is being amortized to interest expense over the term of the €200.0 Notes. Interest is payable annually on June 14.</w:t>
      </w:r>
    </w:p>
    <w:p>
      <w:pPr>
        <w:spacing w:after="0" w:line="194"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The €300.0 Notes and €200.0 Notes are unsecured senior obligations and rank equally with all of our existing and future senior unsecured debt and other liabilities. We may redeem the €300.0 Notes or the €200.0 Notes, in whole but not in part, at our option at any time for a redemption price as defined in each agreement. These notes also contain certain customary non-financial restrictive covenants and events of default.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€300.0 Notes, €200.0 Notes and other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Income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REVOLVING CREDIT AGREEMENT</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a $400.0 revolving credit agreement with a syndicate of commercial banks that expires in November 2012. The revolving credit agreement allows for borrowings in various currencies, with up to $150.0 that may be used for the issuance of stand-by letters of credit. Outstanding letters of credit issued under the agreement totaled $8.6 and $3.8 as of December 31, 2009 and 2008, respectively. Additional borrowings of $391.4 were available to us under this revolving credit agreement as of December 31, 2009, however total additional borrowings under all facilities would be limited to $334.3 at December 31, 2009 by the financial covenants.</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On October 16, 2009, we amended our revolving credit agreement to revise certain terms and financial covenants. The amended revolving credit agreement (“Amended Revolving Credit Agreement”) reduced the size of the facility from $625.0 to $400.0. In addition, the Amended Revolving Credit Agreement requires that we comply with maximum Debt-to-EBITDA ratios, ranging from 3.25 to 1 to 6.00 to 1 beginning with the quarter ended September 30, 2009 through the quarter ending June 30, 2011, returning to a ratio of 3.25 to 1 for the quarter ending September 30, 2011 and each quarter thereafter. The Amended Revolving Credit Agreement also requires that we comply with minimum Fixed Charge Coverage ratios, ranging from 1.25 to 1 to 2.00 to 1 beginning with the quarter ended September 30, 2009 through the quarter ending December 31, 2011, returning to a ratio of 2.00 to 1 for the quarter ending March 31, 2012 and each quarter thereafter.</w:t>
      </w:r>
    </w:p>
    <w:p>
      <w:pPr>
        <w:spacing w:after="0" w:line="202"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As defined in the Amended Revolving Credit Agreement, we had a Debt-to-EBITDA ratio of 3.64 to 1 (compared to a maximum allowable ratio of 5.25 to 1) as of December 31, 2009 and a Fixed Charge Coverage ratio of 1.55 to 1 (compared to a minimum required ratio of 1.25 to 1) as of December 31, 2009.</w:t>
      </w:r>
    </w:p>
    <w:p>
      <w:pPr>
        <w:spacing w:after="0" w:line="177"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62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98" w:name="page99"/>
    <w:bookmarkEnd w:id="98"/>
    <w:p>
      <w:pPr>
        <w:jc w:val="both"/>
        <w:spacing w:after="0" w:line="242" w:lineRule="auto"/>
        <w:rPr>
          <w:sz w:val="20"/>
          <w:szCs w:val="20"/>
          <w:color w:val="auto"/>
        </w:rPr>
      </w:pPr>
      <w:r>
        <w:rPr>
          <w:rFonts w:ascii="Arial" w:cs="Arial" w:eastAsia="Arial" w:hAnsi="Arial"/>
          <w:sz w:val="15"/>
          <w:szCs w:val="15"/>
          <w:color w:val="auto"/>
        </w:rPr>
        <w:t>Under our Amended Revolving Credit Agreement, we have a ratings-based pricing grid which determines the facility fee and the credit spread that we add to the applicable interbank borrowing rate on all borrowings. At our current credit ratings, the facility fee is 45 bps, and the credit spread is 255 bps. Any further downgrades from the credit agencies would unfavorably impact our facility fees and result in additional costs ranging from approximately $0.6 to $1.3 annually. As of December 31, 2009, the interest rate under the agreement was Libor plus 2.55% (for U.S. Dollar borrowings, or alternative base rate for foreign currency borrowings). We had no borrowings under this amended credit agreement as of December 31, 2009.</w:t>
      </w:r>
    </w:p>
    <w:p>
      <w:pPr>
        <w:spacing w:after="0" w:line="199"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On October 16, 2009, we repaid the €100.0 ($146.4) borrowings outstanding under our revolving credit agreement, and terminated the related interest rate swap agreements. As a result, we incurred approximately $7.5 in fees classified as interest expense, which was recorded in the third quarter.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DEBT MATURITIES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maturities of Long-term debt payable within each of the four years subsequent to December 31, 2010 are as follows: 2011 – $0.5, 2012 – $429.4, 2013 – $285.7, and 2014 – none.</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4D8ABE"/>
        </w:rPr>
        <w:t>09.</w:t>
      </w:r>
    </w:p>
    <w:p>
      <w:pPr>
        <w:spacing w:after="0"/>
        <w:rPr>
          <w:sz w:val="20"/>
          <w:szCs w:val="20"/>
          <w:color w:val="auto"/>
        </w:rPr>
      </w:pPr>
      <w:r>
        <w:rPr>
          <w:rFonts w:ascii="Arial" w:cs="Arial" w:eastAsia="Arial" w:hAnsi="Arial"/>
          <w:sz w:val="21"/>
          <w:szCs w:val="21"/>
          <w:color w:val="4D8ABE"/>
        </w:rPr>
        <w:t>Retirement And Deferred Compensation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DEFINED BENEFIT PLANS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4D8ABE"/>
              </w:rPr>
              <w:t>U.S. Plans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4"/>
              <w:spacing w:after="0"/>
              <w:rPr>
                <w:sz w:val="20"/>
                <w:szCs w:val="20"/>
                <w:color w:val="auto"/>
              </w:rPr>
            </w:pPr>
            <w:r>
              <w:rPr>
                <w:rFonts w:ascii="Arial" w:cs="Arial" w:eastAsia="Arial" w:hAnsi="Arial"/>
                <w:sz w:val="14"/>
                <w:szCs w:val="14"/>
                <w:b w:val="1"/>
                <w:bCs w:val="1"/>
                <w:color w:val="4D8ABE"/>
              </w:rPr>
              <w:t>Non-U.S. Plans</w:t>
            </w:r>
          </w:p>
        </w:tc>
      </w:tr>
      <w:tr>
        <w:trPr>
          <w:trHeight w:val="182"/>
        </w:trPr>
        <w:tc>
          <w:tcPr>
            <w:tcW w:w="5620" w:type="dxa"/>
            <w:vAlign w:val="bottom"/>
            <w:tcBorders>
              <w:top w:val="single" w:sz="8" w:color="4D8ABE"/>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top w:val="single" w:sz="8" w:color="4D8ABE"/>
              <w:bottom w:val="single" w:sz="8" w:color="4D8ABE"/>
            </w:tcBorders>
            <w:shd w:val="clear" w:color="auto" w:fill="4D8ABE"/>
          </w:tcPr>
          <w:p>
            <w:pPr>
              <w:spacing w:after="0"/>
              <w:rPr>
                <w:sz w:val="15"/>
                <w:szCs w:val="15"/>
                <w:color w:val="auto"/>
              </w:rPr>
            </w:pPr>
          </w:p>
        </w:tc>
        <w:tc>
          <w:tcPr>
            <w:tcW w:w="1380" w:type="dxa"/>
            <w:vAlign w:val="bottom"/>
            <w:tcBorders>
              <w:top w:val="single" w:sz="8" w:color="4D8ABE"/>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320" w:type="dxa"/>
            <w:vAlign w:val="bottom"/>
            <w:tcBorders>
              <w:top w:val="single" w:sz="8" w:color="4D8ABE"/>
              <w:bottom w:val="single" w:sz="8" w:color="4D8ABE"/>
            </w:tcBorders>
          </w:tcPr>
          <w:p>
            <w:pPr>
              <w:spacing w:after="0"/>
              <w:rPr>
                <w:sz w:val="15"/>
                <w:szCs w:val="15"/>
                <w:color w:val="auto"/>
              </w:rPr>
            </w:pPr>
          </w:p>
        </w:tc>
        <w:tc>
          <w:tcPr>
            <w:tcW w:w="900" w:type="dxa"/>
            <w:vAlign w:val="bottom"/>
            <w:tcBorders>
              <w:top w:val="single" w:sz="8" w:color="4D8ABE"/>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2008</w:t>
            </w:r>
          </w:p>
        </w:tc>
        <w:tc>
          <w:tcPr>
            <w:tcW w:w="220" w:type="dxa"/>
            <w:vAlign w:val="bottom"/>
            <w:tcBorders>
              <w:bottom w:val="single" w:sz="8" w:color="E6EFFF"/>
            </w:tcBorders>
          </w:tcPr>
          <w:p>
            <w:pPr>
              <w:spacing w:after="0"/>
              <w:rPr>
                <w:sz w:val="15"/>
                <w:szCs w:val="15"/>
                <w:color w:val="auto"/>
              </w:rPr>
            </w:pPr>
          </w:p>
        </w:tc>
        <w:tc>
          <w:tcPr>
            <w:tcW w:w="100" w:type="dxa"/>
            <w:vAlign w:val="bottom"/>
            <w:tcBorders>
              <w:top w:val="single" w:sz="8" w:color="4D8ABE"/>
              <w:bottom w:val="single" w:sz="8" w:color="4D8ABE"/>
            </w:tcBorders>
            <w:shd w:val="clear" w:color="auto" w:fill="4D8ABE"/>
          </w:tcPr>
          <w:p>
            <w:pPr>
              <w:spacing w:after="0"/>
              <w:rPr>
                <w:sz w:val="15"/>
                <w:szCs w:val="15"/>
                <w:color w:val="auto"/>
              </w:rPr>
            </w:pPr>
          </w:p>
        </w:tc>
        <w:tc>
          <w:tcPr>
            <w:tcW w:w="1380" w:type="dxa"/>
            <w:vAlign w:val="bottom"/>
            <w:tcBorders>
              <w:top w:val="single" w:sz="8" w:color="4D8ABE"/>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160" w:type="dxa"/>
            <w:vAlign w:val="bottom"/>
            <w:tcBorders>
              <w:top w:val="single" w:sz="8" w:color="4D8ABE"/>
              <w:bottom w:val="single" w:sz="8" w:color="4D8ABE"/>
            </w:tcBorders>
          </w:tcPr>
          <w:p>
            <w:pPr>
              <w:spacing w:after="0"/>
              <w:rPr>
                <w:sz w:val="15"/>
                <w:szCs w:val="15"/>
                <w:color w:val="auto"/>
              </w:rPr>
            </w:pPr>
          </w:p>
        </w:tc>
        <w:tc>
          <w:tcPr>
            <w:tcW w:w="1280" w:type="dxa"/>
            <w:vAlign w:val="bottom"/>
            <w:tcBorders>
              <w:top w:val="single" w:sz="8" w:color="4D8ABE"/>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2008</w:t>
            </w:r>
          </w:p>
        </w:tc>
      </w:tr>
      <w:tr>
        <w:trPr>
          <w:trHeight w:val="177"/>
        </w:trPr>
        <w:tc>
          <w:tcPr>
            <w:tcW w:w="56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Change in Benefit Obligation</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spacing w:after="0"/>
              <w:rPr>
                <w:sz w:val="15"/>
                <w:szCs w:val="15"/>
                <w:color w:val="auto"/>
              </w:rPr>
            </w:pPr>
          </w:p>
        </w:tc>
      </w:tr>
      <w:tr>
        <w:trPr>
          <w:trHeight w:val="184"/>
        </w:trPr>
        <w:tc>
          <w:tcPr>
            <w:tcW w:w="562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Benefit obligation, beginning of year</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49.3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49.8</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208.8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243.8</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Service cost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11.1</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14.3</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Interest cost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3.0</w:t>
            </w:r>
          </w:p>
        </w:tc>
        <w:tc>
          <w:tcPr>
            <w:tcW w:w="320" w:type="dxa"/>
            <w:vAlign w:val="bottom"/>
          </w:tcPr>
          <w:p>
            <w:pPr>
              <w:spacing w:after="0"/>
              <w:rPr>
                <w:sz w:val="15"/>
                <w:szCs w:val="15"/>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11.1</w:t>
            </w:r>
          </w:p>
        </w:tc>
        <w:tc>
          <w:tcPr>
            <w:tcW w:w="1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12.3</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Plan amendments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24"/>
              <w:spacing w:after="0"/>
              <w:rPr>
                <w:sz w:val="20"/>
                <w:szCs w:val="20"/>
                <w:color w:val="auto"/>
              </w:rPr>
            </w:pPr>
            <w:r>
              <w:rPr>
                <w:rFonts w:ascii="Arial" w:cs="Arial" w:eastAsia="Arial" w:hAnsi="Arial"/>
                <w:sz w:val="15"/>
                <w:szCs w:val="15"/>
                <w:color w:val="4D8ABE"/>
              </w:rPr>
              <w:t>(1.4)</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10.5</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Curtailments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tcPr>
          <w:p>
            <w:pPr>
              <w:spacing w:after="0"/>
              <w:rPr>
                <w:sz w:val="15"/>
                <w:szCs w:val="15"/>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24"/>
              <w:spacing w:after="0"/>
              <w:rPr>
                <w:sz w:val="20"/>
                <w:szCs w:val="20"/>
                <w:color w:val="auto"/>
              </w:rPr>
            </w:pPr>
            <w:r>
              <w:rPr>
                <w:rFonts w:ascii="Arial" w:cs="Arial" w:eastAsia="Arial" w:hAnsi="Arial"/>
                <w:sz w:val="15"/>
                <w:szCs w:val="15"/>
                <w:color w:val="4D8ABE"/>
              </w:rPr>
              <w:t>(19.4)</w:t>
            </w:r>
          </w:p>
        </w:tc>
        <w:tc>
          <w:tcPr>
            <w:tcW w:w="1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Transfers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24"/>
              <w:spacing w:after="0"/>
              <w:rPr>
                <w:sz w:val="20"/>
                <w:szCs w:val="20"/>
                <w:color w:val="auto"/>
              </w:rPr>
            </w:pPr>
            <w:r>
              <w:rPr>
                <w:rFonts w:ascii="Arial" w:cs="Arial" w:eastAsia="Arial" w:hAnsi="Arial"/>
                <w:sz w:val="15"/>
                <w:szCs w:val="15"/>
                <w:color w:val="4D8ABE"/>
              </w:rPr>
              <w:t>(0.4)</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(0.8)</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Actuarial loss (gain)</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3.7</w:t>
            </w:r>
          </w:p>
        </w:tc>
        <w:tc>
          <w:tcPr>
            <w:tcW w:w="320" w:type="dxa"/>
            <w:vAlign w:val="bottom"/>
          </w:tcPr>
          <w:p>
            <w:pPr>
              <w:spacing w:after="0"/>
              <w:rPr>
                <w:sz w:val="15"/>
                <w:szCs w:val="15"/>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1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(26.3)</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Plan participant contributions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2.3</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2.8</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Benefits paid</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(4.3)</w:t>
            </w:r>
          </w:p>
        </w:tc>
        <w:tc>
          <w:tcPr>
            <w:tcW w:w="320" w:type="dxa"/>
            <w:vAlign w:val="bottom"/>
          </w:tcPr>
          <w:p>
            <w:pPr>
              <w:spacing w:after="0"/>
              <w:rPr>
                <w:sz w:val="15"/>
                <w:szCs w:val="15"/>
                <w:color w:val="auto"/>
              </w:rPr>
            </w:pPr>
          </w:p>
        </w:tc>
        <w:tc>
          <w:tcPr>
            <w:tcW w:w="1120" w:type="dxa"/>
            <w:vAlign w:val="bottom"/>
            <w:gridSpan w:val="2"/>
          </w:tcPr>
          <w:p>
            <w:pPr>
              <w:jc w:val="right"/>
              <w:ind w:right="83"/>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24"/>
              <w:spacing w:after="0"/>
              <w:rPr>
                <w:sz w:val="20"/>
                <w:szCs w:val="20"/>
                <w:color w:val="auto"/>
              </w:rPr>
            </w:pPr>
            <w:r>
              <w:rPr>
                <w:rFonts w:ascii="Arial" w:cs="Arial" w:eastAsia="Arial" w:hAnsi="Arial"/>
                <w:sz w:val="15"/>
                <w:szCs w:val="15"/>
                <w:color w:val="4D8ABE"/>
              </w:rPr>
              <w:t>(6.6)</w:t>
            </w:r>
          </w:p>
        </w:tc>
        <w:tc>
          <w:tcPr>
            <w:tcW w:w="1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(6.6)</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Currency exchange rate changes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20.1</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(41.2)</w:t>
            </w:r>
          </w:p>
        </w:tc>
      </w:tr>
      <w:tr>
        <w:trPr>
          <w:trHeight w:val="178"/>
        </w:trPr>
        <w:tc>
          <w:tcPr>
            <w:tcW w:w="5620" w:type="dxa"/>
            <w:vAlign w:val="bottom"/>
            <w:tcBorders>
              <w:top w:val="single" w:sz="8" w:color="auto"/>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Benefit obligation,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51.7</w:t>
            </w: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49.3</w:t>
            </w:r>
          </w:p>
        </w:tc>
        <w:tc>
          <w:tcPr>
            <w:tcW w:w="220" w:type="dxa"/>
            <w:vAlign w:val="bottom"/>
            <w:tcBorders>
              <w:bottom w:val="single" w:sz="8" w:color="E6EF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225.6</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208.8</w:t>
            </w:r>
          </w:p>
        </w:tc>
      </w:tr>
      <w:tr>
        <w:trPr>
          <w:trHeight w:val="184"/>
        </w:trPr>
        <w:tc>
          <w:tcPr>
            <w:tcW w:w="56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Change in Plan Assets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spacing w:after="0"/>
              <w:rPr>
                <w:sz w:val="15"/>
                <w:szCs w:val="15"/>
                <w:color w:val="auto"/>
              </w:rPr>
            </w:pPr>
          </w:p>
        </w:tc>
      </w:tr>
      <w:tr>
        <w:trPr>
          <w:trHeight w:val="184"/>
        </w:trPr>
        <w:tc>
          <w:tcPr>
            <w:tcW w:w="562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Fair value of plan assets, beginning of year</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30.3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41.9</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175.8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195.9</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Actual return on plan assets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6.2</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83"/>
              <w:spacing w:after="0"/>
              <w:rPr>
                <w:sz w:val="20"/>
                <w:szCs w:val="20"/>
                <w:color w:val="auto"/>
              </w:rPr>
            </w:pPr>
            <w:r>
              <w:rPr>
                <w:rFonts w:ascii="Arial" w:cs="Arial" w:eastAsia="Arial" w:hAnsi="Arial"/>
                <w:sz w:val="15"/>
                <w:szCs w:val="15"/>
                <w:color w:val="auto"/>
              </w:rPr>
              <w:t>(9.7)</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16.5</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(10.1)</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Curtailments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tcPr>
          <w:p>
            <w:pPr>
              <w:spacing w:after="0"/>
              <w:rPr>
                <w:sz w:val="15"/>
                <w:szCs w:val="15"/>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24"/>
              <w:spacing w:after="0"/>
              <w:rPr>
                <w:sz w:val="20"/>
                <w:szCs w:val="20"/>
                <w:color w:val="auto"/>
              </w:rPr>
            </w:pPr>
            <w:r>
              <w:rPr>
                <w:rFonts w:ascii="Arial" w:cs="Arial" w:eastAsia="Arial" w:hAnsi="Arial"/>
                <w:sz w:val="15"/>
                <w:szCs w:val="15"/>
                <w:color w:val="4D8ABE"/>
              </w:rPr>
              <w:t>(16.7)</w:t>
            </w:r>
          </w:p>
        </w:tc>
        <w:tc>
          <w:tcPr>
            <w:tcW w:w="1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Transfers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24"/>
              <w:spacing w:after="0"/>
              <w:rPr>
                <w:sz w:val="20"/>
                <w:szCs w:val="20"/>
                <w:color w:val="auto"/>
              </w:rPr>
            </w:pPr>
            <w:r>
              <w:rPr>
                <w:rFonts w:ascii="Arial" w:cs="Arial" w:eastAsia="Arial" w:hAnsi="Arial"/>
                <w:sz w:val="15"/>
                <w:szCs w:val="15"/>
                <w:color w:val="4D8ABE"/>
              </w:rPr>
              <w:t>(1.1)</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(0.1)</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Plan participant contributions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tcPr>
          <w:p>
            <w:pPr>
              <w:spacing w:after="0"/>
              <w:rPr>
                <w:sz w:val="15"/>
                <w:szCs w:val="15"/>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2.3</w:t>
            </w:r>
          </w:p>
        </w:tc>
        <w:tc>
          <w:tcPr>
            <w:tcW w:w="1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2.8</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Company contributions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2.8</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3.1</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12.9</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31.1</w:t>
            </w:r>
          </w:p>
        </w:tc>
      </w:tr>
      <w:tr>
        <w:trPr>
          <w:trHeight w:val="184"/>
        </w:trPr>
        <w:tc>
          <w:tcPr>
            <w:tcW w:w="562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Benefits paid</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(4.3)</w:t>
            </w:r>
          </w:p>
        </w:tc>
        <w:tc>
          <w:tcPr>
            <w:tcW w:w="320" w:type="dxa"/>
            <w:vAlign w:val="bottom"/>
          </w:tcPr>
          <w:p>
            <w:pPr>
              <w:spacing w:after="0"/>
              <w:rPr>
                <w:sz w:val="15"/>
                <w:szCs w:val="15"/>
                <w:color w:val="auto"/>
              </w:rPr>
            </w:pPr>
          </w:p>
        </w:tc>
        <w:tc>
          <w:tcPr>
            <w:tcW w:w="1120" w:type="dxa"/>
            <w:vAlign w:val="bottom"/>
            <w:gridSpan w:val="2"/>
          </w:tcPr>
          <w:p>
            <w:pPr>
              <w:jc w:val="right"/>
              <w:ind w:right="83"/>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24"/>
              <w:spacing w:after="0"/>
              <w:rPr>
                <w:sz w:val="20"/>
                <w:szCs w:val="20"/>
                <w:color w:val="auto"/>
              </w:rPr>
            </w:pPr>
            <w:r>
              <w:rPr>
                <w:rFonts w:ascii="Arial" w:cs="Arial" w:eastAsia="Arial" w:hAnsi="Arial"/>
                <w:sz w:val="15"/>
                <w:szCs w:val="15"/>
                <w:color w:val="4D8ABE"/>
              </w:rPr>
              <w:t>(6.6)</w:t>
            </w:r>
          </w:p>
        </w:tc>
        <w:tc>
          <w:tcPr>
            <w:tcW w:w="1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(6.6)</w:t>
            </w:r>
          </w:p>
        </w:tc>
      </w:tr>
      <w:tr>
        <w:trPr>
          <w:trHeight w:val="184"/>
        </w:trPr>
        <w:tc>
          <w:tcPr>
            <w:tcW w:w="562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Currency exchange rate changes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17.5</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(37.2)</w:t>
            </w:r>
          </w:p>
        </w:tc>
      </w:tr>
      <w:tr>
        <w:trPr>
          <w:trHeight w:val="178"/>
        </w:trPr>
        <w:tc>
          <w:tcPr>
            <w:tcW w:w="5620" w:type="dxa"/>
            <w:vAlign w:val="bottom"/>
            <w:tcBorders>
              <w:top w:val="single" w:sz="8" w:color="auto"/>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Fair value of plan assets,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35.0</w:t>
            </w: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220" w:type="dxa"/>
            <w:vAlign w:val="bottom"/>
            <w:tcBorders>
              <w:bottom w:val="single" w:sz="8" w:color="E6EF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200.6</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175.8</w:t>
            </w:r>
          </w:p>
        </w:tc>
      </w:tr>
      <w:tr>
        <w:trPr>
          <w:trHeight w:val="184"/>
        </w:trPr>
        <w:tc>
          <w:tcPr>
            <w:tcW w:w="56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Funded Status at End of Year</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spacing w:after="0"/>
              <w:rPr>
                <w:sz w:val="15"/>
                <w:szCs w:val="15"/>
                <w:color w:val="auto"/>
              </w:rPr>
            </w:pPr>
          </w:p>
        </w:tc>
      </w:tr>
      <w:tr>
        <w:trPr>
          <w:trHeight w:val="175"/>
        </w:trPr>
        <w:tc>
          <w:tcPr>
            <w:tcW w:w="562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Funded status, end of year</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(16.7)</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3"/>
              <w:spacing w:after="0"/>
              <w:rPr>
                <w:sz w:val="20"/>
                <w:szCs w:val="20"/>
                <w:color w:val="auto"/>
              </w:rPr>
            </w:pPr>
            <w:r>
              <w:rPr>
                <w:rFonts w:ascii="Arial" w:cs="Arial" w:eastAsia="Arial" w:hAnsi="Arial"/>
                <w:sz w:val="15"/>
                <w:szCs w:val="15"/>
                <w:color w:val="auto"/>
              </w:rPr>
              <w:t>(19.0)</w:t>
            </w:r>
          </w:p>
        </w:tc>
        <w:tc>
          <w:tcPr>
            <w:tcW w:w="10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24"/>
              <w:spacing w:after="0"/>
              <w:rPr>
                <w:sz w:val="20"/>
                <w:szCs w:val="20"/>
                <w:color w:val="auto"/>
              </w:rPr>
            </w:pPr>
            <w:r>
              <w:rPr>
                <w:rFonts w:ascii="Arial" w:cs="Arial" w:eastAsia="Arial" w:hAnsi="Arial"/>
                <w:sz w:val="15"/>
                <w:szCs w:val="15"/>
                <w:color w:val="4D8ABE"/>
              </w:rPr>
              <w:t>(25.0)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(33.0)</w:t>
            </w:r>
          </w:p>
        </w:tc>
      </w:tr>
      <w:tr>
        <w:trPr>
          <w:trHeight w:val="184"/>
        </w:trPr>
        <w:tc>
          <w:tcPr>
            <w:tcW w:w="5620" w:type="dxa"/>
            <w:vAlign w:val="bottom"/>
            <w:tcBorders>
              <w:top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Amounts Recognized</w:t>
            </w:r>
          </w:p>
        </w:tc>
        <w:tc>
          <w:tcPr>
            <w:tcW w:w="80" w:type="dxa"/>
            <w:vAlign w:val="bottom"/>
            <w:tcBorders>
              <w:top w:val="single" w:sz="8" w:color="auto"/>
            </w:tcBorders>
            <w:shd w:val="clear" w:color="auto" w:fill="E6EFFF"/>
          </w:tcPr>
          <w:p>
            <w:pPr>
              <w:spacing w:after="0"/>
              <w:rPr>
                <w:sz w:val="15"/>
                <w:szCs w:val="15"/>
                <w:color w:val="auto"/>
              </w:rPr>
            </w:pPr>
          </w:p>
        </w:tc>
        <w:tc>
          <w:tcPr>
            <w:tcW w:w="1380" w:type="dxa"/>
            <w:vAlign w:val="bottom"/>
            <w:tcBorders>
              <w:top w:val="single" w:sz="8" w:color="auto"/>
              <w:right w:val="single" w:sz="8" w:color="4D8ABE"/>
            </w:tcBorders>
            <w:shd w:val="clear" w:color="auto" w:fill="E6EFFF"/>
          </w:tcPr>
          <w:p>
            <w:pPr>
              <w:spacing w:after="0"/>
              <w:rPr>
                <w:sz w:val="15"/>
                <w:szCs w:val="15"/>
                <w:color w:val="auto"/>
              </w:rPr>
            </w:pPr>
          </w:p>
        </w:tc>
        <w:tc>
          <w:tcPr>
            <w:tcW w:w="320" w:type="dxa"/>
            <w:vAlign w:val="bottom"/>
            <w:tcBorders>
              <w:top w:val="single" w:sz="8" w:color="auto"/>
            </w:tcBorders>
            <w:shd w:val="clear" w:color="auto" w:fill="E6EFFF"/>
          </w:tcPr>
          <w:p>
            <w:pPr>
              <w:spacing w:after="0"/>
              <w:rPr>
                <w:sz w:val="15"/>
                <w:szCs w:val="15"/>
                <w:color w:val="auto"/>
              </w:rPr>
            </w:pPr>
          </w:p>
        </w:tc>
        <w:tc>
          <w:tcPr>
            <w:tcW w:w="900" w:type="dxa"/>
            <w:vAlign w:val="bottom"/>
            <w:tcBorders>
              <w:top w:val="single" w:sz="8" w:color="auto"/>
            </w:tcBorders>
            <w:shd w:val="clear" w:color="auto" w:fill="E6EFFF"/>
          </w:tcPr>
          <w:p>
            <w:pPr>
              <w:spacing w:after="0"/>
              <w:rPr>
                <w:sz w:val="15"/>
                <w:szCs w:val="15"/>
                <w:color w:val="auto"/>
              </w:rPr>
            </w:pPr>
          </w:p>
        </w:tc>
        <w:tc>
          <w:tcPr>
            <w:tcW w:w="22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auto"/>
            </w:tcBorders>
            <w:shd w:val="clear" w:color="auto" w:fill="E6EFFF"/>
          </w:tcPr>
          <w:p>
            <w:pPr>
              <w:spacing w:after="0"/>
              <w:rPr>
                <w:sz w:val="15"/>
                <w:szCs w:val="15"/>
                <w:color w:val="auto"/>
              </w:rPr>
            </w:pPr>
          </w:p>
        </w:tc>
        <w:tc>
          <w:tcPr>
            <w:tcW w:w="1380" w:type="dxa"/>
            <w:vAlign w:val="bottom"/>
            <w:tcBorders>
              <w:top w:val="single" w:sz="8" w:color="auto"/>
              <w:right w:val="single" w:sz="8" w:color="4D8ABE"/>
            </w:tcBorders>
            <w:shd w:val="clear" w:color="auto" w:fill="E6EFFF"/>
          </w:tcPr>
          <w:p>
            <w:pPr>
              <w:spacing w:after="0"/>
              <w:rPr>
                <w:sz w:val="15"/>
                <w:szCs w:val="15"/>
                <w:color w:val="auto"/>
              </w:rPr>
            </w:pPr>
          </w:p>
        </w:tc>
        <w:tc>
          <w:tcPr>
            <w:tcW w:w="160" w:type="dxa"/>
            <w:vAlign w:val="bottom"/>
            <w:tcBorders>
              <w:top w:val="single" w:sz="8" w:color="auto"/>
            </w:tcBorders>
            <w:shd w:val="clear" w:color="auto" w:fill="E6EFFF"/>
          </w:tcPr>
          <w:p>
            <w:pPr>
              <w:spacing w:after="0"/>
              <w:rPr>
                <w:sz w:val="15"/>
                <w:szCs w:val="15"/>
                <w:color w:val="auto"/>
              </w:rPr>
            </w:pPr>
          </w:p>
        </w:tc>
        <w:tc>
          <w:tcPr>
            <w:tcW w:w="1280" w:type="dxa"/>
            <w:vAlign w:val="bottom"/>
            <w:tcBorders>
              <w:top w:val="single" w:sz="8" w:color="auto"/>
            </w:tcBorders>
            <w:shd w:val="clear" w:color="auto" w:fill="E6EFFF"/>
          </w:tcPr>
          <w:p>
            <w:pPr>
              <w:spacing w:after="0"/>
              <w:rPr>
                <w:sz w:val="15"/>
                <w:szCs w:val="15"/>
                <w:color w:val="auto"/>
              </w:rPr>
            </w:pPr>
          </w:p>
        </w:tc>
      </w:tr>
      <w:tr>
        <w:trPr>
          <w:trHeight w:val="184"/>
        </w:trPr>
        <w:tc>
          <w:tcPr>
            <w:tcW w:w="562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Noncurrent assets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13.9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3"/>
              <w:spacing w:after="0"/>
              <w:rPr>
                <w:sz w:val="20"/>
                <w:szCs w:val="20"/>
                <w:color w:val="auto"/>
              </w:rPr>
            </w:pPr>
            <w:r>
              <w:rPr>
                <w:rFonts w:ascii="Arial" w:cs="Arial" w:eastAsia="Arial" w:hAnsi="Arial"/>
                <w:sz w:val="15"/>
                <w:szCs w:val="15"/>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24.0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15.4</w:t>
            </w:r>
          </w:p>
        </w:tc>
      </w:tr>
      <w:tr>
        <w:trPr>
          <w:trHeight w:val="184"/>
        </w:trPr>
        <w:tc>
          <w:tcPr>
            <w:tcW w:w="56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Current liabilities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(2.4)</w:t>
            </w:r>
          </w:p>
        </w:tc>
        <w:tc>
          <w:tcPr>
            <w:tcW w:w="320" w:type="dxa"/>
            <w:vAlign w:val="bottom"/>
            <w:shd w:val="clear" w:color="auto" w:fill="E6EFFF"/>
          </w:tcPr>
          <w:p>
            <w:pPr>
              <w:spacing w:after="0"/>
              <w:rPr>
                <w:sz w:val="15"/>
                <w:szCs w:val="15"/>
                <w:color w:val="auto"/>
              </w:rPr>
            </w:pPr>
          </w:p>
        </w:tc>
        <w:tc>
          <w:tcPr>
            <w:tcW w:w="1120" w:type="dxa"/>
            <w:vAlign w:val="bottom"/>
            <w:gridSpan w:val="2"/>
            <w:shd w:val="clear" w:color="auto" w:fill="E6EFFF"/>
          </w:tcPr>
          <w:p>
            <w:pPr>
              <w:jc w:val="right"/>
              <w:ind w:right="83"/>
              <w:spacing w:after="0"/>
              <w:rPr>
                <w:sz w:val="20"/>
                <w:szCs w:val="20"/>
                <w:color w:val="auto"/>
              </w:rPr>
            </w:pPr>
            <w:r>
              <w:rPr>
                <w:rFonts w:ascii="Arial" w:cs="Arial" w:eastAsia="Arial" w:hAnsi="Arial"/>
                <w:sz w:val="15"/>
                <w:szCs w:val="15"/>
                <w:color w:val="auto"/>
              </w:rPr>
              <w:t>(1.7)</w:t>
            </w:r>
          </w:p>
        </w:tc>
        <w:tc>
          <w:tcPr>
            <w:tcW w:w="10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24"/>
              <w:spacing w:after="0"/>
              <w:rPr>
                <w:sz w:val="20"/>
                <w:szCs w:val="20"/>
                <w:color w:val="auto"/>
              </w:rPr>
            </w:pPr>
            <w:r>
              <w:rPr>
                <w:rFonts w:ascii="Arial" w:cs="Arial" w:eastAsia="Arial" w:hAnsi="Arial"/>
                <w:sz w:val="15"/>
                <w:szCs w:val="15"/>
                <w:color w:val="4D8ABE"/>
              </w:rPr>
              <w:t>(0.5)</w:t>
            </w:r>
          </w:p>
        </w:tc>
        <w:tc>
          <w:tcPr>
            <w:tcW w:w="16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(0.5)</w:t>
            </w:r>
          </w:p>
        </w:tc>
      </w:tr>
      <w:tr>
        <w:trPr>
          <w:trHeight w:val="184"/>
        </w:trPr>
        <w:tc>
          <w:tcPr>
            <w:tcW w:w="562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Noncurrent liabilities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(28.2)</w:t>
            </w:r>
          </w:p>
        </w:tc>
        <w:tc>
          <w:tcPr>
            <w:tcW w:w="320" w:type="dxa"/>
            <w:vAlign w:val="bottom"/>
          </w:tcPr>
          <w:p>
            <w:pPr>
              <w:spacing w:after="0"/>
              <w:rPr>
                <w:sz w:val="15"/>
                <w:szCs w:val="15"/>
                <w:color w:val="auto"/>
              </w:rPr>
            </w:pPr>
          </w:p>
        </w:tc>
        <w:tc>
          <w:tcPr>
            <w:tcW w:w="1120" w:type="dxa"/>
            <w:vAlign w:val="bottom"/>
            <w:gridSpan w:val="2"/>
          </w:tcPr>
          <w:p>
            <w:pPr>
              <w:jc w:val="right"/>
              <w:ind w:right="83"/>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24"/>
              <w:spacing w:after="0"/>
              <w:rPr>
                <w:sz w:val="20"/>
                <w:szCs w:val="20"/>
                <w:color w:val="auto"/>
              </w:rPr>
            </w:pPr>
            <w:r>
              <w:rPr>
                <w:rFonts w:ascii="Arial" w:cs="Arial" w:eastAsia="Arial" w:hAnsi="Arial"/>
                <w:sz w:val="15"/>
                <w:szCs w:val="15"/>
                <w:color w:val="4D8ABE"/>
              </w:rPr>
              <w:t>(48.5)</w:t>
            </w:r>
          </w:p>
        </w:tc>
        <w:tc>
          <w:tcPr>
            <w:tcW w:w="1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(47.9)</w:t>
            </w:r>
          </w:p>
        </w:tc>
      </w:tr>
      <w:tr>
        <w:trPr>
          <w:trHeight w:val="167"/>
        </w:trPr>
        <w:tc>
          <w:tcPr>
            <w:tcW w:w="5620" w:type="dxa"/>
            <w:vAlign w:val="bottom"/>
            <w:tcBorders>
              <w:top w:val="single" w:sz="8" w:color="auto"/>
              <w:bottom w:val="single" w:sz="8" w:color="auto"/>
              <w:right w:val="single" w:sz="8" w:color="4D8ABE"/>
            </w:tcBorders>
            <w:shd w:val="clear" w:color="auto" w:fill="E6EFFF"/>
          </w:tcPr>
          <w:p>
            <w:pPr>
              <w:spacing w:after="0" w:line="164" w:lineRule="exact"/>
              <w:rPr>
                <w:sz w:val="20"/>
                <w:szCs w:val="20"/>
                <w:color w:val="auto"/>
              </w:rPr>
            </w:pPr>
            <w:r>
              <w:rPr>
                <w:rFonts w:ascii="Arial" w:cs="Arial" w:eastAsia="Arial" w:hAnsi="Arial"/>
                <w:sz w:val="15"/>
                <w:szCs w:val="15"/>
                <w:color w:val="auto"/>
              </w:rPr>
              <w:t>Net amount recognized</w:t>
            </w:r>
          </w:p>
        </w:tc>
        <w:tc>
          <w:tcPr>
            <w:tcW w:w="80" w:type="dxa"/>
            <w:vAlign w:val="bottom"/>
            <w:tcBorders>
              <w:top w:val="single" w:sz="8" w:color="auto"/>
              <w:bottom w:val="single" w:sz="8" w:color="auto"/>
            </w:tcBorders>
            <w:shd w:val="clear" w:color="auto" w:fill="E6EFFF"/>
          </w:tcPr>
          <w:p>
            <w:pPr>
              <w:jc w:val="right"/>
              <w:spacing w:after="0" w:line="164" w:lineRule="exact"/>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shd w:val="clear" w:color="auto" w:fill="E6EFFF"/>
          </w:tcPr>
          <w:p>
            <w:pPr>
              <w:jc w:val="right"/>
              <w:ind w:right="104"/>
              <w:spacing w:after="0" w:line="164" w:lineRule="exact"/>
              <w:rPr>
                <w:sz w:val="20"/>
                <w:szCs w:val="20"/>
                <w:color w:val="auto"/>
              </w:rPr>
            </w:pPr>
            <w:r>
              <w:rPr>
                <w:rFonts w:ascii="Arial" w:cs="Arial" w:eastAsia="Arial" w:hAnsi="Arial"/>
                <w:sz w:val="15"/>
                <w:szCs w:val="15"/>
                <w:color w:val="4D8ABE"/>
              </w:rPr>
              <w:t>(16.7)</w:t>
            </w:r>
          </w:p>
        </w:tc>
        <w:tc>
          <w:tcPr>
            <w:tcW w:w="320" w:type="dxa"/>
            <w:vAlign w:val="bottom"/>
            <w:tcBorders>
              <w:top w:val="single" w:sz="8" w:color="auto"/>
              <w:bottom w:val="single" w:sz="8" w:color="auto"/>
            </w:tcBorders>
            <w:shd w:val="clear" w:color="auto" w:fill="E6EFFF"/>
          </w:tcPr>
          <w:p>
            <w:pPr>
              <w:jc w:val="right"/>
              <w:ind w:right="163"/>
              <w:spacing w:after="0" w:line="164"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6EFFF"/>
          </w:tcPr>
          <w:p>
            <w:pPr>
              <w:jc w:val="right"/>
              <w:spacing w:after="0" w:line="164" w:lineRule="exact"/>
              <w:rPr>
                <w:sz w:val="20"/>
                <w:szCs w:val="20"/>
                <w:color w:val="auto"/>
              </w:rPr>
            </w:pPr>
            <w:r>
              <w:rPr>
                <w:rFonts w:ascii="Arial" w:cs="Arial" w:eastAsia="Arial" w:hAnsi="Arial"/>
                <w:sz w:val="15"/>
                <w:szCs w:val="15"/>
                <w:color w:val="auto"/>
              </w:rPr>
              <w:t>(19.0</w:t>
            </w:r>
          </w:p>
        </w:tc>
        <w:tc>
          <w:tcPr>
            <w:tcW w:w="220" w:type="dxa"/>
            <w:vAlign w:val="bottom"/>
            <w:tcBorders>
              <w:top w:val="single" w:sz="8" w:color="E6EFFF"/>
              <w:bottom w:val="single" w:sz="8" w:color="E6EFFF"/>
            </w:tcBorders>
            <w:shd w:val="clear" w:color="auto" w:fill="E6EFFF"/>
          </w:tcPr>
          <w:p>
            <w:pPr>
              <w:jc w:val="right"/>
              <w:ind w:right="83"/>
              <w:spacing w:after="0" w:line="164" w:lineRule="exact"/>
              <w:rPr>
                <w:sz w:val="20"/>
                <w:szCs w:val="20"/>
                <w:color w:val="auto"/>
              </w:rPr>
            </w:pPr>
            <w:r>
              <w:rPr>
                <w:rFonts w:ascii="Arial" w:cs="Arial" w:eastAsia="Arial" w:hAnsi="Arial"/>
                <w:sz w:val="15"/>
                <w:szCs w:val="15"/>
                <w:color w:val="auto"/>
                <w:w w:val="79"/>
              </w:rPr>
              <w:t>)</w:t>
            </w:r>
          </w:p>
        </w:tc>
        <w:tc>
          <w:tcPr>
            <w:tcW w:w="100" w:type="dxa"/>
            <w:vAlign w:val="bottom"/>
            <w:tcBorders>
              <w:top w:val="single" w:sz="8" w:color="auto"/>
              <w:bottom w:val="single" w:sz="8" w:color="auto"/>
            </w:tcBorders>
            <w:shd w:val="clear" w:color="auto" w:fill="E6EFFF"/>
          </w:tcPr>
          <w:p>
            <w:pPr>
              <w:jc w:val="right"/>
              <w:spacing w:after="0" w:line="164" w:lineRule="exact"/>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shd w:val="clear" w:color="auto" w:fill="E6EFFF"/>
          </w:tcPr>
          <w:p>
            <w:pPr>
              <w:jc w:val="right"/>
              <w:ind w:right="124"/>
              <w:spacing w:after="0" w:line="164" w:lineRule="exact"/>
              <w:rPr>
                <w:sz w:val="20"/>
                <w:szCs w:val="20"/>
                <w:color w:val="auto"/>
              </w:rPr>
            </w:pPr>
            <w:r>
              <w:rPr>
                <w:rFonts w:ascii="Arial" w:cs="Arial" w:eastAsia="Arial" w:hAnsi="Arial"/>
                <w:sz w:val="15"/>
                <w:szCs w:val="15"/>
                <w:color w:val="4D8ABE"/>
              </w:rPr>
              <w:t>(25.0)</w:t>
            </w:r>
          </w:p>
        </w:tc>
        <w:tc>
          <w:tcPr>
            <w:tcW w:w="160" w:type="dxa"/>
            <w:vAlign w:val="bottom"/>
            <w:tcBorders>
              <w:top w:val="single" w:sz="8" w:color="auto"/>
              <w:bottom w:val="single" w:sz="8" w:color="auto"/>
            </w:tcBorders>
            <w:shd w:val="clear" w:color="auto" w:fill="E6EFFF"/>
          </w:tcPr>
          <w:p>
            <w:pPr>
              <w:jc w:val="right"/>
              <w:ind w:right="3"/>
              <w:spacing w:after="0" w:line="164" w:lineRule="exact"/>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6EFFF"/>
          </w:tcPr>
          <w:p>
            <w:pPr>
              <w:jc w:val="right"/>
              <w:ind w:right="104"/>
              <w:spacing w:after="0" w:line="164" w:lineRule="exact"/>
              <w:rPr>
                <w:sz w:val="20"/>
                <w:szCs w:val="20"/>
                <w:color w:val="auto"/>
              </w:rPr>
            </w:pPr>
            <w:r>
              <w:rPr>
                <w:rFonts w:ascii="Arial" w:cs="Arial" w:eastAsia="Arial" w:hAnsi="Arial"/>
                <w:sz w:val="15"/>
                <w:szCs w:val="15"/>
                <w:color w:val="auto"/>
              </w:rPr>
              <w:t>(33.0)</w:t>
            </w:r>
          </w:p>
        </w:tc>
      </w:tr>
    </w:tbl>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Effective January 1, 2009, we terminated our defined benefit plan in Japan and replaced it with a defined contribution plan, resulting in a curtailment and settlement gain of $4.3.</w:t>
      </w:r>
    </w:p>
    <w:p>
      <w:pPr>
        <w:spacing w:after="0" w:line="177" w:lineRule="exact"/>
        <w:rPr>
          <w:sz w:val="20"/>
          <w:szCs w:val="20"/>
          <w:color w:val="auto"/>
        </w:rPr>
      </w:pPr>
    </w:p>
    <w:p>
      <w:pPr>
        <w:ind w:left="6260"/>
        <w:spacing w:after="0"/>
        <w:tabs>
          <w:tab w:leader="none" w:pos="932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Amounts recognized in Accumulated Other Comprehensive Income (Loss), net of tax, consist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4D8ABE"/>
              </w:rPr>
              <w:t>U.S. Plans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46"/>
              <w:spacing w:after="0"/>
              <w:rPr>
                <w:sz w:val="20"/>
                <w:szCs w:val="20"/>
                <w:color w:val="auto"/>
              </w:rPr>
            </w:pPr>
            <w:r>
              <w:rPr>
                <w:rFonts w:ascii="Arial" w:cs="Arial" w:eastAsia="Arial" w:hAnsi="Arial"/>
                <w:sz w:val="14"/>
                <w:szCs w:val="14"/>
                <w:b w:val="1"/>
                <w:bCs w:val="1"/>
                <w:color w:val="4D8ABE"/>
              </w:rPr>
              <w:t>Non-U.S. Plans</w:t>
            </w:r>
          </w:p>
        </w:tc>
      </w:tr>
      <w:tr>
        <w:trPr>
          <w:trHeight w:val="162"/>
        </w:trPr>
        <w:tc>
          <w:tcPr>
            <w:tcW w:w="5620" w:type="dxa"/>
            <w:vAlign w:val="bottom"/>
            <w:tcBorders>
              <w:top w:val="single" w:sz="8" w:color="4D8ABE"/>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top w:val="single" w:sz="8" w:color="4D8ABE"/>
              <w:bottom w:val="single" w:sz="8" w:color="4D8ABE"/>
            </w:tcBorders>
            <w:shd w:val="clear" w:color="auto" w:fill="4D8ABE"/>
          </w:tcPr>
          <w:p>
            <w:pPr>
              <w:spacing w:after="0"/>
              <w:rPr>
                <w:sz w:val="14"/>
                <w:szCs w:val="14"/>
                <w:color w:val="auto"/>
              </w:rPr>
            </w:pPr>
          </w:p>
        </w:tc>
        <w:tc>
          <w:tcPr>
            <w:tcW w:w="1380" w:type="dxa"/>
            <w:vAlign w:val="bottom"/>
            <w:tcBorders>
              <w:top w:val="single" w:sz="8" w:color="4D8ABE"/>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320" w:type="dxa"/>
            <w:vAlign w:val="bottom"/>
            <w:tcBorders>
              <w:top w:val="single" w:sz="8" w:color="4D8ABE"/>
              <w:bottom w:val="single" w:sz="8" w:color="4D8ABE"/>
            </w:tcBorders>
          </w:tcPr>
          <w:p>
            <w:pPr>
              <w:spacing w:after="0"/>
              <w:rPr>
                <w:sz w:val="14"/>
                <w:szCs w:val="14"/>
                <w:color w:val="auto"/>
              </w:rPr>
            </w:pPr>
          </w:p>
        </w:tc>
        <w:tc>
          <w:tcPr>
            <w:tcW w:w="900" w:type="dxa"/>
            <w:vAlign w:val="bottom"/>
            <w:tcBorders>
              <w:top w:val="single" w:sz="8" w:color="4D8ABE"/>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2008</w:t>
            </w:r>
          </w:p>
        </w:tc>
        <w:tc>
          <w:tcPr>
            <w:tcW w:w="220" w:type="dxa"/>
            <w:vAlign w:val="bottom"/>
            <w:tcBorders>
              <w:bottom w:val="single" w:sz="8" w:color="E6EFFF"/>
            </w:tcBorders>
          </w:tcPr>
          <w:p>
            <w:pPr>
              <w:spacing w:after="0"/>
              <w:rPr>
                <w:sz w:val="14"/>
                <w:szCs w:val="14"/>
                <w:color w:val="auto"/>
              </w:rPr>
            </w:pPr>
          </w:p>
        </w:tc>
        <w:tc>
          <w:tcPr>
            <w:tcW w:w="100" w:type="dxa"/>
            <w:vAlign w:val="bottom"/>
            <w:tcBorders>
              <w:top w:val="single" w:sz="8" w:color="4D8ABE"/>
              <w:bottom w:val="single" w:sz="8" w:color="4D8ABE"/>
            </w:tcBorders>
            <w:shd w:val="clear" w:color="auto" w:fill="4D8ABE"/>
          </w:tcPr>
          <w:p>
            <w:pPr>
              <w:spacing w:after="0"/>
              <w:rPr>
                <w:sz w:val="14"/>
                <w:szCs w:val="14"/>
                <w:color w:val="auto"/>
              </w:rPr>
            </w:pPr>
          </w:p>
        </w:tc>
        <w:tc>
          <w:tcPr>
            <w:tcW w:w="1380" w:type="dxa"/>
            <w:vAlign w:val="bottom"/>
            <w:tcBorders>
              <w:top w:val="single" w:sz="8" w:color="4D8ABE"/>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160" w:type="dxa"/>
            <w:vAlign w:val="bottom"/>
            <w:tcBorders>
              <w:top w:val="single" w:sz="8" w:color="4D8ABE"/>
              <w:bottom w:val="single" w:sz="8" w:color="4D8ABE"/>
            </w:tcBorders>
          </w:tcPr>
          <w:p>
            <w:pPr>
              <w:spacing w:after="0"/>
              <w:rPr>
                <w:sz w:val="14"/>
                <w:szCs w:val="14"/>
                <w:color w:val="auto"/>
              </w:rPr>
            </w:pPr>
          </w:p>
        </w:tc>
        <w:tc>
          <w:tcPr>
            <w:tcW w:w="1280" w:type="dxa"/>
            <w:vAlign w:val="bottom"/>
            <w:tcBorders>
              <w:top w:val="single" w:sz="8" w:color="4D8ABE"/>
              <w:bottom w:val="single" w:sz="8" w:color="4D8ABE"/>
            </w:tcBorders>
          </w:tcPr>
          <w:p>
            <w:pPr>
              <w:jc w:val="right"/>
              <w:ind w:right="146"/>
              <w:spacing w:after="0"/>
              <w:rPr>
                <w:sz w:val="20"/>
                <w:szCs w:val="20"/>
                <w:color w:val="auto"/>
              </w:rPr>
            </w:pPr>
            <w:r>
              <w:rPr>
                <w:rFonts w:ascii="Arial" w:cs="Arial" w:eastAsia="Arial" w:hAnsi="Arial"/>
                <w:sz w:val="14"/>
                <w:szCs w:val="14"/>
                <w:b w:val="1"/>
                <w:bCs w:val="1"/>
                <w:color w:val="4D8ABE"/>
              </w:rPr>
              <w:t>2008</w:t>
            </w:r>
          </w:p>
        </w:tc>
      </w:tr>
      <w:tr>
        <w:trPr>
          <w:trHeight w:val="177"/>
        </w:trPr>
        <w:tc>
          <w:tcPr>
            <w:tcW w:w="56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loss (gain)</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6.0</w:t>
            </w:r>
          </w:p>
        </w:tc>
        <w:tc>
          <w:tcPr>
            <w:tcW w:w="320" w:type="dxa"/>
            <w:vAlign w:val="bottom"/>
            <w:shd w:val="clear" w:color="auto" w:fill="E6EF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5.8</w:t>
            </w:r>
          </w:p>
        </w:tc>
        <w:tc>
          <w:tcPr>
            <w:tcW w:w="220" w:type="dxa"/>
            <w:vAlign w:val="bottom"/>
            <w:shd w:val="clear" w:color="auto" w:fill="E6EFFF"/>
          </w:tcPr>
          <w:p>
            <w:pPr>
              <w:spacing w:after="0"/>
              <w:rPr>
                <w:sz w:val="15"/>
                <w:szCs w:val="15"/>
                <w:color w:val="auto"/>
              </w:rPr>
            </w:pPr>
          </w:p>
        </w:tc>
        <w:tc>
          <w:tcPr>
            <w:tcW w:w="10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25"/>
              <w:spacing w:after="0"/>
              <w:rPr>
                <w:sz w:val="20"/>
                <w:szCs w:val="20"/>
                <w:color w:val="auto"/>
              </w:rPr>
            </w:pPr>
            <w:r>
              <w:rPr>
                <w:rFonts w:ascii="Arial" w:cs="Arial" w:eastAsia="Arial" w:hAnsi="Arial"/>
                <w:sz w:val="15"/>
                <w:szCs w:val="15"/>
                <w:color w:val="4D8ABE"/>
              </w:rPr>
              <w:t>(0.6)</w:t>
            </w:r>
          </w:p>
        </w:tc>
        <w:tc>
          <w:tcPr>
            <w:tcW w:w="160" w:type="dxa"/>
            <w:vAlign w:val="bottom"/>
            <w:shd w:val="clear" w:color="auto" w:fill="E6EF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1.1</w:t>
            </w:r>
          </w:p>
        </w:tc>
      </w:tr>
      <w:tr>
        <w:trPr>
          <w:trHeight w:val="184"/>
        </w:trPr>
        <w:tc>
          <w:tcPr>
            <w:tcW w:w="562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Prior service cost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0.3</w:t>
            </w:r>
          </w:p>
        </w:tc>
        <w:tc>
          <w:tcPr>
            <w:tcW w:w="3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5"/>
                <w:szCs w:val="15"/>
                <w:color w:val="auto"/>
              </w:rPr>
            </w:pPr>
          </w:p>
        </w:tc>
        <w:tc>
          <w:tcPr>
            <w:tcW w:w="13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7.5</w:t>
            </w:r>
          </w:p>
        </w:tc>
        <w:tc>
          <w:tcPr>
            <w:tcW w:w="16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8.0</w:t>
            </w:r>
          </w:p>
        </w:tc>
      </w:tr>
      <w:tr>
        <w:trPr>
          <w:trHeight w:val="178"/>
        </w:trPr>
        <w:tc>
          <w:tcPr>
            <w:tcW w:w="5620" w:type="dxa"/>
            <w:vAlign w:val="bottom"/>
            <w:tcBorders>
              <w:top w:val="single" w:sz="8" w:color="auto"/>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Total</w:t>
            </w:r>
          </w:p>
        </w:tc>
        <w:tc>
          <w:tcPr>
            <w:tcW w:w="8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6.3</w:t>
            </w:r>
          </w:p>
        </w:tc>
        <w:tc>
          <w:tcPr>
            <w:tcW w:w="320" w:type="dxa"/>
            <w:vAlign w:val="bottom"/>
            <w:tcBorders>
              <w:top w:val="single" w:sz="8" w:color="auto"/>
              <w:bottom w:val="single" w:sz="8" w:color="auto"/>
            </w:tcBorders>
            <w:shd w:val="clear" w:color="auto" w:fill="E6EF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6.1</w:t>
            </w:r>
          </w:p>
        </w:tc>
        <w:tc>
          <w:tcPr>
            <w:tcW w:w="220" w:type="dxa"/>
            <w:vAlign w:val="bottom"/>
            <w:tcBorders>
              <w:top w:val="single" w:sz="8" w:color="E6EFFF"/>
              <w:bottom w:val="single" w:sz="8" w:color="E6EFFF"/>
            </w:tcBorders>
            <w:shd w:val="clear" w:color="auto" w:fill="E6EFFF"/>
          </w:tcPr>
          <w:p>
            <w:pPr>
              <w:spacing w:after="0"/>
              <w:rPr>
                <w:sz w:val="15"/>
                <w:szCs w:val="15"/>
                <w:color w:val="auto"/>
              </w:rPr>
            </w:pPr>
          </w:p>
        </w:tc>
        <w:tc>
          <w:tcPr>
            <w:tcW w:w="1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top w:val="single" w:sz="8" w:color="auto"/>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6.9</w:t>
            </w:r>
          </w:p>
        </w:tc>
        <w:tc>
          <w:tcPr>
            <w:tcW w:w="160" w:type="dxa"/>
            <w:vAlign w:val="bottom"/>
            <w:tcBorders>
              <w:top w:val="single" w:sz="8" w:color="auto"/>
              <w:bottom w:val="single" w:sz="8" w:color="auto"/>
            </w:tcBorders>
            <w:shd w:val="clear" w:color="auto" w:fill="E6EF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9.1</w:t>
            </w:r>
          </w:p>
        </w:tc>
      </w:tr>
    </w:tbl>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accumulated benefit obligation for our plans that have plan assets was $195.7 and $188.1 as of December 31, 2009 and 2008, respectively. The accumulated benefit obligation for certain of our plans exceeded the fair value of plan assets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4D8ABE"/>
              </w:rPr>
              <w:t>December 31</w:t>
            </w:r>
          </w:p>
        </w:tc>
        <w:tc>
          <w:tcPr>
            <w:tcW w:w="100" w:type="dxa"/>
            <w:vAlign w:val="bottom"/>
            <w:tcBorders>
              <w:left w:val="single" w:sz="8" w:color="4D8ABE"/>
            </w:tcBorders>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6"/>
              <w:spacing w:after="0"/>
              <w:rPr>
                <w:sz w:val="20"/>
                <w:szCs w:val="20"/>
                <w:color w:val="auto"/>
              </w:rPr>
            </w:pPr>
            <w:r>
              <w:rPr>
                <w:rFonts w:ascii="Arial" w:cs="Arial" w:eastAsia="Arial" w:hAnsi="Arial"/>
                <w:sz w:val="14"/>
                <w:szCs w:val="14"/>
                <w:b w:val="1"/>
                <w:bCs w:val="1"/>
                <w:color w:val="FFFFFF"/>
              </w:rPr>
              <w:t>2009</w:t>
            </w:r>
          </w:p>
        </w:tc>
        <w:tc>
          <w:tcPr>
            <w:tcW w:w="620" w:type="dxa"/>
            <w:vAlign w:val="bottom"/>
          </w:tcPr>
          <w:p>
            <w:pPr>
              <w:spacing w:after="0" w:line="20" w:lineRule="exact"/>
              <w:rPr>
                <w:sz w:val="1"/>
                <w:szCs w:val="1"/>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060" w:type="dxa"/>
            <w:vAlign w:val="bottom"/>
            <w:tcBorders>
              <w:bottom w:val="single" w:sz="8" w:color="4D8ABE"/>
            </w:tcBorders>
            <w:vMerge w:val="continue"/>
          </w:tcPr>
          <w:p>
            <w:pPr>
              <w:spacing w:after="0"/>
              <w:rPr>
                <w:sz w:val="15"/>
                <w:szCs w:val="15"/>
                <w:color w:val="auto"/>
              </w:rPr>
            </w:pPr>
          </w:p>
        </w:tc>
        <w:tc>
          <w:tcPr>
            <w:tcW w:w="100" w:type="dxa"/>
            <w:vAlign w:val="bottom"/>
            <w:tcBorders>
              <w:left w:val="single" w:sz="8" w:color="4D8ABE"/>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620" w:type="dxa"/>
            <w:vAlign w:val="bottom"/>
            <w:tcBorders>
              <w:bottom w:val="single" w:sz="8" w:color="4D8ABE"/>
            </w:tcBorders>
          </w:tcPr>
          <w:p>
            <w:pPr>
              <w:spacing w:after="0"/>
              <w:rPr>
                <w:sz w:val="15"/>
                <w:szCs w:val="15"/>
                <w:color w:val="auto"/>
              </w:rPr>
            </w:pPr>
          </w:p>
        </w:tc>
        <w:tc>
          <w:tcPr>
            <w:tcW w:w="106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E6EFFF"/>
          </w:tcPr>
          <w:p>
            <w:pPr>
              <w:spacing w:after="0"/>
              <w:rPr>
                <w:sz w:val="20"/>
                <w:szCs w:val="20"/>
                <w:color w:val="auto"/>
              </w:rPr>
            </w:pPr>
            <w:r>
              <w:rPr>
                <w:rFonts w:ascii="Arial" w:cs="Arial" w:eastAsia="Arial" w:hAnsi="Arial"/>
                <w:sz w:val="15"/>
                <w:szCs w:val="15"/>
                <w:color w:val="auto"/>
              </w:rPr>
              <w:t>Projected benefit obligation</w:t>
            </w:r>
          </w:p>
        </w:tc>
        <w:tc>
          <w:tcPr>
            <w:tcW w:w="100" w:type="dxa"/>
            <w:vAlign w:val="bottom"/>
            <w:tcBorders>
              <w:lef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600" w:type="dxa"/>
            <w:vAlign w:val="bottom"/>
            <w:tcBorders>
              <w:right w:val="single" w:sz="8" w:color="4D8ABE"/>
            </w:tcBorders>
            <w:shd w:val="clear" w:color="auto" w:fill="E6EFFF"/>
          </w:tcPr>
          <w:p>
            <w:pPr>
              <w:jc w:val="right"/>
              <w:ind w:right="166"/>
              <w:spacing w:after="0"/>
              <w:rPr>
                <w:sz w:val="20"/>
                <w:szCs w:val="20"/>
                <w:color w:val="auto"/>
              </w:rPr>
            </w:pPr>
            <w:r>
              <w:rPr>
                <w:rFonts w:ascii="Arial" w:cs="Arial" w:eastAsia="Arial" w:hAnsi="Arial"/>
                <w:sz w:val="15"/>
                <w:szCs w:val="15"/>
                <w:color w:val="4D8ABE"/>
              </w:rPr>
              <w:t>128.3</w:t>
            </w:r>
          </w:p>
        </w:tc>
        <w:tc>
          <w:tcPr>
            <w:tcW w:w="620" w:type="dxa"/>
            <w:vAlign w:val="bottom"/>
            <w:shd w:val="clear" w:color="auto" w:fill="E6EFFF"/>
          </w:tcPr>
          <w:p>
            <w:pPr>
              <w:jc w:val="right"/>
              <w:ind w:right="4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84"/>
        </w:trPr>
        <w:tc>
          <w:tcPr>
            <w:tcW w:w="8060" w:type="dxa"/>
            <w:vAlign w:val="bottom"/>
          </w:tcPr>
          <w:p>
            <w:pPr>
              <w:spacing w:after="0"/>
              <w:rPr>
                <w:sz w:val="20"/>
                <w:szCs w:val="20"/>
                <w:color w:val="auto"/>
              </w:rPr>
            </w:pPr>
            <w:r>
              <w:rPr>
                <w:rFonts w:ascii="Arial" w:cs="Arial" w:eastAsia="Arial" w:hAnsi="Arial"/>
                <w:sz w:val="15"/>
                <w:szCs w:val="15"/>
                <w:color w:val="auto"/>
              </w:rPr>
              <w:t>Accumulated benefit obligation</w:t>
            </w:r>
          </w:p>
        </w:tc>
        <w:tc>
          <w:tcPr>
            <w:tcW w:w="100" w:type="dxa"/>
            <w:vAlign w:val="bottom"/>
            <w:tcBorders>
              <w:left w:val="single" w:sz="8" w:color="4D8ABE"/>
            </w:tcBorders>
          </w:tcPr>
          <w:p>
            <w:pPr>
              <w:spacing w:after="0"/>
              <w:rPr>
                <w:sz w:val="15"/>
                <w:szCs w:val="15"/>
                <w:color w:val="auto"/>
              </w:rPr>
            </w:pPr>
          </w:p>
        </w:tc>
        <w:tc>
          <w:tcPr>
            <w:tcW w:w="1600" w:type="dxa"/>
            <w:vAlign w:val="bottom"/>
            <w:tcBorders>
              <w:right w:val="single" w:sz="8" w:color="4D8ABE"/>
            </w:tcBorders>
          </w:tcPr>
          <w:p>
            <w:pPr>
              <w:jc w:val="right"/>
              <w:ind w:right="166"/>
              <w:spacing w:after="0"/>
              <w:rPr>
                <w:sz w:val="20"/>
                <w:szCs w:val="20"/>
                <w:color w:val="auto"/>
              </w:rPr>
            </w:pPr>
            <w:r>
              <w:rPr>
                <w:rFonts w:ascii="Arial" w:cs="Arial" w:eastAsia="Arial" w:hAnsi="Arial"/>
                <w:sz w:val="15"/>
                <w:szCs w:val="15"/>
                <w:color w:val="4D8ABE"/>
              </w:rPr>
              <w:t>122.7</w:t>
            </w:r>
          </w:p>
        </w:tc>
        <w:tc>
          <w:tcPr>
            <w:tcW w:w="620" w:type="dxa"/>
            <w:vAlign w:val="bottom"/>
          </w:tcPr>
          <w:p>
            <w:pPr>
              <w:spacing w:after="0"/>
              <w:rPr>
                <w:sz w:val="15"/>
                <w:szCs w:val="15"/>
                <w:color w:val="auto"/>
              </w:rPr>
            </w:pPr>
          </w:p>
        </w:tc>
        <w:tc>
          <w:tcPr>
            <w:tcW w:w="1060" w:type="dxa"/>
            <w:vAlign w:val="bottom"/>
          </w:tcPr>
          <w:p>
            <w:pPr>
              <w:jc w:val="right"/>
              <w:ind w:right="146"/>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87"/>
        </w:trPr>
        <w:tc>
          <w:tcPr>
            <w:tcW w:w="80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Plan assets</w:t>
            </w:r>
          </w:p>
        </w:tc>
        <w:tc>
          <w:tcPr>
            <w:tcW w:w="100" w:type="dxa"/>
            <w:vAlign w:val="bottom"/>
            <w:tcBorders>
              <w:left w:val="single" w:sz="8" w:color="4D8ABE"/>
              <w:bottom w:val="single" w:sz="8" w:color="auto"/>
            </w:tcBorders>
            <w:shd w:val="clear" w:color="auto" w:fill="E6EFFF"/>
          </w:tcPr>
          <w:p>
            <w:pPr>
              <w:spacing w:after="0"/>
              <w:rPr>
                <w:sz w:val="16"/>
                <w:szCs w:val="16"/>
                <w:color w:val="auto"/>
              </w:rPr>
            </w:pPr>
          </w:p>
        </w:tc>
        <w:tc>
          <w:tcPr>
            <w:tcW w:w="1600" w:type="dxa"/>
            <w:vAlign w:val="bottom"/>
            <w:tcBorders>
              <w:bottom w:val="single" w:sz="8" w:color="auto"/>
              <w:right w:val="single" w:sz="8" w:color="4D8ABE"/>
            </w:tcBorders>
            <w:shd w:val="clear" w:color="auto" w:fill="E6EFFF"/>
          </w:tcPr>
          <w:p>
            <w:pPr>
              <w:jc w:val="right"/>
              <w:ind w:right="166"/>
              <w:spacing w:after="0"/>
              <w:rPr>
                <w:sz w:val="20"/>
                <w:szCs w:val="20"/>
                <w:color w:val="auto"/>
              </w:rPr>
            </w:pPr>
            <w:r>
              <w:rPr>
                <w:rFonts w:ascii="Arial" w:cs="Arial" w:eastAsia="Arial" w:hAnsi="Arial"/>
                <w:sz w:val="15"/>
                <w:szCs w:val="15"/>
                <w:color w:val="4D8ABE"/>
              </w:rPr>
              <w:t>115.8</w:t>
            </w:r>
          </w:p>
        </w:tc>
        <w:tc>
          <w:tcPr>
            <w:tcW w:w="620" w:type="dxa"/>
            <w:vAlign w:val="bottom"/>
            <w:tcBorders>
              <w:bottom w:val="single" w:sz="8" w:color="auto"/>
            </w:tcBorders>
            <w:shd w:val="clear" w:color="auto" w:fill="E6EFFF"/>
          </w:tcPr>
          <w:p>
            <w:pPr>
              <w:spacing w:after="0"/>
              <w:rPr>
                <w:sz w:val="16"/>
                <w:szCs w:val="16"/>
                <w:color w:val="auto"/>
              </w:rPr>
            </w:pPr>
          </w:p>
        </w:tc>
        <w:tc>
          <w:tcPr>
            <w:tcW w:w="1060" w:type="dxa"/>
            <w:vAlign w:val="bottom"/>
            <w:tcBorders>
              <w:bottom w:val="single" w:sz="8" w:color="auto"/>
            </w:tcBorders>
            <w:shd w:val="clear" w:color="auto" w:fill="E6EFFF"/>
          </w:tcPr>
          <w:p>
            <w:pPr>
              <w:jc w:val="right"/>
              <w:ind w:right="146"/>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354"/>
        </w:trPr>
        <w:tc>
          <w:tcPr>
            <w:tcW w:w="8060" w:type="dxa"/>
            <w:vAlign w:val="bottom"/>
          </w:tcPr>
          <w:p>
            <w:pPr>
              <w:spacing w:after="0"/>
              <w:rPr>
                <w:sz w:val="20"/>
                <w:szCs w:val="20"/>
                <w:color w:val="auto"/>
              </w:rPr>
            </w:pPr>
            <w:r>
              <w:rPr>
                <w:rFonts w:ascii="Arial" w:cs="Arial" w:eastAsia="Arial" w:hAnsi="Arial"/>
                <w:sz w:val="15"/>
                <w:szCs w:val="15"/>
                <w:color w:val="auto"/>
              </w:rPr>
              <w:t>The projected benefit obligation for certain of our plans exceeded the fair value of plan assets as follows: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4D8ABE"/>
              </w:rPr>
              <w:t>December 31</w:t>
            </w:r>
          </w:p>
        </w:tc>
        <w:tc>
          <w:tcPr>
            <w:tcW w:w="100" w:type="dxa"/>
            <w:vAlign w:val="bottom"/>
            <w:tcBorders>
              <w:bottom w:val="single" w:sz="8" w:color="4D8ABE"/>
            </w:tcBorders>
          </w:tcPr>
          <w:p>
            <w:pPr>
              <w:spacing w:after="0"/>
              <w:rPr>
                <w:sz w:val="17"/>
                <w:szCs w:val="17"/>
                <w:color w:val="auto"/>
              </w:rPr>
            </w:pPr>
          </w:p>
        </w:tc>
        <w:tc>
          <w:tcPr>
            <w:tcW w:w="1600" w:type="dxa"/>
            <w:vAlign w:val="bottom"/>
            <w:tcBorders>
              <w:bottom w:val="single" w:sz="8" w:color="4D8ABE"/>
            </w:tcBorders>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4D8ABE"/>
            </w:tcBorders>
            <w:vMerge w:val="continue"/>
          </w:tcPr>
          <w:p>
            <w:pPr>
              <w:spacing w:after="0"/>
              <w:rPr>
                <w:sz w:val="14"/>
                <w:szCs w:val="14"/>
                <w:color w:val="auto"/>
              </w:rPr>
            </w:pPr>
          </w:p>
        </w:tc>
        <w:tc>
          <w:tcPr>
            <w:tcW w:w="100" w:type="dxa"/>
            <w:vAlign w:val="bottom"/>
            <w:tcBorders>
              <w:left w:val="single" w:sz="8" w:color="4D8ABE"/>
              <w:bottom w:val="single" w:sz="8" w:color="4D8ABE"/>
            </w:tcBorders>
            <w:shd w:val="clear" w:color="auto" w:fill="4D8ABE"/>
          </w:tcPr>
          <w:p>
            <w:pPr>
              <w:spacing w:after="0"/>
              <w:rPr>
                <w:sz w:val="14"/>
                <w:szCs w:val="14"/>
                <w:color w:val="auto"/>
              </w:rPr>
            </w:pPr>
          </w:p>
        </w:tc>
        <w:tc>
          <w:tcPr>
            <w:tcW w:w="1600" w:type="dxa"/>
            <w:vAlign w:val="bottom"/>
            <w:tcBorders>
              <w:bottom w:val="single" w:sz="8" w:color="4D8ABE"/>
              <w:right w:val="single" w:sz="8" w:color="4D8ABE"/>
            </w:tcBorders>
            <w:shd w:val="clear" w:color="auto" w:fill="4D8ABE"/>
          </w:tcPr>
          <w:p>
            <w:pPr>
              <w:jc w:val="right"/>
              <w:ind w:right="166"/>
              <w:spacing w:after="0"/>
              <w:rPr>
                <w:sz w:val="20"/>
                <w:szCs w:val="20"/>
                <w:color w:val="auto"/>
              </w:rPr>
            </w:pPr>
            <w:r>
              <w:rPr>
                <w:rFonts w:ascii="Arial" w:cs="Arial" w:eastAsia="Arial" w:hAnsi="Arial"/>
                <w:sz w:val="14"/>
                <w:szCs w:val="14"/>
                <w:b w:val="1"/>
                <w:bCs w:val="1"/>
                <w:color w:val="FFFFFF"/>
              </w:rPr>
              <w:t>2009</w:t>
            </w:r>
          </w:p>
        </w:tc>
        <w:tc>
          <w:tcPr>
            <w:tcW w:w="620" w:type="dxa"/>
            <w:vAlign w:val="bottom"/>
            <w:tcBorders>
              <w:bottom w:val="single" w:sz="8" w:color="4D8ABE"/>
            </w:tcBorders>
          </w:tcPr>
          <w:p>
            <w:pPr>
              <w:spacing w:after="0"/>
              <w:rPr>
                <w:sz w:val="14"/>
                <w:szCs w:val="14"/>
                <w:color w:val="auto"/>
              </w:rPr>
            </w:pPr>
          </w:p>
        </w:tc>
        <w:tc>
          <w:tcPr>
            <w:tcW w:w="1060" w:type="dxa"/>
            <w:vAlign w:val="bottom"/>
            <w:tcBorders>
              <w:bottom w:val="single" w:sz="8" w:color="4D8AB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60" w:type="dxa"/>
            <w:vAlign w:val="bottom"/>
            <w:shd w:val="clear" w:color="auto" w:fill="E6EFFF"/>
          </w:tcPr>
          <w:p>
            <w:pPr>
              <w:spacing w:after="0"/>
              <w:rPr>
                <w:sz w:val="20"/>
                <w:szCs w:val="20"/>
                <w:color w:val="auto"/>
              </w:rPr>
            </w:pPr>
            <w:r>
              <w:rPr>
                <w:rFonts w:ascii="Arial" w:cs="Arial" w:eastAsia="Arial" w:hAnsi="Arial"/>
                <w:sz w:val="15"/>
                <w:szCs w:val="15"/>
                <w:color w:val="auto"/>
              </w:rPr>
              <w:t>Projected benefit obligation</w:t>
            </w:r>
          </w:p>
        </w:tc>
        <w:tc>
          <w:tcPr>
            <w:tcW w:w="100" w:type="dxa"/>
            <w:vAlign w:val="bottom"/>
            <w:tcBorders>
              <w:lef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600" w:type="dxa"/>
            <w:vAlign w:val="bottom"/>
            <w:tcBorders>
              <w:right w:val="single" w:sz="8" w:color="4D8ABE"/>
            </w:tcBorders>
            <w:shd w:val="clear" w:color="auto" w:fill="E6EFFF"/>
          </w:tcPr>
          <w:p>
            <w:pPr>
              <w:jc w:val="right"/>
              <w:ind w:right="166"/>
              <w:spacing w:after="0"/>
              <w:rPr>
                <w:sz w:val="20"/>
                <w:szCs w:val="20"/>
                <w:color w:val="auto"/>
              </w:rPr>
            </w:pPr>
            <w:r>
              <w:rPr>
                <w:rFonts w:ascii="Arial" w:cs="Arial" w:eastAsia="Arial" w:hAnsi="Arial"/>
                <w:sz w:val="15"/>
                <w:szCs w:val="15"/>
                <w:color w:val="4D8ABE"/>
              </w:rPr>
              <w:t>160.3</w:t>
            </w:r>
          </w:p>
        </w:tc>
        <w:tc>
          <w:tcPr>
            <w:tcW w:w="620" w:type="dxa"/>
            <w:vAlign w:val="bottom"/>
            <w:shd w:val="clear" w:color="auto" w:fill="E6EFFF"/>
          </w:tcPr>
          <w:p>
            <w:pPr>
              <w:jc w:val="right"/>
              <w:ind w:right="4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63.8</w:t>
            </w:r>
          </w:p>
        </w:tc>
        <w:tc>
          <w:tcPr>
            <w:tcW w:w="0" w:type="dxa"/>
            <w:vAlign w:val="bottom"/>
          </w:tcPr>
          <w:p>
            <w:pPr>
              <w:spacing w:after="0"/>
              <w:rPr>
                <w:sz w:val="1"/>
                <w:szCs w:val="1"/>
                <w:color w:val="auto"/>
              </w:rPr>
            </w:pPr>
          </w:p>
        </w:tc>
      </w:tr>
      <w:tr>
        <w:trPr>
          <w:trHeight w:val="187"/>
        </w:trPr>
        <w:tc>
          <w:tcPr>
            <w:tcW w:w="8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Plan assets</w:t>
            </w:r>
          </w:p>
        </w:tc>
        <w:tc>
          <w:tcPr>
            <w:tcW w:w="100" w:type="dxa"/>
            <w:vAlign w:val="bottom"/>
            <w:tcBorders>
              <w:left w:val="single" w:sz="8" w:color="4D8ABE"/>
              <w:bottom w:val="single" w:sz="8" w:color="auto"/>
            </w:tcBorders>
          </w:tcPr>
          <w:p>
            <w:pPr>
              <w:spacing w:after="0"/>
              <w:rPr>
                <w:sz w:val="16"/>
                <w:szCs w:val="16"/>
                <w:color w:val="auto"/>
              </w:rPr>
            </w:pPr>
          </w:p>
        </w:tc>
        <w:tc>
          <w:tcPr>
            <w:tcW w:w="1600" w:type="dxa"/>
            <w:vAlign w:val="bottom"/>
            <w:tcBorders>
              <w:bottom w:val="single" w:sz="8" w:color="auto"/>
              <w:right w:val="single" w:sz="8" w:color="4D8ABE"/>
            </w:tcBorders>
          </w:tcPr>
          <w:p>
            <w:pPr>
              <w:jc w:val="right"/>
              <w:ind w:right="166"/>
              <w:spacing w:after="0"/>
              <w:rPr>
                <w:sz w:val="20"/>
                <w:szCs w:val="20"/>
                <w:color w:val="auto"/>
              </w:rPr>
            </w:pPr>
            <w:r>
              <w:rPr>
                <w:rFonts w:ascii="Arial" w:cs="Arial" w:eastAsia="Arial" w:hAnsi="Arial"/>
                <w:sz w:val="15"/>
                <w:szCs w:val="15"/>
                <w:color w:val="4D8ABE"/>
              </w:rPr>
              <w:t>144.9</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45.8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In 2009, our largest plan saw a change in its funded status such that its accumulated benefit obligations and projected benefit obligations exceeded its plan assets as of December 31, 2009. As a result, this significant plan is included in the amounts disclosed above for 2009 but not for 2008.</w:t>
      </w:r>
    </w:p>
    <w:p>
      <w:pPr>
        <w:spacing w:after="0" w:line="194"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By their nature, certain of our plans do not have plan assets. The accumulated benefit obligation for these plans was $53.1 and $40.3 as of December 31, 2009 and 2008,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the net periodic benefit cost and other amounts recognized in Other Comprehensive (Loss) Income for all plans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480" w:type="dxa"/>
            <w:vAlign w:val="bottom"/>
            <w:tcBorders>
              <w:bottom w:val="single" w:sz="8" w:color="4D8ABE"/>
            </w:tcBorders>
          </w:tcPr>
          <w:p>
            <w:pPr>
              <w:spacing w:after="0"/>
              <w:rPr>
                <w:sz w:val="16"/>
                <w:szCs w:val="16"/>
                <w:color w:val="auto"/>
              </w:rPr>
            </w:pPr>
          </w:p>
        </w:tc>
        <w:tc>
          <w:tcPr>
            <w:tcW w:w="88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580" w:type="dxa"/>
            <w:vAlign w:val="bottom"/>
            <w:tcBorders>
              <w:bottom w:val="single" w:sz="8" w:color="4D8ABE"/>
            </w:tcBorders>
          </w:tcPr>
          <w:p>
            <w:pPr>
              <w:spacing w:after="0"/>
              <w:rPr>
                <w:sz w:val="16"/>
                <w:szCs w:val="16"/>
                <w:color w:val="auto"/>
              </w:rPr>
            </w:pPr>
          </w:p>
        </w:tc>
        <w:tc>
          <w:tcPr>
            <w:tcW w:w="96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Service cost</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11.1</w:t>
            </w:r>
          </w:p>
        </w:tc>
        <w:tc>
          <w:tcPr>
            <w:tcW w:w="480" w:type="dxa"/>
            <w:vAlign w:val="bottom"/>
            <w:tcBorders>
              <w:left w:val="single" w:sz="8" w:color="E6EFFF"/>
            </w:tcBorders>
            <w:shd w:val="clear" w:color="auto" w:fill="E6EFFF"/>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14.4</w:t>
            </w:r>
          </w:p>
        </w:tc>
        <w:tc>
          <w:tcPr>
            <w:tcW w:w="580" w:type="dxa"/>
            <w:vAlign w:val="bottom"/>
            <w:shd w:val="clear" w:color="auto" w:fill="E6EFFF"/>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14.1</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Interest cost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14.1</w:t>
            </w:r>
          </w:p>
        </w:tc>
        <w:tc>
          <w:tcPr>
            <w:tcW w:w="4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15.3</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14.3</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Expected return on assets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(12.6)</w:t>
            </w:r>
          </w:p>
        </w:tc>
        <w:tc>
          <w:tcPr>
            <w:tcW w:w="480" w:type="dxa"/>
            <w:vAlign w:val="bottom"/>
            <w:tcBorders>
              <w:left w:val="single" w:sz="8" w:color="E6EFFF"/>
            </w:tcBorders>
            <w:shd w:val="clear" w:color="auto" w:fill="E6EFFF"/>
          </w:tcPr>
          <w:p>
            <w:pPr>
              <w:spacing w:after="0"/>
              <w:rPr>
                <w:sz w:val="15"/>
                <w:szCs w:val="15"/>
                <w:color w:val="auto"/>
              </w:rPr>
            </w:pPr>
          </w:p>
        </w:tc>
        <w:tc>
          <w:tcPr>
            <w:tcW w:w="88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(13.9)</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(12.5)</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Curtailment and settlement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(4.3)</w:t>
            </w:r>
          </w:p>
        </w:tc>
        <w:tc>
          <w:tcPr>
            <w:tcW w:w="4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(gain) loss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(2.1)</w:t>
            </w:r>
          </w:p>
        </w:tc>
        <w:tc>
          <w:tcPr>
            <w:tcW w:w="480" w:type="dxa"/>
            <w:vAlign w:val="bottom"/>
            <w:tcBorders>
              <w:left w:val="single" w:sz="8" w:color="E6EFFF"/>
            </w:tcBorders>
            <w:shd w:val="clear" w:color="auto" w:fill="E6EFFF"/>
          </w:tcPr>
          <w:p>
            <w:pPr>
              <w:spacing w:after="0"/>
              <w:rPr>
                <w:sz w:val="15"/>
                <w:szCs w:val="15"/>
                <w:color w:val="auto"/>
              </w:rPr>
            </w:pPr>
          </w:p>
        </w:tc>
        <w:tc>
          <w:tcPr>
            <w:tcW w:w="88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(0.8)</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2.5</w:t>
            </w:r>
          </w:p>
        </w:tc>
      </w:tr>
      <w:tr>
        <w:trPr>
          <w:trHeight w:val="187"/>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Prior service cost</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0.5</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0.5</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0.8</w:t>
            </w:r>
          </w:p>
        </w:tc>
      </w:tr>
      <w:tr>
        <w:trPr>
          <w:trHeight w:val="187"/>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periodic benefit cost</w:t>
            </w:r>
          </w:p>
        </w:tc>
        <w:tc>
          <w:tcPr>
            <w:tcW w:w="80" w:type="dxa"/>
            <w:vAlign w:val="bottom"/>
            <w:tcBorders>
              <w:bottom w:val="single" w:sz="8" w:color="auto"/>
            </w:tcBorders>
            <w:shd w:val="clear" w:color="auto" w:fill="E6EFFF"/>
          </w:tcPr>
          <w:p>
            <w:pPr>
              <w:spacing w:after="0"/>
              <w:rPr>
                <w:sz w:val="16"/>
                <w:szCs w:val="16"/>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6.7</w:t>
            </w:r>
          </w:p>
        </w:tc>
        <w:tc>
          <w:tcPr>
            <w:tcW w:w="480" w:type="dxa"/>
            <w:vAlign w:val="bottom"/>
            <w:tcBorders>
              <w:left w:val="single" w:sz="8" w:color="4D8ABE"/>
              <w:bottom w:val="single" w:sz="8" w:color="auto"/>
            </w:tcBorders>
            <w:shd w:val="clear" w:color="auto" w:fill="E6EFFF"/>
          </w:tcPr>
          <w:p>
            <w:pPr>
              <w:spacing w:after="0"/>
              <w:rPr>
                <w:sz w:val="16"/>
                <w:szCs w:val="16"/>
                <w:color w:val="auto"/>
              </w:rPr>
            </w:pPr>
          </w:p>
        </w:tc>
        <w:tc>
          <w:tcPr>
            <w:tcW w:w="8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15.5</w:t>
            </w:r>
          </w:p>
        </w:tc>
        <w:tc>
          <w:tcPr>
            <w:tcW w:w="580" w:type="dxa"/>
            <w:vAlign w:val="bottom"/>
            <w:tcBorders>
              <w:bottom w:val="single" w:sz="8" w:color="auto"/>
            </w:tcBorders>
            <w:shd w:val="clear" w:color="auto" w:fill="E6EFFF"/>
          </w:tcPr>
          <w:p>
            <w:pPr>
              <w:spacing w:after="0"/>
              <w:rPr>
                <w:sz w:val="16"/>
                <w:szCs w:val="16"/>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19.2</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Other Changes in Plan Assets and Benefit Obligations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Recognized in Other Comprehensive (Loss) Income</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80" w:type="dxa"/>
            <w:vAlign w:val="bottom"/>
            <w:tcBorders>
              <w:left w:val="single" w:sz="8" w:color="E6EFFF"/>
            </w:tcBorders>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Net (gain) loss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(9.0)</w:t>
            </w:r>
          </w:p>
        </w:tc>
        <w:tc>
          <w:tcPr>
            <w:tcW w:w="4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9.7</w:t>
            </w:r>
          </w:p>
        </w:tc>
        <w:tc>
          <w:tcPr>
            <w:tcW w:w="58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Arial" w:cs="Arial" w:eastAsia="Arial" w:hAnsi="Arial"/>
                <w:sz w:val="15"/>
                <w:szCs w:val="15"/>
                <w:color w:val="auto"/>
              </w:rPr>
              <w:t>(33.6)</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Amortization of net gain (loss)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3.0</w:t>
            </w:r>
          </w:p>
        </w:tc>
        <w:tc>
          <w:tcPr>
            <w:tcW w:w="480" w:type="dxa"/>
            <w:vAlign w:val="bottom"/>
            <w:tcBorders>
              <w:left w:val="single" w:sz="8" w:color="E6EFFF"/>
            </w:tcBorders>
            <w:shd w:val="clear" w:color="auto" w:fill="E6EFFF"/>
          </w:tcPr>
          <w:p>
            <w:pPr>
              <w:spacing w:after="0"/>
              <w:rPr>
                <w:sz w:val="15"/>
                <w:szCs w:val="15"/>
                <w:color w:val="auto"/>
              </w:rPr>
            </w:pPr>
          </w:p>
        </w:tc>
        <w:tc>
          <w:tcPr>
            <w:tcW w:w="8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0.9</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(2.5)</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Prior service cost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10.4</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0.4</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Amortization of prior service cost</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(0.8)</w:t>
            </w:r>
          </w:p>
        </w:tc>
        <w:tc>
          <w:tcPr>
            <w:tcW w:w="480" w:type="dxa"/>
            <w:vAlign w:val="bottom"/>
            <w:tcBorders>
              <w:left w:val="single" w:sz="8" w:color="E6EFFF"/>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(0.6)</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(0.8)</w:t>
            </w:r>
          </w:p>
        </w:tc>
      </w:tr>
      <w:tr>
        <w:trPr>
          <w:trHeight w:val="175"/>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Total recognized in other comprehensive (loss) income</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(6.8)</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20.4</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(36.5)</w:t>
            </w:r>
          </w:p>
        </w:tc>
      </w:tr>
      <w:tr>
        <w:trPr>
          <w:trHeight w:val="178"/>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Total recognized in net periodic benefit cost and other comprehensive (loss) income</w:t>
            </w: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(0.1)</w:t>
            </w:r>
          </w:p>
        </w:tc>
        <w:tc>
          <w:tcPr>
            <w:tcW w:w="480" w:type="dxa"/>
            <w:vAlign w:val="bottom"/>
            <w:tcBorders>
              <w:left w:val="single" w:sz="8" w:color="E6EFFF"/>
              <w:bottom w:val="single" w:sz="8" w:color="auto"/>
            </w:tcBorders>
            <w:shd w:val="clear" w:color="auto" w:fill="E6EFFF"/>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35.9</w:t>
            </w:r>
          </w:p>
        </w:tc>
        <w:tc>
          <w:tcPr>
            <w:tcW w:w="580" w:type="dxa"/>
            <w:vAlign w:val="bottom"/>
            <w:tcBorders>
              <w:bottom w:val="single" w:sz="8" w:color="auto"/>
            </w:tcBorders>
            <w:shd w:val="clear" w:color="auto" w:fill="E6EFFF"/>
          </w:tcPr>
          <w:p>
            <w:pPr>
              <w:jc w:val="right"/>
              <w:ind w:right="3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(17.3)</w:t>
            </w:r>
          </w:p>
        </w:tc>
      </w:tr>
    </w:tbl>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estimated net gain and prior service cost for the defined benefit pension plans that will be amortized from Accumulated Other Comprehensive Income (Loss) into net periodic benefit cost during 2010 are $2.4 and $0.8,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weighted-average assumptions used in the measurement of the benefit obligation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4"/>
                <w:szCs w:val="14"/>
                <w:b w:val="1"/>
                <w:bCs w:val="1"/>
                <w:color w:val="4D8ABE"/>
              </w:rPr>
              <w:t>U.S. Plans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jc w:val="right"/>
              <w:ind w:right="147"/>
              <w:spacing w:after="0"/>
              <w:rPr>
                <w:sz w:val="20"/>
                <w:szCs w:val="20"/>
                <w:color w:val="auto"/>
              </w:rPr>
            </w:pPr>
            <w:r>
              <w:rPr>
                <w:rFonts w:ascii="Arial" w:cs="Arial" w:eastAsia="Arial" w:hAnsi="Arial"/>
                <w:sz w:val="14"/>
                <w:szCs w:val="14"/>
                <w:b w:val="1"/>
                <w:bCs w:val="1"/>
                <w:color w:val="4D8ABE"/>
              </w:rPr>
              <w:t>Non-U.S. Plans</w:t>
            </w:r>
          </w:p>
        </w:tc>
      </w:tr>
      <w:tr>
        <w:trPr>
          <w:trHeight w:val="162"/>
        </w:trPr>
        <w:tc>
          <w:tcPr>
            <w:tcW w:w="5620" w:type="dxa"/>
            <w:vAlign w:val="bottom"/>
            <w:tcBorders>
              <w:top w:val="single" w:sz="8" w:color="4D8ABE"/>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top w:val="single" w:sz="8" w:color="4D8ABE"/>
              <w:bottom w:val="single" w:sz="8" w:color="4D8ABE"/>
            </w:tcBorders>
            <w:shd w:val="clear" w:color="auto" w:fill="4D8ABE"/>
          </w:tcPr>
          <w:p>
            <w:pPr>
              <w:spacing w:after="0"/>
              <w:rPr>
                <w:sz w:val="14"/>
                <w:szCs w:val="14"/>
                <w:color w:val="auto"/>
              </w:rPr>
            </w:pPr>
          </w:p>
        </w:tc>
        <w:tc>
          <w:tcPr>
            <w:tcW w:w="1380" w:type="dxa"/>
            <w:vAlign w:val="bottom"/>
            <w:tcBorders>
              <w:top w:val="single" w:sz="8" w:color="4D8ABE"/>
              <w:bottom w:val="single" w:sz="8" w:color="4D8ABE"/>
              <w:right w:val="single" w:sz="8" w:color="4D8ABE"/>
            </w:tcBorders>
            <w:shd w:val="clear" w:color="auto" w:fill="4D8ABE"/>
          </w:tcPr>
          <w:p>
            <w:pPr>
              <w:jc w:val="right"/>
              <w:ind w:right="167"/>
              <w:spacing w:after="0"/>
              <w:rPr>
                <w:sz w:val="20"/>
                <w:szCs w:val="20"/>
                <w:color w:val="auto"/>
              </w:rPr>
            </w:pPr>
            <w:r>
              <w:rPr>
                <w:rFonts w:ascii="Arial" w:cs="Arial" w:eastAsia="Arial" w:hAnsi="Arial"/>
                <w:sz w:val="14"/>
                <w:szCs w:val="14"/>
                <w:b w:val="1"/>
                <w:bCs w:val="1"/>
                <w:color w:val="FFFFFF"/>
              </w:rPr>
              <w:t>2009</w:t>
            </w:r>
          </w:p>
        </w:tc>
        <w:tc>
          <w:tcPr>
            <w:tcW w:w="1220" w:type="dxa"/>
            <w:vAlign w:val="bottom"/>
            <w:tcBorders>
              <w:top w:val="single" w:sz="8" w:color="4D8ABE"/>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2008</w:t>
            </w:r>
          </w:p>
        </w:tc>
        <w:tc>
          <w:tcPr>
            <w:tcW w:w="240" w:type="dxa"/>
            <w:vAlign w:val="bottom"/>
            <w:tcBorders>
              <w:bottom w:val="single" w:sz="8" w:color="E6EFFF"/>
              <w:right w:val="single" w:sz="8" w:color="4D8ABE"/>
            </w:tcBorders>
          </w:tcPr>
          <w:p>
            <w:pPr>
              <w:spacing w:after="0"/>
              <w:rPr>
                <w:sz w:val="14"/>
                <w:szCs w:val="14"/>
                <w:color w:val="auto"/>
              </w:rPr>
            </w:pPr>
          </w:p>
        </w:tc>
        <w:tc>
          <w:tcPr>
            <w:tcW w:w="80" w:type="dxa"/>
            <w:vAlign w:val="bottom"/>
            <w:tcBorders>
              <w:top w:val="single" w:sz="8" w:color="4D8ABE"/>
              <w:bottom w:val="single" w:sz="8" w:color="4D8ABE"/>
            </w:tcBorders>
            <w:shd w:val="clear" w:color="auto" w:fill="4D8ABE"/>
          </w:tcPr>
          <w:p>
            <w:pPr>
              <w:spacing w:after="0"/>
              <w:rPr>
                <w:sz w:val="14"/>
                <w:szCs w:val="14"/>
                <w:color w:val="auto"/>
              </w:rPr>
            </w:pPr>
          </w:p>
        </w:tc>
        <w:tc>
          <w:tcPr>
            <w:tcW w:w="1380" w:type="dxa"/>
            <w:vAlign w:val="bottom"/>
            <w:tcBorders>
              <w:top w:val="single" w:sz="8" w:color="4D8ABE"/>
              <w:bottom w:val="single" w:sz="8" w:color="4D8ABE"/>
              <w:right w:val="single" w:sz="8" w:color="4D8ABE"/>
            </w:tcBorders>
            <w:shd w:val="clear" w:color="auto" w:fill="4D8ABE"/>
          </w:tcPr>
          <w:p>
            <w:pPr>
              <w:jc w:val="right"/>
              <w:ind w:right="167"/>
              <w:spacing w:after="0"/>
              <w:rPr>
                <w:sz w:val="20"/>
                <w:szCs w:val="20"/>
                <w:color w:val="auto"/>
              </w:rPr>
            </w:pPr>
            <w:r>
              <w:rPr>
                <w:rFonts w:ascii="Arial" w:cs="Arial" w:eastAsia="Arial" w:hAnsi="Arial"/>
                <w:sz w:val="14"/>
                <w:szCs w:val="14"/>
                <w:b w:val="1"/>
                <w:bCs w:val="1"/>
                <w:color w:val="FFFFFF"/>
              </w:rPr>
              <w:t>2009</w:t>
            </w:r>
          </w:p>
        </w:tc>
        <w:tc>
          <w:tcPr>
            <w:tcW w:w="1440" w:type="dxa"/>
            <w:vAlign w:val="bottom"/>
            <w:tcBorders>
              <w:top w:val="single" w:sz="8" w:color="4D8ABE"/>
              <w:bottom w:val="single" w:sz="8" w:color="4D8ABE"/>
            </w:tcBorders>
          </w:tcPr>
          <w:p>
            <w:pPr>
              <w:jc w:val="right"/>
              <w:ind w:right="147"/>
              <w:spacing w:after="0"/>
              <w:rPr>
                <w:sz w:val="20"/>
                <w:szCs w:val="20"/>
                <w:color w:val="auto"/>
              </w:rPr>
            </w:pPr>
            <w:r>
              <w:rPr>
                <w:rFonts w:ascii="Arial" w:cs="Arial" w:eastAsia="Arial" w:hAnsi="Arial"/>
                <w:sz w:val="14"/>
                <w:szCs w:val="14"/>
                <w:b w:val="1"/>
                <w:bCs w:val="1"/>
                <w:color w:val="4D8ABE"/>
              </w:rPr>
              <w:t>2008</w:t>
            </w:r>
          </w:p>
        </w:tc>
      </w:tr>
      <w:tr>
        <w:trPr>
          <w:trHeight w:val="177"/>
        </w:trPr>
        <w:tc>
          <w:tcPr>
            <w:tcW w:w="56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Discount rate</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7"/>
              <w:spacing w:after="0"/>
              <w:rPr>
                <w:sz w:val="20"/>
                <w:szCs w:val="20"/>
                <w:color w:val="auto"/>
              </w:rPr>
            </w:pPr>
            <w:r>
              <w:rPr>
                <w:rFonts w:ascii="Arial" w:cs="Arial" w:eastAsia="Arial" w:hAnsi="Arial"/>
                <w:sz w:val="15"/>
                <w:szCs w:val="15"/>
                <w:color w:val="4D8ABE"/>
              </w:rPr>
              <w:t>5.7%</w:t>
            </w:r>
          </w:p>
        </w:tc>
        <w:tc>
          <w:tcPr>
            <w:tcW w:w="1220" w:type="dxa"/>
            <w:vAlign w:val="bottom"/>
            <w:shd w:val="clear" w:color="auto" w:fill="E6EFFF"/>
          </w:tcPr>
          <w:p>
            <w:pPr>
              <w:jc w:val="right"/>
              <w:spacing w:after="0"/>
              <w:rPr>
                <w:sz w:val="20"/>
                <w:szCs w:val="20"/>
                <w:color w:val="auto"/>
              </w:rPr>
            </w:pPr>
            <w:r>
              <w:rPr>
                <w:rFonts w:ascii="Arial" w:cs="Arial" w:eastAsia="Arial" w:hAnsi="Arial"/>
                <w:sz w:val="15"/>
                <w:szCs w:val="15"/>
                <w:color w:val="auto"/>
              </w:rPr>
              <w:t>6.4%</w:t>
            </w:r>
          </w:p>
        </w:tc>
        <w:tc>
          <w:tcPr>
            <w:tcW w:w="24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7"/>
              <w:spacing w:after="0"/>
              <w:rPr>
                <w:sz w:val="20"/>
                <w:szCs w:val="20"/>
                <w:color w:val="auto"/>
              </w:rPr>
            </w:pPr>
            <w:r>
              <w:rPr>
                <w:rFonts w:ascii="Arial" w:cs="Arial" w:eastAsia="Arial" w:hAnsi="Arial"/>
                <w:sz w:val="15"/>
                <w:szCs w:val="15"/>
                <w:color w:val="4D8ABE"/>
              </w:rPr>
              <w:t>5.5%</w:t>
            </w:r>
          </w:p>
        </w:tc>
        <w:tc>
          <w:tcPr>
            <w:tcW w:w="1440" w:type="dxa"/>
            <w:vAlign w:val="bottom"/>
            <w:shd w:val="clear" w:color="auto" w:fill="E6EFFF"/>
          </w:tcPr>
          <w:p>
            <w:pPr>
              <w:jc w:val="right"/>
              <w:ind w:right="147"/>
              <w:spacing w:after="0"/>
              <w:rPr>
                <w:sz w:val="20"/>
                <w:szCs w:val="20"/>
                <w:color w:val="auto"/>
              </w:rPr>
            </w:pPr>
            <w:r>
              <w:rPr>
                <w:rFonts w:ascii="Arial" w:cs="Arial" w:eastAsia="Arial" w:hAnsi="Arial"/>
                <w:sz w:val="15"/>
                <w:szCs w:val="15"/>
                <w:color w:val="auto"/>
              </w:rPr>
              <w:t>5.2%</w:t>
            </w:r>
          </w:p>
        </w:tc>
      </w:tr>
      <w:tr>
        <w:trPr>
          <w:trHeight w:val="187"/>
        </w:trPr>
        <w:tc>
          <w:tcPr>
            <w:tcW w:w="562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Rate of compensation increase</w:t>
            </w:r>
          </w:p>
        </w:tc>
        <w:tc>
          <w:tcPr>
            <w:tcW w:w="1460" w:type="dxa"/>
            <w:vAlign w:val="bottom"/>
            <w:tcBorders>
              <w:bottom w:val="single" w:sz="8" w:color="auto"/>
              <w:right w:val="single" w:sz="8" w:color="4D8ABE"/>
            </w:tcBorders>
            <w:gridSpan w:val="2"/>
          </w:tcPr>
          <w:p>
            <w:pPr>
              <w:jc w:val="right"/>
              <w:ind w:right="167"/>
              <w:spacing w:after="0"/>
              <w:rPr>
                <w:sz w:val="20"/>
                <w:szCs w:val="20"/>
                <w:color w:val="auto"/>
              </w:rPr>
            </w:pPr>
            <w:r>
              <w:rPr>
                <w:rFonts w:ascii="Arial" w:cs="Arial" w:eastAsia="Arial" w:hAnsi="Arial"/>
                <w:sz w:val="15"/>
                <w:szCs w:val="15"/>
                <w:color w:val="4D8ABE"/>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240" w:type="dxa"/>
            <w:vAlign w:val="bottom"/>
          </w:tcPr>
          <w:p>
            <w:pPr>
              <w:spacing w:after="0"/>
              <w:rPr>
                <w:sz w:val="16"/>
                <w:szCs w:val="16"/>
                <w:color w:val="auto"/>
              </w:rPr>
            </w:pPr>
          </w:p>
        </w:tc>
        <w:tc>
          <w:tcPr>
            <w:tcW w:w="1460" w:type="dxa"/>
            <w:vAlign w:val="bottom"/>
            <w:tcBorders>
              <w:bottom w:val="single" w:sz="8" w:color="auto"/>
              <w:right w:val="single" w:sz="8" w:color="4D8ABE"/>
            </w:tcBorders>
            <w:gridSpan w:val="2"/>
          </w:tcPr>
          <w:p>
            <w:pPr>
              <w:jc w:val="right"/>
              <w:ind w:right="167"/>
              <w:spacing w:after="0"/>
              <w:rPr>
                <w:sz w:val="20"/>
                <w:szCs w:val="20"/>
                <w:color w:val="auto"/>
              </w:rPr>
            </w:pPr>
            <w:r>
              <w:rPr>
                <w:rFonts w:ascii="Arial" w:cs="Arial" w:eastAsia="Arial" w:hAnsi="Arial"/>
                <w:sz w:val="15"/>
                <w:szCs w:val="15"/>
                <w:color w:val="4D8ABE"/>
              </w:rPr>
              <w:t>4.5%</w:t>
            </w:r>
          </w:p>
        </w:tc>
        <w:tc>
          <w:tcPr>
            <w:tcW w:w="14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4.1%</w:t>
            </w:r>
          </w:p>
        </w:tc>
      </w:tr>
    </w:tbl>
    <w:p>
      <w:pPr>
        <w:spacing w:after="0" w:line="146"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64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00" w:name="page101"/>
    <w:bookmarkEnd w:id="100"/>
    <w:p>
      <w:pPr>
        <w:ind w:left="8"/>
        <w:spacing w:after="0"/>
        <w:rPr>
          <w:sz w:val="20"/>
          <w:szCs w:val="20"/>
          <w:color w:val="auto"/>
        </w:rPr>
      </w:pPr>
      <w:r>
        <w:rPr>
          <w:rFonts w:ascii="Arial" w:cs="Arial" w:eastAsia="Arial" w:hAnsi="Arial"/>
          <w:sz w:val="15"/>
          <w:szCs w:val="15"/>
          <w:color w:val="auto"/>
        </w:rPr>
        <w:t>The weighted-average assumptions used in the measurement of the net periodic benefit cost are as follows:</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4D8ABE"/>
              </w:rPr>
              <w:t>U.S. Plans</w:t>
            </w: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jc w:val="right"/>
              <w:ind w:right="146"/>
              <w:spacing w:after="0"/>
              <w:rPr>
                <w:sz w:val="20"/>
                <w:szCs w:val="20"/>
                <w:color w:val="auto"/>
              </w:rPr>
            </w:pPr>
            <w:r>
              <w:rPr>
                <w:rFonts w:ascii="Arial" w:cs="Arial" w:eastAsia="Arial" w:hAnsi="Arial"/>
                <w:sz w:val="14"/>
                <w:szCs w:val="14"/>
                <w:b w:val="1"/>
                <w:bCs w:val="1"/>
                <w:color w:val="4D8ABE"/>
              </w:rPr>
              <w:t>Non-U.S. Plans</w:t>
            </w:r>
          </w:p>
        </w:tc>
      </w:tr>
      <w:tr>
        <w:trPr>
          <w:trHeight w:val="182"/>
        </w:trPr>
        <w:tc>
          <w:tcPr>
            <w:tcW w:w="3400" w:type="dxa"/>
            <w:vAlign w:val="bottom"/>
            <w:tcBorders>
              <w:top w:val="single" w:sz="8" w:color="4D8ABE"/>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top w:val="single" w:sz="8" w:color="4D8ABE"/>
              <w:bottom w:val="single" w:sz="8" w:color="4D8ABE"/>
            </w:tcBorders>
            <w:shd w:val="clear" w:color="auto" w:fill="4D8ABE"/>
          </w:tcPr>
          <w:p>
            <w:pPr>
              <w:spacing w:after="0"/>
              <w:rPr>
                <w:sz w:val="15"/>
                <w:szCs w:val="15"/>
                <w:color w:val="auto"/>
              </w:rPr>
            </w:pPr>
          </w:p>
        </w:tc>
        <w:tc>
          <w:tcPr>
            <w:tcW w:w="1260" w:type="dxa"/>
            <w:vAlign w:val="bottom"/>
            <w:tcBorders>
              <w:top w:val="single" w:sz="8" w:color="4D8ABE"/>
              <w:bottom w:val="single" w:sz="8" w:color="4D8ABE"/>
              <w:right w:val="single" w:sz="8" w:color="4D8ABE"/>
            </w:tcBorders>
            <w:shd w:val="clear" w:color="auto" w:fill="4D8ABE"/>
          </w:tcPr>
          <w:p>
            <w:pPr>
              <w:jc w:val="right"/>
              <w:ind w:right="167"/>
              <w:spacing w:after="0"/>
              <w:rPr>
                <w:sz w:val="20"/>
                <w:szCs w:val="20"/>
                <w:color w:val="auto"/>
              </w:rPr>
            </w:pPr>
            <w:r>
              <w:rPr>
                <w:rFonts w:ascii="Arial" w:cs="Arial" w:eastAsia="Arial" w:hAnsi="Arial"/>
                <w:sz w:val="14"/>
                <w:szCs w:val="14"/>
                <w:b w:val="1"/>
                <w:bCs w:val="1"/>
                <w:color w:val="FFFFFF"/>
              </w:rPr>
              <w:t>2009</w:t>
            </w:r>
          </w:p>
        </w:tc>
        <w:tc>
          <w:tcPr>
            <w:tcW w:w="1440" w:type="dxa"/>
            <w:vAlign w:val="bottom"/>
            <w:tcBorders>
              <w:top w:val="single" w:sz="8" w:color="4D8ABE"/>
              <w:bottom w:val="single" w:sz="8" w:color="4D8ABE"/>
            </w:tcBorders>
          </w:tcPr>
          <w:p>
            <w:pPr>
              <w:jc w:val="right"/>
              <w:ind w:right="265"/>
              <w:spacing w:after="0"/>
              <w:rPr>
                <w:sz w:val="20"/>
                <w:szCs w:val="20"/>
                <w:color w:val="auto"/>
              </w:rPr>
            </w:pPr>
            <w:r>
              <w:rPr>
                <w:rFonts w:ascii="Arial" w:cs="Arial" w:eastAsia="Arial" w:hAnsi="Arial"/>
                <w:sz w:val="14"/>
                <w:szCs w:val="14"/>
                <w:b w:val="1"/>
                <w:bCs w:val="1"/>
                <w:color w:val="4D8ABE"/>
              </w:rPr>
              <w:t>2008</w:t>
            </w:r>
          </w:p>
        </w:tc>
        <w:tc>
          <w:tcPr>
            <w:tcW w:w="1000" w:type="dxa"/>
            <w:vAlign w:val="bottom"/>
            <w:tcBorders>
              <w:top w:val="single" w:sz="8" w:color="4D8ABE"/>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2007</w:t>
            </w:r>
          </w:p>
        </w:tc>
        <w:tc>
          <w:tcPr>
            <w:tcW w:w="220" w:type="dxa"/>
            <w:vAlign w:val="bottom"/>
            <w:tcBorders>
              <w:bottom w:val="single" w:sz="8" w:color="E6EFFF"/>
            </w:tcBorders>
          </w:tcPr>
          <w:p>
            <w:pPr>
              <w:spacing w:after="0"/>
              <w:rPr>
                <w:sz w:val="15"/>
                <w:szCs w:val="15"/>
                <w:color w:val="auto"/>
              </w:rPr>
            </w:pPr>
          </w:p>
        </w:tc>
        <w:tc>
          <w:tcPr>
            <w:tcW w:w="1360" w:type="dxa"/>
            <w:vAlign w:val="bottom"/>
            <w:tcBorders>
              <w:top w:val="single" w:sz="8" w:color="4D8ABE"/>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1300" w:type="dxa"/>
            <w:vAlign w:val="bottom"/>
            <w:tcBorders>
              <w:top w:val="single" w:sz="8" w:color="4D8ABE"/>
              <w:bottom w:val="single" w:sz="8" w:color="4D8ABE"/>
            </w:tcBorders>
          </w:tcPr>
          <w:p>
            <w:pPr>
              <w:jc w:val="right"/>
              <w:ind w:right="105"/>
              <w:spacing w:after="0"/>
              <w:rPr>
                <w:sz w:val="20"/>
                <w:szCs w:val="20"/>
                <w:color w:val="auto"/>
              </w:rPr>
            </w:pPr>
            <w:r>
              <w:rPr>
                <w:rFonts w:ascii="Arial" w:cs="Arial" w:eastAsia="Arial" w:hAnsi="Arial"/>
                <w:sz w:val="14"/>
                <w:szCs w:val="14"/>
                <w:b w:val="1"/>
                <w:bCs w:val="1"/>
                <w:color w:val="4D8ABE"/>
              </w:rPr>
              <w:t>2008</w:t>
            </w:r>
          </w:p>
        </w:tc>
        <w:tc>
          <w:tcPr>
            <w:tcW w:w="1380" w:type="dxa"/>
            <w:vAlign w:val="bottom"/>
            <w:tcBorders>
              <w:top w:val="single" w:sz="8" w:color="4D8ABE"/>
              <w:bottom w:val="single" w:sz="8" w:color="4D8ABE"/>
            </w:tcBorders>
          </w:tcPr>
          <w:p>
            <w:pPr>
              <w:jc w:val="right"/>
              <w:ind w:right="146"/>
              <w:spacing w:after="0"/>
              <w:rPr>
                <w:sz w:val="20"/>
                <w:szCs w:val="20"/>
                <w:color w:val="auto"/>
              </w:rPr>
            </w:pPr>
            <w:r>
              <w:rPr>
                <w:rFonts w:ascii="Arial" w:cs="Arial" w:eastAsia="Arial" w:hAnsi="Arial"/>
                <w:sz w:val="14"/>
                <w:szCs w:val="14"/>
                <w:b w:val="1"/>
                <w:bCs w:val="1"/>
                <w:color w:val="4D8ABE"/>
              </w:rPr>
              <w:t>2007</w:t>
            </w:r>
          </w:p>
        </w:tc>
      </w:tr>
      <w:tr>
        <w:trPr>
          <w:trHeight w:val="177"/>
        </w:trPr>
        <w:tc>
          <w:tcPr>
            <w:tcW w:w="34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Discount rate</w:t>
            </w:r>
          </w:p>
        </w:tc>
        <w:tc>
          <w:tcPr>
            <w:tcW w:w="80" w:type="dxa"/>
            <w:vAlign w:val="bottom"/>
            <w:shd w:val="clear" w:color="auto" w:fill="E6EFFF"/>
          </w:tcPr>
          <w:p>
            <w:pPr>
              <w:spacing w:after="0"/>
              <w:rPr>
                <w:sz w:val="15"/>
                <w:szCs w:val="15"/>
                <w:color w:val="auto"/>
              </w:rPr>
            </w:pPr>
          </w:p>
        </w:tc>
        <w:tc>
          <w:tcPr>
            <w:tcW w:w="1260" w:type="dxa"/>
            <w:vAlign w:val="bottom"/>
            <w:tcBorders>
              <w:right w:val="single" w:sz="8" w:color="4D8ABE"/>
            </w:tcBorders>
            <w:shd w:val="clear" w:color="auto" w:fill="E6EFFF"/>
          </w:tcPr>
          <w:p>
            <w:pPr>
              <w:jc w:val="right"/>
              <w:ind w:right="167"/>
              <w:spacing w:after="0"/>
              <w:rPr>
                <w:sz w:val="20"/>
                <w:szCs w:val="20"/>
                <w:color w:val="auto"/>
              </w:rPr>
            </w:pPr>
            <w:r>
              <w:rPr>
                <w:rFonts w:ascii="Arial" w:cs="Arial" w:eastAsia="Arial" w:hAnsi="Arial"/>
                <w:sz w:val="15"/>
                <w:szCs w:val="15"/>
                <w:color w:val="4D8ABE"/>
              </w:rPr>
              <w:t>6.4%</w:t>
            </w:r>
          </w:p>
        </w:tc>
        <w:tc>
          <w:tcPr>
            <w:tcW w:w="1440" w:type="dxa"/>
            <w:vAlign w:val="bottom"/>
            <w:shd w:val="clear" w:color="auto" w:fill="E6EFFF"/>
          </w:tcPr>
          <w:p>
            <w:pPr>
              <w:jc w:val="right"/>
              <w:ind w:right="265"/>
              <w:spacing w:after="0"/>
              <w:rPr>
                <w:sz w:val="20"/>
                <w:szCs w:val="20"/>
                <w:color w:val="auto"/>
              </w:rPr>
            </w:pPr>
            <w:r>
              <w:rPr>
                <w:rFonts w:ascii="Arial" w:cs="Arial" w:eastAsia="Arial" w:hAnsi="Arial"/>
                <w:sz w:val="15"/>
                <w:szCs w:val="15"/>
                <w:color w:val="auto"/>
              </w:rPr>
              <w:t>6.3%</w:t>
            </w:r>
          </w:p>
        </w:tc>
        <w:tc>
          <w:tcPr>
            <w:tcW w:w="1000" w:type="dxa"/>
            <w:vAlign w:val="bottom"/>
            <w:shd w:val="clear" w:color="auto" w:fill="E6EFFF"/>
          </w:tcPr>
          <w:p>
            <w:pPr>
              <w:jc w:val="right"/>
              <w:spacing w:after="0"/>
              <w:rPr>
                <w:sz w:val="20"/>
                <w:szCs w:val="20"/>
                <w:color w:val="auto"/>
              </w:rPr>
            </w:pPr>
            <w:r>
              <w:rPr>
                <w:rFonts w:ascii="Arial" w:cs="Arial" w:eastAsia="Arial" w:hAnsi="Arial"/>
                <w:sz w:val="15"/>
                <w:szCs w:val="15"/>
                <w:color w:val="auto"/>
              </w:rPr>
              <w:t>5.8%</w:t>
            </w:r>
          </w:p>
        </w:tc>
        <w:tc>
          <w:tcPr>
            <w:tcW w:w="220" w:type="dxa"/>
            <w:vAlign w:val="bottom"/>
            <w:shd w:val="clear" w:color="auto" w:fill="E6EFFF"/>
          </w:tcPr>
          <w:p>
            <w:pPr>
              <w:spacing w:after="0"/>
              <w:rPr>
                <w:sz w:val="15"/>
                <w:szCs w:val="15"/>
                <w:color w:val="auto"/>
              </w:rPr>
            </w:pPr>
          </w:p>
        </w:tc>
        <w:tc>
          <w:tcPr>
            <w:tcW w:w="136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5.7%</w:t>
            </w:r>
          </w:p>
        </w:tc>
        <w:tc>
          <w:tcPr>
            <w:tcW w:w="130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5.0%</w:t>
            </w:r>
          </w:p>
        </w:tc>
        <w:tc>
          <w:tcPr>
            <w:tcW w:w="13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4.6%</w:t>
            </w:r>
          </w:p>
        </w:tc>
      </w:tr>
      <w:tr>
        <w:trPr>
          <w:trHeight w:val="184"/>
        </w:trPr>
        <w:tc>
          <w:tcPr>
            <w:tcW w:w="34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Expected long-term return on plan assets</w:t>
            </w:r>
          </w:p>
        </w:tc>
        <w:tc>
          <w:tcPr>
            <w:tcW w:w="1340" w:type="dxa"/>
            <w:vAlign w:val="bottom"/>
            <w:tcBorders>
              <w:right w:val="single" w:sz="8" w:color="4D8ABE"/>
            </w:tcBorders>
            <w:gridSpan w:val="2"/>
          </w:tcPr>
          <w:p>
            <w:pPr>
              <w:jc w:val="right"/>
              <w:ind w:right="167"/>
              <w:spacing w:after="0"/>
              <w:rPr>
                <w:sz w:val="20"/>
                <w:szCs w:val="20"/>
                <w:color w:val="auto"/>
              </w:rPr>
            </w:pPr>
            <w:r>
              <w:rPr>
                <w:rFonts w:ascii="Arial" w:cs="Arial" w:eastAsia="Arial" w:hAnsi="Arial"/>
                <w:sz w:val="15"/>
                <w:szCs w:val="15"/>
                <w:color w:val="4D8ABE"/>
              </w:rPr>
              <w:t>7.3%</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7.5%</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8.0%</w:t>
            </w:r>
          </w:p>
        </w:tc>
        <w:tc>
          <w:tcPr>
            <w:tcW w:w="136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5.7%</w:t>
            </w:r>
          </w:p>
        </w:tc>
        <w:tc>
          <w:tcPr>
            <w:tcW w:w="1300" w:type="dxa"/>
            <w:vAlign w:val="bottom"/>
          </w:tcPr>
          <w:p>
            <w:pPr>
              <w:jc w:val="right"/>
              <w:ind w:right="105"/>
              <w:spacing w:after="0"/>
              <w:rPr>
                <w:sz w:val="20"/>
                <w:szCs w:val="20"/>
                <w:color w:val="auto"/>
              </w:rPr>
            </w:pPr>
            <w:r>
              <w:rPr>
                <w:rFonts w:ascii="Arial" w:cs="Arial" w:eastAsia="Arial" w:hAnsi="Arial"/>
                <w:sz w:val="15"/>
                <w:szCs w:val="15"/>
                <w:color w:val="auto"/>
              </w:rPr>
              <w:t>5.4%</w:t>
            </w:r>
          </w:p>
        </w:tc>
        <w:tc>
          <w:tcPr>
            <w:tcW w:w="1380" w:type="dxa"/>
            <w:vAlign w:val="bottom"/>
          </w:tcPr>
          <w:p>
            <w:pPr>
              <w:jc w:val="right"/>
              <w:ind w:right="146"/>
              <w:spacing w:after="0"/>
              <w:rPr>
                <w:sz w:val="20"/>
                <w:szCs w:val="20"/>
                <w:color w:val="auto"/>
              </w:rPr>
            </w:pPr>
            <w:r>
              <w:rPr>
                <w:rFonts w:ascii="Arial" w:cs="Arial" w:eastAsia="Arial" w:hAnsi="Arial"/>
                <w:sz w:val="15"/>
                <w:szCs w:val="15"/>
                <w:color w:val="auto"/>
              </w:rPr>
              <w:t>5.4%</w:t>
            </w:r>
          </w:p>
        </w:tc>
      </w:tr>
      <w:tr>
        <w:trPr>
          <w:trHeight w:val="184"/>
        </w:trPr>
        <w:tc>
          <w:tcPr>
            <w:tcW w:w="34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Rate of compensation increase</w:t>
            </w:r>
          </w:p>
        </w:tc>
        <w:tc>
          <w:tcPr>
            <w:tcW w:w="1340" w:type="dxa"/>
            <w:vAlign w:val="bottom"/>
            <w:tcBorders>
              <w:right w:val="single" w:sz="8" w:color="4D8ABE"/>
            </w:tcBorders>
            <w:gridSpan w:val="2"/>
            <w:shd w:val="clear" w:color="auto" w:fill="E6EFFF"/>
          </w:tcPr>
          <w:p>
            <w:pPr>
              <w:jc w:val="right"/>
              <w:ind w:right="167"/>
              <w:spacing w:after="0"/>
              <w:rPr>
                <w:sz w:val="20"/>
                <w:szCs w:val="20"/>
                <w:color w:val="auto"/>
              </w:rPr>
            </w:pPr>
            <w:r>
              <w:rPr>
                <w:rFonts w:ascii="Arial" w:cs="Arial" w:eastAsia="Arial" w:hAnsi="Arial"/>
                <w:sz w:val="15"/>
                <w:szCs w:val="15"/>
                <w:color w:val="4D8ABE"/>
              </w:rPr>
              <w:t>4.0%</w:t>
            </w:r>
          </w:p>
        </w:tc>
        <w:tc>
          <w:tcPr>
            <w:tcW w:w="1440" w:type="dxa"/>
            <w:vAlign w:val="bottom"/>
            <w:shd w:val="clear" w:color="auto" w:fill="E6EFFF"/>
          </w:tcPr>
          <w:p>
            <w:pPr>
              <w:jc w:val="right"/>
              <w:ind w:right="265"/>
              <w:spacing w:after="0"/>
              <w:rPr>
                <w:sz w:val="20"/>
                <w:szCs w:val="20"/>
                <w:color w:val="auto"/>
              </w:rPr>
            </w:pPr>
            <w:r>
              <w:rPr>
                <w:rFonts w:ascii="Arial" w:cs="Arial" w:eastAsia="Arial" w:hAnsi="Arial"/>
                <w:sz w:val="15"/>
                <w:szCs w:val="15"/>
                <w:color w:val="auto"/>
              </w:rPr>
              <w:t>4.5%</w:t>
            </w:r>
          </w:p>
        </w:tc>
        <w:tc>
          <w:tcPr>
            <w:tcW w:w="1220" w:type="dxa"/>
            <w:vAlign w:val="bottom"/>
            <w:gridSpan w:val="2"/>
            <w:shd w:val="clear" w:color="auto" w:fill="E6EFFF"/>
          </w:tcPr>
          <w:p>
            <w:pPr>
              <w:jc w:val="right"/>
              <w:ind w:right="220"/>
              <w:spacing w:after="0"/>
              <w:rPr>
                <w:sz w:val="20"/>
                <w:szCs w:val="20"/>
                <w:color w:val="auto"/>
              </w:rPr>
            </w:pPr>
            <w:r>
              <w:rPr>
                <w:rFonts w:ascii="Arial" w:cs="Arial" w:eastAsia="Arial" w:hAnsi="Arial"/>
                <w:sz w:val="15"/>
                <w:szCs w:val="15"/>
                <w:color w:val="auto"/>
              </w:rPr>
              <w:t>4.5%</w:t>
            </w:r>
          </w:p>
        </w:tc>
        <w:tc>
          <w:tcPr>
            <w:tcW w:w="136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4.2%</w:t>
            </w:r>
          </w:p>
        </w:tc>
        <w:tc>
          <w:tcPr>
            <w:tcW w:w="130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4.2%</w:t>
            </w:r>
          </w:p>
        </w:tc>
        <w:tc>
          <w:tcPr>
            <w:tcW w:w="1380" w:type="dxa"/>
            <w:vAlign w:val="bottom"/>
            <w:shd w:val="clear" w:color="auto" w:fill="E6EFFF"/>
          </w:tcPr>
          <w:p>
            <w:pPr>
              <w:jc w:val="right"/>
              <w:ind w:right="146"/>
              <w:spacing w:after="0"/>
              <w:rPr>
                <w:sz w:val="20"/>
                <w:szCs w:val="20"/>
                <w:color w:val="auto"/>
              </w:rPr>
            </w:pPr>
            <w:r>
              <w:rPr>
                <w:rFonts w:ascii="Arial" w:cs="Arial" w:eastAsia="Arial" w:hAnsi="Arial"/>
                <w:sz w:val="15"/>
                <w:szCs w:val="15"/>
                <w:color w:val="auto"/>
              </w:rPr>
              <w:t>4.1%</w:t>
            </w:r>
          </w:p>
        </w:tc>
      </w:tr>
      <w:tr>
        <w:trPr>
          <w:trHeight w:val="23"/>
        </w:trPr>
        <w:tc>
          <w:tcPr>
            <w:tcW w:w="3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We determine our assumption for the discount rate to be used for purposes of computing annual service and interest costs based on an index of high-quality corporate bond yields and matched-funding yield curve analysis as of the end of each fiscal year.</w:t>
      </w:r>
    </w:p>
    <w:p>
      <w:pPr>
        <w:spacing w:after="0" w:line="194" w:lineRule="exact"/>
        <w:rPr>
          <w:sz w:val="20"/>
          <w:szCs w:val="20"/>
          <w:color w:val="auto"/>
        </w:rPr>
      </w:pPr>
    </w:p>
    <w:p>
      <w:pPr>
        <w:jc w:val="both"/>
        <w:ind w:left="8"/>
        <w:spacing w:after="0" w:line="241" w:lineRule="auto"/>
        <w:rPr>
          <w:sz w:val="20"/>
          <w:szCs w:val="20"/>
          <w:color w:val="auto"/>
        </w:rPr>
      </w:pPr>
      <w:r>
        <w:rPr>
          <w:rFonts w:ascii="Arial" w:cs="Arial" w:eastAsia="Arial" w:hAnsi="Arial"/>
          <w:sz w:val="15"/>
          <w:szCs w:val="15"/>
          <w:color w:val="auto"/>
        </w:rPr>
        <w:t>Our overall expected long-term rate of return on U.S. plan assets is 7.3%. Our overall expected long-term rate of return on our non-U.S. plans varies by country and ranges from 3.7% to 6.3%.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two of our foreign plans. Peer data and historical returns are reviewed to check for reasonableness and appropriateness of our expected rate of return.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5"/>
          <w:szCs w:val="15"/>
          <w:color w:val="auto"/>
        </w:rPr>
        <w:t>Projected salary levels utilized in the determination of the projected benefit obligation for the pension plans are based upon historical experience.</w:t>
      </w:r>
    </w:p>
    <w:p>
      <w:pPr>
        <w:spacing w:after="0" w:line="207" w:lineRule="exact"/>
        <w:rPr>
          <w:sz w:val="20"/>
          <w:szCs w:val="20"/>
          <w:color w:val="auto"/>
        </w:rPr>
      </w:pPr>
    </w:p>
    <w:p>
      <w:pPr>
        <w:jc w:val="both"/>
        <w:ind w:left="8"/>
        <w:spacing w:after="0" w:line="242" w:lineRule="auto"/>
        <w:rPr>
          <w:sz w:val="20"/>
          <w:szCs w:val="20"/>
          <w:color w:val="auto"/>
        </w:rPr>
      </w:pPr>
      <w:r>
        <w:rPr>
          <w:rFonts w:ascii="Arial" w:cs="Arial" w:eastAsia="Arial" w:hAnsi="Arial"/>
          <w:sz w:val="15"/>
          <w:szCs w:val="15"/>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2009 allocations, are determined based on the favorable risk tolerance characteristics of the plan and, at times, may be adjusted within a specified range to advance our overall objective.</w:t>
      </w:r>
    </w:p>
    <w:p>
      <w:pPr>
        <w:spacing w:after="0" w:line="199"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5"/>
          <w:szCs w:val="15"/>
          <w:color w:val="auto"/>
        </w:rPr>
        <w:t>We determine the fair value of our pension plan assets primarily by using market quotes as of the last day of the period. A portion of the governmental bonds and real estate was valued at a discounted amount based on the market expectations about their future value. The fair value of our pension plan assets by asset category is as follows:</w:t>
      </w:r>
    </w:p>
    <w:p>
      <w:pPr>
        <w:spacing w:after="0" w:line="200"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1560" w:type="dxa"/>
            <w:vAlign w:val="bottom"/>
            <w:tcBorders>
              <w:bottom w:val="single" w:sz="8" w:color="4D8ABE"/>
            </w:tcBorders>
          </w:tcPr>
          <w:p>
            <w:pPr>
              <w:spacing w:after="0"/>
              <w:rPr>
                <w:sz w:val="15"/>
                <w:szCs w:val="15"/>
                <w:color w:val="auto"/>
              </w:rPr>
            </w:pPr>
          </w:p>
        </w:tc>
        <w:tc>
          <w:tcPr>
            <w:tcW w:w="100" w:type="dxa"/>
            <w:vAlign w:val="bottom"/>
            <w:tcBorders>
              <w:bottom w:val="single" w:sz="8" w:color="4D8ABE"/>
            </w:tcBorders>
          </w:tcPr>
          <w:p>
            <w:pPr>
              <w:spacing w:after="0"/>
              <w:rPr>
                <w:sz w:val="15"/>
                <w:szCs w:val="15"/>
                <w:color w:val="auto"/>
              </w:rPr>
            </w:pPr>
          </w:p>
        </w:tc>
        <w:tc>
          <w:tcPr>
            <w:tcW w:w="1020" w:type="dxa"/>
            <w:vAlign w:val="bottom"/>
            <w:tcBorders>
              <w:bottom w:val="single" w:sz="8" w:color="4D8ABE"/>
            </w:tcBorders>
          </w:tcPr>
          <w:p>
            <w:pPr>
              <w:spacing w:after="0"/>
              <w:rPr>
                <w:sz w:val="15"/>
                <w:szCs w:val="15"/>
                <w:color w:val="auto"/>
              </w:rPr>
            </w:pPr>
          </w:p>
        </w:tc>
        <w:tc>
          <w:tcPr>
            <w:tcW w:w="220" w:type="dxa"/>
            <w:vAlign w:val="bottom"/>
            <w:tcBorders>
              <w:bottom w:val="single" w:sz="8" w:color="4D8ABE"/>
            </w:tcBorders>
          </w:tcPr>
          <w:p>
            <w:pPr>
              <w:spacing w:after="0"/>
              <w:rPr>
                <w:sz w:val="15"/>
                <w:szCs w:val="15"/>
                <w:color w:val="auto"/>
              </w:rPr>
            </w:pPr>
          </w:p>
        </w:tc>
        <w:tc>
          <w:tcPr>
            <w:tcW w:w="920" w:type="dxa"/>
            <w:vAlign w:val="bottom"/>
            <w:tcBorders>
              <w:bottom w:val="single" w:sz="8" w:color="4D8ABE"/>
            </w:tcBorders>
          </w:tcPr>
          <w:p>
            <w:pPr>
              <w:spacing w:after="0"/>
              <w:rPr>
                <w:sz w:val="15"/>
                <w:szCs w:val="15"/>
                <w:color w:val="auto"/>
              </w:rPr>
            </w:pPr>
          </w:p>
        </w:tc>
        <w:tc>
          <w:tcPr>
            <w:tcW w:w="180" w:type="dxa"/>
            <w:vAlign w:val="bottom"/>
            <w:tcBorders>
              <w:bottom w:val="single" w:sz="8" w:color="4D8ABE"/>
            </w:tcBorders>
          </w:tcPr>
          <w:p>
            <w:pPr>
              <w:spacing w:after="0"/>
              <w:rPr>
                <w:sz w:val="15"/>
                <w:szCs w:val="15"/>
                <w:color w:val="auto"/>
              </w:rPr>
            </w:pPr>
          </w:p>
        </w:tc>
        <w:tc>
          <w:tcPr>
            <w:tcW w:w="1120" w:type="dxa"/>
            <w:vAlign w:val="bottom"/>
            <w:tcBorders>
              <w:bottom w:val="single" w:sz="8" w:color="4D8ABE"/>
            </w:tcBorders>
          </w:tcPr>
          <w:p>
            <w:pPr>
              <w:spacing w:after="0"/>
              <w:rPr>
                <w:sz w:val="15"/>
                <w:szCs w:val="15"/>
                <w:color w:val="auto"/>
              </w:rPr>
            </w:pPr>
          </w:p>
        </w:tc>
        <w:tc>
          <w:tcPr>
            <w:tcW w:w="180" w:type="dxa"/>
            <w:vAlign w:val="bottom"/>
            <w:tcBorders>
              <w:bottom w:val="single" w:sz="8" w:color="4D8ABE"/>
            </w:tcBorders>
          </w:tcPr>
          <w:p>
            <w:pPr>
              <w:spacing w:after="0"/>
              <w:rPr>
                <w:sz w:val="15"/>
                <w:szCs w:val="15"/>
                <w:color w:val="auto"/>
              </w:rPr>
            </w:pPr>
          </w:p>
        </w:tc>
        <w:tc>
          <w:tcPr>
            <w:tcW w:w="980" w:type="dxa"/>
            <w:vAlign w:val="bottom"/>
            <w:tcBorders>
              <w:bottom w:val="single" w:sz="8" w:color="4D8ABE"/>
            </w:tcBorders>
          </w:tcPr>
          <w:p>
            <w:pPr>
              <w:jc w:val="right"/>
              <w:spacing w:after="0"/>
              <w:rPr>
                <w:sz w:val="20"/>
                <w:szCs w:val="20"/>
                <w:color w:val="auto"/>
              </w:rPr>
            </w:pPr>
            <w:r>
              <w:rPr>
                <w:rFonts w:ascii="Arial" w:cs="Arial" w:eastAsia="Arial" w:hAnsi="Arial"/>
                <w:sz w:val="14"/>
                <w:szCs w:val="14"/>
                <w:b w:val="1"/>
                <w:bCs w:val="1"/>
                <w:color w:val="4D8ABE"/>
              </w:rPr>
              <w:t>U.S. Plans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4D8ABE"/>
            </w:tcBorders>
          </w:tcPr>
          <w:p>
            <w:pPr>
              <w:spacing w:after="0"/>
              <w:rPr>
                <w:sz w:val="15"/>
                <w:szCs w:val="15"/>
                <w:color w:val="auto"/>
              </w:rPr>
            </w:pPr>
          </w:p>
        </w:tc>
        <w:tc>
          <w:tcPr>
            <w:tcW w:w="220" w:type="dxa"/>
            <w:vAlign w:val="bottom"/>
            <w:tcBorders>
              <w:bottom w:val="single" w:sz="8" w:color="4D8ABE"/>
            </w:tcBorders>
          </w:tcPr>
          <w:p>
            <w:pPr>
              <w:spacing w:after="0"/>
              <w:rPr>
                <w:sz w:val="15"/>
                <w:szCs w:val="15"/>
                <w:color w:val="auto"/>
              </w:rPr>
            </w:pPr>
          </w:p>
        </w:tc>
        <w:tc>
          <w:tcPr>
            <w:tcW w:w="920" w:type="dxa"/>
            <w:vAlign w:val="bottom"/>
            <w:tcBorders>
              <w:bottom w:val="single" w:sz="8" w:color="4D8ABE"/>
            </w:tcBorders>
          </w:tcPr>
          <w:p>
            <w:pPr>
              <w:spacing w:after="0"/>
              <w:rPr>
                <w:sz w:val="15"/>
                <w:szCs w:val="15"/>
                <w:color w:val="auto"/>
              </w:rPr>
            </w:pPr>
          </w:p>
        </w:tc>
        <w:tc>
          <w:tcPr>
            <w:tcW w:w="180" w:type="dxa"/>
            <w:vAlign w:val="bottom"/>
            <w:tcBorders>
              <w:bottom w:val="single" w:sz="8" w:color="4D8ABE"/>
            </w:tcBorders>
          </w:tcPr>
          <w:p>
            <w:pPr>
              <w:spacing w:after="0"/>
              <w:rPr>
                <w:sz w:val="15"/>
                <w:szCs w:val="15"/>
                <w:color w:val="auto"/>
              </w:rPr>
            </w:pPr>
          </w:p>
        </w:tc>
        <w:tc>
          <w:tcPr>
            <w:tcW w:w="1120" w:type="dxa"/>
            <w:vAlign w:val="bottom"/>
            <w:tcBorders>
              <w:bottom w:val="single" w:sz="8" w:color="4D8ABE"/>
            </w:tcBorders>
          </w:tcPr>
          <w:p>
            <w:pPr>
              <w:spacing w:after="0"/>
              <w:rPr>
                <w:sz w:val="15"/>
                <w:szCs w:val="15"/>
                <w:color w:val="auto"/>
              </w:rPr>
            </w:pPr>
          </w:p>
        </w:tc>
        <w:tc>
          <w:tcPr>
            <w:tcW w:w="160" w:type="dxa"/>
            <w:vAlign w:val="bottom"/>
            <w:tcBorders>
              <w:bottom w:val="single" w:sz="8" w:color="4D8ABE"/>
            </w:tcBorders>
          </w:tcPr>
          <w:p>
            <w:pPr>
              <w:spacing w:after="0"/>
              <w:rPr>
                <w:sz w:val="15"/>
                <w:szCs w:val="15"/>
                <w:color w:val="auto"/>
              </w:rPr>
            </w:pPr>
          </w:p>
        </w:tc>
        <w:tc>
          <w:tcPr>
            <w:tcW w:w="1220" w:type="dxa"/>
            <w:vAlign w:val="bottom"/>
            <w:tcBorders>
              <w:bottom w:val="single" w:sz="8" w:color="4D8ABE"/>
            </w:tcBorders>
          </w:tcPr>
          <w:p>
            <w:pPr>
              <w:jc w:val="right"/>
              <w:ind w:right="151"/>
              <w:spacing w:after="0"/>
              <w:rPr>
                <w:sz w:val="20"/>
                <w:szCs w:val="20"/>
                <w:color w:val="auto"/>
              </w:rPr>
            </w:pPr>
            <w:r>
              <w:rPr>
                <w:rFonts w:ascii="Arial" w:cs="Arial" w:eastAsia="Arial" w:hAnsi="Arial"/>
                <w:sz w:val="14"/>
                <w:szCs w:val="14"/>
                <w:b w:val="1"/>
                <w:bCs w:val="1"/>
                <w:color w:val="4D8ABE"/>
                <w:w w:val="97"/>
              </w:rPr>
              <w:t>Non-U.S. Plans</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4D8ABE"/>
              </w:rPr>
              <w:t>Fair Value Measurements Using</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3"/>
          </w:tcPr>
          <w:p>
            <w:pPr>
              <w:jc w:val="right"/>
              <w:ind w:right="151"/>
              <w:spacing w:after="0"/>
              <w:rPr>
                <w:sz w:val="20"/>
                <w:szCs w:val="20"/>
                <w:color w:val="auto"/>
              </w:rPr>
            </w:pPr>
            <w:r>
              <w:rPr>
                <w:rFonts w:ascii="Arial" w:cs="Arial" w:eastAsia="Arial" w:hAnsi="Arial"/>
                <w:sz w:val="14"/>
                <w:szCs w:val="14"/>
                <w:b w:val="1"/>
                <w:bCs w:val="1"/>
                <w:color w:val="4D8ABE"/>
              </w:rPr>
              <w:t>Fair Value Measurements Using</w:t>
            </w:r>
          </w:p>
        </w:tc>
        <w:tc>
          <w:tcPr>
            <w:tcW w:w="0" w:type="dxa"/>
            <w:vAlign w:val="bottom"/>
          </w:tcPr>
          <w:p>
            <w:pPr>
              <w:spacing w:after="0"/>
              <w:rPr>
                <w:sz w:val="1"/>
                <w:szCs w:val="1"/>
                <w:color w:val="auto"/>
              </w:rPr>
            </w:pPr>
          </w:p>
        </w:tc>
      </w:tr>
      <w:tr>
        <w:trPr>
          <w:trHeight w:val="181"/>
        </w:trPr>
        <w:tc>
          <w:tcPr>
            <w:tcW w:w="1560" w:type="dxa"/>
            <w:vAlign w:val="bottom"/>
            <w:tcBorders>
              <w:top w:val="single" w:sz="8" w:color="4D8ABE"/>
            </w:tcBorders>
          </w:tcPr>
          <w:p>
            <w:pPr>
              <w:spacing w:after="0"/>
              <w:rPr>
                <w:sz w:val="15"/>
                <w:szCs w:val="15"/>
                <w:color w:val="auto"/>
              </w:rPr>
            </w:pPr>
          </w:p>
        </w:tc>
        <w:tc>
          <w:tcPr>
            <w:tcW w:w="100" w:type="dxa"/>
            <w:vAlign w:val="bottom"/>
            <w:tcBorders>
              <w:top w:val="single" w:sz="8" w:color="4D8ABE"/>
            </w:tcBorders>
          </w:tcPr>
          <w:p>
            <w:pPr>
              <w:spacing w:after="0"/>
              <w:rPr>
                <w:sz w:val="15"/>
                <w:szCs w:val="15"/>
                <w:color w:val="auto"/>
              </w:rPr>
            </w:pPr>
          </w:p>
        </w:tc>
        <w:tc>
          <w:tcPr>
            <w:tcW w:w="1020" w:type="dxa"/>
            <w:vAlign w:val="bottom"/>
            <w:tcBorders>
              <w:top w:val="single" w:sz="8" w:color="4D8ABE"/>
            </w:tcBorders>
          </w:tcPr>
          <w:p>
            <w:pPr>
              <w:spacing w:after="0"/>
              <w:rPr>
                <w:sz w:val="15"/>
                <w:szCs w:val="15"/>
                <w:color w:val="auto"/>
              </w:rPr>
            </w:pPr>
          </w:p>
        </w:tc>
        <w:tc>
          <w:tcPr>
            <w:tcW w:w="220" w:type="dxa"/>
            <w:vAlign w:val="bottom"/>
            <w:tcBorders>
              <w:top w:val="single" w:sz="8" w:color="4D8ABE"/>
            </w:tcBorders>
          </w:tcPr>
          <w:p>
            <w:pPr>
              <w:spacing w:after="0"/>
              <w:rPr>
                <w:sz w:val="15"/>
                <w:szCs w:val="15"/>
                <w:color w:val="auto"/>
              </w:rPr>
            </w:pPr>
          </w:p>
        </w:tc>
        <w:tc>
          <w:tcPr>
            <w:tcW w:w="920" w:type="dxa"/>
            <w:vAlign w:val="bottom"/>
            <w:tcBorders>
              <w:top w:val="single" w:sz="8" w:color="4D8ABE"/>
            </w:tcBorders>
          </w:tcPr>
          <w:p>
            <w:pPr>
              <w:jc w:val="right"/>
              <w:ind w:right="71"/>
              <w:spacing w:after="0"/>
              <w:rPr>
                <w:sz w:val="20"/>
                <w:szCs w:val="20"/>
                <w:color w:val="auto"/>
              </w:rPr>
            </w:pPr>
            <w:r>
              <w:rPr>
                <w:rFonts w:ascii="Arial" w:cs="Arial" w:eastAsia="Arial" w:hAnsi="Arial"/>
                <w:sz w:val="14"/>
                <w:szCs w:val="14"/>
                <w:b w:val="1"/>
                <w:bCs w:val="1"/>
                <w:color w:val="4D8ABE"/>
              </w:rPr>
              <w:t>Quoted</w:t>
            </w:r>
          </w:p>
        </w:tc>
        <w:tc>
          <w:tcPr>
            <w:tcW w:w="180" w:type="dxa"/>
            <w:vAlign w:val="bottom"/>
            <w:tcBorders>
              <w:top w:val="single" w:sz="8" w:color="4D8ABE"/>
            </w:tcBorders>
          </w:tcPr>
          <w:p>
            <w:pPr>
              <w:spacing w:after="0"/>
              <w:rPr>
                <w:sz w:val="15"/>
                <w:szCs w:val="15"/>
                <w:color w:val="auto"/>
              </w:rPr>
            </w:pPr>
          </w:p>
        </w:tc>
        <w:tc>
          <w:tcPr>
            <w:tcW w:w="1120" w:type="dxa"/>
            <w:vAlign w:val="bottom"/>
            <w:tcBorders>
              <w:top w:val="single" w:sz="8" w:color="4D8ABE"/>
            </w:tcBorders>
          </w:tcPr>
          <w:p>
            <w:pPr>
              <w:spacing w:after="0"/>
              <w:rPr>
                <w:sz w:val="15"/>
                <w:szCs w:val="15"/>
                <w:color w:val="auto"/>
              </w:rPr>
            </w:pPr>
          </w:p>
        </w:tc>
        <w:tc>
          <w:tcPr>
            <w:tcW w:w="180" w:type="dxa"/>
            <w:vAlign w:val="bottom"/>
            <w:tcBorders>
              <w:top w:val="single" w:sz="8" w:color="4D8ABE"/>
            </w:tcBorders>
          </w:tcPr>
          <w:p>
            <w:pPr>
              <w:spacing w:after="0"/>
              <w:rPr>
                <w:sz w:val="15"/>
                <w:szCs w:val="15"/>
                <w:color w:val="auto"/>
              </w:rPr>
            </w:pPr>
          </w:p>
        </w:tc>
        <w:tc>
          <w:tcPr>
            <w:tcW w:w="980" w:type="dxa"/>
            <w:vAlign w:val="bottom"/>
            <w:tcBorders>
              <w:top w:val="single" w:sz="8" w:color="4D8ABE"/>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top w:val="single" w:sz="8" w:color="4D8ABE"/>
            </w:tcBorders>
          </w:tcPr>
          <w:p>
            <w:pPr>
              <w:spacing w:after="0"/>
              <w:rPr>
                <w:sz w:val="15"/>
                <w:szCs w:val="15"/>
                <w:color w:val="auto"/>
              </w:rPr>
            </w:pPr>
          </w:p>
        </w:tc>
        <w:tc>
          <w:tcPr>
            <w:tcW w:w="220" w:type="dxa"/>
            <w:vAlign w:val="bottom"/>
            <w:tcBorders>
              <w:top w:val="single" w:sz="8" w:color="4D8ABE"/>
            </w:tcBorders>
          </w:tcPr>
          <w:p>
            <w:pPr>
              <w:spacing w:after="0"/>
              <w:rPr>
                <w:sz w:val="15"/>
                <w:szCs w:val="15"/>
                <w:color w:val="auto"/>
              </w:rPr>
            </w:pPr>
          </w:p>
        </w:tc>
        <w:tc>
          <w:tcPr>
            <w:tcW w:w="920" w:type="dxa"/>
            <w:vAlign w:val="bottom"/>
            <w:tcBorders>
              <w:top w:val="single" w:sz="8" w:color="4D8ABE"/>
            </w:tcBorders>
          </w:tcPr>
          <w:p>
            <w:pPr>
              <w:jc w:val="right"/>
              <w:ind w:right="71"/>
              <w:spacing w:after="0"/>
              <w:rPr>
                <w:sz w:val="20"/>
                <w:szCs w:val="20"/>
                <w:color w:val="auto"/>
              </w:rPr>
            </w:pPr>
            <w:r>
              <w:rPr>
                <w:rFonts w:ascii="Arial" w:cs="Arial" w:eastAsia="Arial" w:hAnsi="Arial"/>
                <w:sz w:val="14"/>
                <w:szCs w:val="14"/>
                <w:b w:val="1"/>
                <w:bCs w:val="1"/>
                <w:color w:val="4D8ABE"/>
              </w:rPr>
              <w:t>Quoted</w:t>
            </w:r>
          </w:p>
        </w:tc>
        <w:tc>
          <w:tcPr>
            <w:tcW w:w="180" w:type="dxa"/>
            <w:vAlign w:val="bottom"/>
            <w:tcBorders>
              <w:top w:val="single" w:sz="8" w:color="4D8ABE"/>
            </w:tcBorders>
          </w:tcPr>
          <w:p>
            <w:pPr>
              <w:spacing w:after="0"/>
              <w:rPr>
                <w:sz w:val="15"/>
                <w:szCs w:val="15"/>
                <w:color w:val="auto"/>
              </w:rPr>
            </w:pPr>
          </w:p>
        </w:tc>
        <w:tc>
          <w:tcPr>
            <w:tcW w:w="1120" w:type="dxa"/>
            <w:vAlign w:val="bottom"/>
            <w:tcBorders>
              <w:top w:val="single" w:sz="8" w:color="4D8ABE"/>
            </w:tcBorders>
          </w:tcPr>
          <w:p>
            <w:pPr>
              <w:spacing w:after="0"/>
              <w:rPr>
                <w:sz w:val="15"/>
                <w:szCs w:val="15"/>
                <w:color w:val="auto"/>
              </w:rPr>
            </w:pPr>
          </w:p>
        </w:tc>
        <w:tc>
          <w:tcPr>
            <w:tcW w:w="160" w:type="dxa"/>
            <w:vAlign w:val="bottom"/>
            <w:tcBorders>
              <w:top w:val="single" w:sz="8" w:color="4D8ABE"/>
            </w:tcBorders>
          </w:tcPr>
          <w:p>
            <w:pPr>
              <w:spacing w:after="0"/>
              <w:rPr>
                <w:sz w:val="15"/>
                <w:szCs w:val="15"/>
                <w:color w:val="auto"/>
              </w:rPr>
            </w:pPr>
          </w:p>
        </w:tc>
        <w:tc>
          <w:tcPr>
            <w:tcW w:w="1220" w:type="dxa"/>
            <w:vAlign w:val="bottom"/>
            <w:tcBorders>
              <w:top w:val="single" w:sz="8" w:color="4D8ABE"/>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Prices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Prices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in Active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in Active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Markets for</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4D8ABE"/>
              </w:rPr>
              <w:t>Significant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Markets for</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4D8ABE"/>
              </w:rPr>
              <w:t>Significant</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Identical</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4D8ABE"/>
              </w:rPr>
              <w:t>Other</w:t>
            </w: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4D8ABE"/>
              </w:rPr>
              <w:t>Significant</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Identical</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4D8ABE"/>
              </w:rPr>
              <w:t>Other</w:t>
            </w:r>
          </w:p>
        </w:tc>
        <w:tc>
          <w:tcPr>
            <w:tcW w:w="160" w:type="dxa"/>
            <w:vAlign w:val="bottom"/>
          </w:tcPr>
          <w:p>
            <w:pPr>
              <w:spacing w:after="0"/>
              <w:rPr>
                <w:sz w:val="15"/>
                <w:szCs w:val="15"/>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4D8ABE"/>
              </w:rPr>
              <w:t>Significant</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4D8ABE"/>
                <w:w w:val="96"/>
              </w:rPr>
              <w:t>December 31,</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Assets</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4D8ABE"/>
              </w:rPr>
              <w:t>Observable</w:t>
            </w: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4D8ABE"/>
              </w:rPr>
              <w:t>Unobservable</w:t>
            </w:r>
          </w:p>
        </w:tc>
        <w:tc>
          <w:tcPr>
            <w:tcW w:w="2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4D8ABE"/>
                <w:w w:val="96"/>
              </w:rPr>
              <w:t>December 31,</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4D8ABE"/>
              </w:rPr>
              <w:t>Assets</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4D8ABE"/>
              </w:rPr>
              <w:t>Observable</w:t>
            </w:r>
          </w:p>
        </w:tc>
        <w:tc>
          <w:tcPr>
            <w:tcW w:w="160" w:type="dxa"/>
            <w:vAlign w:val="bottom"/>
          </w:tcPr>
          <w:p>
            <w:pPr>
              <w:spacing w:after="0"/>
              <w:rPr>
                <w:sz w:val="15"/>
                <w:szCs w:val="15"/>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4D8ABE"/>
              </w:rPr>
              <w:t>Unobservable</w:t>
            </w: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4D8ABE"/>
              </w:rPr>
              <w:t>2009</w:t>
            </w:r>
          </w:p>
        </w:tc>
        <w:tc>
          <w:tcPr>
            <w:tcW w:w="22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4D8ABE"/>
              </w:rPr>
              <w:t>(Level 1)</w:t>
            </w:r>
          </w:p>
        </w:tc>
        <w:tc>
          <w:tcPr>
            <w:tcW w:w="180" w:type="dxa"/>
            <w:vAlign w:val="bottom"/>
          </w:tcPr>
          <w:p>
            <w:pPr>
              <w:spacing w:after="0"/>
              <w:rPr>
                <w:sz w:val="15"/>
                <w:szCs w:val="15"/>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b w:val="1"/>
                <w:bCs w:val="1"/>
                <w:color w:val="4D8ABE"/>
                <w:w w:val="97"/>
              </w:rPr>
              <w:t>Inputs (Level 2)</w:t>
            </w:r>
          </w:p>
        </w:tc>
        <w:tc>
          <w:tcPr>
            <w:tcW w:w="1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4D8ABE"/>
              </w:rPr>
              <w:t>Inputs (Level 3)</w:t>
            </w:r>
          </w:p>
        </w:tc>
        <w:tc>
          <w:tcPr>
            <w:tcW w:w="2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4D8ABE"/>
              </w:rPr>
              <w:t>2009</w:t>
            </w:r>
          </w:p>
        </w:tc>
        <w:tc>
          <w:tcPr>
            <w:tcW w:w="22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4D8ABE"/>
              </w:rPr>
              <w:t>(Level 1)</w:t>
            </w:r>
          </w:p>
        </w:tc>
        <w:tc>
          <w:tcPr>
            <w:tcW w:w="180" w:type="dxa"/>
            <w:vAlign w:val="bottom"/>
          </w:tcPr>
          <w:p>
            <w:pPr>
              <w:spacing w:after="0"/>
              <w:rPr>
                <w:sz w:val="15"/>
                <w:szCs w:val="15"/>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b w:val="1"/>
                <w:bCs w:val="1"/>
                <w:color w:val="4D8ABE"/>
                <w:w w:val="97"/>
              </w:rPr>
              <w:t>Inputs (Level 2)</w:t>
            </w:r>
          </w:p>
        </w:tc>
        <w:tc>
          <w:tcPr>
            <w:tcW w:w="160" w:type="dxa"/>
            <w:vAlign w:val="bottom"/>
          </w:tcPr>
          <w:p>
            <w:pPr>
              <w:spacing w:after="0"/>
              <w:rPr>
                <w:sz w:val="15"/>
                <w:szCs w:val="15"/>
                <w:color w:val="auto"/>
              </w:rPr>
            </w:pPr>
          </w:p>
        </w:tc>
        <w:tc>
          <w:tcPr>
            <w:tcW w:w="1220" w:type="dxa"/>
            <w:vAlign w:val="bottom"/>
          </w:tcPr>
          <w:p>
            <w:pPr>
              <w:jc w:val="right"/>
              <w:ind w:right="111"/>
              <w:spacing w:after="0"/>
              <w:rPr>
                <w:sz w:val="20"/>
                <w:szCs w:val="20"/>
                <w:color w:val="auto"/>
              </w:rPr>
            </w:pPr>
            <w:r>
              <w:rPr>
                <w:rFonts w:ascii="Arial" w:cs="Arial" w:eastAsia="Arial" w:hAnsi="Arial"/>
                <w:sz w:val="14"/>
                <w:szCs w:val="14"/>
                <w:b w:val="1"/>
                <w:bCs w:val="1"/>
                <w:color w:val="4D8ABE"/>
                <w:w w:val="99"/>
              </w:rPr>
              <w:t>Inputs (Level 3)</w:t>
            </w:r>
          </w:p>
        </w:tc>
        <w:tc>
          <w:tcPr>
            <w:tcW w:w="0" w:type="dxa"/>
            <w:vAlign w:val="bottom"/>
          </w:tcPr>
          <w:p>
            <w:pPr>
              <w:spacing w:after="0"/>
              <w:rPr>
                <w:sz w:val="1"/>
                <w:szCs w:val="1"/>
                <w:color w:val="auto"/>
              </w:rPr>
            </w:pPr>
          </w:p>
        </w:tc>
      </w:tr>
      <w:tr>
        <w:trPr>
          <w:trHeight w:val="175"/>
        </w:trPr>
        <w:tc>
          <w:tcPr>
            <w:tcW w:w="1560" w:type="dxa"/>
            <w:vAlign w:val="bottom"/>
            <w:tcBorders>
              <w:top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Asset Category</w:t>
            </w:r>
          </w:p>
        </w:tc>
        <w:tc>
          <w:tcPr>
            <w:tcW w:w="100" w:type="dxa"/>
            <w:vAlign w:val="bottom"/>
            <w:tcBorders>
              <w:top w:val="single" w:sz="8" w:color="4D8ABE"/>
            </w:tcBorders>
            <w:shd w:val="clear" w:color="auto" w:fill="E6EFFF"/>
          </w:tcPr>
          <w:p>
            <w:pPr>
              <w:spacing w:after="0"/>
              <w:rPr>
                <w:sz w:val="15"/>
                <w:szCs w:val="15"/>
                <w:color w:val="auto"/>
              </w:rPr>
            </w:pPr>
          </w:p>
        </w:tc>
        <w:tc>
          <w:tcPr>
            <w:tcW w:w="1020" w:type="dxa"/>
            <w:vAlign w:val="bottom"/>
            <w:tcBorders>
              <w:top w:val="single" w:sz="8" w:color="4D8ABE"/>
            </w:tcBorders>
            <w:shd w:val="clear" w:color="auto" w:fill="E6EFFF"/>
          </w:tcPr>
          <w:p>
            <w:pPr>
              <w:spacing w:after="0"/>
              <w:rPr>
                <w:sz w:val="15"/>
                <w:szCs w:val="15"/>
                <w:color w:val="auto"/>
              </w:rPr>
            </w:pPr>
          </w:p>
        </w:tc>
        <w:tc>
          <w:tcPr>
            <w:tcW w:w="220" w:type="dxa"/>
            <w:vAlign w:val="bottom"/>
            <w:tcBorders>
              <w:top w:val="single" w:sz="8" w:color="4D8ABE"/>
            </w:tcBorders>
            <w:shd w:val="clear" w:color="auto" w:fill="E6EFFF"/>
          </w:tcPr>
          <w:p>
            <w:pPr>
              <w:spacing w:after="0"/>
              <w:rPr>
                <w:sz w:val="15"/>
                <w:szCs w:val="15"/>
                <w:color w:val="auto"/>
              </w:rPr>
            </w:pPr>
          </w:p>
        </w:tc>
        <w:tc>
          <w:tcPr>
            <w:tcW w:w="920" w:type="dxa"/>
            <w:vAlign w:val="bottom"/>
            <w:tcBorders>
              <w:top w:val="single" w:sz="8" w:color="4D8ABE"/>
            </w:tcBorders>
            <w:shd w:val="clear" w:color="auto" w:fill="E6EFFF"/>
          </w:tcPr>
          <w:p>
            <w:pPr>
              <w:spacing w:after="0"/>
              <w:rPr>
                <w:sz w:val="15"/>
                <w:szCs w:val="15"/>
                <w:color w:val="auto"/>
              </w:rPr>
            </w:pPr>
          </w:p>
        </w:tc>
        <w:tc>
          <w:tcPr>
            <w:tcW w:w="180" w:type="dxa"/>
            <w:vAlign w:val="bottom"/>
            <w:tcBorders>
              <w:top w:val="single" w:sz="8" w:color="4D8ABE"/>
            </w:tcBorders>
            <w:shd w:val="clear" w:color="auto" w:fill="E6EFFF"/>
          </w:tcPr>
          <w:p>
            <w:pPr>
              <w:spacing w:after="0"/>
              <w:rPr>
                <w:sz w:val="15"/>
                <w:szCs w:val="15"/>
                <w:color w:val="auto"/>
              </w:rPr>
            </w:pPr>
          </w:p>
        </w:tc>
        <w:tc>
          <w:tcPr>
            <w:tcW w:w="1120" w:type="dxa"/>
            <w:vAlign w:val="bottom"/>
            <w:tcBorders>
              <w:top w:val="single" w:sz="8" w:color="4D8ABE"/>
            </w:tcBorders>
            <w:shd w:val="clear" w:color="auto" w:fill="E6EFFF"/>
          </w:tcPr>
          <w:p>
            <w:pPr>
              <w:spacing w:after="0"/>
              <w:rPr>
                <w:sz w:val="15"/>
                <w:szCs w:val="15"/>
                <w:color w:val="auto"/>
              </w:rPr>
            </w:pPr>
          </w:p>
        </w:tc>
        <w:tc>
          <w:tcPr>
            <w:tcW w:w="180" w:type="dxa"/>
            <w:vAlign w:val="bottom"/>
            <w:tcBorders>
              <w:top w:val="single" w:sz="8" w:color="4D8ABE"/>
            </w:tcBorders>
            <w:shd w:val="clear" w:color="auto" w:fill="E6EFFF"/>
          </w:tcPr>
          <w:p>
            <w:pPr>
              <w:spacing w:after="0"/>
              <w:rPr>
                <w:sz w:val="15"/>
                <w:szCs w:val="15"/>
                <w:color w:val="auto"/>
              </w:rPr>
            </w:pPr>
          </w:p>
        </w:tc>
        <w:tc>
          <w:tcPr>
            <w:tcW w:w="980" w:type="dxa"/>
            <w:vAlign w:val="bottom"/>
            <w:tcBorders>
              <w:top w:val="single" w:sz="8" w:color="4D8ABE"/>
            </w:tcBorders>
            <w:shd w:val="clear" w:color="auto" w:fill="E6EFFF"/>
          </w:tcPr>
          <w:p>
            <w:pPr>
              <w:spacing w:after="0"/>
              <w:rPr>
                <w:sz w:val="15"/>
                <w:szCs w:val="15"/>
                <w:color w:val="auto"/>
              </w:rPr>
            </w:pPr>
          </w:p>
        </w:tc>
        <w:tc>
          <w:tcPr>
            <w:tcW w:w="120" w:type="dxa"/>
            <w:vAlign w:val="bottom"/>
            <w:tcBorders>
              <w:top w:val="single" w:sz="8" w:color="E6EFFF"/>
            </w:tcBorders>
            <w:shd w:val="clear" w:color="auto" w:fill="E6EFFF"/>
          </w:tcPr>
          <w:p>
            <w:pPr>
              <w:spacing w:after="0"/>
              <w:rPr>
                <w:sz w:val="15"/>
                <w:szCs w:val="15"/>
                <w:color w:val="auto"/>
              </w:rPr>
            </w:pPr>
          </w:p>
        </w:tc>
        <w:tc>
          <w:tcPr>
            <w:tcW w:w="200" w:type="dxa"/>
            <w:vAlign w:val="bottom"/>
            <w:tcBorders>
              <w:top w:val="single" w:sz="8" w:color="E6EFFF"/>
            </w:tcBorders>
            <w:shd w:val="clear" w:color="auto" w:fill="E6EFFF"/>
          </w:tcPr>
          <w:p>
            <w:pPr>
              <w:spacing w:after="0"/>
              <w:rPr>
                <w:sz w:val="15"/>
                <w:szCs w:val="15"/>
                <w:color w:val="auto"/>
              </w:rPr>
            </w:pPr>
          </w:p>
        </w:tc>
        <w:tc>
          <w:tcPr>
            <w:tcW w:w="1020" w:type="dxa"/>
            <w:vAlign w:val="bottom"/>
            <w:tcBorders>
              <w:top w:val="single" w:sz="8" w:color="4D8ABE"/>
            </w:tcBorders>
            <w:shd w:val="clear" w:color="auto" w:fill="E6EFFF"/>
          </w:tcPr>
          <w:p>
            <w:pPr>
              <w:spacing w:after="0"/>
              <w:rPr>
                <w:sz w:val="15"/>
                <w:szCs w:val="15"/>
                <w:color w:val="auto"/>
              </w:rPr>
            </w:pPr>
          </w:p>
        </w:tc>
        <w:tc>
          <w:tcPr>
            <w:tcW w:w="220" w:type="dxa"/>
            <w:vAlign w:val="bottom"/>
            <w:tcBorders>
              <w:top w:val="single" w:sz="8" w:color="4D8ABE"/>
            </w:tcBorders>
            <w:shd w:val="clear" w:color="auto" w:fill="E6EFFF"/>
          </w:tcPr>
          <w:p>
            <w:pPr>
              <w:spacing w:after="0"/>
              <w:rPr>
                <w:sz w:val="15"/>
                <w:szCs w:val="15"/>
                <w:color w:val="auto"/>
              </w:rPr>
            </w:pPr>
          </w:p>
        </w:tc>
        <w:tc>
          <w:tcPr>
            <w:tcW w:w="920" w:type="dxa"/>
            <w:vAlign w:val="bottom"/>
            <w:tcBorders>
              <w:top w:val="single" w:sz="8" w:color="4D8ABE"/>
            </w:tcBorders>
            <w:shd w:val="clear" w:color="auto" w:fill="E6EFFF"/>
          </w:tcPr>
          <w:p>
            <w:pPr>
              <w:spacing w:after="0"/>
              <w:rPr>
                <w:sz w:val="15"/>
                <w:szCs w:val="15"/>
                <w:color w:val="auto"/>
              </w:rPr>
            </w:pPr>
          </w:p>
        </w:tc>
        <w:tc>
          <w:tcPr>
            <w:tcW w:w="180" w:type="dxa"/>
            <w:vAlign w:val="bottom"/>
            <w:tcBorders>
              <w:top w:val="single" w:sz="8" w:color="4D8ABE"/>
            </w:tcBorders>
            <w:shd w:val="clear" w:color="auto" w:fill="E6EFFF"/>
          </w:tcPr>
          <w:p>
            <w:pPr>
              <w:spacing w:after="0"/>
              <w:rPr>
                <w:sz w:val="15"/>
                <w:szCs w:val="15"/>
                <w:color w:val="auto"/>
              </w:rPr>
            </w:pPr>
          </w:p>
        </w:tc>
        <w:tc>
          <w:tcPr>
            <w:tcW w:w="1120" w:type="dxa"/>
            <w:vAlign w:val="bottom"/>
            <w:tcBorders>
              <w:top w:val="single" w:sz="8" w:color="4D8ABE"/>
            </w:tcBorders>
            <w:shd w:val="clear" w:color="auto" w:fill="E6EFFF"/>
          </w:tcPr>
          <w:p>
            <w:pPr>
              <w:spacing w:after="0"/>
              <w:rPr>
                <w:sz w:val="15"/>
                <w:szCs w:val="15"/>
                <w:color w:val="auto"/>
              </w:rPr>
            </w:pPr>
          </w:p>
        </w:tc>
        <w:tc>
          <w:tcPr>
            <w:tcW w:w="160" w:type="dxa"/>
            <w:vAlign w:val="bottom"/>
            <w:tcBorders>
              <w:top w:val="single" w:sz="8" w:color="4D8ABE"/>
            </w:tcBorders>
            <w:shd w:val="clear" w:color="auto" w:fill="E6EFFF"/>
          </w:tcPr>
          <w:p>
            <w:pPr>
              <w:spacing w:after="0"/>
              <w:rPr>
                <w:sz w:val="15"/>
                <w:szCs w:val="15"/>
                <w:color w:val="auto"/>
              </w:rPr>
            </w:pPr>
          </w:p>
        </w:tc>
        <w:tc>
          <w:tcPr>
            <w:tcW w:w="1220" w:type="dxa"/>
            <w:vAlign w:val="bottom"/>
            <w:tcBorders>
              <w:top w:val="single" w:sz="8" w:color="4D8ABE"/>
            </w:tcBorders>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20"/>
                <w:szCs w:val="20"/>
                <w:color w:val="auto"/>
              </w:rPr>
            </w:pPr>
            <w:r>
              <w:rPr>
                <w:rFonts w:ascii="Arial" w:cs="Arial" w:eastAsia="Arial" w:hAnsi="Arial"/>
                <w:sz w:val="14"/>
                <w:szCs w:val="14"/>
                <w:color w:val="auto"/>
              </w:rPr>
              <w:t>Cash and cash</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60" w:type="dxa"/>
            <w:vAlign w:val="bottom"/>
          </w:tcPr>
          <w:p>
            <w:pPr>
              <w:ind w:left="140"/>
              <w:spacing w:after="0" w:line="159" w:lineRule="exact"/>
              <w:rPr>
                <w:sz w:val="20"/>
                <w:szCs w:val="20"/>
                <w:color w:val="auto"/>
              </w:rPr>
            </w:pPr>
            <w:r>
              <w:rPr>
                <w:rFonts w:ascii="Arial" w:cs="Arial" w:eastAsia="Arial" w:hAnsi="Arial"/>
                <w:sz w:val="13"/>
                <w:szCs w:val="13"/>
                <w:color w:val="auto"/>
              </w:rPr>
              <w:t>equivalents</w:t>
            </w:r>
            <w:r>
              <w:rPr>
                <w:rFonts w:ascii="Arial" w:cs="Arial" w:eastAsia="Arial" w:hAnsi="Arial"/>
                <w:sz w:val="18"/>
                <w:szCs w:val="18"/>
                <w:color w:val="auto"/>
                <w:vertAlign w:val="superscript"/>
              </w:rPr>
              <w:t>(1)</w:t>
            </w:r>
          </w:p>
        </w:tc>
        <w:tc>
          <w:tcPr>
            <w:tcW w:w="100" w:type="dxa"/>
            <w:vAlign w:val="bottom"/>
            <w:vMerge w:val="continue"/>
          </w:tcPr>
          <w:p>
            <w:pPr>
              <w:spacing w:after="0"/>
              <w:rPr>
                <w:sz w:val="13"/>
                <w:szCs w:val="13"/>
                <w:color w:val="auto"/>
              </w:rPr>
            </w:pPr>
          </w:p>
        </w:tc>
        <w:tc>
          <w:tcPr>
            <w:tcW w:w="1020" w:type="dxa"/>
            <w:vAlign w:val="bottom"/>
          </w:tcPr>
          <w:p>
            <w:pPr>
              <w:jc w:val="right"/>
              <w:ind w:right="51"/>
              <w:spacing w:after="0" w:line="159" w:lineRule="exact"/>
              <w:rPr>
                <w:sz w:val="20"/>
                <w:szCs w:val="20"/>
                <w:color w:val="auto"/>
              </w:rPr>
            </w:pPr>
            <w:r>
              <w:rPr>
                <w:rFonts w:ascii="Arial" w:cs="Arial" w:eastAsia="Arial" w:hAnsi="Arial"/>
                <w:sz w:val="14"/>
                <w:szCs w:val="14"/>
                <w:color w:val="auto"/>
              </w:rPr>
              <w:t>3.4</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3.4</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59" w:lineRule="exact"/>
              <w:rPr>
                <w:sz w:val="20"/>
                <w:szCs w:val="20"/>
                <w:color w:val="auto"/>
              </w:rPr>
            </w:pPr>
            <w:r>
              <w:rPr>
                <w:rFonts w:ascii="Arial" w:cs="Arial" w:eastAsia="Arial" w:hAnsi="Arial"/>
                <w:sz w:val="14"/>
                <w:szCs w:val="14"/>
                <w:color w:val="auto"/>
              </w:rPr>
              <w:t>4.6</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4.6</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560" w:type="dxa"/>
            <w:vAlign w:val="bottom"/>
            <w:shd w:val="clear" w:color="auto" w:fill="E6EFFF"/>
          </w:tcPr>
          <w:p>
            <w:pPr>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12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6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ind w:left="180"/>
              <w:spacing w:after="0"/>
              <w:rPr>
                <w:sz w:val="20"/>
                <w:szCs w:val="20"/>
                <w:color w:val="auto"/>
              </w:rPr>
            </w:pPr>
            <w:r>
              <w:rPr>
                <w:rFonts w:ascii="Arial" w:cs="Arial" w:eastAsia="Arial" w:hAnsi="Arial"/>
                <w:sz w:val="14"/>
                <w:szCs w:val="14"/>
                <w:color w:val="auto"/>
              </w:rPr>
              <w:t>U.S. companies</w:t>
            </w:r>
          </w:p>
        </w:tc>
        <w:tc>
          <w:tcPr>
            <w:tcW w:w="1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5"/>
                <w:szCs w:val="15"/>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60" w:type="dxa"/>
            <w:vAlign w:val="bottom"/>
            <w:shd w:val="clear" w:color="auto" w:fill="E6EFFF"/>
          </w:tcPr>
          <w:p>
            <w:pPr>
              <w:ind w:left="180"/>
              <w:spacing w:after="0"/>
              <w:rPr>
                <w:sz w:val="20"/>
                <w:szCs w:val="20"/>
                <w:color w:val="auto"/>
              </w:rPr>
            </w:pPr>
            <w:r>
              <w:rPr>
                <w:rFonts w:ascii="Arial" w:cs="Arial" w:eastAsia="Arial" w:hAnsi="Arial"/>
                <w:sz w:val="14"/>
                <w:szCs w:val="14"/>
                <w:color w:val="auto"/>
              </w:rPr>
              <w:t>International</w:t>
            </w:r>
          </w:p>
        </w:tc>
        <w:tc>
          <w:tcPr>
            <w:tcW w:w="1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2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1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60" w:type="dxa"/>
            <w:vAlign w:val="bottom"/>
            <w:shd w:val="clear" w:color="auto" w:fill="E6EFFF"/>
          </w:tcPr>
          <w:p>
            <w:pPr>
              <w:ind w:left="140"/>
              <w:spacing w:after="0" w:line="159" w:lineRule="exact"/>
              <w:rPr>
                <w:sz w:val="20"/>
                <w:szCs w:val="20"/>
                <w:color w:val="auto"/>
              </w:rPr>
            </w:pPr>
            <w:r>
              <w:rPr>
                <w:rFonts w:ascii="Arial" w:cs="Arial" w:eastAsia="Arial" w:hAnsi="Arial"/>
                <w:sz w:val="14"/>
                <w:szCs w:val="14"/>
                <w:color w:val="auto"/>
              </w:rPr>
              <w:t>companies</w:t>
            </w:r>
          </w:p>
        </w:tc>
        <w:tc>
          <w:tcPr>
            <w:tcW w:w="1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51"/>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6EFFF"/>
          </w:tcPr>
          <w:p>
            <w:pPr>
              <w:spacing w:after="0"/>
              <w:rPr>
                <w:sz w:val="13"/>
                <w:szCs w:val="13"/>
                <w:color w:val="auto"/>
              </w:rPr>
            </w:pPr>
          </w:p>
        </w:tc>
        <w:tc>
          <w:tcPr>
            <w:tcW w:w="9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3"/>
                <w:szCs w:val="13"/>
                <w:color w:val="auto"/>
              </w:rPr>
            </w:pPr>
          </w:p>
        </w:tc>
        <w:tc>
          <w:tcPr>
            <w:tcW w:w="11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3"/>
                <w:szCs w:val="13"/>
                <w:color w:val="auto"/>
              </w:rPr>
            </w:pPr>
          </w:p>
        </w:tc>
        <w:tc>
          <w:tcPr>
            <w:tcW w:w="1100" w:type="dxa"/>
            <w:vAlign w:val="bottom"/>
            <w:gridSpan w:val="2"/>
            <w:shd w:val="clear" w:color="auto" w:fill="E6EF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51"/>
              <w:spacing w:after="0" w:line="159" w:lineRule="exact"/>
              <w:rPr>
                <w:sz w:val="20"/>
                <w:szCs w:val="20"/>
                <w:color w:val="auto"/>
              </w:rPr>
            </w:pPr>
            <w:r>
              <w:rPr>
                <w:rFonts w:ascii="Arial" w:cs="Arial" w:eastAsia="Arial" w:hAnsi="Arial"/>
                <w:sz w:val="14"/>
                <w:szCs w:val="14"/>
                <w:color w:val="auto"/>
              </w:rPr>
              <w:t>73.0</w:t>
            </w:r>
          </w:p>
        </w:tc>
        <w:tc>
          <w:tcPr>
            <w:tcW w:w="220" w:type="dxa"/>
            <w:vAlign w:val="bottom"/>
            <w:shd w:val="clear" w:color="auto" w:fill="E6EFFF"/>
          </w:tcPr>
          <w:p>
            <w:pPr>
              <w:spacing w:after="0"/>
              <w:rPr>
                <w:sz w:val="13"/>
                <w:szCs w:val="13"/>
                <w:color w:val="auto"/>
              </w:rPr>
            </w:pPr>
          </w:p>
        </w:tc>
        <w:tc>
          <w:tcPr>
            <w:tcW w:w="9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73.0</w:t>
            </w:r>
          </w:p>
        </w:tc>
        <w:tc>
          <w:tcPr>
            <w:tcW w:w="180" w:type="dxa"/>
            <w:vAlign w:val="bottom"/>
            <w:shd w:val="clear" w:color="auto" w:fill="E6EFFF"/>
          </w:tcPr>
          <w:p>
            <w:pPr>
              <w:spacing w:after="0"/>
              <w:rPr>
                <w:sz w:val="13"/>
                <w:szCs w:val="13"/>
                <w:color w:val="auto"/>
              </w:rPr>
            </w:pPr>
          </w:p>
        </w:tc>
        <w:tc>
          <w:tcPr>
            <w:tcW w:w="11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6EFFF"/>
          </w:tcPr>
          <w:p>
            <w:pPr>
              <w:spacing w:after="0"/>
              <w:rPr>
                <w:sz w:val="13"/>
                <w:szCs w:val="13"/>
                <w:color w:val="auto"/>
              </w:rPr>
            </w:pPr>
          </w:p>
        </w:tc>
        <w:tc>
          <w:tcPr>
            <w:tcW w:w="1220" w:type="dxa"/>
            <w:vAlign w:val="bottom"/>
            <w:shd w:val="clear" w:color="auto" w:fill="E6EFFF"/>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E6EFFF"/>
          </w:tcPr>
          <w:p>
            <w:pPr>
              <w:ind w:left="180"/>
              <w:spacing w:after="0"/>
              <w:rPr>
                <w:sz w:val="20"/>
                <w:szCs w:val="20"/>
                <w:color w:val="auto"/>
              </w:rPr>
            </w:pPr>
            <w:r>
              <w:rPr>
                <w:rFonts w:ascii="Arial" w:cs="Arial" w:eastAsia="Arial" w:hAnsi="Arial"/>
                <w:sz w:val="14"/>
                <w:szCs w:val="14"/>
                <w:color w:val="auto"/>
              </w:rPr>
              <w:t>Governmental</w:t>
            </w:r>
          </w:p>
        </w:tc>
        <w:tc>
          <w:tcPr>
            <w:tcW w:w="1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2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1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60" w:type="dxa"/>
            <w:vAlign w:val="bottom"/>
            <w:shd w:val="clear" w:color="auto" w:fill="E6EFFF"/>
          </w:tcPr>
          <w:p>
            <w:pPr>
              <w:ind w:left="140"/>
              <w:spacing w:after="0" w:line="159" w:lineRule="exact"/>
              <w:rPr>
                <w:sz w:val="20"/>
                <w:szCs w:val="20"/>
                <w:color w:val="auto"/>
              </w:rPr>
            </w:pPr>
            <w:r>
              <w:rPr>
                <w:rFonts w:ascii="Arial" w:cs="Arial" w:eastAsia="Arial" w:hAnsi="Arial"/>
                <w:sz w:val="13"/>
                <w:szCs w:val="13"/>
                <w:color w:val="auto"/>
              </w:rPr>
              <w:t>bonds</w:t>
            </w:r>
            <w:r>
              <w:rPr>
                <w:rFonts w:ascii="Arial" w:cs="Arial" w:eastAsia="Arial" w:hAnsi="Arial"/>
                <w:sz w:val="18"/>
                <w:szCs w:val="18"/>
                <w:color w:val="auto"/>
                <w:vertAlign w:val="superscript"/>
              </w:rPr>
              <w:t>(2)</w:t>
            </w:r>
          </w:p>
        </w:tc>
        <w:tc>
          <w:tcPr>
            <w:tcW w:w="1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51"/>
              <w:spacing w:after="0" w:line="159" w:lineRule="exact"/>
              <w:rPr>
                <w:sz w:val="20"/>
                <w:szCs w:val="20"/>
                <w:color w:val="auto"/>
              </w:rPr>
            </w:pPr>
            <w:r>
              <w:rPr>
                <w:rFonts w:ascii="Arial" w:cs="Arial" w:eastAsia="Arial" w:hAnsi="Arial"/>
                <w:sz w:val="14"/>
                <w:szCs w:val="14"/>
                <w:color w:val="auto"/>
              </w:rPr>
              <w:t>15.3</w:t>
            </w:r>
          </w:p>
        </w:tc>
        <w:tc>
          <w:tcPr>
            <w:tcW w:w="220" w:type="dxa"/>
            <w:vAlign w:val="bottom"/>
            <w:shd w:val="clear" w:color="auto" w:fill="E6EFFF"/>
          </w:tcPr>
          <w:p>
            <w:pPr>
              <w:spacing w:after="0"/>
              <w:rPr>
                <w:sz w:val="13"/>
                <w:szCs w:val="13"/>
                <w:color w:val="auto"/>
              </w:rPr>
            </w:pPr>
          </w:p>
        </w:tc>
        <w:tc>
          <w:tcPr>
            <w:tcW w:w="9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15.3</w:t>
            </w:r>
          </w:p>
        </w:tc>
        <w:tc>
          <w:tcPr>
            <w:tcW w:w="180" w:type="dxa"/>
            <w:vAlign w:val="bottom"/>
            <w:shd w:val="clear" w:color="auto" w:fill="E6EFFF"/>
          </w:tcPr>
          <w:p>
            <w:pPr>
              <w:spacing w:after="0"/>
              <w:rPr>
                <w:sz w:val="13"/>
                <w:szCs w:val="13"/>
                <w:color w:val="auto"/>
              </w:rPr>
            </w:pPr>
          </w:p>
        </w:tc>
        <w:tc>
          <w:tcPr>
            <w:tcW w:w="11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3"/>
                <w:szCs w:val="13"/>
                <w:color w:val="auto"/>
              </w:rPr>
            </w:pPr>
          </w:p>
        </w:tc>
        <w:tc>
          <w:tcPr>
            <w:tcW w:w="1100" w:type="dxa"/>
            <w:vAlign w:val="bottom"/>
            <w:gridSpan w:val="2"/>
            <w:shd w:val="clear" w:color="auto" w:fill="E6EF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51"/>
              <w:spacing w:after="0" w:line="159" w:lineRule="exact"/>
              <w:rPr>
                <w:sz w:val="20"/>
                <w:szCs w:val="20"/>
                <w:color w:val="auto"/>
              </w:rPr>
            </w:pPr>
            <w:r>
              <w:rPr>
                <w:rFonts w:ascii="Arial" w:cs="Arial" w:eastAsia="Arial" w:hAnsi="Arial"/>
                <w:sz w:val="14"/>
                <w:szCs w:val="14"/>
                <w:color w:val="auto"/>
              </w:rPr>
              <w:t>14.8</w:t>
            </w:r>
          </w:p>
        </w:tc>
        <w:tc>
          <w:tcPr>
            <w:tcW w:w="220" w:type="dxa"/>
            <w:vAlign w:val="bottom"/>
            <w:shd w:val="clear" w:color="auto" w:fill="E6EFFF"/>
          </w:tcPr>
          <w:p>
            <w:pPr>
              <w:spacing w:after="0"/>
              <w:rPr>
                <w:sz w:val="13"/>
                <w:szCs w:val="13"/>
                <w:color w:val="auto"/>
              </w:rPr>
            </w:pPr>
          </w:p>
        </w:tc>
        <w:tc>
          <w:tcPr>
            <w:tcW w:w="9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10.8</w:t>
            </w:r>
          </w:p>
        </w:tc>
        <w:tc>
          <w:tcPr>
            <w:tcW w:w="180" w:type="dxa"/>
            <w:vAlign w:val="bottom"/>
            <w:shd w:val="clear" w:color="auto" w:fill="E6EFFF"/>
          </w:tcPr>
          <w:p>
            <w:pPr>
              <w:spacing w:after="0"/>
              <w:rPr>
                <w:sz w:val="13"/>
                <w:szCs w:val="13"/>
                <w:color w:val="auto"/>
              </w:rPr>
            </w:pPr>
          </w:p>
        </w:tc>
        <w:tc>
          <w:tcPr>
            <w:tcW w:w="1120" w:type="dxa"/>
            <w:vAlign w:val="bottom"/>
            <w:shd w:val="clear" w:color="auto" w:fill="E6EFFF"/>
          </w:tcPr>
          <w:p>
            <w:pPr>
              <w:jc w:val="right"/>
              <w:ind w:right="71"/>
              <w:spacing w:after="0" w:line="159" w:lineRule="exact"/>
              <w:rPr>
                <w:sz w:val="20"/>
                <w:szCs w:val="20"/>
                <w:color w:val="auto"/>
              </w:rPr>
            </w:pPr>
            <w:r>
              <w:rPr>
                <w:rFonts w:ascii="Arial" w:cs="Arial" w:eastAsia="Arial" w:hAnsi="Arial"/>
                <w:sz w:val="14"/>
                <w:szCs w:val="14"/>
                <w:color w:val="auto"/>
              </w:rPr>
              <w:t>4.0</w:t>
            </w:r>
          </w:p>
        </w:tc>
        <w:tc>
          <w:tcPr>
            <w:tcW w:w="160" w:type="dxa"/>
            <w:vAlign w:val="bottom"/>
            <w:shd w:val="clear" w:color="auto" w:fill="E6EFFF"/>
          </w:tcPr>
          <w:p>
            <w:pPr>
              <w:spacing w:after="0"/>
              <w:rPr>
                <w:sz w:val="13"/>
                <w:szCs w:val="13"/>
                <w:color w:val="auto"/>
              </w:rPr>
            </w:pPr>
          </w:p>
        </w:tc>
        <w:tc>
          <w:tcPr>
            <w:tcW w:w="1220" w:type="dxa"/>
            <w:vAlign w:val="bottom"/>
            <w:shd w:val="clear" w:color="auto" w:fill="E6EFFF"/>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56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90.0</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560" w:type="dxa"/>
            <w:vAlign w:val="bottom"/>
            <w:shd w:val="clear" w:color="auto" w:fill="E6EFFF"/>
          </w:tcPr>
          <w:p>
            <w:pPr>
              <w:ind w:left="180"/>
              <w:spacing w:after="0"/>
              <w:rPr>
                <w:sz w:val="20"/>
                <w:szCs w:val="20"/>
                <w:color w:val="auto"/>
              </w:rPr>
            </w:pPr>
            <w:r>
              <w:rPr>
                <w:rFonts w:ascii="Arial" w:cs="Arial" w:eastAsia="Arial" w:hAnsi="Arial"/>
                <w:sz w:val="14"/>
                <w:szCs w:val="14"/>
                <w:color w:val="auto"/>
              </w:rPr>
              <w:t>Bank loans</w:t>
            </w:r>
          </w:p>
        </w:tc>
        <w:tc>
          <w:tcPr>
            <w:tcW w:w="10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5"/>
                <w:szCs w:val="15"/>
                <w:color w:val="auto"/>
              </w:rPr>
            </w:pPr>
          </w:p>
        </w:tc>
        <w:tc>
          <w:tcPr>
            <w:tcW w:w="1100" w:type="dxa"/>
            <w:vAlign w:val="bottom"/>
            <w:gridSpan w:val="2"/>
            <w:shd w:val="clear" w:color="auto" w:fill="E6EF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51"/>
              <w:spacing w:after="0"/>
              <w:rPr>
                <w:sz w:val="20"/>
                <w:szCs w:val="20"/>
                <w:color w:val="auto"/>
              </w:rPr>
            </w:pPr>
            <w:r>
              <w:rPr>
                <w:rFonts w:ascii="Arial" w:cs="Arial" w:eastAsia="Arial" w:hAnsi="Arial"/>
                <w:sz w:val="14"/>
                <w:szCs w:val="14"/>
                <w:color w:val="auto"/>
              </w:rPr>
              <w:t>0.6</w:t>
            </w:r>
          </w:p>
        </w:tc>
        <w:tc>
          <w:tcPr>
            <w:tcW w:w="22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71"/>
              <w:spacing w:after="0"/>
              <w:rPr>
                <w:sz w:val="20"/>
                <w:szCs w:val="20"/>
                <w:color w:val="auto"/>
              </w:rPr>
            </w:pPr>
            <w:r>
              <w:rPr>
                <w:rFonts w:ascii="Arial" w:cs="Arial" w:eastAsia="Arial" w:hAnsi="Arial"/>
                <w:sz w:val="14"/>
                <w:szCs w:val="14"/>
                <w:color w:val="auto"/>
              </w:rPr>
              <w:t>0.6</w:t>
            </w:r>
          </w:p>
        </w:tc>
        <w:tc>
          <w:tcPr>
            <w:tcW w:w="180" w:type="dxa"/>
            <w:vAlign w:val="bottom"/>
            <w:shd w:val="clear" w:color="auto" w:fill="E6EFFF"/>
          </w:tcPr>
          <w:p>
            <w:pPr>
              <w:spacing w:after="0"/>
              <w:rPr>
                <w:sz w:val="15"/>
                <w:szCs w:val="15"/>
                <w:color w:val="auto"/>
              </w:rPr>
            </w:pPr>
          </w:p>
        </w:tc>
        <w:tc>
          <w:tcPr>
            <w:tcW w:w="1120" w:type="dxa"/>
            <w:vAlign w:val="bottom"/>
            <w:shd w:val="clear" w:color="auto" w:fill="E6EFFF"/>
          </w:tcPr>
          <w:p>
            <w:pPr>
              <w:jc w:val="right"/>
              <w:ind w:right="71"/>
              <w:spacing w:after="0"/>
              <w:rPr>
                <w:sz w:val="20"/>
                <w:szCs w:val="20"/>
                <w:color w:val="auto"/>
              </w:rPr>
            </w:pPr>
            <w:r>
              <w:rPr>
                <w:rFonts w:ascii="Arial" w:cs="Arial" w:eastAsia="Arial" w:hAnsi="Arial"/>
                <w:sz w:val="14"/>
                <w:szCs w:val="14"/>
                <w:color w:val="auto"/>
              </w:rPr>
              <w:t>–</w:t>
            </w:r>
          </w:p>
        </w:tc>
        <w:tc>
          <w:tcPr>
            <w:tcW w:w="160" w:type="dxa"/>
            <w:vAlign w:val="bottom"/>
            <w:shd w:val="clear" w:color="auto" w:fill="E6EFFF"/>
          </w:tcPr>
          <w:p>
            <w:pPr>
              <w:spacing w:after="0"/>
              <w:rPr>
                <w:sz w:val="15"/>
                <w:szCs w:val="15"/>
                <w:color w:val="auto"/>
              </w:rPr>
            </w:pPr>
          </w:p>
        </w:tc>
        <w:tc>
          <w:tcPr>
            <w:tcW w:w="1220" w:type="dxa"/>
            <w:vAlign w:val="bottom"/>
            <w:shd w:val="clear" w:color="auto" w:fill="E6EFFF"/>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60" w:type="dxa"/>
            <w:vAlign w:val="bottom"/>
          </w:tcPr>
          <w:p>
            <w:pPr>
              <w:ind w:left="180"/>
              <w:spacing w:after="0"/>
              <w:rPr>
                <w:sz w:val="20"/>
                <w:szCs w:val="20"/>
                <w:color w:val="auto"/>
              </w:rPr>
            </w:pPr>
            <w:r>
              <w:rPr>
                <w:rFonts w:ascii="Arial" w:cs="Arial" w:eastAsia="Arial" w:hAnsi="Arial"/>
                <w:sz w:val="14"/>
                <w:szCs w:val="14"/>
                <w:color w:val="auto"/>
                <w:w w:val="98"/>
              </w:rPr>
              <w:t>Guaranteed insurance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60" w:type="dxa"/>
            <w:vAlign w:val="bottom"/>
          </w:tcPr>
          <w:p>
            <w:pPr>
              <w:ind w:left="140"/>
              <w:spacing w:after="0" w:line="159" w:lineRule="exact"/>
              <w:rPr>
                <w:sz w:val="20"/>
                <w:szCs w:val="20"/>
                <w:color w:val="auto"/>
              </w:rPr>
            </w:pPr>
            <w:r>
              <w:rPr>
                <w:rFonts w:ascii="Arial" w:cs="Arial" w:eastAsia="Arial" w:hAnsi="Arial"/>
                <w:sz w:val="14"/>
                <w:szCs w:val="14"/>
                <w:color w:val="auto"/>
              </w:rPr>
              <w:t>contracts</w:t>
            </w:r>
          </w:p>
        </w:tc>
        <w:tc>
          <w:tcPr>
            <w:tcW w:w="100" w:type="dxa"/>
            <w:vAlign w:val="bottom"/>
          </w:tcPr>
          <w:p>
            <w:pPr>
              <w:spacing w:after="0"/>
              <w:rPr>
                <w:sz w:val="13"/>
                <w:szCs w:val="13"/>
                <w:color w:val="auto"/>
              </w:rPr>
            </w:pPr>
          </w:p>
        </w:tc>
        <w:tc>
          <w:tcPr>
            <w:tcW w:w="1020" w:type="dxa"/>
            <w:vAlign w:val="bottom"/>
          </w:tcPr>
          <w:p>
            <w:pPr>
              <w:jc w:val="right"/>
              <w:ind w:right="51"/>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tcPr>
          <w:p>
            <w:pPr>
              <w:jc w:val="right"/>
              <w:ind w:right="51"/>
              <w:spacing w:after="0" w:line="15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3"/>
                <w:szCs w:val="13"/>
                <w:color w:val="auto"/>
              </w:rPr>
            </w:pPr>
          </w:p>
        </w:tc>
        <w:tc>
          <w:tcPr>
            <w:tcW w:w="9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20" w:type="dxa"/>
            <w:vAlign w:val="bottom"/>
          </w:tcPr>
          <w:p>
            <w:pPr>
              <w:jc w:val="right"/>
              <w:ind w:right="71"/>
              <w:spacing w:after="0" w:line="159" w:lineRule="exact"/>
              <w:rPr>
                <w:sz w:val="20"/>
                <w:szCs w:val="20"/>
                <w:color w:val="auto"/>
              </w:rPr>
            </w:pPr>
            <w:r>
              <w:rPr>
                <w:rFonts w:ascii="Arial" w:cs="Arial" w:eastAsia="Arial" w:hAnsi="Arial"/>
                <w:sz w:val="14"/>
                <w:szCs w:val="14"/>
                <w:color w:val="auto"/>
              </w:rPr>
              <w:t>7.8</w:t>
            </w:r>
          </w:p>
        </w:tc>
        <w:tc>
          <w:tcPr>
            <w:tcW w:w="160" w:type="dxa"/>
            <w:vAlign w:val="bottom"/>
          </w:tcPr>
          <w:p>
            <w:pPr>
              <w:spacing w:after="0"/>
              <w:rPr>
                <w:sz w:val="13"/>
                <w:szCs w:val="13"/>
                <w:color w:val="auto"/>
              </w:rPr>
            </w:pPr>
          </w:p>
        </w:tc>
        <w:tc>
          <w:tcPr>
            <w:tcW w:w="1220" w:type="dxa"/>
            <w:vAlign w:val="bottom"/>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60" w:type="dxa"/>
            <w:vAlign w:val="bottom"/>
            <w:shd w:val="clear" w:color="auto" w:fill="E6EFFF"/>
          </w:tcPr>
          <w:p>
            <w:pPr>
              <w:spacing w:after="0"/>
              <w:rPr>
                <w:sz w:val="20"/>
                <w:szCs w:val="20"/>
                <w:color w:val="auto"/>
              </w:rPr>
            </w:pPr>
            <w:r>
              <w:rPr>
                <w:rFonts w:ascii="Arial" w:cs="Arial" w:eastAsia="Arial" w:hAnsi="Arial"/>
                <w:sz w:val="14"/>
                <w:szCs w:val="14"/>
                <w:color w:val="auto"/>
              </w:rPr>
              <w:t>Other types of</w:t>
            </w:r>
          </w:p>
        </w:tc>
        <w:tc>
          <w:tcPr>
            <w:tcW w:w="1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2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1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60" w:type="dxa"/>
            <w:vAlign w:val="bottom"/>
            <w:shd w:val="clear" w:color="auto" w:fill="E6EFFF"/>
          </w:tcPr>
          <w:p>
            <w:pPr>
              <w:ind w:left="140"/>
              <w:spacing w:after="0" w:line="159" w:lineRule="exact"/>
              <w:rPr>
                <w:sz w:val="20"/>
                <w:szCs w:val="20"/>
                <w:color w:val="auto"/>
              </w:rPr>
            </w:pPr>
            <w:r>
              <w:rPr>
                <w:rFonts w:ascii="Arial" w:cs="Arial" w:eastAsia="Arial" w:hAnsi="Arial"/>
                <w:sz w:val="14"/>
                <w:szCs w:val="14"/>
                <w:color w:val="auto"/>
              </w:rPr>
              <w:t>investments:</w:t>
            </w:r>
          </w:p>
        </w:tc>
        <w:tc>
          <w:tcPr>
            <w:tcW w:w="100" w:type="dxa"/>
            <w:vAlign w:val="bottom"/>
            <w:shd w:val="clear" w:color="auto" w:fill="E6EFFF"/>
          </w:tcPr>
          <w:p>
            <w:pPr>
              <w:spacing w:after="0"/>
              <w:rPr>
                <w:sz w:val="13"/>
                <w:szCs w:val="13"/>
                <w:color w:val="auto"/>
              </w:rPr>
            </w:pPr>
          </w:p>
        </w:tc>
        <w:tc>
          <w:tcPr>
            <w:tcW w:w="102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c>
          <w:tcPr>
            <w:tcW w:w="920" w:type="dxa"/>
            <w:vAlign w:val="bottom"/>
            <w:shd w:val="clear" w:color="auto" w:fill="E6EFFF"/>
          </w:tcPr>
          <w:p>
            <w:pPr>
              <w:spacing w:after="0"/>
              <w:rPr>
                <w:sz w:val="13"/>
                <w:szCs w:val="13"/>
                <w:color w:val="auto"/>
              </w:rPr>
            </w:pPr>
          </w:p>
        </w:tc>
        <w:tc>
          <w:tcPr>
            <w:tcW w:w="180" w:type="dxa"/>
            <w:vAlign w:val="bottom"/>
            <w:shd w:val="clear" w:color="auto" w:fill="E6EFFF"/>
          </w:tcPr>
          <w:p>
            <w:pPr>
              <w:spacing w:after="0"/>
              <w:rPr>
                <w:sz w:val="13"/>
                <w:szCs w:val="13"/>
                <w:color w:val="auto"/>
              </w:rPr>
            </w:pPr>
          </w:p>
        </w:tc>
        <w:tc>
          <w:tcPr>
            <w:tcW w:w="1120" w:type="dxa"/>
            <w:vAlign w:val="bottom"/>
            <w:shd w:val="clear" w:color="auto" w:fill="E6EFFF"/>
          </w:tcPr>
          <w:p>
            <w:pPr>
              <w:spacing w:after="0"/>
              <w:rPr>
                <w:sz w:val="13"/>
                <w:szCs w:val="13"/>
                <w:color w:val="auto"/>
              </w:rPr>
            </w:pPr>
          </w:p>
        </w:tc>
        <w:tc>
          <w:tcPr>
            <w:tcW w:w="180" w:type="dxa"/>
            <w:vAlign w:val="bottom"/>
            <w:shd w:val="clear" w:color="auto" w:fill="E6EFFF"/>
          </w:tcPr>
          <w:p>
            <w:pPr>
              <w:spacing w:after="0"/>
              <w:rPr>
                <w:sz w:val="13"/>
                <w:szCs w:val="13"/>
                <w:color w:val="auto"/>
              </w:rPr>
            </w:pPr>
          </w:p>
        </w:tc>
        <w:tc>
          <w:tcPr>
            <w:tcW w:w="980" w:type="dxa"/>
            <w:vAlign w:val="bottom"/>
            <w:shd w:val="clear" w:color="auto" w:fill="E6EFFF"/>
          </w:tcPr>
          <w:p>
            <w:pPr>
              <w:spacing w:after="0"/>
              <w:rPr>
                <w:sz w:val="13"/>
                <w:szCs w:val="13"/>
                <w:color w:val="auto"/>
              </w:rPr>
            </w:pPr>
          </w:p>
        </w:tc>
        <w:tc>
          <w:tcPr>
            <w:tcW w:w="120" w:type="dxa"/>
            <w:vAlign w:val="bottom"/>
            <w:shd w:val="clear" w:color="auto" w:fill="E6EFFF"/>
          </w:tcPr>
          <w:p>
            <w:pPr>
              <w:spacing w:after="0"/>
              <w:rPr>
                <w:sz w:val="13"/>
                <w:szCs w:val="13"/>
                <w:color w:val="auto"/>
              </w:rPr>
            </w:pPr>
          </w:p>
        </w:tc>
        <w:tc>
          <w:tcPr>
            <w:tcW w:w="200" w:type="dxa"/>
            <w:vAlign w:val="bottom"/>
            <w:shd w:val="clear" w:color="auto" w:fill="E6EFFF"/>
          </w:tcPr>
          <w:p>
            <w:pPr>
              <w:spacing w:after="0"/>
              <w:rPr>
                <w:sz w:val="13"/>
                <w:szCs w:val="13"/>
                <w:color w:val="auto"/>
              </w:rPr>
            </w:pPr>
          </w:p>
        </w:tc>
        <w:tc>
          <w:tcPr>
            <w:tcW w:w="102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c>
          <w:tcPr>
            <w:tcW w:w="920" w:type="dxa"/>
            <w:vAlign w:val="bottom"/>
            <w:shd w:val="clear" w:color="auto" w:fill="E6EFFF"/>
          </w:tcPr>
          <w:p>
            <w:pPr>
              <w:spacing w:after="0"/>
              <w:rPr>
                <w:sz w:val="13"/>
                <w:szCs w:val="13"/>
                <w:color w:val="auto"/>
              </w:rPr>
            </w:pPr>
          </w:p>
        </w:tc>
        <w:tc>
          <w:tcPr>
            <w:tcW w:w="180" w:type="dxa"/>
            <w:vAlign w:val="bottom"/>
            <w:shd w:val="clear" w:color="auto" w:fill="E6EFFF"/>
          </w:tcPr>
          <w:p>
            <w:pPr>
              <w:spacing w:after="0"/>
              <w:rPr>
                <w:sz w:val="13"/>
                <w:szCs w:val="13"/>
                <w:color w:val="auto"/>
              </w:rPr>
            </w:pPr>
          </w:p>
        </w:tc>
        <w:tc>
          <w:tcPr>
            <w:tcW w:w="1120" w:type="dxa"/>
            <w:vAlign w:val="bottom"/>
            <w:shd w:val="clear" w:color="auto" w:fill="E6EFFF"/>
          </w:tcPr>
          <w:p>
            <w:pPr>
              <w:spacing w:after="0"/>
              <w:rPr>
                <w:sz w:val="13"/>
                <w:szCs w:val="13"/>
                <w:color w:val="auto"/>
              </w:rPr>
            </w:pPr>
          </w:p>
        </w:tc>
        <w:tc>
          <w:tcPr>
            <w:tcW w:w="160" w:type="dxa"/>
            <w:vAlign w:val="bottom"/>
            <w:shd w:val="clear" w:color="auto" w:fill="E6EFFF"/>
          </w:tcPr>
          <w:p>
            <w:pPr>
              <w:spacing w:after="0"/>
              <w:rPr>
                <w:sz w:val="13"/>
                <w:szCs w:val="13"/>
                <w:color w:val="auto"/>
              </w:rPr>
            </w:pPr>
          </w:p>
        </w:tc>
        <w:tc>
          <w:tcPr>
            <w:tcW w:w="1220" w:type="dxa"/>
            <w:vAlign w:val="bottom"/>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60" w:type="dxa"/>
            <w:vAlign w:val="bottom"/>
          </w:tcPr>
          <w:p>
            <w:pPr>
              <w:ind w:left="180"/>
              <w:spacing w:after="0"/>
              <w:rPr>
                <w:sz w:val="20"/>
                <w:szCs w:val="20"/>
                <w:color w:val="auto"/>
              </w:rPr>
            </w:pPr>
            <w:r>
              <w:rPr>
                <w:rFonts w:ascii="Arial" w:cs="Arial" w:eastAsia="Arial" w:hAnsi="Arial"/>
                <w:sz w:val="14"/>
                <w:szCs w:val="14"/>
                <w:color w:val="auto"/>
              </w:rPr>
              <w:t>Equity hedge funds</w:t>
            </w:r>
          </w:p>
        </w:tc>
        <w:tc>
          <w:tcPr>
            <w:tcW w:w="1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5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4"/>
                <w:szCs w:val="14"/>
                <w:color w:val="auto"/>
              </w:rPr>
              <w:t>Real estate</w:t>
            </w:r>
          </w:p>
        </w:tc>
        <w:tc>
          <w:tcPr>
            <w:tcW w:w="10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6EFFF"/>
          </w:tcPr>
          <w:p>
            <w:pPr>
              <w:spacing w:after="0"/>
              <w:rPr>
                <w:sz w:val="15"/>
                <w:szCs w:val="15"/>
                <w:color w:val="auto"/>
              </w:rPr>
            </w:pPr>
          </w:p>
        </w:tc>
        <w:tc>
          <w:tcPr>
            <w:tcW w:w="1120" w:type="dxa"/>
            <w:vAlign w:val="bottom"/>
            <w:tcBorders>
              <w:bottom w:val="single" w:sz="8" w:color="auto"/>
            </w:tcBorders>
            <w:shd w:val="clear" w:color="auto" w:fill="E6EF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6EFFF"/>
          </w:tcPr>
          <w:p>
            <w:pPr>
              <w:spacing w:after="0"/>
              <w:rPr>
                <w:sz w:val="15"/>
                <w:szCs w:val="15"/>
                <w:color w:val="auto"/>
              </w:rPr>
            </w:pPr>
          </w:p>
        </w:tc>
        <w:tc>
          <w:tcPr>
            <w:tcW w:w="9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51"/>
              <w:spacing w:after="0"/>
              <w:rPr>
                <w:sz w:val="20"/>
                <w:szCs w:val="20"/>
                <w:color w:val="auto"/>
              </w:rPr>
            </w:pPr>
            <w:r>
              <w:rPr>
                <w:rFonts w:ascii="Arial" w:cs="Arial" w:eastAsia="Arial" w:hAnsi="Arial"/>
                <w:sz w:val="14"/>
                <w:szCs w:val="14"/>
                <w:color w:val="auto"/>
              </w:rPr>
              <w:t>8.1</w:t>
            </w:r>
          </w:p>
        </w:tc>
        <w:tc>
          <w:tcPr>
            <w:tcW w:w="22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6EFFF"/>
          </w:tcPr>
          <w:p>
            <w:pPr>
              <w:spacing w:after="0"/>
              <w:rPr>
                <w:sz w:val="15"/>
                <w:szCs w:val="15"/>
                <w:color w:val="auto"/>
              </w:rPr>
            </w:pPr>
          </w:p>
        </w:tc>
        <w:tc>
          <w:tcPr>
            <w:tcW w:w="1120" w:type="dxa"/>
            <w:vAlign w:val="bottom"/>
            <w:tcBorders>
              <w:bottom w:val="single" w:sz="8" w:color="auto"/>
            </w:tcBorders>
            <w:shd w:val="clear" w:color="auto" w:fill="E6EFFF"/>
          </w:tcPr>
          <w:p>
            <w:pPr>
              <w:jc w:val="right"/>
              <w:ind w:right="71"/>
              <w:spacing w:after="0"/>
              <w:rPr>
                <w:sz w:val="20"/>
                <w:szCs w:val="20"/>
                <w:color w:val="auto"/>
              </w:rPr>
            </w:pPr>
            <w:r>
              <w:rPr>
                <w:rFonts w:ascii="Arial" w:cs="Arial" w:eastAsia="Arial" w:hAnsi="Arial"/>
                <w:sz w:val="14"/>
                <w:szCs w:val="14"/>
                <w:color w:val="auto"/>
              </w:rPr>
              <w:t>8.1</w:t>
            </w:r>
          </w:p>
        </w:tc>
        <w:tc>
          <w:tcPr>
            <w:tcW w:w="160" w:type="dxa"/>
            <w:vAlign w:val="bottom"/>
            <w:tcBorders>
              <w:bottom w:val="single" w:sz="8" w:color="auto"/>
            </w:tcBorders>
            <w:shd w:val="clear" w:color="auto" w:fill="E6EFFF"/>
          </w:tcPr>
          <w:p>
            <w:pPr>
              <w:spacing w:after="0"/>
              <w:rPr>
                <w:sz w:val="15"/>
                <w:szCs w:val="15"/>
                <w:color w:val="auto"/>
              </w:rPr>
            </w:pPr>
          </w:p>
        </w:tc>
        <w:tc>
          <w:tcPr>
            <w:tcW w:w="1220" w:type="dxa"/>
            <w:vAlign w:val="bottom"/>
            <w:tcBorders>
              <w:bottom w:val="single" w:sz="8" w:color="auto"/>
            </w:tcBorders>
            <w:shd w:val="clear" w:color="auto" w:fill="E6EFFF"/>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180.5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8" w:hanging="188"/>
        <w:spacing w:after="0"/>
        <w:tabs>
          <w:tab w:leader="none" w:pos="1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This category includes a prime obligations money market portfolio.</w:t>
      </w:r>
    </w:p>
    <w:p>
      <w:pPr>
        <w:ind w:left="188" w:hanging="188"/>
        <w:spacing w:after="0"/>
        <w:tabs>
          <w:tab w:leader="none" w:pos="1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This category includes U.S. Treasury / Federal agency securities and foreign governmental securities.</w:t>
      </w:r>
    </w:p>
    <w:p>
      <w:pPr>
        <w:spacing w:after="0" w:line="188" w:lineRule="exact"/>
        <w:rPr>
          <w:sz w:val="20"/>
          <w:szCs w:val="20"/>
          <w:color w:val="auto"/>
        </w:rPr>
      </w:pPr>
    </w:p>
    <w:p>
      <w:pPr>
        <w:ind w:left="6268"/>
        <w:spacing w:after="0"/>
        <w:tabs>
          <w:tab w:leader="none" w:pos="9328"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RETIREE HEALTH CARE PLAN</w:t>
      </w:r>
    </w:p>
    <w:p>
      <w:pPr>
        <w:spacing w:after="0" w:line="237"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We provide medical and dental benefits to certain eligible retired employees in the U.S. Due to the nature of the plan, there are no plan assets. The reconciliation of the changes in the plan’s benefit obligation and the statement of the funded status of the plan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100" w:type="dxa"/>
            <w:vAlign w:val="bottom"/>
            <w:tcBorders>
              <w:right w:val="single" w:sz="8" w:color="4D8ABE"/>
            </w:tcBorders>
            <w:vMerge w:val="restart"/>
          </w:tcPr>
          <w:p>
            <w:pPr>
              <w:spacing w:after="0"/>
              <w:rPr>
                <w:sz w:val="20"/>
                <w:szCs w:val="20"/>
                <w:color w:val="auto"/>
              </w:rPr>
            </w:pPr>
            <w:r>
              <w:rPr>
                <w:rFonts w:ascii="Arial" w:cs="Arial" w:eastAsia="Arial" w:hAnsi="Arial"/>
                <w:sz w:val="14"/>
                <w:szCs w:val="14"/>
                <w:b w:val="1"/>
                <w:bCs w:val="1"/>
                <w:color w:val="4D8ABE"/>
              </w:rPr>
              <w:t>Year Ended December 31</w:t>
            </w:r>
          </w:p>
        </w:tc>
        <w:tc>
          <w:tcPr>
            <w:tcW w:w="6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600" w:type="dxa"/>
            <w:vAlign w:val="bottom"/>
          </w:tcPr>
          <w:p>
            <w:pPr>
              <w:spacing w:after="0" w:line="20" w:lineRule="exact"/>
              <w:rPr>
                <w:sz w:val="1"/>
                <w:szCs w:val="1"/>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2008</w:t>
            </w:r>
          </w:p>
        </w:tc>
        <w:tc>
          <w:tcPr>
            <w:tcW w:w="0" w:type="dxa"/>
            <w:vAlign w:val="bottom"/>
          </w:tcPr>
          <w:p>
            <w:pPr>
              <w:spacing w:after="0" w:line="20" w:lineRule="exact"/>
              <w:rPr>
                <w:sz w:val="1"/>
                <w:szCs w:val="1"/>
                <w:color w:val="auto"/>
              </w:rPr>
            </w:pPr>
          </w:p>
        </w:tc>
      </w:tr>
      <w:tr>
        <w:trPr>
          <w:trHeight w:val="175"/>
        </w:trPr>
        <w:tc>
          <w:tcPr>
            <w:tcW w:w="8100" w:type="dxa"/>
            <w:vAlign w:val="bottom"/>
            <w:tcBorders>
              <w:bottom w:val="single" w:sz="8" w:color="4D8ABE"/>
              <w:right w:val="single" w:sz="8" w:color="4D8ABE"/>
            </w:tcBorders>
            <w:vMerge w:val="continue"/>
          </w:tcPr>
          <w:p>
            <w:pPr>
              <w:spacing w:after="0"/>
              <w:rPr>
                <w:sz w:val="15"/>
                <w:szCs w:val="15"/>
                <w:color w:val="auto"/>
              </w:rPr>
            </w:pPr>
          </w:p>
        </w:tc>
        <w:tc>
          <w:tcPr>
            <w:tcW w:w="6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600" w:type="dxa"/>
            <w:vAlign w:val="bottom"/>
            <w:tcBorders>
              <w:bottom w:val="single" w:sz="8" w:color="4D8ABE"/>
            </w:tcBorders>
          </w:tcPr>
          <w:p>
            <w:pPr>
              <w:spacing w:after="0"/>
              <w:rPr>
                <w:sz w:val="15"/>
                <w:szCs w:val="15"/>
                <w:color w:val="auto"/>
              </w:rPr>
            </w:pPr>
          </w:p>
        </w:tc>
        <w:tc>
          <w:tcPr>
            <w:tcW w:w="108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Change in Benefit Obligation</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60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Benefit obligation, beginning of year</w:t>
            </w:r>
          </w:p>
        </w:tc>
        <w:tc>
          <w:tcPr>
            <w:tcW w:w="60" w:type="dxa"/>
            <w:vAlign w:val="bottom"/>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22.4</w:t>
            </w: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Service cost</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0.1</w:t>
            </w:r>
          </w:p>
        </w:tc>
        <w:tc>
          <w:tcPr>
            <w:tcW w:w="60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Interest cost</w:t>
            </w:r>
          </w:p>
        </w:tc>
        <w:tc>
          <w:tcPr>
            <w:tcW w:w="60" w:type="dxa"/>
            <w:vAlign w:val="bottom"/>
          </w:tcPr>
          <w:p>
            <w:pPr>
              <w:spacing w:after="0"/>
              <w:rPr>
                <w:sz w:val="15"/>
                <w:szCs w:val="15"/>
                <w:color w:val="auto"/>
              </w:rPr>
            </w:pPr>
          </w:p>
        </w:tc>
        <w:tc>
          <w:tcPr>
            <w:tcW w:w="160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1.4</w:t>
            </w:r>
          </w:p>
        </w:tc>
        <w:tc>
          <w:tcPr>
            <w:tcW w:w="6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Actuarial loss (gain)</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1.8</w:t>
            </w:r>
          </w:p>
        </w:tc>
        <w:tc>
          <w:tcPr>
            <w:tcW w:w="600" w:type="dxa"/>
            <w:vAlign w:val="bottom"/>
            <w:shd w:val="clear" w:color="auto" w:fill="E6EFFF"/>
          </w:tcPr>
          <w:p>
            <w:pPr>
              <w:spacing w:after="0"/>
              <w:rPr>
                <w:sz w:val="15"/>
                <w:szCs w:val="15"/>
                <w:color w:val="auto"/>
              </w:rPr>
            </w:pPr>
          </w:p>
        </w:tc>
        <w:tc>
          <w:tcPr>
            <w:tcW w:w="108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Benefits paid</w:t>
            </w:r>
          </w:p>
        </w:tc>
        <w:tc>
          <w:tcPr>
            <w:tcW w:w="60" w:type="dxa"/>
            <w:vAlign w:val="bottom"/>
          </w:tcPr>
          <w:p>
            <w:pPr>
              <w:spacing w:after="0"/>
              <w:rPr>
                <w:sz w:val="15"/>
                <w:szCs w:val="15"/>
                <w:color w:val="auto"/>
              </w:rPr>
            </w:pPr>
          </w:p>
        </w:tc>
        <w:tc>
          <w:tcPr>
            <w:tcW w:w="160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(1.4)</w:t>
            </w:r>
          </w:p>
        </w:tc>
        <w:tc>
          <w:tcPr>
            <w:tcW w:w="6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4"/>
        </w:trPr>
        <w:tc>
          <w:tcPr>
            <w:tcW w:w="810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Medicare Part D subsidy receipts</w:t>
            </w:r>
          </w:p>
        </w:tc>
        <w:tc>
          <w:tcPr>
            <w:tcW w:w="6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0.3</w:t>
            </w:r>
          </w:p>
        </w:tc>
        <w:tc>
          <w:tcPr>
            <w:tcW w:w="60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8"/>
        </w:trPr>
        <w:tc>
          <w:tcPr>
            <w:tcW w:w="810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Benefit obligation, end of year</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24.6</w:t>
            </w:r>
          </w:p>
        </w:tc>
        <w:tc>
          <w:tcPr>
            <w:tcW w:w="6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Funded Status at End of Year</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60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0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Funded status, end of year</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(24.6)</w:t>
            </w:r>
          </w:p>
        </w:tc>
        <w:tc>
          <w:tcPr>
            <w:tcW w:w="6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84"/>
        </w:trPr>
        <w:tc>
          <w:tcPr>
            <w:tcW w:w="81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Amounts Recognized</w:t>
            </w:r>
          </w:p>
        </w:tc>
        <w:tc>
          <w:tcPr>
            <w:tcW w:w="60" w:type="dxa"/>
            <w:vAlign w:val="bottom"/>
            <w:shd w:val="clear" w:color="auto" w:fill="E6EFFF"/>
          </w:tcPr>
          <w:p>
            <w:pPr>
              <w:spacing w:after="0"/>
              <w:rPr>
                <w:sz w:val="15"/>
                <w:szCs w:val="15"/>
                <w:color w:val="auto"/>
              </w:rPr>
            </w:pPr>
          </w:p>
        </w:tc>
        <w:tc>
          <w:tcPr>
            <w:tcW w:w="1600" w:type="dxa"/>
            <w:vAlign w:val="bottom"/>
            <w:tcBorders>
              <w:right w:val="single" w:sz="8" w:color="4D8ABE"/>
            </w:tcBorders>
            <w:shd w:val="clear" w:color="auto" w:fill="E6EFFF"/>
          </w:tcPr>
          <w:p>
            <w:pPr>
              <w:spacing w:after="0"/>
              <w:rPr>
                <w:sz w:val="15"/>
                <w:szCs w:val="15"/>
                <w:color w:val="auto"/>
              </w:rPr>
            </w:pPr>
          </w:p>
        </w:tc>
        <w:tc>
          <w:tcPr>
            <w:tcW w:w="60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1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Current liabilities</w:t>
            </w:r>
          </w:p>
        </w:tc>
        <w:tc>
          <w:tcPr>
            <w:tcW w:w="60" w:type="dxa"/>
            <w:vAlign w:val="bottom"/>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(1.4)</w:t>
            </w: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4"/>
        </w:trPr>
        <w:tc>
          <w:tcPr>
            <w:tcW w:w="810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Noncurrent liabilities</w:t>
            </w:r>
          </w:p>
        </w:tc>
        <w:tc>
          <w:tcPr>
            <w:tcW w:w="60" w:type="dxa"/>
            <w:vAlign w:val="bottom"/>
            <w:tcBorders>
              <w:bottom w:val="single" w:sz="8" w:color="auto"/>
            </w:tcBorders>
            <w:shd w:val="clear" w:color="auto" w:fill="E6EFFF"/>
          </w:tcPr>
          <w:p>
            <w:pPr>
              <w:spacing w:after="0"/>
              <w:rPr>
                <w:sz w:val="15"/>
                <w:szCs w:val="15"/>
                <w:color w:val="auto"/>
              </w:rPr>
            </w:pPr>
          </w:p>
        </w:tc>
        <w:tc>
          <w:tcPr>
            <w:tcW w:w="160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(23.2)</w:t>
            </w:r>
          </w:p>
        </w:tc>
        <w:tc>
          <w:tcPr>
            <w:tcW w:w="600" w:type="dxa"/>
            <w:vAlign w:val="bottom"/>
            <w:tcBorders>
              <w:bottom w:val="single" w:sz="8" w:color="auto"/>
            </w:tcBorders>
            <w:shd w:val="clear" w:color="auto" w:fill="E6EFFF"/>
          </w:tcPr>
          <w:p>
            <w:pPr>
              <w:spacing w:after="0"/>
              <w:rPr>
                <w:sz w:val="15"/>
                <w:szCs w:val="15"/>
                <w:color w:val="auto"/>
              </w:rPr>
            </w:pPr>
          </w:p>
        </w:tc>
        <w:tc>
          <w:tcPr>
            <w:tcW w:w="108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67"/>
        </w:trPr>
        <w:tc>
          <w:tcPr>
            <w:tcW w:w="8100" w:type="dxa"/>
            <w:vAlign w:val="bottom"/>
            <w:tcBorders>
              <w:bottom w:val="single" w:sz="8" w:color="auto"/>
              <w:right w:val="single" w:sz="8" w:color="4D8ABE"/>
            </w:tcBorders>
          </w:tcPr>
          <w:p>
            <w:pPr>
              <w:spacing w:after="0" w:line="164" w:lineRule="exact"/>
              <w:rPr>
                <w:sz w:val="20"/>
                <w:szCs w:val="20"/>
                <w:color w:val="auto"/>
              </w:rPr>
            </w:pPr>
            <w:r>
              <w:rPr>
                <w:rFonts w:ascii="Arial" w:cs="Arial" w:eastAsia="Arial" w:hAnsi="Arial"/>
                <w:sz w:val="15"/>
                <w:szCs w:val="15"/>
                <w:color w:val="auto"/>
              </w:rPr>
              <w:t>Net amount recognized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4D8ABE"/>
                <w:w w:val="71"/>
              </w:rPr>
              <w:t>$</w:t>
            </w:r>
          </w:p>
        </w:tc>
        <w:tc>
          <w:tcPr>
            <w:tcW w:w="1600" w:type="dxa"/>
            <w:vAlign w:val="bottom"/>
            <w:tcBorders>
              <w:bottom w:val="single" w:sz="8" w:color="auto"/>
              <w:right w:val="single" w:sz="8" w:color="4D8ABE"/>
            </w:tcBorders>
          </w:tcPr>
          <w:p>
            <w:pPr>
              <w:jc w:val="right"/>
              <w:ind w:right="104"/>
              <w:spacing w:after="0" w:line="164" w:lineRule="exact"/>
              <w:rPr>
                <w:sz w:val="20"/>
                <w:szCs w:val="20"/>
                <w:color w:val="auto"/>
              </w:rPr>
            </w:pPr>
            <w:r>
              <w:rPr>
                <w:rFonts w:ascii="Arial" w:cs="Arial" w:eastAsia="Arial" w:hAnsi="Arial"/>
                <w:sz w:val="15"/>
                <w:szCs w:val="15"/>
                <w:color w:val="4D8ABE"/>
              </w:rPr>
              <w:t>(24.6)</w:t>
            </w:r>
          </w:p>
        </w:tc>
        <w:tc>
          <w:tcPr>
            <w:tcW w:w="600" w:type="dxa"/>
            <w:vAlign w:val="bottom"/>
            <w:tcBorders>
              <w:bottom w:val="single" w:sz="8" w:color="auto"/>
            </w:tcBorders>
          </w:tcPr>
          <w:p>
            <w:pPr>
              <w:jc w:val="right"/>
              <w:ind w:right="443"/>
              <w:spacing w:after="0" w:line="164"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4"/>
              <w:spacing w:after="0" w:line="164" w:lineRule="exact"/>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amount recognized in Accumulated Other Comprehensive Income (Loss), net of tax, represents a net gain of $2.5 and $4.6 in 2009 and 2008, respectively.</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discount rate used in the measurement of the benefit obligation were 5.7% and 6.4% in 2009 and 2008, respectively. The discount rate used in the measurement of net periodic benefit cost was 6.4%, 6.3% and 5.8% in 2009, 2008 and 2007, respectively. The components of net periodic benefit cost for this plan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500" w:type="dxa"/>
            <w:vAlign w:val="bottom"/>
            <w:tcBorders>
              <w:bottom w:val="single" w:sz="8" w:color="4D8ABE"/>
            </w:tcBorders>
          </w:tcPr>
          <w:p>
            <w:pPr>
              <w:spacing w:after="0"/>
              <w:rPr>
                <w:sz w:val="16"/>
                <w:szCs w:val="16"/>
                <w:color w:val="auto"/>
              </w:rPr>
            </w:pPr>
          </w:p>
        </w:tc>
        <w:tc>
          <w:tcPr>
            <w:tcW w:w="86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580" w:type="dxa"/>
            <w:vAlign w:val="bottom"/>
            <w:tcBorders>
              <w:bottom w:val="single" w:sz="8" w:color="4D8ABE"/>
            </w:tcBorders>
          </w:tcPr>
          <w:p>
            <w:pPr>
              <w:spacing w:after="0"/>
              <w:rPr>
                <w:sz w:val="16"/>
                <w:szCs w:val="16"/>
                <w:color w:val="auto"/>
              </w:rPr>
            </w:pPr>
          </w:p>
        </w:tc>
        <w:tc>
          <w:tcPr>
            <w:tcW w:w="96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Net Periodic Benefit Cost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50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0.1</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0.2</w:t>
            </w:r>
          </w:p>
        </w:tc>
        <w:tc>
          <w:tcPr>
            <w:tcW w:w="5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0.3</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Interest cost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1.4</w:t>
            </w:r>
          </w:p>
        </w:tc>
        <w:tc>
          <w:tcPr>
            <w:tcW w:w="50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1.4</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1.3</w:t>
            </w:r>
          </w:p>
        </w:tc>
      </w:tr>
      <w:tr>
        <w:trPr>
          <w:trHeight w:val="184"/>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Net gain</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(0.7)</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(0.7)</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(0.4)</w:t>
            </w:r>
          </w:p>
        </w:tc>
      </w:tr>
      <w:tr>
        <w:trPr>
          <w:trHeight w:val="175"/>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periodic benefit cost</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0.8</w:t>
            </w:r>
          </w:p>
        </w:tc>
        <w:tc>
          <w:tcPr>
            <w:tcW w:w="50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0.9</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1.2</w:t>
            </w:r>
          </w:p>
        </w:tc>
      </w:tr>
      <w:tr>
        <w:trPr>
          <w:trHeight w:val="145"/>
        </w:trPr>
        <w:tc>
          <w:tcPr>
            <w:tcW w:w="7080" w:type="dxa"/>
            <w:vAlign w:val="bottom"/>
            <w:tcBorders>
              <w:right w:val="single" w:sz="8" w:color="4D8ABE"/>
            </w:tcBorders>
          </w:tcPr>
          <w:p>
            <w:pPr>
              <w:spacing w:after="0" w:line="145" w:lineRule="exact"/>
              <w:rPr>
                <w:sz w:val="20"/>
                <w:szCs w:val="20"/>
                <w:color w:val="auto"/>
              </w:rPr>
            </w:pPr>
            <w:r>
              <w:rPr>
                <w:rFonts w:ascii="Arial" w:cs="Arial" w:eastAsia="Arial" w:hAnsi="Arial"/>
                <w:sz w:val="15"/>
                <w:szCs w:val="15"/>
                <w:b w:val="1"/>
                <w:bCs w:val="1"/>
                <w:color w:val="939598"/>
              </w:rPr>
              <w:t>Other Changes in Plan Assets and Benefit Obligations Recognized</w:t>
            </w:r>
          </w:p>
        </w:tc>
        <w:tc>
          <w:tcPr>
            <w:tcW w:w="80" w:type="dxa"/>
            <w:vAlign w:val="bottom"/>
          </w:tcPr>
          <w:p>
            <w:pPr>
              <w:spacing w:after="0"/>
              <w:rPr>
                <w:sz w:val="12"/>
                <w:szCs w:val="12"/>
                <w:color w:val="auto"/>
              </w:rPr>
            </w:pPr>
          </w:p>
        </w:tc>
        <w:tc>
          <w:tcPr>
            <w:tcW w:w="1380" w:type="dxa"/>
            <w:vAlign w:val="bottom"/>
            <w:tcBorders>
              <w:right w:val="single" w:sz="8" w:color="4D8ABE"/>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1"/>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in Other Comprehensive Income (Loss)</w:t>
            </w:r>
          </w:p>
        </w:tc>
        <w:tc>
          <w:tcPr>
            <w:tcW w:w="80" w:type="dxa"/>
            <w:vAlign w:val="bottom"/>
          </w:tcPr>
          <w:p>
            <w:pPr>
              <w:spacing w:after="0"/>
              <w:rPr>
                <w:sz w:val="16"/>
                <w:szCs w:val="16"/>
                <w:color w:val="auto"/>
              </w:rPr>
            </w:pPr>
          </w:p>
        </w:tc>
        <w:tc>
          <w:tcPr>
            <w:tcW w:w="1380" w:type="dxa"/>
            <w:vAlign w:val="bottom"/>
            <w:tcBorders>
              <w:right w:val="single" w:sz="8" w:color="4D8ABE"/>
            </w:tcBorders>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Net loss (gain)</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1.8</w:t>
            </w:r>
          </w:p>
        </w:tc>
        <w:tc>
          <w:tcPr>
            <w:tcW w:w="50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(0.6)</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(1.4)</w:t>
            </w:r>
          </w:p>
        </w:tc>
      </w:tr>
      <w:tr>
        <w:trPr>
          <w:trHeight w:val="184"/>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Amortization of net gain</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0.7</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0.6</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0.4</w:t>
            </w:r>
          </w:p>
        </w:tc>
      </w:tr>
      <w:tr>
        <w:trPr>
          <w:trHeight w:val="175"/>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Total recognized in other comprehensive income (loss)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2.5</w:t>
            </w:r>
          </w:p>
        </w:tc>
        <w:tc>
          <w:tcPr>
            <w:tcW w:w="50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(1.0)</w:t>
            </w:r>
          </w:p>
        </w:tc>
      </w:tr>
      <w:tr>
        <w:trPr>
          <w:trHeight w:val="178"/>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Total recognized in net periodic benefit cost and other comprehensive income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3.3</w:t>
            </w:r>
          </w:p>
        </w:tc>
        <w:tc>
          <w:tcPr>
            <w:tcW w:w="5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0.9</w:t>
            </w:r>
          </w:p>
        </w:tc>
        <w:tc>
          <w:tcPr>
            <w:tcW w:w="5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0.2</w:t>
            </w:r>
          </w:p>
        </w:tc>
      </w:tr>
    </w:tbl>
    <w:p>
      <w:pPr>
        <w:spacing w:after="0" w:line="175"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 estimated net gain for the retiree health care plan that will be amortized from Accumulated Other Comprehensive Income (Loss) into net periodic benefit cost during 2010 is $0.1.</w:t>
      </w:r>
    </w:p>
    <w:p>
      <w:pPr>
        <w:spacing w:after="0" w:line="194"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The health care cost trend rate was assumed to be 8.0% for 2009, decreasing gradually to 5.0% for the years 2016 and beyond. Assumed health care cost trend rates have a significant effect on the amounts reported. A one-percentage point change in the assumed health care cost trend rate would have the following effects: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80" w:type="dxa"/>
            <w:vAlign w:val="bottom"/>
            <w:tcBorders>
              <w:right w:val="single" w:sz="8" w:color="4D8ABE"/>
            </w:tcBorders>
          </w:tcPr>
          <w:p>
            <w:pPr>
              <w:spacing w:after="0" w:line="20" w:lineRule="exact"/>
              <w:rPr>
                <w:sz w:val="1"/>
                <w:szCs w:val="1"/>
                <w:color w:val="auto"/>
              </w:rPr>
            </w:pPr>
          </w:p>
        </w:tc>
        <w:tc>
          <w:tcPr>
            <w:tcW w:w="80" w:type="dxa"/>
            <w:vAlign w:val="bottom"/>
            <w:shd w:val="clear" w:color="auto" w:fill="4D8ABE"/>
          </w:tcPr>
          <w:p>
            <w:pPr>
              <w:spacing w:after="0" w:line="20" w:lineRule="exact"/>
              <w:rPr>
                <w:sz w:val="1"/>
                <w:szCs w:val="1"/>
                <w:color w:val="auto"/>
              </w:rPr>
            </w:pPr>
          </w:p>
        </w:tc>
        <w:tc>
          <w:tcPr>
            <w:tcW w:w="1600" w:type="dxa"/>
            <w:vAlign w:val="bottom"/>
            <w:tcBorders>
              <w:right w:val="single" w:sz="8" w:color="4D8ABE"/>
            </w:tcBorders>
            <w:vMerge w:val="restart"/>
            <w:shd w:val="clear" w:color="auto" w:fill="4D8ABE"/>
          </w:tcPr>
          <w:p>
            <w:pPr>
              <w:jc w:val="right"/>
              <w:ind w:right="166"/>
              <w:spacing w:after="0"/>
              <w:rPr>
                <w:sz w:val="20"/>
                <w:szCs w:val="20"/>
                <w:color w:val="auto"/>
              </w:rPr>
            </w:pPr>
            <w:r>
              <w:rPr>
                <w:rFonts w:ascii="Arial" w:cs="Arial" w:eastAsia="Arial" w:hAnsi="Arial"/>
                <w:sz w:val="14"/>
                <w:szCs w:val="14"/>
                <w:b w:val="1"/>
                <w:bCs w:val="1"/>
                <w:color w:val="FFFFFF"/>
              </w:rPr>
              <w:t>1% Increase</w:t>
            </w:r>
          </w:p>
        </w:tc>
        <w:tc>
          <w:tcPr>
            <w:tcW w:w="340" w:type="dxa"/>
            <w:vAlign w:val="bottom"/>
          </w:tcPr>
          <w:p>
            <w:pPr>
              <w:spacing w:after="0" w:line="20" w:lineRule="exact"/>
              <w:rPr>
                <w:sz w:val="1"/>
                <w:szCs w:val="1"/>
                <w:color w:val="auto"/>
              </w:rPr>
            </w:pPr>
          </w:p>
        </w:tc>
        <w:tc>
          <w:tcPr>
            <w:tcW w:w="134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4D8ABE"/>
              </w:rPr>
              <w:t>1% Decrease</w:t>
            </w:r>
          </w:p>
        </w:tc>
        <w:tc>
          <w:tcPr>
            <w:tcW w:w="0" w:type="dxa"/>
            <w:vAlign w:val="bottom"/>
          </w:tcPr>
          <w:p>
            <w:pPr>
              <w:spacing w:after="0" w:line="20" w:lineRule="exact"/>
              <w:rPr>
                <w:sz w:val="1"/>
                <w:szCs w:val="1"/>
                <w:color w:val="auto"/>
              </w:rPr>
            </w:pPr>
          </w:p>
        </w:tc>
      </w:tr>
      <w:tr>
        <w:trPr>
          <w:trHeight w:val="175"/>
        </w:trPr>
        <w:tc>
          <w:tcPr>
            <w:tcW w:w="8080" w:type="dxa"/>
            <w:vAlign w:val="bottom"/>
            <w:tcBorders>
              <w:bottom w:val="single" w:sz="8" w:color="4D8ABE"/>
              <w:right w:val="single" w:sz="8" w:color="4D8ABE"/>
            </w:tcBorders>
          </w:tcPr>
          <w:p>
            <w:pPr>
              <w:spacing w:after="0"/>
              <w:rPr>
                <w:sz w:val="15"/>
                <w:szCs w:val="15"/>
                <w:color w:val="auto"/>
              </w:rPr>
            </w:pPr>
          </w:p>
        </w:tc>
        <w:tc>
          <w:tcPr>
            <w:tcW w:w="80" w:type="dxa"/>
            <w:vAlign w:val="bottom"/>
            <w:tcBorders>
              <w:bottom w:val="single" w:sz="8" w:color="4D8ABE"/>
            </w:tcBorders>
            <w:shd w:val="clear" w:color="auto" w:fill="4D8ABE"/>
          </w:tcPr>
          <w:p>
            <w:pPr>
              <w:spacing w:after="0"/>
              <w:rPr>
                <w:sz w:val="15"/>
                <w:szCs w:val="15"/>
                <w:color w:val="auto"/>
              </w:rPr>
            </w:pPr>
          </w:p>
        </w:tc>
        <w:tc>
          <w:tcPr>
            <w:tcW w:w="1600" w:type="dxa"/>
            <w:vAlign w:val="bottom"/>
            <w:tcBorders>
              <w:bottom w:val="single" w:sz="8" w:color="4D8ABE"/>
              <w:right w:val="single" w:sz="8" w:color="4D8ABE"/>
            </w:tcBorders>
            <w:vMerge w:val="continue"/>
            <w:shd w:val="clear" w:color="auto" w:fill="4D8ABE"/>
          </w:tcPr>
          <w:p>
            <w:pPr>
              <w:spacing w:after="0"/>
              <w:rPr>
                <w:sz w:val="15"/>
                <w:szCs w:val="15"/>
                <w:color w:val="auto"/>
              </w:rPr>
            </w:pPr>
          </w:p>
        </w:tc>
        <w:tc>
          <w:tcPr>
            <w:tcW w:w="340" w:type="dxa"/>
            <w:vAlign w:val="bottom"/>
            <w:tcBorders>
              <w:bottom w:val="single" w:sz="8" w:color="4D8ABE"/>
            </w:tcBorders>
          </w:tcPr>
          <w:p>
            <w:pPr>
              <w:spacing w:after="0"/>
              <w:rPr>
                <w:sz w:val="15"/>
                <w:szCs w:val="15"/>
                <w:color w:val="auto"/>
              </w:rPr>
            </w:pPr>
          </w:p>
        </w:tc>
        <w:tc>
          <w:tcPr>
            <w:tcW w:w="1340" w:type="dxa"/>
            <w:vAlign w:val="bottom"/>
            <w:tcBorders>
              <w:bottom w:val="single" w:sz="8" w:color="4D8AB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Effect on total of service and interest cost components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4D8ABE"/>
            </w:tcBorders>
            <w:shd w:val="clear" w:color="auto" w:fill="E6EFFF"/>
          </w:tcPr>
          <w:p>
            <w:pPr>
              <w:jc w:val="right"/>
              <w:ind w:right="166"/>
              <w:spacing w:after="0"/>
              <w:rPr>
                <w:sz w:val="20"/>
                <w:szCs w:val="20"/>
                <w:color w:val="auto"/>
              </w:rPr>
            </w:pPr>
            <w:r>
              <w:rPr>
                <w:rFonts w:ascii="Arial" w:cs="Arial" w:eastAsia="Arial" w:hAnsi="Arial"/>
                <w:sz w:val="15"/>
                <w:szCs w:val="15"/>
                <w:color w:val="auto"/>
              </w:rPr>
              <w:t>0.2</w:t>
            </w:r>
          </w:p>
        </w:tc>
        <w:tc>
          <w:tcPr>
            <w:tcW w:w="340" w:type="dxa"/>
            <w:vAlign w:val="bottom"/>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6EFFF"/>
          </w:tcPr>
          <w:p>
            <w:pPr>
              <w:jc w:val="right"/>
              <w:ind w:right="106"/>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7"/>
        </w:trPr>
        <w:tc>
          <w:tcPr>
            <w:tcW w:w="8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Effect on benefit obligation</w:t>
            </w: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4D8ABE"/>
            </w:tcBorders>
          </w:tcPr>
          <w:p>
            <w:pPr>
              <w:jc w:val="right"/>
              <w:ind w:right="166"/>
              <w:spacing w:after="0"/>
              <w:rPr>
                <w:sz w:val="20"/>
                <w:szCs w:val="20"/>
                <w:color w:val="auto"/>
              </w:rPr>
            </w:pPr>
            <w:r>
              <w:rPr>
                <w:rFonts w:ascii="Arial" w:cs="Arial" w:eastAsia="Arial" w:hAnsi="Arial"/>
                <w:sz w:val="15"/>
                <w:szCs w:val="15"/>
                <w:color w:val="auto"/>
              </w:rPr>
              <w:t>3.5</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66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02" w:name="page103"/>
    <w:bookmarkEnd w:id="102"/>
    <w:p>
      <w:pPr>
        <w:ind w:left="20"/>
        <w:spacing w:after="0"/>
        <w:rPr>
          <w:sz w:val="20"/>
          <w:szCs w:val="20"/>
          <w:color w:val="auto"/>
        </w:rPr>
      </w:pPr>
      <w:r>
        <w:rPr>
          <w:rFonts w:ascii="Arial" w:cs="Arial" w:eastAsia="Arial" w:hAnsi="Arial"/>
          <w:sz w:val="18"/>
          <w:szCs w:val="18"/>
          <w:b w:val="1"/>
          <w:bCs w:val="1"/>
          <w:color w:val="86B6A5"/>
        </w:rPr>
        <w:t>FUTURE CONTRIBUTIONS AND PAYMENTS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During 2010, we plan to contribute $22.5 to our pension plans and to fund our retiree health care payments as incurred. Projected benefit payments from the plans as of</w:t>
      </w:r>
    </w:p>
    <w:p>
      <w:pPr>
        <w:ind w:left="20"/>
        <w:spacing w:after="0"/>
        <w:rPr>
          <w:sz w:val="20"/>
          <w:szCs w:val="20"/>
          <w:color w:val="auto"/>
        </w:rPr>
      </w:pPr>
      <w:r>
        <w:rPr>
          <w:rFonts w:ascii="Arial" w:cs="Arial" w:eastAsia="Arial" w:hAnsi="Arial"/>
          <w:sz w:val="15"/>
          <w:szCs w:val="15"/>
          <w:color w:val="auto"/>
        </w:rPr>
        <w:t>December 31, 2009 are estimated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2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w:t>
            </w:r>
          </w:p>
        </w:tc>
        <w:tc>
          <w:tcPr>
            <w:tcW w:w="3240" w:type="dxa"/>
            <w:vAlign w:val="bottom"/>
            <w:tcBorders>
              <w:bottom w:val="single" w:sz="8" w:color="4D8ABE"/>
            </w:tcBorders>
          </w:tcPr>
          <w:p>
            <w:pPr>
              <w:spacing w:after="0"/>
              <w:rPr>
                <w:sz w:val="16"/>
                <w:szCs w:val="16"/>
                <w:color w:val="auto"/>
              </w:rPr>
            </w:pPr>
          </w:p>
        </w:tc>
        <w:tc>
          <w:tcPr>
            <w:tcW w:w="1280" w:type="dxa"/>
            <w:vAlign w:val="bottom"/>
            <w:tcBorders>
              <w:bottom w:val="single" w:sz="8" w:color="4D8ABE"/>
            </w:tcBorders>
          </w:tcPr>
          <w:p>
            <w:pPr>
              <w:jc w:val="right"/>
              <w:ind w:right="44"/>
              <w:spacing w:after="0"/>
              <w:rPr>
                <w:sz w:val="20"/>
                <w:szCs w:val="20"/>
                <w:color w:val="auto"/>
              </w:rPr>
            </w:pPr>
            <w:r>
              <w:rPr>
                <w:rFonts w:ascii="Arial" w:cs="Arial" w:eastAsia="Arial" w:hAnsi="Arial"/>
                <w:sz w:val="14"/>
                <w:szCs w:val="14"/>
                <w:b w:val="1"/>
                <w:bCs w:val="1"/>
                <w:color w:val="4D8ABE"/>
              </w:rPr>
              <w:t>Pension Plans</w:t>
            </w:r>
          </w:p>
        </w:tc>
        <w:tc>
          <w:tcPr>
            <w:tcW w:w="420" w:type="dxa"/>
            <w:vAlign w:val="bottom"/>
            <w:tcBorders>
              <w:bottom w:val="single" w:sz="8" w:color="4D8ABE"/>
            </w:tcBorders>
          </w:tcPr>
          <w:p>
            <w:pPr>
              <w:spacing w:after="0"/>
              <w:rPr>
                <w:sz w:val="16"/>
                <w:szCs w:val="16"/>
                <w:color w:val="auto"/>
              </w:rPr>
            </w:pPr>
          </w:p>
        </w:tc>
        <w:tc>
          <w:tcPr>
            <w:tcW w:w="138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Retiree Health</w:t>
            </w:r>
          </w:p>
        </w:tc>
      </w:tr>
      <w:tr>
        <w:trPr>
          <w:trHeight w:val="184"/>
        </w:trPr>
        <w:tc>
          <w:tcPr>
            <w:tcW w:w="5120" w:type="dxa"/>
            <w:vAlign w:val="bottom"/>
            <w:shd w:val="clear" w:color="auto" w:fill="E6EFFF"/>
          </w:tcPr>
          <w:p>
            <w:pPr>
              <w:spacing w:after="0"/>
              <w:rPr>
                <w:sz w:val="20"/>
                <w:szCs w:val="20"/>
                <w:color w:val="auto"/>
              </w:rPr>
            </w:pPr>
            <w:r>
              <w:rPr>
                <w:rFonts w:ascii="Arial" w:cs="Arial" w:eastAsia="Arial" w:hAnsi="Arial"/>
                <w:sz w:val="15"/>
                <w:szCs w:val="15"/>
                <w:color w:val="auto"/>
              </w:rPr>
              <w:t>2010</w:t>
            </w:r>
          </w:p>
        </w:tc>
        <w:tc>
          <w:tcPr>
            <w:tcW w:w="324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9.1</w:t>
            </w:r>
          </w:p>
        </w:tc>
        <w:tc>
          <w:tcPr>
            <w:tcW w:w="42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1.4</w:t>
            </w:r>
          </w:p>
        </w:tc>
      </w:tr>
      <w:tr>
        <w:trPr>
          <w:trHeight w:val="184"/>
        </w:trPr>
        <w:tc>
          <w:tcPr>
            <w:tcW w:w="5120" w:type="dxa"/>
            <w:vAlign w:val="bottom"/>
          </w:tcPr>
          <w:p>
            <w:pPr>
              <w:spacing w:after="0"/>
              <w:rPr>
                <w:sz w:val="20"/>
                <w:szCs w:val="20"/>
                <w:color w:val="auto"/>
              </w:rPr>
            </w:pPr>
            <w:r>
              <w:rPr>
                <w:rFonts w:ascii="Arial" w:cs="Arial" w:eastAsia="Arial" w:hAnsi="Arial"/>
                <w:sz w:val="15"/>
                <w:szCs w:val="15"/>
                <w:color w:val="auto"/>
              </w:rPr>
              <w:t>2011</w:t>
            </w:r>
          </w:p>
        </w:tc>
        <w:tc>
          <w:tcPr>
            <w:tcW w:w="3240" w:type="dxa"/>
            <w:vAlign w:val="bottom"/>
          </w:tcPr>
          <w:p>
            <w:pPr>
              <w:spacing w:after="0"/>
              <w:rPr>
                <w:sz w:val="15"/>
                <w:szCs w:val="15"/>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9.7</w:t>
            </w:r>
          </w:p>
        </w:tc>
        <w:tc>
          <w:tcPr>
            <w:tcW w:w="420" w:type="dxa"/>
            <w:vAlign w:val="bottom"/>
          </w:tcPr>
          <w:p>
            <w:pPr>
              <w:spacing w:after="0"/>
              <w:rPr>
                <w:sz w:val="15"/>
                <w:szCs w:val="15"/>
                <w:color w:val="auto"/>
              </w:rPr>
            </w:pPr>
          </w:p>
        </w:tc>
        <w:tc>
          <w:tcPr>
            <w:tcW w:w="1380" w:type="dxa"/>
            <w:vAlign w:val="bottom"/>
          </w:tcPr>
          <w:p>
            <w:pPr>
              <w:jc w:val="right"/>
              <w:ind w:right="144"/>
              <w:spacing w:after="0"/>
              <w:rPr>
                <w:sz w:val="20"/>
                <w:szCs w:val="20"/>
                <w:color w:val="auto"/>
              </w:rPr>
            </w:pPr>
            <w:r>
              <w:rPr>
                <w:rFonts w:ascii="Arial" w:cs="Arial" w:eastAsia="Arial" w:hAnsi="Arial"/>
                <w:sz w:val="15"/>
                <w:szCs w:val="15"/>
                <w:color w:val="auto"/>
              </w:rPr>
              <w:t>1.7</w:t>
            </w:r>
          </w:p>
        </w:tc>
      </w:tr>
      <w:tr>
        <w:trPr>
          <w:trHeight w:val="184"/>
        </w:trPr>
        <w:tc>
          <w:tcPr>
            <w:tcW w:w="5120" w:type="dxa"/>
            <w:vAlign w:val="bottom"/>
            <w:shd w:val="clear" w:color="auto" w:fill="E6EFFF"/>
          </w:tcPr>
          <w:p>
            <w:pPr>
              <w:spacing w:after="0"/>
              <w:rPr>
                <w:sz w:val="20"/>
                <w:szCs w:val="20"/>
                <w:color w:val="auto"/>
              </w:rPr>
            </w:pPr>
            <w:r>
              <w:rPr>
                <w:rFonts w:ascii="Arial" w:cs="Arial" w:eastAsia="Arial" w:hAnsi="Arial"/>
                <w:sz w:val="15"/>
                <w:szCs w:val="15"/>
                <w:color w:val="auto"/>
              </w:rPr>
              <w:t>2012</w:t>
            </w:r>
          </w:p>
        </w:tc>
        <w:tc>
          <w:tcPr>
            <w:tcW w:w="324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10.3</w:t>
            </w:r>
          </w:p>
        </w:tc>
        <w:tc>
          <w:tcPr>
            <w:tcW w:w="420" w:type="dxa"/>
            <w:vAlign w:val="bottom"/>
            <w:shd w:val="clear" w:color="auto" w:fill="E6EFFF"/>
          </w:tcPr>
          <w:p>
            <w:pPr>
              <w:spacing w:after="0"/>
              <w:rPr>
                <w:sz w:val="15"/>
                <w:szCs w:val="15"/>
                <w:color w:val="auto"/>
              </w:rPr>
            </w:pPr>
          </w:p>
        </w:tc>
        <w:tc>
          <w:tcPr>
            <w:tcW w:w="13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1.6</w:t>
            </w:r>
          </w:p>
        </w:tc>
      </w:tr>
      <w:tr>
        <w:trPr>
          <w:trHeight w:val="184"/>
        </w:trPr>
        <w:tc>
          <w:tcPr>
            <w:tcW w:w="5120" w:type="dxa"/>
            <w:vAlign w:val="bottom"/>
          </w:tcPr>
          <w:p>
            <w:pPr>
              <w:spacing w:after="0"/>
              <w:rPr>
                <w:sz w:val="20"/>
                <w:szCs w:val="20"/>
                <w:color w:val="auto"/>
              </w:rPr>
            </w:pPr>
            <w:r>
              <w:rPr>
                <w:rFonts w:ascii="Arial" w:cs="Arial" w:eastAsia="Arial" w:hAnsi="Arial"/>
                <w:sz w:val="15"/>
                <w:szCs w:val="15"/>
                <w:color w:val="auto"/>
              </w:rPr>
              <w:t>2013</w:t>
            </w:r>
          </w:p>
        </w:tc>
        <w:tc>
          <w:tcPr>
            <w:tcW w:w="3240" w:type="dxa"/>
            <w:vAlign w:val="bottom"/>
          </w:tcPr>
          <w:p>
            <w:pPr>
              <w:spacing w:after="0"/>
              <w:rPr>
                <w:sz w:val="15"/>
                <w:szCs w:val="15"/>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10.8</w:t>
            </w:r>
          </w:p>
        </w:tc>
        <w:tc>
          <w:tcPr>
            <w:tcW w:w="420" w:type="dxa"/>
            <w:vAlign w:val="bottom"/>
          </w:tcPr>
          <w:p>
            <w:pPr>
              <w:spacing w:after="0"/>
              <w:rPr>
                <w:sz w:val="15"/>
                <w:szCs w:val="15"/>
                <w:color w:val="auto"/>
              </w:rPr>
            </w:pPr>
          </w:p>
        </w:tc>
        <w:tc>
          <w:tcPr>
            <w:tcW w:w="1380" w:type="dxa"/>
            <w:vAlign w:val="bottom"/>
          </w:tcPr>
          <w:p>
            <w:pPr>
              <w:jc w:val="right"/>
              <w:ind w:right="144"/>
              <w:spacing w:after="0"/>
              <w:rPr>
                <w:sz w:val="20"/>
                <w:szCs w:val="20"/>
                <w:color w:val="auto"/>
              </w:rPr>
            </w:pPr>
            <w:r>
              <w:rPr>
                <w:rFonts w:ascii="Arial" w:cs="Arial" w:eastAsia="Arial" w:hAnsi="Arial"/>
                <w:sz w:val="15"/>
                <w:szCs w:val="15"/>
                <w:color w:val="auto"/>
              </w:rPr>
              <w:t>1.7</w:t>
            </w:r>
          </w:p>
        </w:tc>
      </w:tr>
      <w:tr>
        <w:trPr>
          <w:trHeight w:val="184"/>
        </w:trPr>
        <w:tc>
          <w:tcPr>
            <w:tcW w:w="5120" w:type="dxa"/>
            <w:vAlign w:val="bottom"/>
            <w:shd w:val="clear" w:color="auto" w:fill="E6EFFF"/>
          </w:tcPr>
          <w:p>
            <w:pPr>
              <w:spacing w:after="0"/>
              <w:rPr>
                <w:sz w:val="20"/>
                <w:szCs w:val="20"/>
                <w:color w:val="auto"/>
              </w:rPr>
            </w:pPr>
            <w:r>
              <w:rPr>
                <w:rFonts w:ascii="Arial" w:cs="Arial" w:eastAsia="Arial" w:hAnsi="Arial"/>
                <w:sz w:val="15"/>
                <w:szCs w:val="15"/>
                <w:color w:val="auto"/>
              </w:rPr>
              <w:t>2014</w:t>
            </w:r>
          </w:p>
        </w:tc>
        <w:tc>
          <w:tcPr>
            <w:tcW w:w="3240" w:type="dxa"/>
            <w:vAlign w:val="bottom"/>
            <w:shd w:val="clear" w:color="auto" w:fill="E6EFFF"/>
          </w:tcPr>
          <w:p>
            <w:pPr>
              <w:spacing w:after="0"/>
              <w:rPr>
                <w:sz w:val="15"/>
                <w:szCs w:val="15"/>
                <w:color w:val="auto"/>
              </w:rPr>
            </w:pPr>
          </w:p>
        </w:tc>
        <w:tc>
          <w:tcPr>
            <w:tcW w:w="1280" w:type="dxa"/>
            <w:vAlign w:val="bottom"/>
            <w:shd w:val="clear" w:color="auto" w:fill="E6EFFF"/>
          </w:tcPr>
          <w:p>
            <w:pPr>
              <w:jc w:val="right"/>
              <w:ind w:right="44"/>
              <w:spacing w:after="0"/>
              <w:rPr>
                <w:sz w:val="20"/>
                <w:szCs w:val="20"/>
                <w:color w:val="auto"/>
              </w:rPr>
            </w:pPr>
            <w:r>
              <w:rPr>
                <w:rFonts w:ascii="Arial" w:cs="Arial" w:eastAsia="Arial" w:hAnsi="Arial"/>
                <w:sz w:val="15"/>
                <w:szCs w:val="15"/>
                <w:color w:val="auto"/>
              </w:rPr>
              <w:t>11.6</w:t>
            </w:r>
          </w:p>
        </w:tc>
        <w:tc>
          <w:tcPr>
            <w:tcW w:w="420" w:type="dxa"/>
            <w:vAlign w:val="bottom"/>
            <w:shd w:val="clear" w:color="auto" w:fill="E6EFFF"/>
          </w:tcPr>
          <w:p>
            <w:pPr>
              <w:spacing w:after="0"/>
              <w:rPr>
                <w:sz w:val="15"/>
                <w:szCs w:val="15"/>
                <w:color w:val="auto"/>
              </w:rPr>
            </w:pPr>
          </w:p>
        </w:tc>
        <w:tc>
          <w:tcPr>
            <w:tcW w:w="138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1.7</w:t>
            </w:r>
          </w:p>
        </w:tc>
      </w:tr>
      <w:tr>
        <w:trPr>
          <w:trHeight w:val="184"/>
        </w:trPr>
        <w:tc>
          <w:tcPr>
            <w:tcW w:w="5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2015-2019</w:t>
            </w:r>
          </w:p>
        </w:tc>
        <w:tc>
          <w:tcPr>
            <w:tcW w:w="3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74.9</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8.7</w:t>
            </w:r>
          </w:p>
        </w:tc>
      </w:tr>
      <w:tr>
        <w:trPr>
          <w:trHeight w:val="178"/>
        </w:trPr>
        <w:tc>
          <w:tcPr>
            <w:tcW w:w="51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Total projected benefit payments</w:t>
            </w:r>
          </w:p>
        </w:tc>
        <w:tc>
          <w:tcPr>
            <w:tcW w:w="324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E6EFFF"/>
          </w:tcPr>
          <w:p>
            <w:pPr>
              <w:jc w:val="right"/>
              <w:ind w:right="44"/>
              <w:spacing w:after="0"/>
              <w:rPr>
                <w:sz w:val="20"/>
                <w:szCs w:val="20"/>
                <w:color w:val="auto"/>
              </w:rPr>
            </w:pPr>
            <w:r>
              <w:rPr>
                <w:rFonts w:ascii="Arial" w:cs="Arial" w:eastAsia="Arial" w:hAnsi="Arial"/>
                <w:sz w:val="15"/>
                <w:szCs w:val="15"/>
                <w:color w:val="auto"/>
              </w:rPr>
              <w:t>126.4</w:t>
            </w:r>
          </w:p>
        </w:tc>
        <w:tc>
          <w:tcPr>
            <w:tcW w:w="42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16.8</w:t>
            </w: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6B6A5"/>
        </w:rPr>
        <w:t>DEFINED CONTRIBUTION PLANS</w:t>
      </w:r>
    </w:p>
    <w:p>
      <w:pPr>
        <w:spacing w:after="0" w:line="237"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5"/>
          <w:szCs w:val="15"/>
          <w:color w:val="auto"/>
        </w:rPr>
        <w:t>We have defined contribution plans covering substantially all permanent U.S.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$22.7, $24.2 and $23.0 for 2009, 2008 and 2007, respectively. One of our U.S. deferred compensation plans had an asset and liability of $28.2 and $21.1 as of December 31, 2009 and 2008, respectively.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1"/>
          <w:szCs w:val="21"/>
          <w:color w:val="4D8ABE"/>
        </w:rPr>
        <w:t>10.</w:t>
      </w:r>
    </w:p>
    <w:p>
      <w:pPr>
        <w:ind w:left="20"/>
        <w:spacing w:after="0"/>
        <w:rPr>
          <w:sz w:val="20"/>
          <w:szCs w:val="20"/>
          <w:color w:val="auto"/>
        </w:rPr>
      </w:pPr>
      <w:r>
        <w:rPr>
          <w:rFonts w:ascii="Arial" w:cs="Arial" w:eastAsia="Arial" w:hAnsi="Arial"/>
          <w:sz w:val="21"/>
          <w:szCs w:val="21"/>
          <w:color w:val="4D8ABE"/>
        </w:rPr>
        <w:t>Accumulated Other Comprehensive Income (Loss)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components of Accumulated Other Comprehensive Income (Loss), net of tax, are as follows: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480" w:type="dxa"/>
            <w:vAlign w:val="bottom"/>
            <w:tcBorders>
              <w:bottom w:val="single" w:sz="8" w:color="4D8ABE"/>
            </w:tcBorders>
          </w:tcPr>
          <w:p>
            <w:pPr>
              <w:spacing w:after="0"/>
              <w:rPr>
                <w:sz w:val="16"/>
                <w:szCs w:val="16"/>
                <w:color w:val="auto"/>
              </w:rPr>
            </w:pPr>
          </w:p>
        </w:tc>
        <w:tc>
          <w:tcPr>
            <w:tcW w:w="880" w:type="dxa"/>
            <w:vAlign w:val="bottom"/>
            <w:tcBorders>
              <w:bottom w:val="single" w:sz="8" w:color="4D8ABE"/>
            </w:tcBorders>
          </w:tcPr>
          <w:p>
            <w:pPr>
              <w:jc w:val="right"/>
              <w:ind w:right="65"/>
              <w:spacing w:after="0"/>
              <w:rPr>
                <w:sz w:val="20"/>
                <w:szCs w:val="20"/>
                <w:color w:val="auto"/>
              </w:rPr>
            </w:pPr>
            <w:r>
              <w:rPr>
                <w:rFonts w:ascii="Arial" w:cs="Arial" w:eastAsia="Arial" w:hAnsi="Arial"/>
                <w:sz w:val="14"/>
                <w:szCs w:val="14"/>
                <w:b w:val="1"/>
                <w:bCs w:val="1"/>
                <w:color w:val="4D8ABE"/>
              </w:rPr>
              <w:t>2008</w:t>
            </w:r>
          </w:p>
        </w:tc>
        <w:tc>
          <w:tcPr>
            <w:tcW w:w="54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Foreign currency translation</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111.0</w:t>
            </w:r>
          </w:p>
        </w:tc>
        <w:tc>
          <w:tcPr>
            <w:tcW w:w="480" w:type="dxa"/>
            <w:vAlign w:val="bottom"/>
            <w:shd w:val="clear" w:color="auto" w:fill="E6EFFF"/>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6EFFF"/>
          </w:tcPr>
          <w:p>
            <w:pPr>
              <w:jc w:val="right"/>
              <w:ind w:right="65"/>
              <w:spacing w:after="0"/>
              <w:rPr>
                <w:sz w:val="20"/>
                <w:szCs w:val="20"/>
                <w:color w:val="auto"/>
              </w:rPr>
            </w:pPr>
            <w:r>
              <w:rPr>
                <w:rFonts w:ascii="Arial" w:cs="Arial" w:eastAsia="Arial" w:hAnsi="Arial"/>
                <w:sz w:val="15"/>
                <w:szCs w:val="15"/>
                <w:color w:val="auto"/>
              </w:rPr>
              <w:t>4.0</w:t>
            </w:r>
          </w:p>
        </w:tc>
        <w:tc>
          <w:tcPr>
            <w:tcW w:w="54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253.9</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Unrealized gain on investments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6.6</w:t>
            </w:r>
          </w:p>
        </w:tc>
        <w:tc>
          <w:tcPr>
            <w:tcW w:w="4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2.3</w:t>
            </w:r>
          </w:p>
        </w:tc>
        <w:tc>
          <w:tcPr>
            <w:tcW w:w="5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Arial" w:cs="Arial" w:eastAsia="Arial" w:hAnsi="Arial"/>
                <w:sz w:val="15"/>
                <w:szCs w:val="15"/>
                <w:color w:val="auto"/>
              </w:rPr>
              <w:t>9.9</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Unrealized loss on derivatives (Note 13)</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w:t>
            </w:r>
          </w:p>
        </w:tc>
        <w:tc>
          <w:tcPr>
            <w:tcW w:w="48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(4.6)</w:t>
            </w:r>
          </w:p>
        </w:tc>
        <w:tc>
          <w:tcPr>
            <w:tcW w:w="54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(3.2)</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Defined benefit pension plans (Note 9)</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5"/>
              <w:spacing w:after="0"/>
              <w:rPr>
                <w:sz w:val="20"/>
                <w:szCs w:val="20"/>
                <w:color w:val="auto"/>
              </w:rPr>
            </w:pPr>
            <w:r>
              <w:rPr>
                <w:rFonts w:ascii="Arial" w:cs="Arial" w:eastAsia="Arial" w:hAnsi="Arial"/>
                <w:sz w:val="15"/>
                <w:szCs w:val="15"/>
                <w:color w:val="4D8ABE"/>
              </w:rPr>
              <w:t>(13.2)</w:t>
            </w:r>
          </w:p>
        </w:tc>
        <w:tc>
          <w:tcPr>
            <w:tcW w:w="480" w:type="dxa"/>
            <w:vAlign w:val="bottom"/>
          </w:tcPr>
          <w:p>
            <w:pPr>
              <w:spacing w:after="0"/>
              <w:rPr>
                <w:sz w:val="15"/>
                <w:szCs w:val="15"/>
                <w:color w:val="auto"/>
              </w:rPr>
            </w:pP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(15.2)</w:t>
            </w:r>
          </w:p>
        </w:tc>
        <w:tc>
          <w:tcPr>
            <w:tcW w:w="54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(8.0)</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Retiree health care plan (Note 9)</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2.5</w:t>
            </w:r>
          </w:p>
        </w:tc>
        <w:tc>
          <w:tcPr>
            <w:tcW w:w="48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4.6</w:t>
            </w:r>
          </w:p>
        </w:tc>
        <w:tc>
          <w:tcPr>
            <w:tcW w:w="54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5.0</w:t>
            </w:r>
          </w:p>
        </w:tc>
      </w:tr>
      <w:tr>
        <w:trPr>
          <w:trHeight w:val="178"/>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Accumulated other comprehensive income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106.9</w:t>
            </w: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(8.9)</w:t>
            </w: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257.6</w:t>
            </w:r>
          </w:p>
        </w:tc>
      </w:tr>
      <w:tr>
        <w:trPr>
          <w:trHeight w:val="479"/>
        </w:trPr>
        <w:tc>
          <w:tcPr>
            <w:tcW w:w="7080" w:type="dxa"/>
            <w:vAlign w:val="bottom"/>
          </w:tcPr>
          <w:p>
            <w:pPr>
              <w:spacing w:after="0"/>
              <w:rPr>
                <w:sz w:val="20"/>
                <w:szCs w:val="20"/>
                <w:color w:val="auto"/>
              </w:rPr>
            </w:pPr>
            <w:r>
              <w:rPr>
                <w:rFonts w:ascii="Arial" w:cs="Arial" w:eastAsia="Arial" w:hAnsi="Arial"/>
                <w:sz w:val="21"/>
                <w:szCs w:val="21"/>
                <w:color w:val="4D8ABE"/>
              </w:rPr>
              <w:t>11.</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9"/>
        </w:trPr>
        <w:tc>
          <w:tcPr>
            <w:tcW w:w="7080" w:type="dxa"/>
            <w:vAlign w:val="bottom"/>
          </w:tcPr>
          <w:p>
            <w:pPr>
              <w:spacing w:after="0"/>
              <w:rPr>
                <w:sz w:val="20"/>
                <w:szCs w:val="20"/>
                <w:color w:val="auto"/>
              </w:rPr>
            </w:pPr>
            <w:r>
              <w:rPr>
                <w:rFonts w:ascii="Arial" w:cs="Arial" w:eastAsia="Arial" w:hAnsi="Arial"/>
                <w:sz w:val="21"/>
                <w:szCs w:val="21"/>
                <w:color w:val="4D8ABE"/>
              </w:rPr>
              <w:t>Leases</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5" w:lineRule="exact"/>
        <w:rPr>
          <w:sz w:val="20"/>
          <w:szCs w:val="20"/>
          <w:color w:val="auto"/>
        </w:rPr>
      </w:pPr>
    </w:p>
    <w:p>
      <w:pPr>
        <w:jc w:val="both"/>
        <w:ind w:left="20" w:right="20"/>
        <w:spacing w:after="0" w:line="249" w:lineRule="auto"/>
        <w:rPr>
          <w:sz w:val="20"/>
          <w:szCs w:val="20"/>
          <w:color w:val="auto"/>
        </w:rPr>
      </w:pPr>
      <w:r>
        <w:rPr>
          <w:rFonts w:ascii="Arial" w:cs="Arial" w:eastAsia="Arial" w:hAnsi="Arial"/>
          <w:sz w:val="15"/>
          <w:szCs w:val="15"/>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2009:</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4D8ABE"/>
        </w:rPr>
        <w:t>Year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9240" w:type="dxa"/>
            <w:vAlign w:val="bottom"/>
            <w:tcBorders>
              <w:top w:val="single" w:sz="8" w:color="4D8ABE"/>
            </w:tcBorders>
            <w:shd w:val="clear" w:color="auto" w:fill="E6EFFF"/>
          </w:tcPr>
          <w:p>
            <w:pPr>
              <w:spacing w:after="0"/>
              <w:rPr>
                <w:sz w:val="20"/>
                <w:szCs w:val="20"/>
                <w:color w:val="auto"/>
              </w:rPr>
            </w:pPr>
            <w:r>
              <w:rPr>
                <w:rFonts w:ascii="Arial" w:cs="Arial" w:eastAsia="Arial" w:hAnsi="Arial"/>
                <w:sz w:val="15"/>
                <w:szCs w:val="15"/>
                <w:color w:val="auto"/>
              </w:rPr>
              <w:t>2010</w:t>
            </w:r>
          </w:p>
        </w:tc>
        <w:tc>
          <w:tcPr>
            <w:tcW w:w="1100" w:type="dxa"/>
            <w:vAlign w:val="bottom"/>
            <w:tcBorders>
              <w:top w:val="single" w:sz="8" w:color="4D8ABE"/>
            </w:tcBorders>
            <w:shd w:val="clear" w:color="auto" w:fill="E6EFFF"/>
          </w:tcPr>
          <w:p>
            <w:pPr>
              <w:jc w:val="right"/>
              <w:ind w:right="426"/>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4D8ABE"/>
            </w:tcBorders>
            <w:shd w:val="clear" w:color="auto" w:fill="E6EFFF"/>
          </w:tcPr>
          <w:p>
            <w:pPr>
              <w:jc w:val="right"/>
              <w:ind w:right="143"/>
              <w:spacing w:after="0"/>
              <w:rPr>
                <w:sz w:val="20"/>
                <w:szCs w:val="20"/>
                <w:color w:val="auto"/>
              </w:rPr>
            </w:pPr>
            <w:r>
              <w:rPr>
                <w:rFonts w:ascii="Arial" w:cs="Arial" w:eastAsia="Arial" w:hAnsi="Arial"/>
                <w:sz w:val="15"/>
                <w:szCs w:val="15"/>
                <w:color w:val="auto"/>
              </w:rPr>
              <w:t>209.6</w:t>
            </w: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2011</w:t>
            </w:r>
          </w:p>
        </w:tc>
        <w:tc>
          <w:tcPr>
            <w:tcW w:w="110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152.5</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9240" w:type="dxa"/>
            <w:vAlign w:val="bottom"/>
            <w:shd w:val="clear" w:color="auto" w:fill="E6EFFF"/>
          </w:tcPr>
          <w:p>
            <w:pPr>
              <w:spacing w:after="0"/>
              <w:rPr>
                <w:sz w:val="20"/>
                <w:szCs w:val="20"/>
                <w:color w:val="auto"/>
              </w:rPr>
            </w:pPr>
            <w:r>
              <w:rPr>
                <w:rFonts w:ascii="Arial" w:cs="Arial" w:eastAsia="Arial" w:hAnsi="Arial"/>
                <w:sz w:val="15"/>
                <w:szCs w:val="15"/>
                <w:color w:val="auto"/>
              </w:rPr>
              <w:t>2012</w:t>
            </w:r>
          </w:p>
        </w:tc>
        <w:tc>
          <w:tcPr>
            <w:tcW w:w="11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117.4</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2013</w:t>
            </w:r>
          </w:p>
        </w:tc>
        <w:tc>
          <w:tcPr>
            <w:tcW w:w="110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86.3</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9240" w:type="dxa"/>
            <w:vAlign w:val="bottom"/>
            <w:shd w:val="clear" w:color="auto" w:fill="E6EFFF"/>
          </w:tcPr>
          <w:p>
            <w:pPr>
              <w:spacing w:after="0"/>
              <w:rPr>
                <w:sz w:val="20"/>
                <w:szCs w:val="20"/>
                <w:color w:val="auto"/>
              </w:rPr>
            </w:pPr>
            <w:r>
              <w:rPr>
                <w:rFonts w:ascii="Arial" w:cs="Arial" w:eastAsia="Arial" w:hAnsi="Arial"/>
                <w:sz w:val="15"/>
                <w:szCs w:val="15"/>
                <w:color w:val="auto"/>
              </w:rPr>
              <w:t>2014</w:t>
            </w:r>
          </w:p>
        </w:tc>
        <w:tc>
          <w:tcPr>
            <w:tcW w:w="110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3"/>
              <w:spacing w:after="0"/>
              <w:rPr>
                <w:sz w:val="20"/>
                <w:szCs w:val="20"/>
                <w:color w:val="auto"/>
              </w:rPr>
            </w:pPr>
            <w:r>
              <w:rPr>
                <w:rFonts w:ascii="Arial" w:cs="Arial" w:eastAsia="Arial" w:hAnsi="Arial"/>
                <w:sz w:val="15"/>
                <w:szCs w:val="15"/>
                <w:color w:val="auto"/>
              </w:rPr>
              <w:t>67.2</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Thereafter</w:t>
            </w: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156.2</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92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Total minimum lease payments</w:t>
            </w:r>
          </w:p>
        </w:tc>
        <w:tc>
          <w:tcPr>
            <w:tcW w:w="1100" w:type="dxa"/>
            <w:vAlign w:val="bottom"/>
            <w:tcBorders>
              <w:bottom w:val="single" w:sz="8" w:color="auto"/>
            </w:tcBorders>
            <w:shd w:val="clear" w:color="auto" w:fill="E6EFFF"/>
          </w:tcPr>
          <w:p>
            <w:pPr>
              <w:jc w:val="right"/>
              <w:ind w:right="42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143"/>
              <w:spacing w:after="0"/>
              <w:rPr>
                <w:sz w:val="20"/>
                <w:szCs w:val="20"/>
                <w:color w:val="auto"/>
              </w:rPr>
            </w:pPr>
            <w:r>
              <w:rPr>
                <w:rFonts w:ascii="Arial" w:cs="Arial" w:eastAsia="Arial" w:hAnsi="Arial"/>
                <w:sz w:val="15"/>
                <w:szCs w:val="15"/>
                <w:color w:val="auto"/>
              </w:rPr>
              <w:t>789.2</w:t>
            </w:r>
          </w:p>
        </w:tc>
        <w:tc>
          <w:tcPr>
            <w:tcW w:w="20" w:type="dxa"/>
            <w:vAlign w:val="bottom"/>
          </w:tcPr>
          <w:p>
            <w:pPr>
              <w:spacing w:after="0"/>
              <w:rPr>
                <w:sz w:val="15"/>
                <w:szCs w:val="15"/>
                <w:color w:val="auto"/>
              </w:rPr>
            </w:pPr>
          </w:p>
        </w:tc>
      </w:tr>
      <w:tr>
        <w:trPr>
          <w:trHeight w:val="354"/>
        </w:trPr>
        <w:tc>
          <w:tcPr>
            <w:tcW w:w="2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5"/>
                <w:szCs w:val="15"/>
                <w:color w:val="auto"/>
              </w:rPr>
              <w:t>Rental expense for all operating leases was $250.8, $284.4 and $240.6 for the years ended December 31, 2009, 2008 and 2007, respectively.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9240" w:type="dxa"/>
            <w:vAlign w:val="bottom"/>
          </w:tcPr>
          <w:p>
            <w:pPr>
              <w:ind w:left="6260"/>
              <w:spacing w:after="0"/>
              <w:rPr>
                <w:sz w:val="20"/>
                <w:szCs w:val="20"/>
                <w:color w:val="auto"/>
              </w:rPr>
            </w:pPr>
            <w:r>
              <w:rPr>
                <w:rFonts w:ascii="Arial" w:cs="Arial" w:eastAsia="Arial" w:hAnsi="Arial"/>
                <w:sz w:val="14"/>
                <w:szCs w:val="14"/>
                <w:b w:val="1"/>
                <w:bCs w:val="1"/>
                <w:color w:val="939598"/>
              </w:rPr>
              <w:t>Notes to Consolidated Financial Statements</w:t>
            </w:r>
          </w:p>
        </w:tc>
        <w:tc>
          <w:tcPr>
            <w:tcW w:w="2200" w:type="dxa"/>
            <w:vAlign w:val="bottom"/>
            <w:gridSpan w:val="2"/>
          </w:tcPr>
          <w:p>
            <w:pPr>
              <w:jc w:val="right"/>
              <w:spacing w:after="0"/>
              <w:rPr>
                <w:sz w:val="20"/>
                <w:szCs w:val="20"/>
                <w:color w:val="auto"/>
              </w:rPr>
            </w:pPr>
            <w:r>
              <w:rPr>
                <w:rFonts w:ascii="Arial" w:cs="Arial" w:eastAsia="Arial" w:hAnsi="Arial"/>
                <w:sz w:val="14"/>
                <w:szCs w:val="14"/>
                <w:color w:val="auto"/>
              </w:rPr>
              <w:t xml:space="preserve">Manpower 2009 Annual Report </w:t>
            </w:r>
            <w:r>
              <w:rPr>
                <w:rFonts w:ascii="Arial" w:cs="Arial" w:eastAsia="Arial" w:hAnsi="Arial"/>
                <w:sz w:val="14"/>
                <w:szCs w:val="14"/>
                <w:b w:val="1"/>
                <w:bCs w:val="1"/>
                <w:color w:val="auto"/>
              </w:rPr>
              <w:t>67</w:t>
            </w:r>
          </w:p>
        </w:tc>
        <w:tc>
          <w:tcPr>
            <w:tcW w:w="2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20" w:type="dxa"/>
            <w:vAlign w:val="bottom"/>
            <w:shd w:val="clear" w:color="auto" w:fill="808080"/>
          </w:tcPr>
          <w:p>
            <w:pPr>
              <w:spacing w:after="0"/>
              <w:rPr>
                <w:sz w:val="5"/>
                <w:szCs w:val="5"/>
                <w:color w:val="auto"/>
              </w:rPr>
            </w:pPr>
          </w:p>
        </w:tc>
        <w:tc>
          <w:tcPr>
            <w:tcW w:w="9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80"/>
          </w:cols>
          <w:pgMar w:left="220" w:top="111" w:right="1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4D8ABE"/>
        </w:rPr>
        <w:t>12.</w:t>
      </w:r>
    </w:p>
    <w:p>
      <w:pPr>
        <w:spacing w:after="0"/>
        <w:rPr>
          <w:sz w:val="20"/>
          <w:szCs w:val="20"/>
          <w:color w:val="auto"/>
        </w:rPr>
      </w:pPr>
      <w:r>
        <w:rPr>
          <w:rFonts w:ascii="Arial" w:cs="Arial" w:eastAsia="Arial" w:hAnsi="Arial"/>
          <w:sz w:val="21"/>
          <w:szCs w:val="21"/>
          <w:color w:val="4D8ABE"/>
        </w:rPr>
        <w:t>Interest and Other Expense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Interest and Other Expense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480" w:type="dxa"/>
            <w:vAlign w:val="bottom"/>
            <w:tcBorders>
              <w:bottom w:val="single" w:sz="8" w:color="4D8ABE"/>
            </w:tcBorders>
          </w:tcPr>
          <w:p>
            <w:pPr>
              <w:spacing w:after="0"/>
              <w:rPr>
                <w:sz w:val="16"/>
                <w:szCs w:val="16"/>
                <w:color w:val="auto"/>
              </w:rPr>
            </w:pPr>
          </w:p>
        </w:tc>
        <w:tc>
          <w:tcPr>
            <w:tcW w:w="880" w:type="dxa"/>
            <w:vAlign w:val="bottom"/>
            <w:tcBorders>
              <w:bottom w:val="single" w:sz="8" w:color="4D8ABE"/>
            </w:tcBorders>
          </w:tcPr>
          <w:p>
            <w:pPr>
              <w:jc w:val="right"/>
              <w:ind w:right="65"/>
              <w:spacing w:after="0"/>
              <w:rPr>
                <w:sz w:val="20"/>
                <w:szCs w:val="20"/>
                <w:color w:val="auto"/>
              </w:rPr>
            </w:pPr>
            <w:r>
              <w:rPr>
                <w:rFonts w:ascii="Arial" w:cs="Arial" w:eastAsia="Arial" w:hAnsi="Arial"/>
                <w:sz w:val="14"/>
                <w:szCs w:val="14"/>
                <w:b w:val="1"/>
                <w:bCs w:val="1"/>
                <w:color w:val="4D8ABE"/>
              </w:rPr>
              <w:t>2008</w:t>
            </w:r>
          </w:p>
        </w:tc>
        <w:tc>
          <w:tcPr>
            <w:tcW w:w="560" w:type="dxa"/>
            <w:vAlign w:val="bottom"/>
            <w:tcBorders>
              <w:bottom w:val="single" w:sz="8" w:color="4D8ABE"/>
            </w:tcBorders>
          </w:tcPr>
          <w:p>
            <w:pPr>
              <w:spacing w:after="0"/>
              <w:rPr>
                <w:sz w:val="16"/>
                <w:szCs w:val="16"/>
                <w:color w:val="auto"/>
              </w:rPr>
            </w:pPr>
          </w:p>
        </w:tc>
        <w:tc>
          <w:tcPr>
            <w:tcW w:w="98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61.7</w:t>
            </w:r>
          </w:p>
        </w:tc>
        <w:tc>
          <w:tcPr>
            <w:tcW w:w="480" w:type="dxa"/>
            <w:vAlign w:val="bottom"/>
            <w:shd w:val="clear" w:color="auto" w:fill="E6EFFF"/>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6EFFF"/>
          </w:tcPr>
          <w:p>
            <w:pPr>
              <w:jc w:val="right"/>
              <w:ind w:right="65"/>
              <w:spacing w:after="0"/>
              <w:rPr>
                <w:sz w:val="20"/>
                <w:szCs w:val="20"/>
                <w:color w:val="auto"/>
              </w:rPr>
            </w:pPr>
            <w:r>
              <w:rPr>
                <w:rFonts w:ascii="Arial" w:cs="Arial" w:eastAsia="Arial" w:hAnsi="Arial"/>
                <w:sz w:val="15"/>
                <w:szCs w:val="15"/>
                <w:color w:val="auto"/>
              </w:rPr>
              <w:t>63.9</w:t>
            </w:r>
          </w:p>
        </w:tc>
        <w:tc>
          <w:tcPr>
            <w:tcW w:w="560" w:type="dxa"/>
            <w:vAlign w:val="bottom"/>
            <w:shd w:val="clear" w:color="auto" w:fill="E6EFFF"/>
          </w:tcPr>
          <w:p>
            <w:pPr>
              <w:jc w:val="right"/>
              <w:ind w:right="32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53.4</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5"/>
              <w:spacing w:after="0"/>
              <w:rPr>
                <w:sz w:val="20"/>
                <w:szCs w:val="20"/>
                <w:color w:val="auto"/>
              </w:rPr>
            </w:pPr>
            <w:r>
              <w:rPr>
                <w:rFonts w:ascii="Arial" w:cs="Arial" w:eastAsia="Arial" w:hAnsi="Arial"/>
                <w:sz w:val="15"/>
                <w:szCs w:val="15"/>
                <w:color w:val="4D8ABE"/>
              </w:rPr>
              <w:t>(11.7)</w:t>
            </w:r>
          </w:p>
        </w:tc>
        <w:tc>
          <w:tcPr>
            <w:tcW w:w="480" w:type="dxa"/>
            <w:vAlign w:val="bottom"/>
          </w:tcPr>
          <w:p>
            <w:pPr>
              <w:spacing w:after="0"/>
              <w:rPr>
                <w:sz w:val="15"/>
                <w:szCs w:val="15"/>
                <w:color w:val="auto"/>
              </w:rPr>
            </w:pP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(22.1)</w:t>
            </w:r>
          </w:p>
        </w:tc>
        <w:tc>
          <w:tcPr>
            <w:tcW w:w="56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Arial" w:cs="Arial" w:eastAsia="Arial" w:hAnsi="Arial"/>
                <w:sz w:val="15"/>
                <w:szCs w:val="15"/>
                <w:color w:val="auto"/>
              </w:rPr>
              <w:t>(24.4)</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Foreign exchange losses (gains)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0.8</w:t>
            </w:r>
          </w:p>
        </w:tc>
        <w:tc>
          <w:tcPr>
            <w:tcW w:w="480" w:type="dxa"/>
            <w:vAlign w:val="bottom"/>
            <w:shd w:val="clear" w:color="auto" w:fill="E6EFFF"/>
          </w:tcPr>
          <w:p>
            <w:pPr>
              <w:spacing w:after="0"/>
              <w:rPr>
                <w:sz w:val="15"/>
                <w:szCs w:val="15"/>
                <w:color w:val="auto"/>
              </w:rPr>
            </w:pPr>
          </w:p>
        </w:tc>
        <w:tc>
          <w:tcPr>
            <w:tcW w:w="88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(2.9)</w:t>
            </w:r>
          </w:p>
        </w:tc>
        <w:tc>
          <w:tcPr>
            <w:tcW w:w="56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105"/>
              <w:spacing w:after="0"/>
              <w:rPr>
                <w:sz w:val="20"/>
                <w:szCs w:val="20"/>
                <w:color w:val="auto"/>
              </w:rPr>
            </w:pPr>
            <w:r>
              <w:rPr>
                <w:rFonts w:ascii="Arial" w:cs="Arial" w:eastAsia="Arial" w:hAnsi="Arial"/>
                <w:sz w:val="15"/>
                <w:szCs w:val="15"/>
                <w:color w:val="auto"/>
              </w:rPr>
              <w:t>(0.6)</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Miscellaneous expenses, net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3.5</w:t>
            </w:r>
          </w:p>
        </w:tc>
        <w:tc>
          <w:tcPr>
            <w:tcW w:w="4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12.0</w:t>
            </w:r>
          </w:p>
        </w:tc>
        <w:tc>
          <w:tcPr>
            <w:tcW w:w="5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5.8</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Loss from sale of an equity investment</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10.3</w:t>
            </w:r>
          </w:p>
        </w:tc>
        <w:tc>
          <w:tcPr>
            <w:tcW w:w="480" w:type="dxa"/>
            <w:vAlign w:val="bottom"/>
            <w:tcBorders>
              <w:bottom w:val="single" w:sz="8" w:color="auto"/>
            </w:tcBorders>
            <w:shd w:val="clear" w:color="auto" w:fill="E6EFFF"/>
          </w:tcPr>
          <w:p>
            <w:pPr>
              <w:spacing w:after="0"/>
              <w:rPr>
                <w:sz w:val="15"/>
                <w:szCs w:val="15"/>
                <w:color w:val="auto"/>
              </w:rPr>
            </w:pPr>
          </w:p>
        </w:tc>
        <w:tc>
          <w:tcPr>
            <w:tcW w:w="880" w:type="dxa"/>
            <w:vAlign w:val="bottom"/>
            <w:tcBorders>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E6EFFF"/>
          </w:tcPr>
          <w:p>
            <w:pPr>
              <w:spacing w:after="0"/>
              <w:rPr>
                <w:sz w:val="15"/>
                <w:szCs w:val="15"/>
                <w:color w:val="auto"/>
              </w:rPr>
            </w:pPr>
          </w:p>
        </w:tc>
        <w:tc>
          <w:tcPr>
            <w:tcW w:w="98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w:t>
            </w:r>
          </w:p>
        </w:tc>
      </w:tr>
      <w:tr>
        <w:trPr>
          <w:trHeight w:val="178"/>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Interest and other expense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5"/>
              <w:spacing w:after="0"/>
              <w:rPr>
                <w:sz w:val="20"/>
                <w:szCs w:val="20"/>
                <w:color w:val="auto"/>
              </w:rPr>
            </w:pPr>
            <w:r>
              <w:rPr>
                <w:rFonts w:ascii="Arial" w:cs="Arial" w:eastAsia="Arial" w:hAnsi="Arial"/>
                <w:sz w:val="15"/>
                <w:szCs w:val="15"/>
                <w:color w:val="4D8ABE"/>
              </w:rPr>
              <w:t>64.6</w:t>
            </w: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50.9</w:t>
            </w:r>
          </w:p>
        </w:tc>
        <w:tc>
          <w:tcPr>
            <w:tcW w:w="5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34.2</w:t>
            </w:r>
          </w:p>
        </w:tc>
      </w:tr>
    </w:tbl>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Included in interest expense for the year ended December 31, 2009 is $7.5, which was recorded as a result of our repayment of the borrowings outstanding under the Amended Revolving Credit Agreement and our termination of the interest rate swap agreements. Loss from sale of an equity investment in 2009 resulted as we sold an equity investment in Japan for cash proceeds of $13.3 in September 2009.</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4D8ABE"/>
        </w:rPr>
        <w:t>13.</w:t>
      </w:r>
    </w:p>
    <w:p>
      <w:pPr>
        <w:spacing w:after="0"/>
        <w:rPr>
          <w:sz w:val="20"/>
          <w:szCs w:val="20"/>
          <w:color w:val="auto"/>
        </w:rPr>
      </w:pPr>
      <w:r>
        <w:rPr>
          <w:rFonts w:ascii="Arial" w:cs="Arial" w:eastAsia="Arial" w:hAnsi="Arial"/>
          <w:sz w:val="21"/>
          <w:szCs w:val="21"/>
          <w:color w:val="4D8ABE"/>
        </w:rPr>
        <w:t>Derivative Financial Instruments</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the current accounting guidance for derivative instruments and hedging activities, we record all of our derivative instruments as either an asset or liability measured at their fair values.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INTEREST RATE RISK MANAGEMENT</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As we disclosed in Note 8 to the Consolidated Financial Statements, we repaid the €100.0 ($146.4) borrowing outstanding under our Amended Revolving Credit Agreement and terminated the related interest rate swap agreements on October 16, 2009. Our interest rate swap agreements had been designated as cash flow hedges of the interest costs on our Euro-denominated variable rate borrowings. The interest rate swap agreements had a notional value of €100.0 ($146.4) and fixed the variable portion of the interest rate on these borrowings, on a weighted-average basis, at 5.71% until July 2010. The total interest rate on these borrowings was 6.21%, including the 50 basis point credit spread as defined in our previous revolving credit agreement.</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cash flow hedges, we recorded the effective portions of our interest rate swap agreements as a component of Accumulated Other Comprehensive Income (Loss) until we determined that it was probable (as of September 30, 2009) that we would repay our outstanding borrowings under our revolving credit facility. We realized the costs included in Accumulated Other Comprehensive Income (Loss) as interest expense by recording $6.4 in the Consolidated Statement of Operations for the year ended December 31, 2009. We had no interest rate swap agreements as of December 31, 2009.</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68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86B6A5"/>
        </w:rPr>
        <w:t>FOREIGN CURRENCY EXCHANGE RATE RISK MANAGEMENT</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€300.0 ($429.0) Notes and the €200.0 ($285.6) Notes were designated as economic hedges of our net investment in our foreign subsidiaries with a Euro functional currency as of December 31, 2009.</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For derivatives designated as an economic hedge of the foreign currency exposure of a net investment in a foreign subsidiary, the gain or loss associated with foreign currency translation is recorded as a component of Accumulated Other Comprehensive Income (Loss), net of taxes. As of December 31, 2009, we had a $85.4 loss included in Accumulated Other Comprehensive Income (Loss), net of taxes, as the net investment hedge was deemed effective.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$1.7 associated with our forward contracts in Interest and Other Expenses for the year ended December 31, 2009 related to the forward contracts. We had a $0.5 liability related to the forward contracts’ fair value included in Other Long-Term Liabilities as of December 31, 2009.</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fair value measurements of these items recorded in our consolidated balance sheets as of December 31, 2009 and 2008 are disclosed in Note 1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4D8ABE"/>
        </w:rPr>
        <w:t>14.</w:t>
      </w:r>
    </w:p>
    <w:p>
      <w:pPr>
        <w:spacing w:after="0"/>
        <w:rPr>
          <w:sz w:val="20"/>
          <w:szCs w:val="20"/>
          <w:color w:val="auto"/>
        </w:rPr>
      </w:pPr>
      <w:r>
        <w:rPr>
          <w:rFonts w:ascii="Arial" w:cs="Arial" w:eastAsia="Arial" w:hAnsi="Arial"/>
          <w:sz w:val="21"/>
          <w:szCs w:val="21"/>
          <w:color w:val="4D8ABE"/>
        </w:rPr>
        <w:t>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LITIGATION</w:t>
      </w:r>
    </w:p>
    <w:p>
      <w:pPr>
        <w:spacing w:after="0" w:line="237"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We are involved in a number of lawsuits arising in the ordinary course of business which will not, in the opinion of management, have a material effect on our results of operations, financial position or cash flows.</w:t>
      </w:r>
    </w:p>
    <w:p>
      <w:pPr>
        <w:spacing w:after="0" w:line="194"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led the DGCCRF to transmit the results of its inquiry to the French Competition Council. In November 2007, we received a Statement of Objections from the Competition Council alleging illegal information sharing between us and certain of our competitors. We responded to this Statement of Objections in February 2008, defending our position.</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June 2008, we received a Report from the Competition Council, which was prepared by the case handler for the Competition Council and opened the second phase of the procedure before the Competition Council. The Report rejected all of the defense arguments we made in our initial response and maintained the objections as set forth in the Statement of Objections. It also provided the Competition Council with the elements for the calculation of fines, including the case handler’s estimation of our portion of the alleged damage to the economy.</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responded to the June 2008 Report in August 2008, providing further arguments and information in defense of our position and providing our own estimation of the alleged damage to the economy. A hearing on the matter before the Competition Council was held in October 2008.</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After considering the input that was provided, the Competition Council rendered its decision in the matter in February 2009 and levied a fine of €42.0 ($55.9) based on the Competition Council’s determination of the damage to the economy attributable to the alleged misconduct, with adjustment for aggravating or mitigating factors. We had accrued for this as of December 31, 2008, paid this fine in April 2009 and appealed the Competition Council’s decision. In January 2010, we received notification that our appeal was denied. We are currently assessing whether to take any further action.</w:t>
      </w:r>
    </w:p>
    <w:p>
      <w:pPr>
        <w:spacing w:after="0" w:line="183"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GUARANTEES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entered into certain guarantee contracts and stand-by letters of credit that total $163.3 ($120.3 for guarantees and $43.0 for stand-by letters of credit).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4D8ABE"/>
        </w:rPr>
        <w:t>15.</w:t>
      </w:r>
    </w:p>
    <w:p>
      <w:pPr>
        <w:spacing w:after="0"/>
        <w:rPr>
          <w:sz w:val="20"/>
          <w:szCs w:val="20"/>
          <w:color w:val="auto"/>
        </w:rPr>
      </w:pPr>
      <w:r>
        <w:rPr>
          <w:rFonts w:ascii="Arial" w:cs="Arial" w:eastAsia="Arial" w:hAnsi="Arial"/>
          <w:sz w:val="21"/>
          <w:szCs w:val="21"/>
          <w:color w:val="4D8ABE"/>
        </w:rPr>
        <w:t>Segment Data</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the EMEA segment. All previously reported results have been restated to conform to the current year presentation.</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are organized and managed primarily on a geographic basis, with the exception of Jefferson Wells and Right Management, which are operated as separate global business units.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reporting segments: Americas, which includes United States and Other Americas; France; EMEA (Europe, Middle East and Africa, excluding France), which includes Italy and Other EMEA; Asia Pacific; Right Management; and Jefferson Wells.</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Americas, France, EMEA, and Asia Pacific segments derive a significant majority of their revenues from the placement of contingent workers. The remaining revenues within these segments are derived from other human resource services, including permanent employee recruitment, temporary and permanent employee testing, selection, and training and Manpower Business Solutions (MBS); MBS includes task outsourcing, vendor management, onsite human resource services and Recruitment Process Outsourcing (RPO). The Jefferson Wells segment revenues are derived from services related to risk advisory, tax, and finance and accounting. The Right Management segment revenues are derived from outplacement and consulting services. Segment revenues represent sales to external clients primarily within a single segment. Due to the nature of our business, we generally do not have export or intersegment sales. We provide services to a wide variety of clients, none of which individually comprise a significant portion of revenue for us as a whole.</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amortization of intangibles related to the acquisition of Right Management, interest and other income and expense amounts or income taxes. Total assets for the segments are reported after the elimination of investments in subsidiaries and intercompany accounts.</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70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06" w:name="page107"/>
    <w:bookmarkEnd w:id="106"/>
    <w:tbl>
      <w:tblPr>
        <w:tblLayout w:type="fixed"/>
        <w:tblInd w:w="8" w:type="dxa"/>
        <w:tblCellMar>
          <w:top w:w="0" w:type="dxa"/>
          <w:left w:w="0" w:type="dxa"/>
          <w:bottom w:w="0" w:type="dxa"/>
          <w:right w:w="0" w:type="dxa"/>
        </w:tblCellMar>
      </w:tblPr>
      <w:tr>
        <w:trPr>
          <w:trHeight w:val="195"/>
        </w:trPr>
        <w:tc>
          <w:tcPr>
            <w:tcW w:w="7060" w:type="dxa"/>
            <w:vAlign w:val="bottom"/>
            <w:tcBorders>
              <w:bottom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100" w:type="dxa"/>
            <w:vAlign w:val="bottom"/>
            <w:tcBorders>
              <w:left w:val="single" w:sz="8" w:color="4D8ABE"/>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340" w:type="dxa"/>
            <w:vAlign w:val="bottom"/>
            <w:tcBorders>
              <w:bottom w:val="single" w:sz="8" w:color="4D8ABE"/>
            </w:tcBorders>
          </w:tcPr>
          <w:p>
            <w:pPr>
              <w:spacing w:after="0"/>
              <w:rPr>
                <w:sz w:val="16"/>
                <w:szCs w:val="16"/>
                <w:color w:val="auto"/>
              </w:rPr>
            </w:pPr>
          </w:p>
        </w:tc>
        <w:tc>
          <w:tcPr>
            <w:tcW w:w="102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440" w:type="dxa"/>
            <w:vAlign w:val="bottom"/>
            <w:tcBorders>
              <w:bottom w:val="single" w:sz="8" w:color="4D8ABE"/>
            </w:tcBorders>
          </w:tcPr>
          <w:p>
            <w:pPr>
              <w:spacing w:after="0"/>
              <w:rPr>
                <w:sz w:val="16"/>
                <w:szCs w:val="16"/>
                <w:color w:val="auto"/>
              </w:rPr>
            </w:pPr>
          </w:p>
        </w:tc>
        <w:tc>
          <w:tcPr>
            <w:tcW w:w="110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c>
          <w:tcPr>
            <w:tcW w:w="0" w:type="dxa"/>
            <w:vAlign w:val="bottom"/>
          </w:tcPr>
          <w:p>
            <w:pPr>
              <w:spacing w:after="0"/>
              <w:rPr>
                <w:sz w:val="1"/>
                <w:szCs w:val="1"/>
                <w:color w:val="auto"/>
              </w:rPr>
            </w:pPr>
          </w:p>
        </w:tc>
      </w:tr>
      <w:tr>
        <w:trPr>
          <w:trHeight w:val="175"/>
        </w:trPr>
        <w:tc>
          <w:tcPr>
            <w:tcW w:w="7060" w:type="dxa"/>
            <w:vAlign w:val="bottom"/>
            <w:shd w:val="clear" w:color="auto" w:fill="E6EFFF"/>
          </w:tcPr>
          <w:p>
            <w:pPr>
              <w:spacing w:after="0" w:line="175" w:lineRule="exact"/>
              <w:rPr>
                <w:sz w:val="20"/>
                <w:szCs w:val="20"/>
                <w:color w:val="auto"/>
              </w:rPr>
            </w:pPr>
            <w:r>
              <w:rPr>
                <w:rFonts w:ascii="Arial" w:cs="Arial" w:eastAsia="Arial" w:hAnsi="Arial"/>
                <w:sz w:val="15"/>
                <w:szCs w:val="15"/>
                <w:b w:val="1"/>
                <w:bCs w:val="1"/>
                <w:color w:val="939598"/>
              </w:rPr>
              <w:t>Revenues from Services</w:t>
            </w:r>
            <w:r>
              <w:rPr>
                <w:rFonts w:ascii="Arial" w:cs="Arial" w:eastAsia="Arial" w:hAnsi="Arial"/>
                <w:sz w:val="20"/>
                <w:szCs w:val="20"/>
                <w:b w:val="1"/>
                <w:bCs w:val="1"/>
                <w:color w:val="939598"/>
                <w:vertAlign w:val="superscript"/>
              </w:rPr>
              <w:t>(a)</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Americas:</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line="184" w:lineRule="exact"/>
              <w:rPr>
                <w:sz w:val="20"/>
                <w:szCs w:val="20"/>
                <w:color w:val="auto"/>
              </w:rPr>
            </w:pPr>
            <w:r>
              <w:rPr>
                <w:rFonts w:ascii="Arial" w:cs="Arial" w:eastAsia="Arial" w:hAnsi="Arial"/>
                <w:sz w:val="15"/>
                <w:szCs w:val="15"/>
                <w:color w:val="auto"/>
              </w:rPr>
              <w:t>United States</w:t>
            </w:r>
            <w:r>
              <w:rPr>
                <w:rFonts w:ascii="Arial" w:cs="Arial" w:eastAsia="Arial" w:hAnsi="Arial"/>
                <w:sz w:val="21"/>
                <w:szCs w:val="21"/>
                <w:color w:val="auto"/>
                <w:vertAlign w:val="superscript"/>
              </w:rPr>
              <w:t>(b)</w:t>
            </w:r>
          </w:p>
        </w:tc>
        <w:tc>
          <w:tcPr>
            <w:tcW w:w="100" w:type="dxa"/>
            <w:vAlign w:val="bottom"/>
            <w:tcBorders>
              <w:lef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1,593.7</w:t>
            </w:r>
          </w:p>
        </w:tc>
        <w:tc>
          <w:tcPr>
            <w:tcW w:w="340" w:type="dxa"/>
            <w:vAlign w:val="bottom"/>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1,945.4</w:t>
            </w:r>
          </w:p>
        </w:tc>
        <w:tc>
          <w:tcPr>
            <w:tcW w:w="44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1,962.2</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Americas</w:t>
            </w: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967.3</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1,129.8</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1,007.0</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shd w:val="clear" w:color="auto" w:fill="E6EFFF"/>
          </w:tcPr>
          <w:p>
            <w:pPr>
              <w:spacing w:after="0"/>
              <w:rPr>
                <w:sz w:val="15"/>
                <w:szCs w:val="15"/>
                <w:color w:val="auto"/>
              </w:rPr>
            </w:pP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2,561.0</w:t>
            </w:r>
          </w:p>
        </w:tc>
        <w:tc>
          <w:tcPr>
            <w:tcW w:w="3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3,075.2</w:t>
            </w:r>
          </w:p>
        </w:tc>
        <w:tc>
          <w:tcPr>
            <w:tcW w:w="4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2,969.2</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France</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4,675.5</w:t>
            </w: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6,935.6</w:t>
            </w: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7,025.3</w:t>
            </w:r>
          </w:p>
        </w:tc>
        <w:tc>
          <w:tcPr>
            <w:tcW w:w="0" w:type="dxa"/>
            <w:vAlign w:val="bottom"/>
          </w:tcPr>
          <w:p>
            <w:pPr>
              <w:spacing w:after="0"/>
              <w:rPr>
                <w:sz w:val="1"/>
                <w:szCs w:val="1"/>
                <w:color w:val="auto"/>
              </w:rPr>
            </w:pPr>
          </w:p>
        </w:tc>
      </w:tr>
      <w:tr>
        <w:trPr>
          <w:trHeight w:val="184"/>
        </w:trPr>
        <w:tc>
          <w:tcPr>
            <w:tcW w:w="7060" w:type="dxa"/>
            <w:vAlign w:val="bottom"/>
          </w:tcPr>
          <w:p>
            <w:pPr>
              <w:spacing w:after="0" w:line="184" w:lineRule="exact"/>
              <w:rPr>
                <w:sz w:val="20"/>
                <w:szCs w:val="20"/>
                <w:color w:val="auto"/>
              </w:rPr>
            </w:pPr>
            <w:r>
              <w:rPr>
                <w:rFonts w:ascii="Arial" w:cs="Arial" w:eastAsia="Arial" w:hAnsi="Arial"/>
                <w:sz w:val="15"/>
                <w:szCs w:val="15"/>
                <w:color w:val="auto"/>
              </w:rPr>
              <w:t>EMEA</w:t>
            </w:r>
            <w:r>
              <w:rPr>
                <w:rFonts w:ascii="Arial" w:cs="Arial" w:eastAsia="Arial" w:hAnsi="Arial"/>
                <w:sz w:val="21"/>
                <w:szCs w:val="21"/>
                <w:color w:val="auto"/>
                <w:vertAlign w:val="superscript"/>
              </w:rPr>
              <w:t>(c)</w:t>
            </w:r>
            <w:r>
              <w:rPr>
                <w:rFonts w:ascii="Arial" w:cs="Arial" w:eastAsia="Arial" w:hAnsi="Arial"/>
                <w:sz w:val="15"/>
                <w:szCs w:val="15"/>
                <w:color w:val="auto"/>
              </w:rPr>
              <w:t>:</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ind w:left="140"/>
              <w:spacing w:after="0"/>
              <w:rPr>
                <w:sz w:val="20"/>
                <w:szCs w:val="20"/>
                <w:color w:val="auto"/>
              </w:rPr>
            </w:pPr>
            <w:r>
              <w:rPr>
                <w:rFonts w:ascii="Arial" w:cs="Arial" w:eastAsia="Arial" w:hAnsi="Arial"/>
                <w:sz w:val="15"/>
                <w:szCs w:val="15"/>
                <w:color w:val="auto"/>
              </w:rPr>
              <w:t>Italy</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950.8</w:t>
            </w: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1,519.5</w:t>
            </w: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1,398.1</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tcPr>
          <w:p>
            <w:pPr>
              <w:ind w:left="140"/>
              <w:spacing w:after="0" w:line="184" w:lineRule="exact"/>
              <w:rPr>
                <w:sz w:val="20"/>
                <w:szCs w:val="20"/>
                <w:color w:val="auto"/>
              </w:rPr>
            </w:pPr>
            <w:r>
              <w:rPr>
                <w:rFonts w:ascii="Arial" w:cs="Arial" w:eastAsia="Arial" w:hAnsi="Arial"/>
                <w:sz w:val="15"/>
                <w:szCs w:val="15"/>
                <w:color w:val="auto"/>
              </w:rPr>
              <w:t>Other EMEA</w:t>
            </w:r>
            <w:r>
              <w:rPr>
                <w:rFonts w:ascii="Arial" w:cs="Arial" w:eastAsia="Arial" w:hAnsi="Arial"/>
                <w:sz w:val="21"/>
                <w:szCs w:val="21"/>
                <w:color w:val="auto"/>
                <w:vertAlign w:val="superscript"/>
              </w:rPr>
              <w:t>(c)</w:t>
            </w: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5,371.7</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7,422.0</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6,736.2</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shd w:val="clear" w:color="auto" w:fill="E6EFFF"/>
          </w:tcPr>
          <w:p>
            <w:pPr>
              <w:spacing w:after="0"/>
              <w:rPr>
                <w:sz w:val="15"/>
                <w:szCs w:val="15"/>
                <w:color w:val="auto"/>
              </w:rPr>
            </w:pP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6,322.5</w:t>
            </w:r>
          </w:p>
        </w:tc>
        <w:tc>
          <w:tcPr>
            <w:tcW w:w="3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8,941.5</w:t>
            </w:r>
          </w:p>
        </w:tc>
        <w:tc>
          <w:tcPr>
            <w:tcW w:w="4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8,134.3</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20"/>
                <w:szCs w:val="20"/>
                <w:color w:val="auto"/>
              </w:rPr>
            </w:pPr>
            <w:r>
              <w:rPr>
                <w:rFonts w:ascii="Arial" w:cs="Arial" w:eastAsia="Arial" w:hAnsi="Arial"/>
                <w:sz w:val="15"/>
                <w:szCs w:val="15"/>
                <w:color w:val="auto"/>
              </w:rPr>
              <w:t>Asia Pacific</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1,728.0</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1,841.6</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1,613.2</w:t>
            </w: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Right Management</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559.4</w:t>
            </w: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452.2</w:t>
            </w: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412.1</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Jefferson Wells</w:t>
            </w: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192.3</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291.0</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332.0</w:t>
            </w:r>
          </w:p>
        </w:tc>
        <w:tc>
          <w:tcPr>
            <w:tcW w:w="0" w:type="dxa"/>
            <w:vAlign w:val="bottom"/>
          </w:tcPr>
          <w:p>
            <w:pPr>
              <w:spacing w:after="0"/>
              <w:rPr>
                <w:sz w:val="1"/>
                <w:szCs w:val="1"/>
                <w:color w:val="auto"/>
              </w:rPr>
            </w:pPr>
          </w:p>
        </w:tc>
      </w:tr>
      <w:tr>
        <w:trPr>
          <w:trHeight w:val="178"/>
        </w:trPr>
        <w:tc>
          <w:tcPr>
            <w:tcW w:w="7060" w:type="dxa"/>
            <w:vAlign w:val="bottom"/>
            <w:tcBorders>
              <w:bottom w:val="single" w:sz="8" w:color="auto"/>
            </w:tcBorders>
            <w:shd w:val="clear" w:color="auto" w:fill="E6EFFF"/>
          </w:tcPr>
          <w:p>
            <w:pPr>
              <w:spacing w:after="0"/>
              <w:rPr>
                <w:sz w:val="15"/>
                <w:szCs w:val="15"/>
                <w:color w:val="auto"/>
              </w:rPr>
            </w:pPr>
          </w:p>
        </w:tc>
        <w:tc>
          <w:tcPr>
            <w:tcW w:w="100" w:type="dxa"/>
            <w:vAlign w:val="bottom"/>
            <w:tcBorders>
              <w:left w:val="single" w:sz="8" w:color="4D8ABE"/>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16,038.7</w:t>
            </w:r>
          </w:p>
        </w:tc>
        <w:tc>
          <w:tcPr>
            <w:tcW w:w="340" w:type="dxa"/>
            <w:vAlign w:val="bottom"/>
            <w:tcBorders>
              <w:bottom w:val="single" w:sz="8" w:color="auto"/>
            </w:tcBorders>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21,537.1</w:t>
            </w:r>
          </w:p>
        </w:tc>
        <w:tc>
          <w:tcPr>
            <w:tcW w:w="440" w:type="dxa"/>
            <w:vAlign w:val="bottom"/>
            <w:tcBorders>
              <w:bottom w:val="single" w:sz="8" w:color="auto"/>
            </w:tcBorders>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20,486.1</w:t>
            </w: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b w:val="1"/>
                <w:bCs w:val="1"/>
                <w:color w:val="939598"/>
              </w:rPr>
              <w:t>Operating Unit Profit (Loss)</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Americas:</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United States</w:t>
            </w:r>
          </w:p>
        </w:tc>
        <w:tc>
          <w:tcPr>
            <w:tcW w:w="100" w:type="dxa"/>
            <w:vAlign w:val="bottom"/>
            <w:tcBorders>
              <w:left w:val="single" w:sz="8" w:color="4D8ABE"/>
            </w:tcBorders>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(26.2)</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32.2</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Other Americas</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20.1</w:t>
            </w:r>
          </w:p>
        </w:tc>
        <w:tc>
          <w:tcPr>
            <w:tcW w:w="3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25.9</w:t>
            </w:r>
          </w:p>
        </w:tc>
        <w:tc>
          <w:tcPr>
            <w:tcW w:w="4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tcPr>
          <w:p>
            <w:pPr>
              <w:spacing w:after="0"/>
              <w:rPr>
                <w:sz w:val="15"/>
                <w:szCs w:val="15"/>
                <w:color w:val="auto"/>
              </w:rPr>
            </w:pP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(6.1)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58.1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112.7</w:t>
            </w:r>
          </w:p>
        </w:tc>
        <w:tc>
          <w:tcPr>
            <w:tcW w:w="0" w:type="dxa"/>
            <w:vAlign w:val="bottom"/>
          </w:tcPr>
          <w:p>
            <w:pPr>
              <w:spacing w:after="0"/>
              <w:rPr>
                <w:sz w:val="1"/>
                <w:szCs w:val="1"/>
                <w:color w:val="auto"/>
              </w:rPr>
            </w:pPr>
          </w:p>
        </w:tc>
      </w:tr>
      <w:tr>
        <w:trPr>
          <w:trHeight w:val="175"/>
        </w:trPr>
        <w:tc>
          <w:tcPr>
            <w:tcW w:w="7060" w:type="dxa"/>
            <w:vAlign w:val="bottom"/>
            <w:shd w:val="clear" w:color="auto" w:fill="E6EFFF"/>
          </w:tcPr>
          <w:p>
            <w:pPr>
              <w:spacing w:after="0"/>
              <w:rPr>
                <w:sz w:val="15"/>
                <w:szCs w:val="15"/>
                <w:color w:val="auto"/>
              </w:rPr>
            </w:pP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France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20.8</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299.0</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390.3</w:t>
            </w: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spacing w:after="0" w:line="184" w:lineRule="exact"/>
              <w:rPr>
                <w:sz w:val="20"/>
                <w:szCs w:val="20"/>
                <w:color w:val="auto"/>
              </w:rPr>
            </w:pPr>
            <w:r>
              <w:rPr>
                <w:rFonts w:ascii="Arial" w:cs="Arial" w:eastAsia="Arial" w:hAnsi="Arial"/>
                <w:sz w:val="15"/>
                <w:szCs w:val="15"/>
                <w:color w:val="auto"/>
              </w:rPr>
              <w:t xml:space="preserve">EMEA </w:t>
            </w:r>
            <w:r>
              <w:rPr>
                <w:rFonts w:ascii="Arial" w:cs="Arial" w:eastAsia="Arial" w:hAnsi="Arial"/>
                <w:sz w:val="21"/>
                <w:szCs w:val="21"/>
                <w:color w:val="auto"/>
                <w:vertAlign w:val="superscript"/>
              </w:rPr>
              <w:t>(c)</w:t>
            </w:r>
            <w:r>
              <w:rPr>
                <w:rFonts w:ascii="Arial" w:cs="Arial" w:eastAsia="Arial" w:hAnsi="Arial"/>
                <w:sz w:val="15"/>
                <w:szCs w:val="15"/>
                <w:color w:val="auto"/>
              </w:rPr>
              <w:t>:</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ind w:left="140"/>
              <w:spacing w:after="0"/>
              <w:rPr>
                <w:sz w:val="20"/>
                <w:szCs w:val="20"/>
                <w:color w:val="auto"/>
              </w:rPr>
            </w:pPr>
            <w:r>
              <w:rPr>
                <w:rFonts w:ascii="Arial" w:cs="Arial" w:eastAsia="Arial" w:hAnsi="Arial"/>
                <w:sz w:val="15"/>
                <w:szCs w:val="15"/>
                <w:color w:val="auto"/>
              </w:rPr>
              <w:t>Italy</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27.9</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120.3</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103.7</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ind w:left="140"/>
              <w:spacing w:after="0" w:line="184" w:lineRule="exact"/>
              <w:rPr>
                <w:sz w:val="20"/>
                <w:szCs w:val="20"/>
                <w:color w:val="auto"/>
              </w:rPr>
            </w:pPr>
            <w:r>
              <w:rPr>
                <w:rFonts w:ascii="Arial" w:cs="Arial" w:eastAsia="Arial" w:hAnsi="Arial"/>
                <w:sz w:val="15"/>
                <w:szCs w:val="15"/>
                <w:color w:val="auto"/>
              </w:rPr>
              <w:t xml:space="preserve">Other EMEA </w:t>
            </w:r>
            <w:r>
              <w:rPr>
                <w:rFonts w:ascii="Arial" w:cs="Arial" w:eastAsia="Arial" w:hAnsi="Arial"/>
                <w:sz w:val="21"/>
                <w:szCs w:val="21"/>
                <w:color w:val="auto"/>
                <w:vertAlign w:val="superscript"/>
              </w:rPr>
              <w:t>(c)</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29.4</w:t>
            </w:r>
          </w:p>
        </w:tc>
        <w:tc>
          <w:tcPr>
            <w:tcW w:w="3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233.8</w:t>
            </w:r>
          </w:p>
        </w:tc>
        <w:tc>
          <w:tcPr>
            <w:tcW w:w="4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242.5</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tcPr>
          <w:p>
            <w:pPr>
              <w:spacing w:after="0"/>
              <w:rPr>
                <w:sz w:val="15"/>
                <w:szCs w:val="15"/>
                <w:color w:val="auto"/>
              </w:rPr>
            </w:pP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57.3</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354.1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346.2</w:t>
            </w:r>
          </w:p>
        </w:tc>
        <w:tc>
          <w:tcPr>
            <w:tcW w:w="0" w:type="dxa"/>
            <w:vAlign w:val="bottom"/>
          </w:tcPr>
          <w:p>
            <w:pPr>
              <w:spacing w:after="0"/>
              <w:rPr>
                <w:sz w:val="1"/>
                <w:szCs w:val="1"/>
                <w:color w:val="auto"/>
              </w:rPr>
            </w:pPr>
          </w:p>
        </w:tc>
      </w:tr>
      <w:tr>
        <w:trPr>
          <w:trHeight w:val="175"/>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Asia Pacific</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26.5</w:t>
            </w: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29.2</w:t>
            </w: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Right Management</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113.4</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44.7</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04"/>
              <w:spacing w:after="0"/>
              <w:rPr>
                <w:sz w:val="20"/>
                <w:szCs w:val="20"/>
                <w:color w:val="auto"/>
              </w:rPr>
            </w:pPr>
            <w:r>
              <w:rPr>
                <w:rFonts w:ascii="Arial" w:cs="Arial" w:eastAsia="Arial" w:hAnsi="Arial"/>
                <w:sz w:val="15"/>
                <w:szCs w:val="15"/>
                <w:color w:val="4D8ABE"/>
              </w:rPr>
              <w:t>(22.0)</w:t>
            </w:r>
          </w:p>
        </w:tc>
        <w:tc>
          <w:tcPr>
            <w:tcW w:w="3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(19.6)</w:t>
            </w:r>
          </w:p>
        </w:tc>
        <w:tc>
          <w:tcPr>
            <w:tcW w:w="4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0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5"/>
        </w:trPr>
        <w:tc>
          <w:tcPr>
            <w:tcW w:w="7060" w:type="dxa"/>
            <w:vAlign w:val="bottom"/>
            <w:tcBorders>
              <w:bottom w:val="single" w:sz="8" w:color="auto"/>
            </w:tcBorders>
          </w:tcPr>
          <w:p>
            <w:pPr>
              <w:spacing w:after="0"/>
              <w:rPr>
                <w:sz w:val="15"/>
                <w:szCs w:val="15"/>
                <w:color w:val="auto"/>
              </w:rPr>
            </w:pPr>
          </w:p>
        </w:tc>
        <w:tc>
          <w:tcPr>
            <w:tcW w:w="100" w:type="dxa"/>
            <w:vAlign w:val="bottom"/>
            <w:tcBorders>
              <w:left w:val="single" w:sz="8" w:color="4D8ABE"/>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189.9</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765.5</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920.3</w:t>
            </w:r>
          </w:p>
        </w:tc>
        <w:tc>
          <w:tcPr>
            <w:tcW w:w="0" w:type="dxa"/>
            <w:vAlign w:val="bottom"/>
          </w:tcPr>
          <w:p>
            <w:pPr>
              <w:spacing w:after="0"/>
              <w:rPr>
                <w:sz w:val="1"/>
                <w:szCs w:val="1"/>
                <w:color w:val="auto"/>
              </w:rPr>
            </w:pPr>
          </w:p>
        </w:tc>
      </w:tr>
      <w:tr>
        <w:trPr>
          <w:trHeight w:val="175"/>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Corporate expenses</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87.2</w:t>
            </w: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108.9</w:t>
            </w: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109.1</w:t>
            </w: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Goodwill and intangible asset impairment charges</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61.0</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163.1</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706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5"/>
                <w:szCs w:val="15"/>
                <w:color w:val="auto"/>
              </w:rPr>
              <w:t>Interest and other expenses</w:t>
            </w:r>
          </w:p>
        </w:tc>
        <w:tc>
          <w:tcPr>
            <w:tcW w:w="100" w:type="dxa"/>
            <w:vAlign w:val="bottom"/>
            <w:tcBorders>
              <w:left w:val="single" w:sz="8" w:color="4D8ABE"/>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64.6</w:t>
            </w:r>
          </w:p>
        </w:tc>
        <w:tc>
          <w:tcPr>
            <w:tcW w:w="340" w:type="dxa"/>
            <w:vAlign w:val="bottom"/>
            <w:tcBorders>
              <w:bottom w:val="single" w:sz="8" w:color="auto"/>
            </w:tcBorders>
            <w:shd w:val="clear" w:color="auto" w:fill="E6EFFF"/>
          </w:tcPr>
          <w:p>
            <w:pPr>
              <w:spacing w:after="0"/>
              <w:rPr>
                <w:sz w:val="15"/>
                <w:szCs w:val="15"/>
                <w:color w:val="auto"/>
              </w:rPr>
            </w:pP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50.9</w:t>
            </w:r>
          </w:p>
        </w:tc>
        <w:tc>
          <w:tcPr>
            <w:tcW w:w="44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178"/>
        </w:trPr>
        <w:tc>
          <w:tcPr>
            <w:tcW w:w="7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(Loss) earnings before income taxes</w:t>
            </w:r>
          </w:p>
        </w:tc>
        <w:tc>
          <w:tcPr>
            <w:tcW w:w="100" w:type="dxa"/>
            <w:vAlign w:val="bottom"/>
            <w:tcBorders>
              <w:left w:val="single" w:sz="8" w:color="4D8ABE"/>
              <w:bottom w:val="single" w:sz="8" w:color="auto"/>
            </w:tcBorders>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bottom w:val="single" w:sz="8" w:color="auto"/>
              <w:right w:val="single" w:sz="8" w:color="4D8ABE"/>
            </w:tcBorders>
          </w:tcPr>
          <w:p>
            <w:pPr>
              <w:jc w:val="right"/>
              <w:ind w:right="104"/>
              <w:spacing w:after="0"/>
              <w:rPr>
                <w:sz w:val="20"/>
                <w:szCs w:val="20"/>
                <w:color w:val="auto"/>
              </w:rPr>
            </w:pPr>
            <w:r>
              <w:rPr>
                <w:rFonts w:ascii="Arial" w:cs="Arial" w:eastAsia="Arial" w:hAnsi="Arial"/>
                <w:sz w:val="15"/>
                <w:szCs w:val="15"/>
                <w:color w:val="4D8ABE"/>
              </w:rPr>
              <w:t>(22.9)</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442.6</w:t>
            </w:r>
          </w:p>
        </w:tc>
        <w:tc>
          <w:tcPr>
            <w:tcW w:w="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777.0</w:t>
            </w:r>
          </w:p>
        </w:tc>
        <w:tc>
          <w:tcPr>
            <w:tcW w:w="0" w:type="dxa"/>
            <w:vAlign w:val="bottom"/>
          </w:tcPr>
          <w:p>
            <w:pPr>
              <w:spacing w:after="0"/>
              <w:rPr>
                <w:sz w:val="1"/>
                <w:szCs w:val="1"/>
                <w:color w:val="auto"/>
              </w:rPr>
            </w:pPr>
          </w:p>
        </w:tc>
      </w:tr>
      <w:tr>
        <w:trPr>
          <w:trHeight w:val="312"/>
        </w:trPr>
        <w:tc>
          <w:tcPr>
            <w:tcW w:w="7060" w:type="dxa"/>
            <w:vAlign w:val="bottom"/>
          </w:tcPr>
          <w:p>
            <w:pPr>
              <w:spacing w:after="0"/>
              <w:rPr>
                <w:sz w:val="20"/>
                <w:szCs w:val="20"/>
                <w:color w:val="auto"/>
              </w:rPr>
            </w:pPr>
            <w:r>
              <w:rPr>
                <w:rFonts w:ascii="Arial" w:cs="Arial" w:eastAsia="Arial" w:hAnsi="Arial"/>
                <w:sz w:val="12"/>
                <w:szCs w:val="12"/>
                <w:color w:val="auto"/>
              </w:rPr>
              <w:t>(a) Further breakdown of Revenues from Services by geographical region is as follows: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60" w:type="dxa"/>
            <w:vAlign w:val="bottom"/>
            <w:vMerge w:val="restart"/>
          </w:tcPr>
          <w:p>
            <w:pPr>
              <w:spacing w:after="0"/>
              <w:rPr>
                <w:sz w:val="20"/>
                <w:szCs w:val="20"/>
                <w:color w:val="auto"/>
              </w:rPr>
            </w:pPr>
            <w:r>
              <w:rPr>
                <w:rFonts w:ascii="Arial" w:cs="Arial" w:eastAsia="Arial" w:hAnsi="Arial"/>
                <w:sz w:val="14"/>
                <w:szCs w:val="14"/>
                <w:b w:val="1"/>
                <w:bCs w:val="1"/>
                <w:color w:val="4D8ABE"/>
              </w:rPr>
              <w:t>Revenues from Services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440" w:type="dxa"/>
            <w:vAlign w:val="bottom"/>
          </w:tcPr>
          <w:p>
            <w:pPr>
              <w:spacing w:after="0"/>
              <w:rPr>
                <w:sz w:val="16"/>
                <w:szCs w:val="16"/>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2007</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4D8ABE"/>
            </w:tcBorders>
            <w:vMerge w:val="continue"/>
          </w:tcPr>
          <w:p>
            <w:pPr>
              <w:spacing w:after="0"/>
              <w:rPr>
                <w:sz w:val="16"/>
                <w:szCs w:val="16"/>
                <w:color w:val="auto"/>
              </w:rPr>
            </w:pPr>
          </w:p>
        </w:tc>
        <w:tc>
          <w:tcPr>
            <w:tcW w:w="100" w:type="dxa"/>
            <w:vAlign w:val="bottom"/>
            <w:tcBorders>
              <w:left w:val="single" w:sz="8" w:color="4D8ABE"/>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340" w:type="dxa"/>
            <w:vAlign w:val="bottom"/>
            <w:tcBorders>
              <w:bottom w:val="single" w:sz="8" w:color="4D8ABE"/>
            </w:tcBorders>
          </w:tcPr>
          <w:p>
            <w:pPr>
              <w:spacing w:after="0"/>
              <w:rPr>
                <w:sz w:val="16"/>
                <w:szCs w:val="16"/>
                <w:color w:val="auto"/>
              </w:rPr>
            </w:pPr>
          </w:p>
        </w:tc>
        <w:tc>
          <w:tcPr>
            <w:tcW w:w="1020" w:type="dxa"/>
            <w:vAlign w:val="bottom"/>
            <w:tcBorders>
              <w:bottom w:val="single" w:sz="8" w:color="4D8ABE"/>
            </w:tcBorders>
            <w:vMerge w:val="continue"/>
          </w:tcPr>
          <w:p>
            <w:pPr>
              <w:spacing w:after="0"/>
              <w:rPr>
                <w:sz w:val="16"/>
                <w:szCs w:val="16"/>
                <w:color w:val="auto"/>
              </w:rPr>
            </w:pPr>
          </w:p>
        </w:tc>
        <w:tc>
          <w:tcPr>
            <w:tcW w:w="440" w:type="dxa"/>
            <w:vAlign w:val="bottom"/>
            <w:tcBorders>
              <w:bottom w:val="single" w:sz="8" w:color="4D8ABE"/>
            </w:tcBorders>
          </w:tcPr>
          <w:p>
            <w:pPr>
              <w:spacing w:after="0"/>
              <w:rPr>
                <w:sz w:val="16"/>
                <w:szCs w:val="16"/>
                <w:color w:val="auto"/>
              </w:rPr>
            </w:pPr>
          </w:p>
        </w:tc>
        <w:tc>
          <w:tcPr>
            <w:tcW w:w="1100" w:type="dxa"/>
            <w:vAlign w:val="bottom"/>
            <w:tcBorders>
              <w:bottom w:val="single" w:sz="8" w:color="4D8AB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United States</w:t>
            </w:r>
          </w:p>
        </w:tc>
        <w:tc>
          <w:tcPr>
            <w:tcW w:w="100" w:type="dxa"/>
            <w:vAlign w:val="bottom"/>
            <w:tcBorders>
              <w:left w:val="single" w:sz="8" w:color="4D8ABE"/>
            </w:tcBorders>
            <w:shd w:val="clear" w:color="auto" w:fill="E6EFFF"/>
          </w:tcPr>
          <w:p>
            <w:pPr>
              <w:jc w:val="right"/>
              <w:spacing w:after="0"/>
              <w:rPr>
                <w:sz w:val="20"/>
                <w:szCs w:val="20"/>
                <w:color w:val="auto"/>
              </w:rPr>
            </w:pPr>
            <w:r>
              <w:rPr>
                <w:rFonts w:ascii="Arial" w:cs="Arial" w:eastAsia="Arial" w:hAnsi="Arial"/>
                <w:sz w:val="15"/>
                <w:szCs w:val="15"/>
                <w:color w:val="4D8ABE"/>
                <w:w w:val="95"/>
              </w:rPr>
              <w:t>$</w:t>
            </w: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2,059.4</w:t>
            </w:r>
          </w:p>
        </w:tc>
        <w:tc>
          <w:tcPr>
            <w:tcW w:w="340" w:type="dxa"/>
            <w:vAlign w:val="bottom"/>
            <w:shd w:val="clear" w:color="auto" w:fill="E6EF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2,436.3</w:t>
            </w:r>
          </w:p>
        </w:tc>
        <w:tc>
          <w:tcPr>
            <w:tcW w:w="44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2,466.8</w:t>
            </w: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France</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4,710.3</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6,968.8</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7,056.3</w:t>
            </w:r>
          </w:p>
        </w:tc>
        <w:tc>
          <w:tcPr>
            <w:tcW w:w="0" w:type="dxa"/>
            <w:vAlign w:val="bottom"/>
          </w:tcPr>
          <w:p>
            <w:pPr>
              <w:spacing w:after="0"/>
              <w:rPr>
                <w:sz w:val="1"/>
                <w:szCs w:val="1"/>
                <w:color w:val="auto"/>
              </w:rPr>
            </w:pPr>
          </w:p>
        </w:tc>
      </w:tr>
      <w:tr>
        <w:trPr>
          <w:trHeight w:val="184"/>
        </w:trPr>
        <w:tc>
          <w:tcPr>
            <w:tcW w:w="7060" w:type="dxa"/>
            <w:vAlign w:val="bottom"/>
            <w:shd w:val="clear" w:color="auto" w:fill="E6EFFF"/>
          </w:tcPr>
          <w:p>
            <w:pPr>
              <w:spacing w:after="0"/>
              <w:rPr>
                <w:sz w:val="20"/>
                <w:szCs w:val="20"/>
                <w:color w:val="auto"/>
              </w:rPr>
            </w:pPr>
            <w:r>
              <w:rPr>
                <w:rFonts w:ascii="Arial" w:cs="Arial" w:eastAsia="Arial" w:hAnsi="Arial"/>
                <w:sz w:val="15"/>
                <w:szCs w:val="15"/>
                <w:color w:val="auto"/>
              </w:rPr>
              <w:t>Italy</w:t>
            </w:r>
          </w:p>
        </w:tc>
        <w:tc>
          <w:tcPr>
            <w:tcW w:w="100" w:type="dxa"/>
            <w:vAlign w:val="bottom"/>
            <w:tcBorders>
              <w:left w:val="single" w:sz="8" w:color="4D8ABE"/>
            </w:tcBorders>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967.8</w:t>
            </w:r>
          </w:p>
        </w:tc>
        <w:tc>
          <w:tcPr>
            <w:tcW w:w="34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1,534.9</w:t>
            </w:r>
          </w:p>
        </w:tc>
        <w:tc>
          <w:tcPr>
            <w:tcW w:w="44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1,409.7</w:t>
            </w: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5"/>
                <w:szCs w:val="15"/>
                <w:color w:val="auto"/>
              </w:rPr>
              <w:t>United Kingdom</w:t>
            </w:r>
          </w:p>
        </w:tc>
        <w:tc>
          <w:tcPr>
            <w:tcW w:w="100" w:type="dxa"/>
            <w:vAlign w:val="bottom"/>
            <w:tcBorders>
              <w:left w:val="single" w:sz="8" w:color="4D8ABE"/>
            </w:tcBorders>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1,738.0</w:t>
            </w:r>
          </w:p>
        </w:tc>
        <w:tc>
          <w:tcPr>
            <w:tcW w:w="34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2,491.8</w:t>
            </w:r>
          </w:p>
        </w:tc>
        <w:tc>
          <w:tcPr>
            <w:tcW w:w="44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2,402.4</w:t>
            </w:r>
          </w:p>
        </w:tc>
        <w:tc>
          <w:tcPr>
            <w:tcW w:w="0" w:type="dxa"/>
            <w:vAlign w:val="bottom"/>
          </w:tcPr>
          <w:p>
            <w:pPr>
              <w:spacing w:after="0"/>
              <w:rPr>
                <w:sz w:val="1"/>
                <w:szCs w:val="1"/>
                <w:color w:val="auto"/>
              </w:rPr>
            </w:pPr>
          </w:p>
        </w:tc>
      </w:tr>
      <w:tr>
        <w:trPr>
          <w:trHeight w:val="187"/>
        </w:trPr>
        <w:tc>
          <w:tcPr>
            <w:tcW w:w="7060" w:type="dxa"/>
            <w:vAlign w:val="bottom"/>
            <w:tcBorders>
              <w:bottom w:val="single" w:sz="8" w:color="auto"/>
            </w:tcBorders>
            <w:shd w:val="clear" w:color="auto" w:fill="E6EFFF"/>
          </w:tcPr>
          <w:p>
            <w:pPr>
              <w:spacing w:after="0" w:line="184" w:lineRule="exact"/>
              <w:rPr>
                <w:sz w:val="20"/>
                <w:szCs w:val="20"/>
                <w:color w:val="auto"/>
              </w:rPr>
            </w:pPr>
            <w:r>
              <w:rPr>
                <w:rFonts w:ascii="Arial" w:cs="Arial" w:eastAsia="Arial" w:hAnsi="Arial"/>
                <w:sz w:val="15"/>
                <w:szCs w:val="15"/>
                <w:color w:val="auto"/>
              </w:rPr>
              <w:t>Total Foreign</w:t>
            </w:r>
            <w:r>
              <w:rPr>
                <w:rFonts w:ascii="Arial" w:cs="Arial" w:eastAsia="Arial" w:hAnsi="Arial"/>
                <w:sz w:val="21"/>
                <w:szCs w:val="21"/>
                <w:color w:val="auto"/>
                <w:vertAlign w:val="superscript"/>
              </w:rPr>
              <w:t>(c)</w:t>
            </w:r>
          </w:p>
        </w:tc>
        <w:tc>
          <w:tcPr>
            <w:tcW w:w="100" w:type="dxa"/>
            <w:vAlign w:val="bottom"/>
            <w:tcBorders>
              <w:left w:val="single" w:sz="8" w:color="4D8ABE"/>
              <w:bottom w:val="single" w:sz="8" w:color="auto"/>
            </w:tcBorders>
            <w:shd w:val="clear" w:color="auto" w:fill="E6EFFF"/>
          </w:tcPr>
          <w:p>
            <w:pPr>
              <w:spacing w:after="0"/>
              <w:rPr>
                <w:sz w:val="16"/>
                <w:szCs w:val="16"/>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13,979.3</w:t>
            </w:r>
          </w:p>
        </w:tc>
        <w:tc>
          <w:tcPr>
            <w:tcW w:w="340" w:type="dxa"/>
            <w:vAlign w:val="bottom"/>
            <w:tcBorders>
              <w:bottom w:val="single" w:sz="8" w:color="auto"/>
            </w:tcBorders>
            <w:shd w:val="clear" w:color="auto" w:fill="E6EFFF"/>
          </w:tcPr>
          <w:p>
            <w:pPr>
              <w:spacing w:after="0"/>
              <w:rPr>
                <w:sz w:val="16"/>
                <w:szCs w:val="16"/>
                <w:color w:val="auto"/>
              </w:rPr>
            </w:pPr>
          </w:p>
        </w:tc>
        <w:tc>
          <w:tcPr>
            <w:tcW w:w="102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19,100.8</w:t>
            </w:r>
          </w:p>
        </w:tc>
        <w:tc>
          <w:tcPr>
            <w:tcW w:w="440" w:type="dxa"/>
            <w:vAlign w:val="bottom"/>
            <w:tcBorders>
              <w:bottom w:val="single" w:sz="8" w:color="auto"/>
            </w:tcBorders>
            <w:shd w:val="clear" w:color="auto" w:fill="E6EFFF"/>
          </w:tcPr>
          <w:p>
            <w:pPr>
              <w:spacing w:after="0"/>
              <w:rPr>
                <w:sz w:val="16"/>
                <w:szCs w:val="16"/>
                <w:color w:val="auto"/>
              </w:rPr>
            </w:pPr>
          </w:p>
        </w:tc>
        <w:tc>
          <w:tcPr>
            <w:tcW w:w="11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18,019.3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88" w:hanging="188"/>
        <w:spacing w:after="0"/>
        <w:tabs>
          <w:tab w:leader="none" w:pos="18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U.S. revenues above represent revenues from our company-owned branches and franchise fees received from our franchise operations, which are discussed further on the financial highlights page.</w:t>
      </w:r>
    </w:p>
    <w:p>
      <w:pPr>
        <w:ind w:left="168" w:hanging="168"/>
        <w:spacing w:after="0"/>
        <w:tabs>
          <w:tab w:leader="none" w:pos="168" w:val="left"/>
        </w:tabs>
        <w:numPr>
          <w:ilvl w:val="0"/>
          <w:numId w:val="34"/>
        </w:numPr>
        <w:rPr>
          <w:rFonts w:ascii="Arial" w:cs="Arial" w:eastAsia="Arial" w:hAnsi="Arial"/>
          <w:sz w:val="12"/>
          <w:szCs w:val="12"/>
          <w:color w:val="auto"/>
        </w:rPr>
      </w:pPr>
      <w:r>
        <w:rPr>
          <w:rFonts w:ascii="Arial" w:cs="Arial" w:eastAsia="Arial" w:hAnsi="Arial"/>
          <w:sz w:val="12"/>
          <w:szCs w:val="12"/>
          <w:color w:val="auto"/>
        </w:rPr>
        <w:t>Segment data presented has been revised for the effects of the restatement disclosed in Note 1 to the Consolidated Financial Statements.</w:t>
      </w:r>
    </w:p>
    <w:p>
      <w:pPr>
        <w:spacing w:after="0" w:line="188" w:lineRule="exact"/>
        <w:rPr>
          <w:sz w:val="20"/>
          <w:szCs w:val="20"/>
          <w:color w:val="auto"/>
        </w:rPr>
      </w:pPr>
    </w:p>
    <w:p>
      <w:pPr>
        <w:ind w:left="6268"/>
        <w:spacing w:after="0"/>
        <w:tabs>
          <w:tab w:leader="none" w:pos="9328"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40" w:right="2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Year Ended 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460" w:type="dxa"/>
            <w:vAlign w:val="bottom"/>
            <w:tcBorders>
              <w:bottom w:val="single" w:sz="8" w:color="4D8ABE"/>
            </w:tcBorders>
          </w:tcPr>
          <w:p>
            <w:pPr>
              <w:spacing w:after="0"/>
              <w:rPr>
                <w:sz w:val="16"/>
                <w:szCs w:val="16"/>
                <w:color w:val="auto"/>
              </w:rPr>
            </w:pPr>
          </w:p>
        </w:tc>
        <w:tc>
          <w:tcPr>
            <w:tcW w:w="90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2008</w:t>
            </w:r>
          </w:p>
        </w:tc>
        <w:tc>
          <w:tcPr>
            <w:tcW w:w="580" w:type="dxa"/>
            <w:vAlign w:val="bottom"/>
            <w:tcBorders>
              <w:bottom w:val="single" w:sz="8" w:color="4D8ABE"/>
            </w:tcBorders>
          </w:tcPr>
          <w:p>
            <w:pPr>
              <w:spacing w:after="0"/>
              <w:rPr>
                <w:sz w:val="16"/>
                <w:szCs w:val="16"/>
                <w:color w:val="auto"/>
              </w:rPr>
            </w:pPr>
          </w:p>
        </w:tc>
        <w:tc>
          <w:tcPr>
            <w:tcW w:w="96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Depreciation and Amortization Expense</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Americas: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United States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17.7</w:t>
            </w:r>
          </w:p>
        </w:tc>
        <w:tc>
          <w:tcPr>
            <w:tcW w:w="46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14.9</w:t>
            </w:r>
          </w:p>
        </w:tc>
        <w:tc>
          <w:tcPr>
            <w:tcW w:w="580" w:type="dxa"/>
            <w:vAlign w:val="bottom"/>
            <w:shd w:val="clear" w:color="auto" w:fill="E6EFFF"/>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9.7</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Americas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3.7</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3.8</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3.2</w:t>
            </w:r>
          </w:p>
        </w:tc>
      </w:tr>
      <w:tr>
        <w:trPr>
          <w:trHeight w:val="175"/>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21.4</w:t>
            </w:r>
          </w:p>
        </w:tc>
        <w:tc>
          <w:tcPr>
            <w:tcW w:w="460" w:type="dxa"/>
            <w:vAlign w:val="bottom"/>
            <w:tcBorders>
              <w:bottom w:val="single" w:sz="8" w:color="auto"/>
            </w:tcBorders>
            <w:shd w:val="clear" w:color="auto" w:fill="E6EFFF"/>
          </w:tcPr>
          <w:p>
            <w:pPr>
              <w:spacing w:after="0"/>
              <w:rPr>
                <w:sz w:val="15"/>
                <w:szCs w:val="15"/>
                <w:color w:val="auto"/>
              </w:rPr>
            </w:pPr>
          </w:p>
        </w:tc>
        <w:tc>
          <w:tcPr>
            <w:tcW w:w="9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18.7</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12.9</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France</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15.3</w:t>
            </w:r>
          </w:p>
        </w:tc>
        <w:tc>
          <w:tcPr>
            <w:tcW w:w="4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20.1</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23.3</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EMEA:</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4.4</w:t>
            </w:r>
          </w:p>
        </w:tc>
        <w:tc>
          <w:tcPr>
            <w:tcW w:w="4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5.1</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6.7</w:t>
            </w: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EMEA</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29.9</w:t>
            </w:r>
          </w:p>
        </w:tc>
        <w:tc>
          <w:tcPr>
            <w:tcW w:w="460" w:type="dxa"/>
            <w:vAlign w:val="bottom"/>
            <w:tcBorders>
              <w:bottom w:val="single" w:sz="8" w:color="auto"/>
            </w:tcBorders>
            <w:shd w:val="clear" w:color="auto" w:fill="E6EFFF"/>
          </w:tcPr>
          <w:p>
            <w:pPr>
              <w:spacing w:after="0"/>
              <w:rPr>
                <w:sz w:val="15"/>
                <w:szCs w:val="15"/>
                <w:color w:val="auto"/>
              </w:rPr>
            </w:pPr>
          </w:p>
        </w:tc>
        <w:tc>
          <w:tcPr>
            <w:tcW w:w="9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29.5</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21.7</w:t>
            </w: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34.3</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34.6</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28.4</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Asia Pacific</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5.7</w:t>
            </w: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8.1</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8.1</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9.1</w:t>
            </w:r>
          </w:p>
        </w:tc>
        <w:tc>
          <w:tcPr>
            <w:tcW w:w="4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9.5</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10.1</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1.7</w:t>
            </w: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2.7</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3.1</w:t>
            </w:r>
          </w:p>
        </w:tc>
      </w:tr>
      <w:tr>
        <w:trPr>
          <w:trHeight w:val="184"/>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9.7</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13.4</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13.1</w:t>
            </w:r>
          </w:p>
        </w:tc>
      </w:tr>
      <w:tr>
        <w:trPr>
          <w:trHeight w:val="178"/>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97.2</w:t>
            </w:r>
          </w:p>
        </w:tc>
        <w:tc>
          <w:tcPr>
            <w:tcW w:w="460" w:type="dxa"/>
            <w:vAlign w:val="bottom"/>
            <w:tcBorders>
              <w:bottom w:val="single" w:sz="8" w:color="auto"/>
            </w:tcBorders>
            <w:shd w:val="clear" w:color="auto" w:fill="E6EFFF"/>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107.1</w:t>
            </w:r>
          </w:p>
        </w:tc>
        <w:tc>
          <w:tcPr>
            <w:tcW w:w="580" w:type="dxa"/>
            <w:vAlign w:val="bottom"/>
            <w:tcBorders>
              <w:bottom w:val="single" w:sz="8" w:color="auto"/>
            </w:tcBorders>
            <w:shd w:val="clear" w:color="auto" w:fill="E6EFFF"/>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99.0</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Earnings from Equity Investments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Americas: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5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0.8</w:t>
            </w: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Americas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460" w:type="dxa"/>
            <w:vAlign w:val="bottom"/>
            <w:tcBorders>
              <w:bottom w:val="single" w:sz="8" w:color="auto"/>
            </w:tcBorders>
            <w:shd w:val="clear" w:color="auto" w:fill="E6EFFF"/>
          </w:tcPr>
          <w:p>
            <w:pPr>
              <w:spacing w:after="0"/>
              <w:rPr>
                <w:sz w:val="15"/>
                <w:szCs w:val="15"/>
                <w:color w:val="auto"/>
              </w:rPr>
            </w:pPr>
          </w:p>
        </w:tc>
        <w:tc>
          <w:tcPr>
            <w:tcW w:w="9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w:t>
            </w: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0.8</w:t>
            </w:r>
          </w:p>
        </w:tc>
      </w:tr>
      <w:tr>
        <w:trPr>
          <w:trHeight w:val="175"/>
        </w:trPr>
        <w:tc>
          <w:tcPr>
            <w:tcW w:w="708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France</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04"/>
              <w:spacing w:after="0"/>
              <w:rPr>
                <w:sz w:val="20"/>
                <w:szCs w:val="20"/>
                <w:color w:val="auto"/>
              </w:rPr>
            </w:pPr>
            <w:r>
              <w:rPr>
                <w:rFonts w:ascii="Arial" w:cs="Arial" w:eastAsia="Arial" w:hAnsi="Arial"/>
                <w:sz w:val="15"/>
                <w:szCs w:val="15"/>
                <w:color w:val="4D8ABE"/>
              </w:rPr>
              <w:t>(0.9)</w:t>
            </w:r>
          </w:p>
        </w:tc>
        <w:tc>
          <w:tcPr>
            <w:tcW w:w="46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(0.9)</w:t>
            </w:r>
          </w:p>
        </w:tc>
        <w:tc>
          <w:tcPr>
            <w:tcW w:w="58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Arial" w:cs="Arial" w:eastAsia="Arial" w:hAnsi="Arial"/>
                <w:sz w:val="15"/>
                <w:szCs w:val="15"/>
                <w:color w:val="auto"/>
              </w:rPr>
              <w:t>(1.1)</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EMEA:</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EMEA</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3.3</w:t>
            </w:r>
          </w:p>
        </w:tc>
        <w:tc>
          <w:tcPr>
            <w:tcW w:w="460" w:type="dxa"/>
            <w:vAlign w:val="bottom"/>
            <w:tcBorders>
              <w:bottom w:val="single" w:sz="8" w:color="auto"/>
            </w:tcBorders>
            <w:shd w:val="clear" w:color="auto" w:fill="E6EFFF"/>
          </w:tcPr>
          <w:p>
            <w:pPr>
              <w:spacing w:after="0"/>
              <w:rPr>
                <w:sz w:val="15"/>
                <w:szCs w:val="15"/>
                <w:color w:val="auto"/>
              </w:rPr>
            </w:pPr>
          </w:p>
        </w:tc>
        <w:tc>
          <w:tcPr>
            <w:tcW w:w="9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3.0</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2.6</w:t>
            </w: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3.3</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3.0</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2.6</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Asia Pacific</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0.6</w:t>
            </w:r>
          </w:p>
        </w:tc>
        <w:tc>
          <w:tcPr>
            <w:tcW w:w="460" w:type="dxa"/>
            <w:vAlign w:val="bottom"/>
            <w:shd w:val="clear" w:color="auto" w:fill="E6EFFF"/>
          </w:tcPr>
          <w:p>
            <w:pPr>
              <w:spacing w:after="0"/>
              <w:rPr>
                <w:sz w:val="15"/>
                <w:szCs w:val="15"/>
                <w:color w:val="auto"/>
              </w:rPr>
            </w:pPr>
          </w:p>
        </w:tc>
        <w:tc>
          <w:tcPr>
            <w:tcW w:w="90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0.4</w:t>
            </w:r>
          </w:p>
        </w:tc>
        <w:tc>
          <w:tcPr>
            <w:tcW w:w="580" w:type="dxa"/>
            <w:vAlign w:val="bottom"/>
            <w:shd w:val="clear" w:color="auto" w:fill="E6EFFF"/>
          </w:tcPr>
          <w:p>
            <w:pPr>
              <w:spacing w:after="0"/>
              <w:rPr>
                <w:sz w:val="15"/>
                <w:szCs w:val="15"/>
                <w:color w:val="auto"/>
              </w:rPr>
            </w:pPr>
          </w:p>
        </w:tc>
        <w:tc>
          <w:tcPr>
            <w:tcW w:w="96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(0.1)</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460" w:type="dxa"/>
            <w:vAlign w:val="bottom"/>
            <w:tcBorders>
              <w:bottom w:val="single" w:sz="8" w:color="auto"/>
            </w:tcBorders>
            <w:shd w:val="clear" w:color="auto" w:fill="E6EFFF"/>
          </w:tcPr>
          <w:p>
            <w:pPr>
              <w:spacing w:after="0"/>
              <w:rPr>
                <w:sz w:val="15"/>
                <w:szCs w:val="15"/>
                <w:color w:val="auto"/>
              </w:rPr>
            </w:pPr>
          </w:p>
        </w:tc>
        <w:tc>
          <w:tcPr>
            <w:tcW w:w="90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6EFFF"/>
          </w:tcPr>
          <w:p>
            <w:pPr>
              <w:spacing w:after="0"/>
              <w:rPr>
                <w:sz w:val="15"/>
                <w:szCs w:val="15"/>
                <w:color w:val="auto"/>
              </w:rPr>
            </w:pPr>
          </w:p>
        </w:tc>
        <w:tc>
          <w:tcPr>
            <w:tcW w:w="9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w:t>
            </w:r>
          </w:p>
        </w:tc>
      </w:tr>
      <w:tr>
        <w:trPr>
          <w:trHeight w:val="178"/>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3.0</w:t>
            </w:r>
          </w:p>
        </w:tc>
        <w:tc>
          <w:tcPr>
            <w:tcW w:w="4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0.9</w:t>
            </w:r>
          </w:p>
        </w:tc>
        <w:tc>
          <w:tcPr>
            <w:tcW w:w="5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2.2</w:t>
            </w:r>
          </w:p>
        </w:tc>
      </w:tr>
    </w:tbl>
    <w:p>
      <w:pPr>
        <w:spacing w:after="0" w:line="146"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72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08" w:name="page109"/>
    <w:bookmarkEnd w:id="108"/>
    <w:tbl>
      <w:tblPr>
        <w:tblLayout w:type="fixed"/>
        <w:tblInd w:w="8"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As Of And For The Year Ended 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400" w:type="dxa"/>
            <w:vAlign w:val="bottom"/>
            <w:tcBorders>
              <w:bottom w:val="single" w:sz="8" w:color="4D8ABE"/>
            </w:tcBorders>
          </w:tcPr>
          <w:p>
            <w:pPr>
              <w:spacing w:after="0"/>
              <w:rPr>
                <w:sz w:val="16"/>
                <w:szCs w:val="16"/>
                <w:color w:val="auto"/>
              </w:rPr>
            </w:pPr>
          </w:p>
        </w:tc>
        <w:tc>
          <w:tcPr>
            <w:tcW w:w="920" w:type="dxa"/>
            <w:vAlign w:val="bottom"/>
            <w:tcBorders>
              <w:bottom w:val="single" w:sz="8" w:color="4D8ABE"/>
            </w:tcBorders>
          </w:tcPr>
          <w:p>
            <w:pPr>
              <w:jc w:val="right"/>
              <w:ind w:right="24"/>
              <w:spacing w:after="0"/>
              <w:rPr>
                <w:sz w:val="20"/>
                <w:szCs w:val="20"/>
                <w:color w:val="auto"/>
              </w:rPr>
            </w:pPr>
            <w:r>
              <w:rPr>
                <w:rFonts w:ascii="Arial" w:cs="Arial" w:eastAsia="Arial" w:hAnsi="Arial"/>
                <w:sz w:val="14"/>
                <w:szCs w:val="14"/>
                <w:b w:val="1"/>
                <w:bCs w:val="1"/>
                <w:color w:val="4D8ABE"/>
              </w:rPr>
              <w:t>2008</w:t>
            </w:r>
          </w:p>
        </w:tc>
        <w:tc>
          <w:tcPr>
            <w:tcW w:w="520" w:type="dxa"/>
            <w:vAlign w:val="bottom"/>
            <w:tcBorders>
              <w:bottom w:val="single" w:sz="8" w:color="4D8ABE"/>
            </w:tcBorders>
          </w:tcPr>
          <w:p>
            <w:pPr>
              <w:spacing w:after="0"/>
              <w:rPr>
                <w:sz w:val="16"/>
                <w:szCs w:val="16"/>
                <w:color w:val="auto"/>
              </w:rPr>
            </w:pPr>
          </w:p>
        </w:tc>
        <w:tc>
          <w:tcPr>
            <w:tcW w:w="106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Total Assets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Americas: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United States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607.9</w:t>
            </w:r>
          </w:p>
        </w:tc>
        <w:tc>
          <w:tcPr>
            <w:tcW w:w="40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622.4</w:t>
            </w:r>
          </w:p>
        </w:tc>
        <w:tc>
          <w:tcPr>
            <w:tcW w:w="5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602.4</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Americas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218.9</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218.9</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236.8</w:t>
            </w:r>
          </w:p>
        </w:tc>
      </w:tr>
      <w:tr>
        <w:trPr>
          <w:trHeight w:val="175"/>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826.8</w:t>
            </w:r>
          </w:p>
        </w:tc>
        <w:tc>
          <w:tcPr>
            <w:tcW w:w="40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841.3</w:t>
            </w:r>
          </w:p>
        </w:tc>
        <w:tc>
          <w:tcPr>
            <w:tcW w:w="520" w:type="dxa"/>
            <w:vAlign w:val="bottom"/>
            <w:tcBorders>
              <w:bottom w:val="single" w:sz="8" w:color="auto"/>
            </w:tcBorders>
            <w:shd w:val="clear" w:color="auto" w:fill="E6EFFF"/>
          </w:tcPr>
          <w:p>
            <w:pPr>
              <w:spacing w:after="0"/>
              <w:rPr>
                <w:sz w:val="15"/>
                <w:szCs w:val="15"/>
                <w:color w:val="auto"/>
              </w:rPr>
            </w:pPr>
          </w:p>
        </w:tc>
        <w:tc>
          <w:tcPr>
            <w:tcW w:w="10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839.2</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France</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2,220.1</w:t>
            </w:r>
          </w:p>
        </w:tc>
        <w:tc>
          <w:tcPr>
            <w:tcW w:w="4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2,314.7</w:t>
            </w:r>
          </w:p>
        </w:tc>
        <w:tc>
          <w:tcPr>
            <w:tcW w:w="5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2,389.4</w:t>
            </w:r>
          </w:p>
        </w:tc>
      </w:tr>
      <w:tr>
        <w:trPr>
          <w:trHeight w:val="184"/>
        </w:trPr>
        <w:tc>
          <w:tcPr>
            <w:tcW w:w="7080" w:type="dxa"/>
            <w:vAlign w:val="bottom"/>
            <w:tcBorders>
              <w:right w:val="single" w:sz="8" w:color="4D8ABE"/>
            </w:tcBorders>
            <w:shd w:val="clear" w:color="auto" w:fill="E6EFFF"/>
          </w:tcPr>
          <w:p>
            <w:pPr>
              <w:spacing w:after="0" w:line="184" w:lineRule="exact"/>
              <w:rPr>
                <w:sz w:val="20"/>
                <w:szCs w:val="20"/>
                <w:color w:val="auto"/>
              </w:rPr>
            </w:pPr>
            <w:r>
              <w:rPr>
                <w:rFonts w:ascii="Arial" w:cs="Arial" w:eastAsia="Arial" w:hAnsi="Arial"/>
                <w:sz w:val="15"/>
                <w:szCs w:val="15"/>
                <w:color w:val="auto"/>
              </w:rPr>
              <w:t>EMEA</w:t>
            </w:r>
            <w:r>
              <w:rPr>
                <w:rFonts w:ascii="Arial" w:cs="Arial" w:eastAsia="Arial" w:hAnsi="Arial"/>
                <w:sz w:val="21"/>
                <w:szCs w:val="21"/>
                <w:color w:val="auto"/>
                <w:vertAlign w:val="superscript"/>
              </w:rPr>
              <w:t>(a)</w:t>
            </w:r>
            <w:r>
              <w:rPr>
                <w:rFonts w:ascii="Arial" w:cs="Arial" w:eastAsia="Arial" w:hAnsi="Arial"/>
                <w:sz w:val="15"/>
                <w:szCs w:val="15"/>
                <w:color w:val="auto"/>
              </w:rPr>
              <w: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239.7</w:t>
            </w:r>
          </w:p>
        </w:tc>
        <w:tc>
          <w:tcPr>
            <w:tcW w:w="4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291.2</w:t>
            </w:r>
          </w:p>
        </w:tc>
        <w:tc>
          <w:tcPr>
            <w:tcW w:w="5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343.9</w:t>
            </w:r>
          </w:p>
        </w:tc>
      </w:tr>
      <w:tr>
        <w:trPr>
          <w:trHeight w:val="184"/>
        </w:trPr>
        <w:tc>
          <w:tcPr>
            <w:tcW w:w="7080" w:type="dxa"/>
            <w:vAlign w:val="bottom"/>
            <w:tcBorders>
              <w:bottom w:val="single" w:sz="8" w:color="auto"/>
              <w:right w:val="single" w:sz="8" w:color="4D8ABE"/>
            </w:tcBorders>
            <w:shd w:val="clear" w:color="auto" w:fill="E6EFFF"/>
          </w:tcPr>
          <w:p>
            <w:pPr>
              <w:ind w:left="140"/>
              <w:spacing w:after="0" w:line="184" w:lineRule="exact"/>
              <w:rPr>
                <w:sz w:val="20"/>
                <w:szCs w:val="20"/>
                <w:color w:val="auto"/>
              </w:rPr>
            </w:pPr>
            <w:r>
              <w:rPr>
                <w:rFonts w:ascii="Arial" w:cs="Arial" w:eastAsia="Arial" w:hAnsi="Arial"/>
                <w:sz w:val="15"/>
                <w:szCs w:val="15"/>
                <w:color w:val="auto"/>
              </w:rPr>
              <w:t>Other EMEA</w:t>
            </w:r>
            <w:r>
              <w:rPr>
                <w:rFonts w:ascii="Arial" w:cs="Arial" w:eastAsia="Arial" w:hAnsi="Arial"/>
                <w:sz w:val="21"/>
                <w:szCs w:val="21"/>
                <w:color w:val="auto"/>
                <w:vertAlign w:val="superscript"/>
              </w:rPr>
              <w:t>(a)</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1,560.7</w:t>
            </w:r>
          </w:p>
        </w:tc>
        <w:tc>
          <w:tcPr>
            <w:tcW w:w="40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1,660.3</w:t>
            </w:r>
          </w:p>
        </w:tc>
        <w:tc>
          <w:tcPr>
            <w:tcW w:w="520" w:type="dxa"/>
            <w:vAlign w:val="bottom"/>
            <w:tcBorders>
              <w:bottom w:val="single" w:sz="8" w:color="auto"/>
            </w:tcBorders>
            <w:shd w:val="clear" w:color="auto" w:fill="E6EFFF"/>
          </w:tcPr>
          <w:p>
            <w:pPr>
              <w:spacing w:after="0"/>
              <w:rPr>
                <w:sz w:val="15"/>
                <w:szCs w:val="15"/>
                <w:color w:val="auto"/>
              </w:rPr>
            </w:pPr>
          </w:p>
        </w:tc>
        <w:tc>
          <w:tcPr>
            <w:tcW w:w="10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1,893.8</w:t>
            </w: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1,800.4</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1,951.5</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2,237.7</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Asia Pacific</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314.4</w:t>
            </w: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411.2</w:t>
            </w: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411.8</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228.7</w:t>
            </w:r>
          </w:p>
        </w:tc>
        <w:tc>
          <w:tcPr>
            <w:tcW w:w="4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214.4</w:t>
            </w:r>
          </w:p>
        </w:tc>
        <w:tc>
          <w:tcPr>
            <w:tcW w:w="5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213.0</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22.8</w:t>
            </w: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42.5</w:t>
            </w: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67.7</w:t>
            </w:r>
          </w:p>
        </w:tc>
      </w:tr>
      <w:tr>
        <w:trPr>
          <w:trHeight w:val="184"/>
        </w:trPr>
        <w:tc>
          <w:tcPr>
            <w:tcW w:w="7080" w:type="dxa"/>
            <w:vAlign w:val="bottom"/>
            <w:tcBorders>
              <w:bottom w:val="single" w:sz="8" w:color="auto"/>
              <w:right w:val="single" w:sz="8" w:color="4D8ABE"/>
            </w:tcBorders>
          </w:tcPr>
          <w:p>
            <w:pPr>
              <w:spacing w:after="0" w:line="184" w:lineRule="exact"/>
              <w:rPr>
                <w:sz w:val="20"/>
                <w:szCs w:val="20"/>
                <w:color w:val="auto"/>
              </w:rPr>
            </w:pPr>
            <w:r>
              <w:rPr>
                <w:rFonts w:ascii="Arial" w:cs="Arial" w:eastAsia="Arial" w:hAnsi="Arial"/>
                <w:sz w:val="15"/>
                <w:szCs w:val="15"/>
                <w:color w:val="auto"/>
              </w:rPr>
              <w:t>Corporate</w:t>
            </w:r>
            <w:r>
              <w:rPr>
                <w:rFonts w:ascii="Arial" w:cs="Arial" w:eastAsia="Arial" w:hAnsi="Arial"/>
                <w:sz w:val="21"/>
                <w:szCs w:val="21"/>
                <w:color w:val="auto"/>
                <w:vertAlign w:val="superscript"/>
              </w:rPr>
              <w:t>(b)</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800.6</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846.6</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1,068.1</w:t>
            </w:r>
          </w:p>
        </w:tc>
      </w:tr>
      <w:tr>
        <w:trPr>
          <w:trHeight w:val="178"/>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6,213.8</w:t>
            </w:r>
          </w:p>
        </w:tc>
        <w:tc>
          <w:tcPr>
            <w:tcW w:w="400" w:type="dxa"/>
            <w:vAlign w:val="bottom"/>
            <w:tcBorders>
              <w:bottom w:val="single" w:sz="8" w:color="auto"/>
            </w:tcBorders>
            <w:shd w:val="clear" w:color="auto" w:fill="E6EFFF"/>
          </w:tcPr>
          <w:p>
            <w:pPr>
              <w:jc w:val="right"/>
              <w:ind w:right="2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6,622.2</w:t>
            </w:r>
          </w:p>
        </w:tc>
        <w:tc>
          <w:tcPr>
            <w:tcW w:w="520" w:type="dxa"/>
            <w:vAlign w:val="bottom"/>
            <w:tcBorders>
              <w:bottom w:val="single" w:sz="8" w:color="auto"/>
            </w:tcBorders>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7,226.9</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Equity Investments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Americas: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spacing w:after="0"/>
              <w:rPr>
                <w:sz w:val="15"/>
                <w:szCs w:val="15"/>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17.6</w:t>
            </w: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Americas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40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E6EFFF"/>
          </w:tcPr>
          <w:p>
            <w:pPr>
              <w:spacing w:after="0"/>
              <w:rPr>
                <w:sz w:val="15"/>
                <w:szCs w:val="15"/>
                <w:color w:val="auto"/>
              </w:rPr>
            </w:pPr>
          </w:p>
        </w:tc>
        <w:tc>
          <w:tcPr>
            <w:tcW w:w="10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w:t>
            </w: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17.6</w:t>
            </w: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1.1</w:t>
            </w: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2.0</w:t>
            </w: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1.6</w:t>
            </w: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Italy</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w:t>
            </w: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EMEA</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64.0</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55.6</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60.6</w:t>
            </w:r>
          </w:p>
        </w:tc>
      </w:tr>
      <w:tr>
        <w:trPr>
          <w:trHeight w:val="175"/>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64.0</w:t>
            </w:r>
          </w:p>
        </w:tc>
        <w:tc>
          <w:tcPr>
            <w:tcW w:w="400" w:type="dxa"/>
            <w:vAlign w:val="bottom"/>
            <w:tcBorders>
              <w:bottom w:val="single" w:sz="8" w:color="auto"/>
            </w:tcBorders>
            <w:shd w:val="clear" w:color="auto" w:fill="E6EFFF"/>
          </w:tcPr>
          <w:p>
            <w:pPr>
              <w:spacing w:after="0"/>
              <w:rPr>
                <w:sz w:val="15"/>
                <w:szCs w:val="15"/>
                <w:color w:val="auto"/>
              </w:rPr>
            </w:pPr>
          </w:p>
        </w:tc>
        <w:tc>
          <w:tcPr>
            <w:tcW w:w="9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55.6</w:t>
            </w:r>
          </w:p>
        </w:tc>
        <w:tc>
          <w:tcPr>
            <w:tcW w:w="520" w:type="dxa"/>
            <w:vAlign w:val="bottom"/>
            <w:tcBorders>
              <w:bottom w:val="single" w:sz="8" w:color="auto"/>
            </w:tcBorders>
            <w:shd w:val="clear" w:color="auto" w:fill="E6EFFF"/>
          </w:tcPr>
          <w:p>
            <w:pPr>
              <w:spacing w:after="0"/>
              <w:rPr>
                <w:sz w:val="15"/>
                <w:szCs w:val="15"/>
                <w:color w:val="auto"/>
              </w:rPr>
            </w:pPr>
          </w:p>
        </w:tc>
        <w:tc>
          <w:tcPr>
            <w:tcW w:w="10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60.6</w:t>
            </w: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Asia Pacific</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0.4</w:t>
            </w:r>
          </w:p>
        </w:tc>
        <w:tc>
          <w:tcPr>
            <w:tcW w:w="4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23.4</w:t>
            </w:r>
          </w:p>
        </w:tc>
        <w:tc>
          <w:tcPr>
            <w:tcW w:w="5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Arial" w:cs="Arial" w:eastAsia="Arial" w:hAnsi="Arial"/>
                <w:sz w:val="15"/>
                <w:szCs w:val="15"/>
                <w:color w:val="auto"/>
              </w:rPr>
              <w:t>18.5</w:t>
            </w: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Right Management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w:t>
            </w:r>
          </w:p>
        </w:tc>
        <w:tc>
          <w:tcPr>
            <w:tcW w:w="400" w:type="dxa"/>
            <w:vAlign w:val="bottom"/>
            <w:shd w:val="clear" w:color="auto" w:fill="E6EFFF"/>
          </w:tcPr>
          <w:p>
            <w:pPr>
              <w:spacing w:after="0"/>
              <w:rPr>
                <w:sz w:val="15"/>
                <w:szCs w:val="15"/>
                <w:color w:val="auto"/>
              </w:rPr>
            </w:pPr>
          </w:p>
        </w:tc>
        <w:tc>
          <w:tcPr>
            <w:tcW w:w="92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FFF"/>
          </w:tcPr>
          <w:p>
            <w:pPr>
              <w:spacing w:after="0"/>
              <w:rPr>
                <w:sz w:val="15"/>
                <w:szCs w:val="15"/>
                <w:color w:val="auto"/>
              </w:rPr>
            </w:pPr>
          </w:p>
        </w:tc>
        <w:tc>
          <w:tcPr>
            <w:tcW w:w="106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0.4</w:t>
            </w:r>
          </w:p>
        </w:tc>
      </w:tr>
      <w:tr>
        <w:trPr>
          <w:trHeight w:val="184"/>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Jefferson Wells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8"/>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65.5</w:t>
            </w:r>
          </w:p>
        </w:tc>
        <w:tc>
          <w:tcPr>
            <w:tcW w:w="400" w:type="dxa"/>
            <w:vAlign w:val="bottom"/>
            <w:tcBorders>
              <w:bottom w:val="single" w:sz="8" w:color="auto"/>
            </w:tcBorders>
            <w:shd w:val="clear" w:color="auto" w:fill="E6EFFF"/>
          </w:tcPr>
          <w:p>
            <w:pPr>
              <w:jc w:val="right"/>
              <w:ind w:right="2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81.0</w:t>
            </w:r>
          </w:p>
        </w:tc>
        <w:tc>
          <w:tcPr>
            <w:tcW w:w="520" w:type="dxa"/>
            <w:vAlign w:val="bottom"/>
            <w:tcBorders>
              <w:bottom w:val="single" w:sz="8" w:color="auto"/>
            </w:tcBorders>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98.7</w:t>
            </w:r>
          </w:p>
        </w:tc>
      </w:tr>
    </w:tbl>
    <w:p>
      <w:pPr>
        <w:spacing w:after="0" w:line="4" w:lineRule="exact"/>
        <w:rPr>
          <w:sz w:val="20"/>
          <w:szCs w:val="20"/>
          <w:color w:val="auto"/>
        </w:rPr>
      </w:pPr>
    </w:p>
    <w:p>
      <w:pPr>
        <w:ind w:left="188" w:hanging="188"/>
        <w:spacing w:after="0"/>
        <w:tabs>
          <w:tab w:leader="none" w:pos="188" w:val="left"/>
        </w:tabs>
        <w:numPr>
          <w:ilvl w:val="0"/>
          <w:numId w:val="35"/>
        </w:numPr>
        <w:rPr>
          <w:rFonts w:ascii="Arial" w:cs="Arial" w:eastAsia="Arial" w:hAnsi="Arial"/>
          <w:sz w:val="12"/>
          <w:szCs w:val="12"/>
          <w:color w:val="auto"/>
        </w:rPr>
      </w:pPr>
      <w:r>
        <w:rPr>
          <w:rFonts w:ascii="Arial" w:cs="Arial" w:eastAsia="Arial" w:hAnsi="Arial"/>
          <w:sz w:val="12"/>
          <w:szCs w:val="12"/>
          <w:color w:val="auto"/>
        </w:rPr>
        <w:t>Segment data presented has been revised for the effects of the restatement disclosed in Note 1 to the Consolidated Financial Statements.</w:t>
      </w:r>
    </w:p>
    <w:p>
      <w:pPr>
        <w:ind w:left="188" w:hanging="188"/>
        <w:spacing w:after="0"/>
        <w:tabs>
          <w:tab w:leader="none" w:pos="188"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Corporate assets include assets that are not used in the operations of any segment, the most significant of which are goodwill and purchased intangibles.</w:t>
      </w:r>
    </w:p>
    <w:p>
      <w:pPr>
        <w:spacing w:after="0" w:line="188" w:lineRule="exact"/>
        <w:rPr>
          <w:sz w:val="20"/>
          <w:szCs w:val="20"/>
          <w:color w:val="auto"/>
        </w:rPr>
      </w:pPr>
    </w:p>
    <w:p>
      <w:pPr>
        <w:ind w:left="6268"/>
        <w:spacing w:after="0"/>
        <w:tabs>
          <w:tab w:leader="none" w:pos="9328"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40" w:right="2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86B6A5"/>
        </w:rPr>
        <w:t>Notes To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4D8ABE"/>
              <w:right w:val="single" w:sz="8" w:color="4D8ABE"/>
            </w:tcBorders>
          </w:tcPr>
          <w:p>
            <w:pPr>
              <w:spacing w:after="0"/>
              <w:rPr>
                <w:sz w:val="16"/>
                <w:szCs w:val="16"/>
                <w:color w:val="auto"/>
              </w:rPr>
            </w:pP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460" w:type="dxa"/>
            <w:vAlign w:val="bottom"/>
            <w:tcBorders>
              <w:bottom w:val="single" w:sz="8" w:color="4D8ABE"/>
            </w:tcBorders>
          </w:tcPr>
          <w:p>
            <w:pPr>
              <w:spacing w:after="0"/>
              <w:rPr>
                <w:sz w:val="16"/>
                <w:szCs w:val="16"/>
                <w:color w:val="auto"/>
              </w:rPr>
            </w:pPr>
          </w:p>
        </w:tc>
        <w:tc>
          <w:tcPr>
            <w:tcW w:w="860" w:type="dxa"/>
            <w:vAlign w:val="bottom"/>
            <w:tcBorders>
              <w:bottom w:val="single" w:sz="8" w:color="4D8ABE"/>
            </w:tcBorders>
          </w:tcPr>
          <w:p>
            <w:pPr>
              <w:jc w:val="right"/>
              <w:ind w:right="24"/>
              <w:spacing w:after="0"/>
              <w:rPr>
                <w:sz w:val="20"/>
                <w:szCs w:val="20"/>
                <w:color w:val="auto"/>
              </w:rPr>
            </w:pPr>
            <w:r>
              <w:rPr>
                <w:rFonts w:ascii="Arial" w:cs="Arial" w:eastAsia="Arial" w:hAnsi="Arial"/>
                <w:sz w:val="14"/>
                <w:szCs w:val="14"/>
                <w:b w:val="1"/>
                <w:bCs w:val="1"/>
                <w:color w:val="4D8ABE"/>
              </w:rPr>
              <w:t>2008</w:t>
            </w:r>
          </w:p>
        </w:tc>
        <w:tc>
          <w:tcPr>
            <w:tcW w:w="58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2007</w:t>
            </w:r>
          </w:p>
        </w:tc>
        <w:tc>
          <w:tcPr>
            <w:tcW w:w="0" w:type="dxa"/>
            <w:vAlign w:val="bottom"/>
          </w:tcPr>
          <w:p>
            <w:pPr>
              <w:spacing w:after="0"/>
              <w:rPr>
                <w:sz w:val="1"/>
                <w:szCs w:val="1"/>
                <w:color w:val="auto"/>
              </w:rPr>
            </w:pPr>
          </w:p>
        </w:tc>
      </w:tr>
      <w:tr>
        <w:trPr>
          <w:trHeight w:val="175"/>
        </w:trPr>
        <w:tc>
          <w:tcPr>
            <w:tcW w:w="7080" w:type="dxa"/>
            <w:vAlign w:val="bottom"/>
            <w:tcBorders>
              <w:right w:val="single" w:sz="8" w:color="4D8ABE"/>
            </w:tcBorders>
            <w:shd w:val="clear" w:color="auto" w:fill="E6EFFF"/>
          </w:tcPr>
          <w:p>
            <w:pPr>
              <w:spacing w:after="0" w:line="175" w:lineRule="exact"/>
              <w:rPr>
                <w:sz w:val="20"/>
                <w:szCs w:val="20"/>
                <w:color w:val="auto"/>
              </w:rPr>
            </w:pPr>
            <w:r>
              <w:rPr>
                <w:rFonts w:ascii="Arial" w:cs="Arial" w:eastAsia="Arial" w:hAnsi="Arial"/>
                <w:sz w:val="15"/>
                <w:szCs w:val="15"/>
                <w:b w:val="1"/>
                <w:bCs w:val="1"/>
                <w:color w:val="939598"/>
              </w:rPr>
              <w:t>Long-Lived Assets</w:t>
            </w:r>
            <w:r>
              <w:rPr>
                <w:rFonts w:ascii="Arial" w:cs="Arial" w:eastAsia="Arial" w:hAnsi="Arial"/>
                <w:sz w:val="20"/>
                <w:szCs w:val="20"/>
                <w:b w:val="1"/>
                <w:bCs w:val="1"/>
                <w:color w:val="939598"/>
                <w:vertAlign w:val="superscript"/>
              </w:rPr>
              <w:t>(a)</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Americas: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United States</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34.6</w:t>
            </w:r>
          </w:p>
        </w:tc>
        <w:tc>
          <w:tcPr>
            <w:tcW w:w="46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42.9</w:t>
            </w:r>
          </w:p>
        </w:tc>
        <w:tc>
          <w:tcPr>
            <w:tcW w:w="580" w:type="dxa"/>
            <w:vAlign w:val="bottom"/>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Americas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9.1</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10.0</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43.7</w:t>
            </w:r>
          </w:p>
        </w:tc>
        <w:tc>
          <w:tcPr>
            <w:tcW w:w="46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52.9</w:t>
            </w:r>
          </w:p>
        </w:tc>
        <w:tc>
          <w:tcPr>
            <w:tcW w:w="58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France</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42.1</w:t>
            </w:r>
          </w:p>
        </w:tc>
        <w:tc>
          <w:tcPr>
            <w:tcW w:w="46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54.9</w:t>
            </w:r>
          </w:p>
        </w:tc>
        <w:tc>
          <w:tcPr>
            <w:tcW w:w="5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EMEA:</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8.6</w:t>
            </w:r>
          </w:p>
        </w:tc>
        <w:tc>
          <w:tcPr>
            <w:tcW w:w="46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11.4</w:t>
            </w:r>
          </w:p>
        </w:tc>
        <w:tc>
          <w:tcPr>
            <w:tcW w:w="5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EMEA</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62.6</w:t>
            </w:r>
          </w:p>
        </w:tc>
        <w:tc>
          <w:tcPr>
            <w:tcW w:w="46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73.9</w:t>
            </w:r>
          </w:p>
        </w:tc>
        <w:tc>
          <w:tcPr>
            <w:tcW w:w="58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70.9</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71.2</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85.3</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85.2</w:t>
            </w:r>
          </w:p>
        </w:tc>
        <w:tc>
          <w:tcPr>
            <w:tcW w:w="0" w:type="dxa"/>
            <w:vAlign w:val="bottom"/>
          </w:tcPr>
          <w:p>
            <w:pPr>
              <w:spacing w:after="0"/>
              <w:rPr>
                <w:sz w:val="1"/>
                <w:szCs w:val="1"/>
                <w:color w:val="auto"/>
              </w:rPr>
            </w:pP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Asia Pacific</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13.9</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17.6</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21.4</w:t>
            </w:r>
          </w:p>
        </w:tc>
        <w:tc>
          <w:tcPr>
            <w:tcW w:w="46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23.5</w:t>
            </w:r>
          </w:p>
        </w:tc>
        <w:tc>
          <w:tcPr>
            <w:tcW w:w="5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2.7</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5.4</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Corporate</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6.0</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7.6</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78"/>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201.0</w:t>
            </w:r>
          </w:p>
        </w:tc>
        <w:tc>
          <w:tcPr>
            <w:tcW w:w="460" w:type="dxa"/>
            <w:vAlign w:val="bottom"/>
            <w:tcBorders>
              <w:bottom w:val="single" w:sz="8" w:color="auto"/>
            </w:tcBorders>
            <w:shd w:val="clear" w:color="auto" w:fill="E6EFFF"/>
          </w:tcPr>
          <w:p>
            <w:pPr>
              <w:jc w:val="right"/>
              <w:ind w:right="30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247.2</w:t>
            </w:r>
          </w:p>
        </w:tc>
        <w:tc>
          <w:tcPr>
            <w:tcW w:w="580" w:type="dxa"/>
            <w:vAlign w:val="bottom"/>
            <w:tcBorders>
              <w:bottom w:val="single" w:sz="8" w:color="auto"/>
            </w:tcBorders>
            <w:shd w:val="clear" w:color="auto" w:fill="E6EF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b w:val="1"/>
                <w:bCs w:val="1"/>
                <w:color w:val="939598"/>
              </w:rPr>
              <w:t>Additions to Long-Lived Assets</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Americas: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ind w:left="14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3.2</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8.7</w:t>
            </w:r>
          </w:p>
        </w:tc>
        <w:tc>
          <w:tcPr>
            <w:tcW w:w="5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Other Americas</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2.2</w:t>
            </w:r>
          </w:p>
        </w:tc>
        <w:tc>
          <w:tcPr>
            <w:tcW w:w="46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6.1</w:t>
            </w:r>
          </w:p>
        </w:tc>
        <w:tc>
          <w:tcPr>
            <w:tcW w:w="58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5.4</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14.8</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75"/>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5.7</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12.6</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5"/>
                <w:szCs w:val="15"/>
                <w:color w:val="auto"/>
              </w:rPr>
            </w:pPr>
          </w:p>
        </w:tc>
        <w:tc>
          <w:tcPr>
            <w:tcW w:w="1380" w:type="dxa"/>
            <w:vAlign w:val="bottom"/>
            <w:tcBorders>
              <w:right w:val="single" w:sz="8" w:color="4D8ABE"/>
            </w:tcBorders>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Italy</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1.6</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2.7</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auto"/>
              <w:right w:val="single" w:sz="8" w:color="4D8ABE"/>
            </w:tcBorders>
          </w:tcPr>
          <w:p>
            <w:pPr>
              <w:ind w:left="140"/>
              <w:spacing w:after="0"/>
              <w:rPr>
                <w:sz w:val="20"/>
                <w:szCs w:val="20"/>
                <w:color w:val="auto"/>
              </w:rPr>
            </w:pPr>
            <w:r>
              <w:rPr>
                <w:rFonts w:ascii="Arial" w:cs="Arial" w:eastAsia="Arial" w:hAnsi="Arial"/>
                <w:sz w:val="15"/>
                <w:szCs w:val="15"/>
                <w:color w:val="auto"/>
              </w:rPr>
              <w:t>Other EMEA</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12.6</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37.9</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35.5</w:t>
            </w:r>
          </w:p>
        </w:tc>
        <w:tc>
          <w:tcPr>
            <w:tcW w:w="0" w:type="dxa"/>
            <w:vAlign w:val="bottom"/>
          </w:tcPr>
          <w:p>
            <w:pPr>
              <w:spacing w:after="0"/>
              <w:rPr>
                <w:sz w:val="1"/>
                <w:szCs w:val="1"/>
                <w:color w:val="auto"/>
              </w:rPr>
            </w:pPr>
          </w:p>
        </w:tc>
      </w:tr>
      <w:tr>
        <w:trPr>
          <w:trHeight w:val="175"/>
        </w:trPr>
        <w:tc>
          <w:tcPr>
            <w:tcW w:w="7080" w:type="dxa"/>
            <w:vAlign w:val="bottom"/>
            <w:tcBorders>
              <w:bottom w:val="single" w:sz="8" w:color="auto"/>
              <w:right w:val="single" w:sz="8" w:color="4D8ABE"/>
            </w:tcBorders>
            <w:shd w:val="clear" w:color="auto" w:fill="E6EFFF"/>
          </w:tcPr>
          <w:p>
            <w:pPr>
              <w:spacing w:after="0"/>
              <w:rPr>
                <w:sz w:val="15"/>
                <w:szCs w:val="15"/>
                <w:color w:val="auto"/>
              </w:rPr>
            </w:pP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14.2</w:t>
            </w:r>
          </w:p>
        </w:tc>
        <w:tc>
          <w:tcPr>
            <w:tcW w:w="46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40.6</w:t>
            </w:r>
          </w:p>
        </w:tc>
        <w:tc>
          <w:tcPr>
            <w:tcW w:w="58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40.9</w:t>
            </w:r>
          </w:p>
        </w:tc>
        <w:tc>
          <w:tcPr>
            <w:tcW w:w="0" w:type="dxa"/>
            <w:vAlign w:val="bottom"/>
          </w:tcPr>
          <w:p>
            <w:pPr>
              <w:spacing w:after="0"/>
              <w:rPr>
                <w:sz w:val="1"/>
                <w:szCs w:val="1"/>
                <w:color w:val="auto"/>
              </w:rPr>
            </w:pPr>
          </w:p>
        </w:tc>
      </w:tr>
      <w:tr>
        <w:trPr>
          <w:trHeight w:val="175"/>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Asia Pacific</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2.2</w:t>
            </w:r>
          </w:p>
        </w:tc>
        <w:tc>
          <w:tcPr>
            <w:tcW w:w="46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6.8</w:t>
            </w:r>
          </w:p>
        </w:tc>
        <w:tc>
          <w:tcPr>
            <w:tcW w:w="5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Right Management</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6.3</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7.8</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Jefferson Wells</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0.3</w:t>
            </w:r>
          </w:p>
        </w:tc>
        <w:tc>
          <w:tcPr>
            <w:tcW w:w="46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2.1</w:t>
            </w:r>
          </w:p>
        </w:tc>
        <w:tc>
          <w:tcPr>
            <w:tcW w:w="5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Corporate</w:t>
            </w:r>
          </w:p>
        </w:tc>
        <w:tc>
          <w:tcPr>
            <w:tcW w:w="80" w:type="dxa"/>
            <w:vAlign w:val="bottom"/>
            <w:tcBorders>
              <w:bottom w:val="single" w:sz="8" w:color="auto"/>
            </w:tcBorders>
            <w:shd w:val="clear" w:color="auto" w:fill="E6EFFF"/>
          </w:tcPr>
          <w:p>
            <w:pPr>
              <w:spacing w:after="0"/>
              <w:rPr>
                <w:sz w:val="15"/>
                <w:szCs w:val="15"/>
                <w:color w:val="auto"/>
              </w:rPr>
            </w:pPr>
          </w:p>
        </w:tc>
        <w:tc>
          <w:tcPr>
            <w:tcW w:w="1380" w:type="dxa"/>
            <w:vAlign w:val="bottom"/>
            <w:tcBorders>
              <w:bottom w:val="single" w:sz="8" w:color="auto"/>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1.0</w:t>
            </w:r>
          </w:p>
        </w:tc>
        <w:tc>
          <w:tcPr>
            <w:tcW w:w="460" w:type="dxa"/>
            <w:vAlign w:val="bottom"/>
            <w:tcBorders>
              <w:bottom w:val="single" w:sz="8" w:color="auto"/>
            </w:tcBorders>
            <w:shd w:val="clear" w:color="auto" w:fill="E6EFFF"/>
          </w:tcPr>
          <w:p>
            <w:pPr>
              <w:spacing w:after="0"/>
              <w:rPr>
                <w:sz w:val="15"/>
                <w:szCs w:val="15"/>
                <w:color w:val="auto"/>
              </w:rPr>
            </w:pPr>
          </w:p>
        </w:tc>
        <w:tc>
          <w:tcPr>
            <w:tcW w:w="86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2.2</w:t>
            </w:r>
          </w:p>
        </w:tc>
        <w:tc>
          <w:tcPr>
            <w:tcW w:w="580" w:type="dxa"/>
            <w:vAlign w:val="bottom"/>
            <w:tcBorders>
              <w:bottom w:val="single" w:sz="8" w:color="auto"/>
            </w:tcBorders>
            <w:shd w:val="clear" w:color="auto" w:fill="E6EFFF"/>
          </w:tcPr>
          <w:p>
            <w:pPr>
              <w:spacing w:after="0"/>
              <w:rPr>
                <w:sz w:val="15"/>
                <w:szCs w:val="15"/>
                <w:color w:val="auto"/>
              </w:rPr>
            </w:pPr>
          </w:p>
        </w:tc>
        <w:tc>
          <w:tcPr>
            <w:tcW w:w="1000" w:type="dxa"/>
            <w:vAlign w:val="bottom"/>
            <w:tcBorders>
              <w:bottom w:val="single" w:sz="8" w:color="auto"/>
            </w:tcBorders>
            <w:shd w:val="clear" w:color="auto" w:fill="E6EFFF"/>
          </w:tcPr>
          <w:p>
            <w:pPr>
              <w:jc w:val="right"/>
              <w:ind w:right="144"/>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78"/>
        </w:trPr>
        <w:tc>
          <w:tcPr>
            <w:tcW w:w="7080" w:type="dxa"/>
            <w:vAlign w:val="bottom"/>
            <w:tcBorders>
              <w:bottom w:val="single" w:sz="8" w:color="auto"/>
              <w:right w:val="single" w:sz="8" w:color="4D8ABE"/>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35.1</w:t>
            </w:r>
          </w:p>
        </w:tc>
        <w:tc>
          <w:tcPr>
            <w:tcW w:w="4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86.9</w:t>
            </w:r>
          </w:p>
        </w:tc>
        <w:tc>
          <w:tcPr>
            <w:tcW w:w="5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289"/>
        </w:trPr>
        <w:tc>
          <w:tcPr>
            <w:tcW w:w="7080" w:type="dxa"/>
            <w:vAlign w:val="bottom"/>
          </w:tcPr>
          <w:p>
            <w:pPr>
              <w:spacing w:after="0"/>
              <w:rPr>
                <w:sz w:val="20"/>
                <w:szCs w:val="20"/>
                <w:color w:val="auto"/>
              </w:rPr>
            </w:pPr>
            <w:r>
              <w:rPr>
                <w:rFonts w:ascii="Arial" w:cs="Arial" w:eastAsia="Arial" w:hAnsi="Arial"/>
                <w:sz w:val="12"/>
                <w:szCs w:val="12"/>
                <w:color w:val="auto"/>
              </w:rPr>
              <w:t>(a) Further breakdown of Long-Lived Assets by geographical region is as follows:</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4D8ABE"/>
              </w:rPr>
              <w:t>2008</w:t>
            </w:r>
          </w:p>
        </w:tc>
        <w:tc>
          <w:tcPr>
            <w:tcW w:w="580" w:type="dxa"/>
            <w:vAlign w:val="bottom"/>
          </w:tcPr>
          <w:p>
            <w:pPr>
              <w:spacing w:after="0"/>
              <w:rPr>
                <w:sz w:val="16"/>
                <w:szCs w:val="16"/>
                <w:color w:val="auto"/>
              </w:rPr>
            </w:pPr>
          </w:p>
        </w:tc>
        <w:tc>
          <w:tcPr>
            <w:tcW w:w="10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D8ABE"/>
              </w:rPr>
              <w:t>2007</w:t>
            </w:r>
          </w:p>
        </w:tc>
        <w:tc>
          <w:tcPr>
            <w:tcW w:w="0" w:type="dxa"/>
            <w:vAlign w:val="bottom"/>
          </w:tcPr>
          <w:p>
            <w:pPr>
              <w:spacing w:after="0"/>
              <w:rPr>
                <w:sz w:val="1"/>
                <w:szCs w:val="1"/>
                <w:color w:val="auto"/>
              </w:rPr>
            </w:pPr>
          </w:p>
        </w:tc>
      </w:tr>
      <w:tr>
        <w:trPr>
          <w:trHeight w:val="188"/>
        </w:trPr>
        <w:tc>
          <w:tcPr>
            <w:tcW w:w="7080" w:type="dxa"/>
            <w:vAlign w:val="bottom"/>
            <w:tcBorders>
              <w:bottom w:val="single" w:sz="8" w:color="4D8ABE"/>
              <w:right w:val="single" w:sz="8" w:color="4D8ABE"/>
            </w:tcBorders>
          </w:tcPr>
          <w:p>
            <w:pPr>
              <w:spacing w:after="0"/>
              <w:rPr>
                <w:sz w:val="16"/>
                <w:szCs w:val="16"/>
                <w:color w:val="auto"/>
              </w:rPr>
            </w:pPr>
          </w:p>
        </w:tc>
        <w:tc>
          <w:tcPr>
            <w:tcW w:w="80" w:type="dxa"/>
            <w:vAlign w:val="bottom"/>
            <w:tcBorders>
              <w:bottom w:val="single" w:sz="8" w:color="4D8ABE"/>
            </w:tcBorders>
            <w:shd w:val="clear" w:color="auto" w:fill="4D8ABE"/>
          </w:tcPr>
          <w:p>
            <w:pPr>
              <w:spacing w:after="0"/>
              <w:rPr>
                <w:sz w:val="16"/>
                <w:szCs w:val="16"/>
                <w:color w:val="auto"/>
              </w:rPr>
            </w:pPr>
          </w:p>
        </w:tc>
        <w:tc>
          <w:tcPr>
            <w:tcW w:w="1380" w:type="dxa"/>
            <w:vAlign w:val="bottom"/>
            <w:tcBorders>
              <w:bottom w:val="single" w:sz="8" w:color="4D8ABE"/>
              <w:right w:val="single" w:sz="8" w:color="4D8ABE"/>
            </w:tcBorders>
            <w:shd w:val="clear" w:color="auto" w:fill="4D8ABE"/>
          </w:tcPr>
          <w:p>
            <w:pPr>
              <w:jc w:val="right"/>
              <w:ind w:right="164"/>
              <w:spacing w:after="0"/>
              <w:rPr>
                <w:sz w:val="20"/>
                <w:szCs w:val="20"/>
                <w:color w:val="auto"/>
              </w:rPr>
            </w:pPr>
            <w:r>
              <w:rPr>
                <w:rFonts w:ascii="Arial" w:cs="Arial" w:eastAsia="Arial" w:hAnsi="Arial"/>
                <w:sz w:val="14"/>
                <w:szCs w:val="14"/>
                <w:b w:val="1"/>
                <w:bCs w:val="1"/>
                <w:color w:val="FFFFFF"/>
              </w:rPr>
              <w:t>2009</w:t>
            </w:r>
          </w:p>
        </w:tc>
        <w:tc>
          <w:tcPr>
            <w:tcW w:w="460" w:type="dxa"/>
            <w:vAlign w:val="bottom"/>
            <w:tcBorders>
              <w:bottom w:val="single" w:sz="8" w:color="4D8ABE"/>
            </w:tcBorders>
          </w:tcPr>
          <w:p>
            <w:pPr>
              <w:spacing w:after="0"/>
              <w:rPr>
                <w:sz w:val="16"/>
                <w:szCs w:val="16"/>
                <w:color w:val="auto"/>
              </w:rPr>
            </w:pPr>
          </w:p>
        </w:tc>
        <w:tc>
          <w:tcPr>
            <w:tcW w:w="860" w:type="dxa"/>
            <w:vAlign w:val="bottom"/>
            <w:tcBorders>
              <w:bottom w:val="single" w:sz="8" w:color="4D8ABE"/>
            </w:tcBorders>
            <w:vMerge w:val="continue"/>
          </w:tcPr>
          <w:p>
            <w:pPr>
              <w:spacing w:after="0"/>
              <w:rPr>
                <w:sz w:val="16"/>
                <w:szCs w:val="16"/>
                <w:color w:val="auto"/>
              </w:rPr>
            </w:pPr>
          </w:p>
        </w:tc>
        <w:tc>
          <w:tcPr>
            <w:tcW w:w="580" w:type="dxa"/>
            <w:vAlign w:val="bottom"/>
            <w:tcBorders>
              <w:bottom w:val="single" w:sz="8" w:color="4D8ABE"/>
            </w:tcBorders>
          </w:tcPr>
          <w:p>
            <w:pPr>
              <w:spacing w:after="0"/>
              <w:rPr>
                <w:sz w:val="16"/>
                <w:szCs w:val="16"/>
                <w:color w:val="auto"/>
              </w:rPr>
            </w:pPr>
          </w:p>
        </w:tc>
        <w:tc>
          <w:tcPr>
            <w:tcW w:w="1000" w:type="dxa"/>
            <w:vAlign w:val="bottom"/>
            <w:tcBorders>
              <w:bottom w:val="single" w:sz="8" w:color="4D8AB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b w:val="1"/>
                <w:bCs w:val="1"/>
                <w:color w:val="939598"/>
              </w:rPr>
              <w:t>Long-Lived Assets</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spacing w:after="0"/>
              <w:rPr>
                <w:sz w:val="15"/>
                <w:szCs w:val="15"/>
                <w:color w:val="auto"/>
              </w:rPr>
            </w:pP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spacing w:after="0"/>
              <w:rPr>
                <w:sz w:val="15"/>
                <w:szCs w:val="15"/>
                <w:color w:val="auto"/>
              </w:rPr>
            </w:pP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44.9</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57.3</w:t>
            </w:r>
          </w:p>
        </w:tc>
        <w:tc>
          <w:tcPr>
            <w:tcW w:w="5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45.1</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58.3</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5"/>
                <w:szCs w:val="15"/>
                <w:color w:val="auto"/>
              </w:rPr>
            </w:pPr>
          </w:p>
        </w:tc>
        <w:tc>
          <w:tcPr>
            <w:tcW w:w="1380" w:type="dxa"/>
            <w:vAlign w:val="bottom"/>
            <w:tcBorders>
              <w:right w:val="single" w:sz="8" w:color="4D8ABE"/>
            </w:tcBorders>
          </w:tcPr>
          <w:p>
            <w:pPr>
              <w:jc w:val="right"/>
              <w:ind w:right="164"/>
              <w:spacing w:after="0"/>
              <w:rPr>
                <w:sz w:val="20"/>
                <w:szCs w:val="20"/>
                <w:color w:val="auto"/>
              </w:rPr>
            </w:pPr>
            <w:r>
              <w:rPr>
                <w:rFonts w:ascii="Arial" w:cs="Arial" w:eastAsia="Arial" w:hAnsi="Arial"/>
                <w:sz w:val="15"/>
                <w:szCs w:val="15"/>
                <w:color w:val="4D8ABE"/>
              </w:rPr>
              <w:t>9.3</w:t>
            </w:r>
          </w:p>
        </w:tc>
        <w:tc>
          <w:tcPr>
            <w:tcW w:w="46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12.3</w:t>
            </w:r>
          </w:p>
        </w:tc>
        <w:tc>
          <w:tcPr>
            <w:tcW w:w="5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84"/>
        </w:trPr>
        <w:tc>
          <w:tcPr>
            <w:tcW w:w="70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United Kingdom</w:t>
            </w:r>
          </w:p>
        </w:tc>
        <w:tc>
          <w:tcPr>
            <w:tcW w:w="80" w:type="dxa"/>
            <w:vAlign w:val="bottom"/>
            <w:shd w:val="clear" w:color="auto" w:fill="E6EFFF"/>
          </w:tcPr>
          <w:p>
            <w:pPr>
              <w:spacing w:after="0"/>
              <w:rPr>
                <w:sz w:val="15"/>
                <w:szCs w:val="15"/>
                <w:color w:val="auto"/>
              </w:rPr>
            </w:pPr>
          </w:p>
        </w:tc>
        <w:tc>
          <w:tcPr>
            <w:tcW w:w="1380" w:type="dxa"/>
            <w:vAlign w:val="bottom"/>
            <w:tcBorders>
              <w:right w:val="single" w:sz="8" w:color="4D8ABE"/>
            </w:tcBorders>
            <w:shd w:val="clear" w:color="auto" w:fill="E6EFFF"/>
          </w:tcPr>
          <w:p>
            <w:pPr>
              <w:jc w:val="right"/>
              <w:ind w:right="164"/>
              <w:spacing w:after="0"/>
              <w:rPr>
                <w:sz w:val="20"/>
                <w:szCs w:val="20"/>
                <w:color w:val="auto"/>
              </w:rPr>
            </w:pPr>
            <w:r>
              <w:rPr>
                <w:rFonts w:ascii="Arial" w:cs="Arial" w:eastAsia="Arial" w:hAnsi="Arial"/>
                <w:sz w:val="15"/>
                <w:szCs w:val="15"/>
                <w:color w:val="4D8ABE"/>
              </w:rPr>
              <w:t>16.7</w:t>
            </w:r>
          </w:p>
        </w:tc>
        <w:tc>
          <w:tcPr>
            <w:tcW w:w="460" w:type="dxa"/>
            <w:vAlign w:val="bottom"/>
            <w:shd w:val="clear" w:color="auto" w:fill="E6EFFF"/>
          </w:tcPr>
          <w:p>
            <w:pPr>
              <w:spacing w:after="0"/>
              <w:rPr>
                <w:sz w:val="15"/>
                <w:szCs w:val="15"/>
                <w:color w:val="auto"/>
              </w:rPr>
            </w:pPr>
          </w:p>
        </w:tc>
        <w:tc>
          <w:tcPr>
            <w:tcW w:w="86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19.4</w:t>
            </w:r>
          </w:p>
        </w:tc>
        <w:tc>
          <w:tcPr>
            <w:tcW w:w="580" w:type="dxa"/>
            <w:vAlign w:val="bottom"/>
            <w:shd w:val="clear" w:color="auto" w:fill="E6EFFF"/>
          </w:tcPr>
          <w:p>
            <w:pPr>
              <w:spacing w:after="0"/>
              <w:rPr>
                <w:sz w:val="15"/>
                <w:szCs w:val="15"/>
                <w:color w:val="auto"/>
              </w:rPr>
            </w:pPr>
          </w:p>
        </w:tc>
        <w:tc>
          <w:tcPr>
            <w:tcW w:w="10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87"/>
        </w:trPr>
        <w:tc>
          <w:tcPr>
            <w:tcW w:w="708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5"/>
                <w:szCs w:val="15"/>
                <w:color w:val="auto"/>
              </w:rPr>
              <w:t>Total Foreign</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4D8ABE"/>
            </w:tcBorders>
          </w:tcPr>
          <w:p>
            <w:pPr>
              <w:jc w:val="right"/>
              <w:ind w:right="164"/>
              <w:spacing w:after="0"/>
              <w:rPr>
                <w:sz w:val="20"/>
                <w:szCs w:val="20"/>
                <w:color w:val="auto"/>
              </w:rPr>
            </w:pPr>
            <w:r>
              <w:rPr>
                <w:rFonts w:ascii="Arial" w:cs="Arial" w:eastAsia="Arial" w:hAnsi="Arial"/>
                <w:sz w:val="15"/>
                <w:szCs w:val="15"/>
                <w:color w:val="4D8ABE"/>
              </w:rPr>
              <w:t>156.1</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189.9</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203.7</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74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10" w:name="page111"/>
    <w:bookmarkEnd w:id="110"/>
    <w:p>
      <w:pPr>
        <w:ind w:left="8"/>
        <w:spacing w:after="0"/>
        <w:rPr>
          <w:sz w:val="20"/>
          <w:szCs w:val="20"/>
          <w:color w:val="auto"/>
        </w:rPr>
      </w:pPr>
      <w:r>
        <w:rPr>
          <w:rFonts w:ascii="Arial" w:cs="Arial" w:eastAsia="Arial" w:hAnsi="Arial"/>
          <w:sz w:val="21"/>
          <w:szCs w:val="21"/>
          <w:color w:val="4D8ABE"/>
        </w:rPr>
        <w:t>16.</w:t>
      </w:r>
    </w:p>
    <w:p>
      <w:pPr>
        <w:ind w:left="8"/>
        <w:spacing w:after="0"/>
        <w:rPr>
          <w:sz w:val="20"/>
          <w:szCs w:val="20"/>
          <w:color w:val="auto"/>
        </w:rPr>
      </w:pPr>
      <w:r>
        <w:rPr>
          <w:rFonts w:ascii="Arial" w:cs="Arial" w:eastAsia="Arial" w:hAnsi="Arial"/>
          <w:sz w:val="21"/>
          <w:szCs w:val="21"/>
          <w:color w:val="4D8ABE"/>
        </w:rPr>
        <w:t>Quarterly Data (Unaudited)</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4"/>
                <w:szCs w:val="14"/>
                <w:b w:val="1"/>
                <w:bCs w:val="1"/>
                <w:color w:val="4D8ABE"/>
              </w:rPr>
              <w:t>First</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4"/>
                <w:szCs w:val="14"/>
                <w:b w:val="1"/>
                <w:bCs w:val="1"/>
                <w:color w:val="4D8ABE"/>
              </w:rPr>
              <w:t>Second</w:t>
            </w:r>
          </w:p>
        </w:tc>
        <w:tc>
          <w:tcPr>
            <w:tcW w:w="5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4"/>
                <w:szCs w:val="14"/>
                <w:b w:val="1"/>
                <w:bCs w:val="1"/>
                <w:color w:val="4D8ABE"/>
              </w:rPr>
              <w:t>Third</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4"/>
                <w:szCs w:val="14"/>
                <w:b w:val="1"/>
                <w:bCs w:val="1"/>
                <w:color w:val="4D8ABE"/>
              </w:rPr>
              <w:t>Fourth</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3"/>
        </w:trPr>
        <w:tc>
          <w:tcPr>
            <w:tcW w:w="3420" w:type="dxa"/>
            <w:vAlign w:val="bottom"/>
            <w:tcBorders>
              <w:bottom w:val="single" w:sz="8" w:color="4D8ABE"/>
            </w:tcBorders>
          </w:tcPr>
          <w:p>
            <w:pPr>
              <w:spacing w:after="0"/>
              <w:rPr>
                <w:sz w:val="16"/>
                <w:szCs w:val="16"/>
                <w:color w:val="auto"/>
              </w:rPr>
            </w:pPr>
          </w:p>
        </w:tc>
        <w:tc>
          <w:tcPr>
            <w:tcW w:w="1120" w:type="dxa"/>
            <w:vAlign w:val="bottom"/>
            <w:tcBorders>
              <w:bottom w:val="single" w:sz="8" w:color="4D8ABE"/>
            </w:tcBorders>
          </w:tcPr>
          <w:p>
            <w:pPr>
              <w:spacing w:after="0"/>
              <w:rPr>
                <w:sz w:val="16"/>
                <w:szCs w:val="16"/>
                <w:color w:val="auto"/>
              </w:rPr>
            </w:pPr>
          </w:p>
        </w:tc>
        <w:tc>
          <w:tcPr>
            <w:tcW w:w="98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Quarter</w:t>
            </w:r>
          </w:p>
        </w:tc>
        <w:tc>
          <w:tcPr>
            <w:tcW w:w="480" w:type="dxa"/>
            <w:vAlign w:val="bottom"/>
            <w:tcBorders>
              <w:bottom w:val="single" w:sz="8" w:color="4D8ABE"/>
            </w:tcBorders>
          </w:tcPr>
          <w:p>
            <w:pPr>
              <w:spacing w:after="0"/>
              <w:rPr>
                <w:sz w:val="16"/>
                <w:szCs w:val="16"/>
                <w:color w:val="auto"/>
              </w:rPr>
            </w:pPr>
          </w:p>
        </w:tc>
        <w:tc>
          <w:tcPr>
            <w:tcW w:w="940" w:type="dxa"/>
            <w:vAlign w:val="bottom"/>
            <w:tcBorders>
              <w:bottom w:val="single" w:sz="8" w:color="4D8ABE"/>
            </w:tcBorders>
          </w:tcPr>
          <w:p>
            <w:pPr>
              <w:jc w:val="right"/>
              <w:ind w:right="24"/>
              <w:spacing w:after="0"/>
              <w:rPr>
                <w:sz w:val="20"/>
                <w:szCs w:val="20"/>
                <w:color w:val="auto"/>
              </w:rPr>
            </w:pPr>
            <w:r>
              <w:rPr>
                <w:rFonts w:ascii="Arial" w:cs="Arial" w:eastAsia="Arial" w:hAnsi="Arial"/>
                <w:sz w:val="14"/>
                <w:szCs w:val="14"/>
                <w:b w:val="1"/>
                <w:bCs w:val="1"/>
                <w:color w:val="4D8ABE"/>
              </w:rPr>
              <w:t>Quarter</w:t>
            </w:r>
          </w:p>
        </w:tc>
        <w:tc>
          <w:tcPr>
            <w:tcW w:w="520" w:type="dxa"/>
            <w:vAlign w:val="bottom"/>
            <w:tcBorders>
              <w:bottom w:val="single" w:sz="8" w:color="4D8ABE"/>
            </w:tcBorders>
          </w:tcPr>
          <w:p>
            <w:pPr>
              <w:spacing w:after="0"/>
              <w:rPr>
                <w:sz w:val="16"/>
                <w:szCs w:val="16"/>
                <w:color w:val="auto"/>
              </w:rPr>
            </w:pPr>
          </w:p>
        </w:tc>
        <w:tc>
          <w:tcPr>
            <w:tcW w:w="980" w:type="dxa"/>
            <w:vAlign w:val="bottom"/>
            <w:tcBorders>
              <w:bottom w:val="single" w:sz="8" w:color="4D8ABE"/>
            </w:tcBorders>
          </w:tcPr>
          <w:p>
            <w:pPr>
              <w:jc w:val="right"/>
              <w:ind w:right="64"/>
              <w:spacing w:after="0"/>
              <w:rPr>
                <w:sz w:val="20"/>
                <w:szCs w:val="20"/>
                <w:color w:val="auto"/>
              </w:rPr>
            </w:pPr>
            <w:r>
              <w:rPr>
                <w:rFonts w:ascii="Arial" w:cs="Arial" w:eastAsia="Arial" w:hAnsi="Arial"/>
                <w:sz w:val="14"/>
                <w:szCs w:val="14"/>
                <w:b w:val="1"/>
                <w:bCs w:val="1"/>
                <w:color w:val="4D8ABE"/>
              </w:rPr>
              <w:t>Quarter</w:t>
            </w:r>
          </w:p>
        </w:tc>
        <w:tc>
          <w:tcPr>
            <w:tcW w:w="480" w:type="dxa"/>
            <w:vAlign w:val="bottom"/>
            <w:tcBorders>
              <w:bottom w:val="single" w:sz="8" w:color="4D8ABE"/>
            </w:tcBorders>
          </w:tcPr>
          <w:p>
            <w:pPr>
              <w:spacing w:after="0"/>
              <w:rPr>
                <w:sz w:val="16"/>
                <w:szCs w:val="16"/>
                <w:color w:val="auto"/>
              </w:rPr>
            </w:pPr>
          </w:p>
        </w:tc>
        <w:tc>
          <w:tcPr>
            <w:tcW w:w="940" w:type="dxa"/>
            <w:vAlign w:val="bottom"/>
            <w:tcBorders>
              <w:bottom w:val="single" w:sz="8" w:color="4D8ABE"/>
            </w:tcBorders>
          </w:tcPr>
          <w:p>
            <w:pPr>
              <w:jc w:val="right"/>
              <w:ind w:right="24"/>
              <w:spacing w:after="0"/>
              <w:rPr>
                <w:sz w:val="20"/>
                <w:szCs w:val="20"/>
                <w:color w:val="auto"/>
              </w:rPr>
            </w:pPr>
            <w:r>
              <w:rPr>
                <w:rFonts w:ascii="Arial" w:cs="Arial" w:eastAsia="Arial" w:hAnsi="Arial"/>
                <w:sz w:val="14"/>
                <w:szCs w:val="14"/>
                <w:b w:val="1"/>
                <w:bCs w:val="1"/>
                <w:color w:val="4D8ABE"/>
              </w:rPr>
              <w:t>Quarter</w:t>
            </w:r>
          </w:p>
        </w:tc>
        <w:tc>
          <w:tcPr>
            <w:tcW w:w="480" w:type="dxa"/>
            <w:vAlign w:val="bottom"/>
            <w:tcBorders>
              <w:bottom w:val="single" w:sz="8" w:color="4D8ABE"/>
            </w:tcBorders>
          </w:tcPr>
          <w:p>
            <w:pPr>
              <w:spacing w:after="0"/>
              <w:rPr>
                <w:sz w:val="16"/>
                <w:szCs w:val="16"/>
                <w:color w:val="auto"/>
              </w:rPr>
            </w:pPr>
          </w:p>
        </w:tc>
        <w:tc>
          <w:tcPr>
            <w:tcW w:w="1100" w:type="dxa"/>
            <w:vAlign w:val="bottom"/>
            <w:tcBorders>
              <w:bottom w:val="single" w:sz="8" w:color="4D8ABE"/>
            </w:tcBorders>
          </w:tcPr>
          <w:p>
            <w:pPr>
              <w:jc w:val="right"/>
              <w:ind w:right="144"/>
              <w:spacing w:after="0"/>
              <w:rPr>
                <w:sz w:val="20"/>
                <w:szCs w:val="20"/>
                <w:color w:val="auto"/>
              </w:rPr>
            </w:pPr>
            <w:r>
              <w:rPr>
                <w:rFonts w:ascii="Arial" w:cs="Arial" w:eastAsia="Arial" w:hAnsi="Arial"/>
                <w:sz w:val="14"/>
                <w:szCs w:val="14"/>
                <w:b w:val="1"/>
                <w:bCs w:val="1"/>
                <w:color w:val="4D8ABE"/>
              </w:rPr>
              <w:t>Total</w:t>
            </w:r>
          </w:p>
        </w:tc>
      </w:tr>
      <w:tr>
        <w:trPr>
          <w:trHeight w:val="184"/>
        </w:trPr>
        <w:tc>
          <w:tcPr>
            <w:tcW w:w="3420" w:type="dxa"/>
            <w:vAlign w:val="bottom"/>
            <w:shd w:val="clear" w:color="auto" w:fill="E6EFFF"/>
          </w:tcPr>
          <w:p>
            <w:pPr>
              <w:spacing w:after="0" w:line="184" w:lineRule="exact"/>
              <w:rPr>
                <w:sz w:val="20"/>
                <w:szCs w:val="20"/>
                <w:color w:val="auto"/>
              </w:rPr>
            </w:pPr>
            <w:r>
              <w:rPr>
                <w:rFonts w:ascii="Arial" w:cs="Arial" w:eastAsia="Arial" w:hAnsi="Arial"/>
                <w:sz w:val="15"/>
                <w:szCs w:val="15"/>
                <w:b w:val="1"/>
                <w:bCs w:val="1"/>
                <w:color w:val="939598"/>
              </w:rPr>
              <w:t>Year Ended December 31, 2009</w:t>
            </w:r>
            <w:r>
              <w:rPr>
                <w:rFonts w:ascii="Arial" w:cs="Arial" w:eastAsia="Arial" w:hAnsi="Arial"/>
                <w:sz w:val="21"/>
                <w:szCs w:val="21"/>
                <w:b w:val="1"/>
                <w:bCs w:val="1"/>
                <w:color w:val="939598"/>
                <w:vertAlign w:val="superscript"/>
              </w:rPr>
              <w:t>(a)</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5"/>
                <w:szCs w:val="15"/>
                <w:color w:val="auto"/>
              </w:rPr>
              <w:t>Revenues from Services</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3,643.0</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3,793.5</w:t>
            </w:r>
          </w:p>
        </w:tc>
        <w:tc>
          <w:tcPr>
            <w:tcW w:w="5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4,189.6</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4,412.6</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16,038.7</w:t>
            </w: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Gross profit</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665.7</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692.3</w:t>
            </w: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704.1</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756.1</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2,818.2</w:t>
            </w:r>
          </w:p>
        </w:tc>
      </w:tr>
      <w:tr>
        <w:trPr>
          <w:trHeight w:val="184"/>
        </w:trPr>
        <w:tc>
          <w:tcPr>
            <w:tcW w:w="3420" w:type="dxa"/>
            <w:vAlign w:val="bottom"/>
          </w:tcPr>
          <w:p>
            <w:pPr>
              <w:spacing w:after="0" w:line="184" w:lineRule="exact"/>
              <w:rPr>
                <w:sz w:val="20"/>
                <w:szCs w:val="20"/>
                <w:color w:val="auto"/>
              </w:rPr>
            </w:pPr>
            <w:r>
              <w:rPr>
                <w:rFonts w:ascii="Arial" w:cs="Arial" w:eastAsia="Arial" w:hAnsi="Arial"/>
                <w:sz w:val="15"/>
                <w:szCs w:val="15"/>
                <w:color w:val="auto"/>
              </w:rPr>
              <w:t>Operating profit (loss)</w:t>
            </w:r>
            <w:r>
              <w:rPr>
                <w:rFonts w:ascii="Arial" w:cs="Arial" w:eastAsia="Arial" w:hAnsi="Arial"/>
                <w:sz w:val="21"/>
                <w:szCs w:val="21"/>
                <w:color w:val="auto"/>
                <w:vertAlign w:val="superscript"/>
              </w:rPr>
              <w:t>(b)</w:t>
            </w:r>
          </w:p>
        </w:tc>
        <w:tc>
          <w:tcPr>
            <w:tcW w:w="1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1.4</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19.0</w:t>
            </w:r>
          </w:p>
        </w:tc>
        <w:tc>
          <w:tcPr>
            <w:tcW w:w="52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(21.5)</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42.8</w:t>
            </w:r>
          </w:p>
        </w:tc>
        <w:tc>
          <w:tcPr>
            <w:tcW w:w="4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41.7</w:t>
            </w: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Net (loss) earnings</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(1.8)</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16.3</w:t>
            </w: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(52.8)</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29.1</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(9.2)</w:t>
            </w:r>
          </w:p>
        </w:tc>
      </w:tr>
      <w:tr>
        <w:trPr>
          <w:trHeight w:val="184"/>
        </w:trPr>
        <w:tc>
          <w:tcPr>
            <w:tcW w:w="3420" w:type="dxa"/>
            <w:vAlign w:val="bottom"/>
          </w:tcPr>
          <w:p>
            <w:pPr>
              <w:spacing w:after="0"/>
              <w:rPr>
                <w:sz w:val="20"/>
                <w:szCs w:val="20"/>
                <w:color w:val="auto"/>
              </w:rPr>
            </w:pPr>
            <w:r>
              <w:rPr>
                <w:rFonts w:ascii="Arial" w:cs="Arial" w:eastAsia="Arial" w:hAnsi="Arial"/>
                <w:sz w:val="15"/>
                <w:szCs w:val="15"/>
                <w:color w:val="auto"/>
              </w:rPr>
              <w:t>Net (loss) earnings per share – basic</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(0.02)</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0.21</w:t>
            </w:r>
          </w:p>
        </w:tc>
        <w:tc>
          <w:tcPr>
            <w:tcW w:w="5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(0.67)</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0.37</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(0.12)</w:t>
            </w:r>
          </w:p>
        </w:tc>
      </w:tr>
      <w:tr>
        <w:trPr>
          <w:trHeight w:val="184"/>
        </w:trPr>
        <w:tc>
          <w:tcPr>
            <w:tcW w:w="3420" w:type="dxa"/>
            <w:vAlign w:val="bottom"/>
            <w:shd w:val="clear" w:color="auto" w:fill="E6EFFF"/>
          </w:tcPr>
          <w:p>
            <w:pPr>
              <w:spacing w:after="0" w:line="184" w:lineRule="exact"/>
              <w:rPr>
                <w:sz w:val="20"/>
                <w:szCs w:val="20"/>
                <w:color w:val="auto"/>
              </w:rPr>
            </w:pPr>
            <w:r>
              <w:rPr>
                <w:rFonts w:ascii="Arial" w:cs="Arial" w:eastAsia="Arial" w:hAnsi="Arial"/>
                <w:sz w:val="15"/>
                <w:szCs w:val="15"/>
                <w:color w:val="auto"/>
              </w:rPr>
              <w:t>Net (loss) earnings per share – diluted</w:t>
            </w:r>
            <w:r>
              <w:rPr>
                <w:rFonts w:ascii="Arial" w:cs="Arial" w:eastAsia="Arial" w:hAnsi="Arial"/>
                <w:sz w:val="21"/>
                <w:szCs w:val="21"/>
                <w:color w:val="auto"/>
                <w:vertAlign w:val="superscript"/>
              </w:rPr>
              <w:t>(c)</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(0.02)</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0.21</w:t>
            </w: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(0.67)</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0.37</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(0.12)</w:t>
            </w:r>
          </w:p>
        </w:tc>
      </w:tr>
      <w:tr>
        <w:trPr>
          <w:trHeight w:val="184"/>
        </w:trPr>
        <w:tc>
          <w:tcPr>
            <w:tcW w:w="3420" w:type="dxa"/>
            <w:vAlign w:val="bottom"/>
          </w:tcPr>
          <w:p>
            <w:pPr>
              <w:spacing w:after="0"/>
              <w:rPr>
                <w:sz w:val="20"/>
                <w:szCs w:val="20"/>
                <w:color w:val="auto"/>
              </w:rPr>
            </w:pPr>
            <w:r>
              <w:rPr>
                <w:rFonts w:ascii="Arial" w:cs="Arial" w:eastAsia="Arial" w:hAnsi="Arial"/>
                <w:sz w:val="15"/>
                <w:szCs w:val="15"/>
                <w:color w:val="auto"/>
              </w:rPr>
              <w:t>Dividends per share</w:t>
            </w:r>
          </w:p>
        </w:tc>
        <w:tc>
          <w:tcPr>
            <w:tcW w:w="1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0.37</w:t>
            </w:r>
          </w:p>
        </w:tc>
        <w:tc>
          <w:tcPr>
            <w:tcW w:w="5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0.37</w:t>
            </w:r>
          </w:p>
        </w:tc>
        <w:tc>
          <w:tcPr>
            <w:tcW w:w="4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0.74</w:t>
            </w: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Market price:</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r>
      <w:tr>
        <w:trPr>
          <w:trHeight w:val="184"/>
        </w:trPr>
        <w:tc>
          <w:tcPr>
            <w:tcW w:w="3420" w:type="dxa"/>
            <w:vAlign w:val="bottom"/>
          </w:tcPr>
          <w:p>
            <w:pPr>
              <w:ind w:left="140"/>
              <w:spacing w:after="0"/>
              <w:rPr>
                <w:sz w:val="20"/>
                <w:szCs w:val="20"/>
                <w:color w:val="auto"/>
              </w:rPr>
            </w:pPr>
            <w:r>
              <w:rPr>
                <w:rFonts w:ascii="Arial" w:cs="Arial" w:eastAsia="Arial" w:hAnsi="Arial"/>
                <w:sz w:val="15"/>
                <w:szCs w:val="15"/>
                <w:color w:val="auto"/>
              </w:rPr>
              <w:t>High</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35.73</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45.73</w:t>
            </w:r>
          </w:p>
        </w:tc>
        <w:tc>
          <w:tcPr>
            <w:tcW w:w="5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58.03</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61.48</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3420" w:type="dxa"/>
            <w:vAlign w:val="bottom"/>
            <w:tcBorders>
              <w:bottom w:val="single" w:sz="8" w:color="auto"/>
            </w:tcBorders>
            <w:shd w:val="clear" w:color="auto" w:fill="E6EFFF"/>
          </w:tcPr>
          <w:p>
            <w:pPr>
              <w:ind w:left="140"/>
              <w:spacing w:after="0"/>
              <w:rPr>
                <w:sz w:val="20"/>
                <w:szCs w:val="20"/>
                <w:color w:val="auto"/>
              </w:rPr>
            </w:pPr>
            <w:r>
              <w:rPr>
                <w:rFonts w:ascii="Arial" w:cs="Arial" w:eastAsia="Arial" w:hAnsi="Arial"/>
                <w:sz w:val="15"/>
                <w:szCs w:val="15"/>
                <w:color w:val="auto"/>
              </w:rPr>
              <w:t>Low</w:t>
            </w:r>
          </w:p>
        </w:tc>
        <w:tc>
          <w:tcPr>
            <w:tcW w:w="1120" w:type="dxa"/>
            <w:vAlign w:val="bottom"/>
            <w:tcBorders>
              <w:bottom w:val="single" w:sz="8" w:color="auto"/>
            </w:tcBorders>
            <w:shd w:val="clear" w:color="auto" w:fill="E6EFFF"/>
          </w:tcPr>
          <w:p>
            <w:pPr>
              <w:spacing w:after="0"/>
              <w:rPr>
                <w:sz w:val="15"/>
                <w:szCs w:val="15"/>
                <w:color w:val="auto"/>
              </w:rPr>
            </w:pPr>
          </w:p>
        </w:tc>
        <w:tc>
          <w:tcPr>
            <w:tcW w:w="9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23.75</w:t>
            </w:r>
          </w:p>
        </w:tc>
        <w:tc>
          <w:tcPr>
            <w:tcW w:w="48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32.53</w:t>
            </w:r>
          </w:p>
        </w:tc>
        <w:tc>
          <w:tcPr>
            <w:tcW w:w="520" w:type="dxa"/>
            <w:vAlign w:val="bottom"/>
            <w:tcBorders>
              <w:bottom w:val="single" w:sz="8" w:color="auto"/>
            </w:tcBorders>
            <w:shd w:val="clear" w:color="auto" w:fill="E6EFFF"/>
          </w:tcPr>
          <w:p>
            <w:pPr>
              <w:spacing w:after="0"/>
              <w:rPr>
                <w:sz w:val="15"/>
                <w:szCs w:val="15"/>
                <w:color w:val="auto"/>
              </w:rPr>
            </w:pPr>
          </w:p>
        </w:tc>
        <w:tc>
          <w:tcPr>
            <w:tcW w:w="980" w:type="dxa"/>
            <w:vAlign w:val="bottom"/>
            <w:tcBorders>
              <w:bottom w:val="single" w:sz="8" w:color="auto"/>
            </w:tcBorders>
            <w:shd w:val="clear" w:color="auto" w:fill="E6EFFF"/>
          </w:tcPr>
          <w:p>
            <w:pPr>
              <w:jc w:val="right"/>
              <w:ind w:right="64"/>
              <w:spacing w:after="0"/>
              <w:rPr>
                <w:sz w:val="20"/>
                <w:szCs w:val="20"/>
                <w:color w:val="auto"/>
              </w:rPr>
            </w:pPr>
            <w:r>
              <w:rPr>
                <w:rFonts w:ascii="Arial" w:cs="Arial" w:eastAsia="Arial" w:hAnsi="Arial"/>
                <w:sz w:val="15"/>
                <w:szCs w:val="15"/>
                <w:color w:val="auto"/>
              </w:rPr>
              <w:t>38.54</w:t>
            </w:r>
          </w:p>
        </w:tc>
        <w:tc>
          <w:tcPr>
            <w:tcW w:w="480" w:type="dxa"/>
            <w:vAlign w:val="bottom"/>
            <w:tcBorders>
              <w:bottom w:val="single" w:sz="8" w:color="auto"/>
            </w:tcBorders>
            <w:shd w:val="clear" w:color="auto" w:fill="E6EFFF"/>
          </w:tcPr>
          <w:p>
            <w:pPr>
              <w:spacing w:after="0"/>
              <w:rPr>
                <w:sz w:val="15"/>
                <w:szCs w:val="15"/>
                <w:color w:val="auto"/>
              </w:rPr>
            </w:pPr>
          </w:p>
        </w:tc>
        <w:tc>
          <w:tcPr>
            <w:tcW w:w="940" w:type="dxa"/>
            <w:vAlign w:val="bottom"/>
            <w:tcBorders>
              <w:bottom w:val="single" w:sz="8" w:color="auto"/>
            </w:tcBorders>
            <w:shd w:val="clear" w:color="auto" w:fill="E6EFFF"/>
          </w:tcPr>
          <w:p>
            <w:pPr>
              <w:jc w:val="right"/>
              <w:ind w:right="24"/>
              <w:spacing w:after="0"/>
              <w:rPr>
                <w:sz w:val="20"/>
                <w:szCs w:val="20"/>
                <w:color w:val="auto"/>
              </w:rPr>
            </w:pPr>
            <w:r>
              <w:rPr>
                <w:rFonts w:ascii="Arial" w:cs="Arial" w:eastAsia="Arial" w:hAnsi="Arial"/>
                <w:sz w:val="15"/>
                <w:szCs w:val="15"/>
                <w:color w:val="auto"/>
              </w:rPr>
              <w:t>46.71</w:t>
            </w:r>
          </w:p>
        </w:tc>
        <w:tc>
          <w:tcPr>
            <w:tcW w:w="480" w:type="dxa"/>
            <w:vAlign w:val="bottom"/>
            <w:tcBorders>
              <w:bottom w:val="single" w:sz="8" w:color="auto"/>
            </w:tcBorders>
            <w:shd w:val="clear" w:color="auto" w:fill="E6EFFF"/>
          </w:tcPr>
          <w:p>
            <w:pPr>
              <w:spacing w:after="0"/>
              <w:rPr>
                <w:sz w:val="15"/>
                <w:szCs w:val="15"/>
                <w:color w:val="auto"/>
              </w:rPr>
            </w:pPr>
          </w:p>
        </w:tc>
        <w:tc>
          <w:tcPr>
            <w:tcW w:w="1100" w:type="dxa"/>
            <w:vAlign w:val="bottom"/>
            <w:tcBorders>
              <w:bottom w:val="single" w:sz="8" w:color="auto"/>
            </w:tcBorders>
            <w:shd w:val="clear" w:color="auto" w:fill="E6EFFF"/>
          </w:tcPr>
          <w:p>
            <w:pPr>
              <w:spacing w:after="0"/>
              <w:rPr>
                <w:sz w:val="15"/>
                <w:szCs w:val="15"/>
                <w:color w:val="auto"/>
              </w:rPr>
            </w:pPr>
          </w:p>
        </w:tc>
      </w:tr>
      <w:tr>
        <w:trPr>
          <w:trHeight w:val="175"/>
        </w:trPr>
        <w:tc>
          <w:tcPr>
            <w:tcW w:w="3420" w:type="dxa"/>
            <w:vAlign w:val="bottom"/>
          </w:tcPr>
          <w:p>
            <w:pPr>
              <w:spacing w:after="0" w:line="175" w:lineRule="exact"/>
              <w:rPr>
                <w:sz w:val="20"/>
                <w:szCs w:val="20"/>
                <w:color w:val="auto"/>
              </w:rPr>
            </w:pPr>
            <w:r>
              <w:rPr>
                <w:rFonts w:ascii="Arial" w:cs="Arial" w:eastAsia="Arial" w:hAnsi="Arial"/>
                <w:sz w:val="15"/>
                <w:szCs w:val="15"/>
                <w:b w:val="1"/>
                <w:bCs w:val="1"/>
                <w:color w:val="939598"/>
              </w:rPr>
              <w:t>Year Ended December 31, 2008</w:t>
            </w:r>
            <w:r>
              <w:rPr>
                <w:rFonts w:ascii="Arial" w:cs="Arial" w:eastAsia="Arial" w:hAnsi="Arial"/>
                <w:sz w:val="20"/>
                <w:szCs w:val="20"/>
                <w:b w:val="1"/>
                <w:bCs w:val="1"/>
                <w:color w:val="939598"/>
                <w:vertAlign w:val="superscript"/>
              </w:rPr>
              <w:t>(a)</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Revenues from Services</w:t>
            </w:r>
          </w:p>
        </w:tc>
        <w:tc>
          <w:tcPr>
            <w:tcW w:w="11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5,381.6</w:t>
            </w:r>
          </w:p>
        </w:tc>
        <w:tc>
          <w:tcPr>
            <w:tcW w:w="48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5,900.7</w:t>
            </w:r>
          </w:p>
        </w:tc>
        <w:tc>
          <w:tcPr>
            <w:tcW w:w="5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5,665.2</w:t>
            </w:r>
          </w:p>
        </w:tc>
        <w:tc>
          <w:tcPr>
            <w:tcW w:w="48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4,589.6</w:t>
            </w:r>
          </w:p>
        </w:tc>
        <w:tc>
          <w:tcPr>
            <w:tcW w:w="48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21,537.1</w:t>
            </w:r>
          </w:p>
        </w:tc>
      </w:tr>
      <w:tr>
        <w:trPr>
          <w:trHeight w:val="184"/>
        </w:trPr>
        <w:tc>
          <w:tcPr>
            <w:tcW w:w="3420" w:type="dxa"/>
            <w:vAlign w:val="bottom"/>
          </w:tcPr>
          <w:p>
            <w:pPr>
              <w:spacing w:after="0" w:line="184" w:lineRule="exact"/>
              <w:rPr>
                <w:sz w:val="20"/>
                <w:szCs w:val="20"/>
                <w:color w:val="auto"/>
              </w:rPr>
            </w:pPr>
            <w:r>
              <w:rPr>
                <w:rFonts w:ascii="Arial" w:cs="Arial" w:eastAsia="Arial" w:hAnsi="Arial"/>
                <w:sz w:val="15"/>
                <w:szCs w:val="15"/>
                <w:color w:val="auto"/>
              </w:rPr>
              <w:t>Gross profit</w:t>
            </w:r>
            <w:r>
              <w:rPr>
                <w:rFonts w:ascii="Arial" w:cs="Arial" w:eastAsia="Arial" w:hAnsi="Arial"/>
                <w:sz w:val="21"/>
                <w:szCs w:val="21"/>
                <w:color w:val="auto"/>
                <w:vertAlign w:val="superscript"/>
              </w:rPr>
              <w:t>(d)</w:t>
            </w:r>
          </w:p>
        </w:tc>
        <w:tc>
          <w:tcPr>
            <w:tcW w:w="1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962.7</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1,149.4</w:t>
            </w:r>
          </w:p>
        </w:tc>
        <w:tc>
          <w:tcPr>
            <w:tcW w:w="5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1,024.4</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950.4</w:t>
            </w:r>
          </w:p>
        </w:tc>
        <w:tc>
          <w:tcPr>
            <w:tcW w:w="4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4,086.9</w:t>
            </w:r>
          </w:p>
        </w:tc>
      </w:tr>
      <w:tr>
        <w:trPr>
          <w:trHeight w:val="184"/>
        </w:trPr>
        <w:tc>
          <w:tcPr>
            <w:tcW w:w="3420" w:type="dxa"/>
            <w:vAlign w:val="bottom"/>
            <w:shd w:val="clear" w:color="auto" w:fill="E6EFFF"/>
          </w:tcPr>
          <w:p>
            <w:pPr>
              <w:spacing w:after="0" w:line="184" w:lineRule="exact"/>
              <w:rPr>
                <w:sz w:val="20"/>
                <w:szCs w:val="20"/>
                <w:color w:val="auto"/>
              </w:rPr>
            </w:pPr>
            <w:r>
              <w:rPr>
                <w:rFonts w:ascii="Arial" w:cs="Arial" w:eastAsia="Arial" w:hAnsi="Arial"/>
                <w:sz w:val="15"/>
                <w:szCs w:val="15"/>
                <w:color w:val="auto"/>
              </w:rPr>
              <w:t>Operating profit</w:t>
            </w:r>
            <w:r>
              <w:rPr>
                <w:rFonts w:ascii="Arial" w:cs="Arial" w:eastAsia="Arial" w:hAnsi="Arial"/>
                <w:sz w:val="21"/>
                <w:szCs w:val="21"/>
                <w:color w:val="auto"/>
                <w:vertAlign w:val="superscript"/>
              </w:rPr>
              <w:t>(e)</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127.0</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203.1</w:t>
            </w: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17.8</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145.6</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493.5</w:t>
            </w:r>
          </w:p>
        </w:tc>
      </w:tr>
      <w:tr>
        <w:trPr>
          <w:trHeight w:val="184"/>
        </w:trPr>
        <w:tc>
          <w:tcPr>
            <w:tcW w:w="3420" w:type="dxa"/>
            <w:vAlign w:val="bottom"/>
          </w:tcPr>
          <w:p>
            <w:pPr>
              <w:spacing w:after="0"/>
              <w:rPr>
                <w:sz w:val="20"/>
                <w:szCs w:val="20"/>
                <w:color w:val="auto"/>
              </w:rPr>
            </w:pPr>
            <w:r>
              <w:rPr>
                <w:rFonts w:ascii="Arial" w:cs="Arial" w:eastAsia="Arial" w:hAnsi="Arial"/>
                <w:sz w:val="15"/>
                <w:szCs w:val="15"/>
                <w:color w:val="auto"/>
              </w:rPr>
              <w:t>Net earnings (loss)</w:t>
            </w:r>
          </w:p>
        </w:tc>
        <w:tc>
          <w:tcPr>
            <w:tcW w:w="1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71.6</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104.0</w:t>
            </w:r>
          </w:p>
        </w:tc>
        <w:tc>
          <w:tcPr>
            <w:tcW w:w="52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(46.1)</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76.0</w:t>
            </w:r>
          </w:p>
        </w:tc>
        <w:tc>
          <w:tcPr>
            <w:tcW w:w="4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205.5</w:t>
            </w: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Net earnings (loss) per share – basic</w:t>
            </w:r>
          </w:p>
        </w:tc>
        <w:tc>
          <w:tcPr>
            <w:tcW w:w="11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0.90</w:t>
            </w:r>
          </w:p>
        </w:tc>
        <w:tc>
          <w:tcPr>
            <w:tcW w:w="48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1.31</w:t>
            </w:r>
          </w:p>
        </w:tc>
        <w:tc>
          <w:tcPr>
            <w:tcW w:w="5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4"/>
              <w:spacing w:after="0"/>
              <w:rPr>
                <w:sz w:val="20"/>
                <w:szCs w:val="20"/>
                <w:color w:val="auto"/>
              </w:rPr>
            </w:pPr>
            <w:r>
              <w:rPr>
                <w:rFonts w:ascii="Arial" w:cs="Arial" w:eastAsia="Arial" w:hAnsi="Arial"/>
                <w:sz w:val="15"/>
                <w:szCs w:val="15"/>
                <w:color w:val="auto"/>
              </w:rPr>
              <w:t>(0.59)</w:t>
            </w:r>
          </w:p>
        </w:tc>
        <w:tc>
          <w:tcPr>
            <w:tcW w:w="48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0.98</w:t>
            </w:r>
          </w:p>
        </w:tc>
        <w:tc>
          <w:tcPr>
            <w:tcW w:w="48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2.61</w:t>
            </w:r>
          </w:p>
        </w:tc>
      </w:tr>
      <w:tr>
        <w:trPr>
          <w:trHeight w:val="184"/>
        </w:trPr>
        <w:tc>
          <w:tcPr>
            <w:tcW w:w="3420" w:type="dxa"/>
            <w:vAlign w:val="bottom"/>
          </w:tcPr>
          <w:p>
            <w:pPr>
              <w:spacing w:after="0" w:line="184" w:lineRule="exact"/>
              <w:rPr>
                <w:sz w:val="20"/>
                <w:szCs w:val="20"/>
                <w:color w:val="auto"/>
              </w:rPr>
            </w:pPr>
            <w:r>
              <w:rPr>
                <w:rFonts w:ascii="Arial" w:cs="Arial" w:eastAsia="Arial" w:hAnsi="Arial"/>
                <w:sz w:val="15"/>
                <w:szCs w:val="15"/>
                <w:color w:val="auto"/>
              </w:rPr>
              <w:t>Net earnings (loss) per share – diluted</w:t>
            </w:r>
            <w:r>
              <w:rPr>
                <w:rFonts w:ascii="Arial" w:cs="Arial" w:eastAsia="Arial" w:hAnsi="Arial"/>
                <w:sz w:val="21"/>
                <w:szCs w:val="21"/>
                <w:color w:val="auto"/>
                <w:vertAlign w:val="superscript"/>
              </w:rPr>
              <w:t>(f)</w:t>
            </w:r>
          </w:p>
        </w:tc>
        <w:tc>
          <w:tcPr>
            <w:tcW w:w="1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0.89</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1.30</w:t>
            </w:r>
          </w:p>
        </w:tc>
        <w:tc>
          <w:tcPr>
            <w:tcW w:w="52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(0.59)</w:t>
            </w:r>
          </w:p>
        </w:tc>
        <w:tc>
          <w:tcPr>
            <w:tcW w:w="48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0.97</w:t>
            </w:r>
          </w:p>
        </w:tc>
        <w:tc>
          <w:tcPr>
            <w:tcW w:w="4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2.58</w:t>
            </w: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Dividends per share</w:t>
            </w:r>
          </w:p>
        </w:tc>
        <w:tc>
          <w:tcPr>
            <w:tcW w:w="11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0.37</w:t>
            </w:r>
          </w:p>
        </w:tc>
        <w:tc>
          <w:tcPr>
            <w:tcW w:w="520" w:type="dxa"/>
            <w:vAlign w:val="bottom"/>
            <w:shd w:val="clear" w:color="auto" w:fill="E6EFFF"/>
          </w:tcPr>
          <w:p>
            <w:pPr>
              <w:spacing w:after="0"/>
              <w:rPr>
                <w:sz w:val="15"/>
                <w:szCs w:val="15"/>
                <w:color w:val="auto"/>
              </w:rPr>
            </w:pP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shd w:val="clear" w:color="auto" w:fill="E6EFFF"/>
          </w:tcPr>
          <w:p>
            <w:pPr>
              <w:spacing w:after="0"/>
              <w:rPr>
                <w:sz w:val="15"/>
                <w:szCs w:val="15"/>
                <w:color w:val="auto"/>
              </w:rPr>
            </w:pP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0.37</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jc w:val="right"/>
              <w:ind w:right="144"/>
              <w:spacing w:after="0"/>
              <w:rPr>
                <w:sz w:val="20"/>
                <w:szCs w:val="20"/>
                <w:color w:val="auto"/>
              </w:rPr>
            </w:pPr>
            <w:r>
              <w:rPr>
                <w:rFonts w:ascii="Arial" w:cs="Arial" w:eastAsia="Arial" w:hAnsi="Arial"/>
                <w:sz w:val="15"/>
                <w:szCs w:val="15"/>
                <w:color w:val="auto"/>
              </w:rPr>
              <w:t>0.74</w:t>
            </w:r>
          </w:p>
        </w:tc>
      </w:tr>
      <w:tr>
        <w:trPr>
          <w:trHeight w:val="184"/>
        </w:trPr>
        <w:tc>
          <w:tcPr>
            <w:tcW w:w="3420" w:type="dxa"/>
            <w:vAlign w:val="bottom"/>
          </w:tcPr>
          <w:p>
            <w:pPr>
              <w:spacing w:after="0"/>
              <w:rPr>
                <w:sz w:val="20"/>
                <w:szCs w:val="20"/>
                <w:color w:val="auto"/>
              </w:rPr>
            </w:pPr>
            <w:r>
              <w:rPr>
                <w:rFonts w:ascii="Arial" w:cs="Arial" w:eastAsia="Arial" w:hAnsi="Arial"/>
                <w:sz w:val="15"/>
                <w:szCs w:val="15"/>
                <w:color w:val="auto"/>
              </w:rPr>
              <w:t>Market price: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3420" w:type="dxa"/>
            <w:vAlign w:val="bottom"/>
            <w:shd w:val="clear" w:color="auto" w:fill="E6EFFF"/>
          </w:tcPr>
          <w:p>
            <w:pPr>
              <w:spacing w:after="0"/>
              <w:rPr>
                <w:sz w:val="20"/>
                <w:szCs w:val="20"/>
                <w:color w:val="auto"/>
              </w:rPr>
            </w:pPr>
            <w:r>
              <w:rPr>
                <w:rFonts w:ascii="Arial" w:cs="Arial" w:eastAsia="Arial" w:hAnsi="Arial"/>
                <w:sz w:val="15"/>
                <w:szCs w:val="15"/>
                <w:color w:val="auto"/>
              </w:rPr>
              <w:t>High</w:t>
            </w:r>
          </w:p>
        </w:tc>
        <w:tc>
          <w:tcPr>
            <w:tcW w:w="11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60.50</w:t>
            </w:r>
          </w:p>
        </w:tc>
        <w:tc>
          <w:tcPr>
            <w:tcW w:w="48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70.35</w:t>
            </w:r>
          </w:p>
        </w:tc>
        <w:tc>
          <w:tcPr>
            <w:tcW w:w="52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80" w:type="dxa"/>
            <w:vAlign w:val="bottom"/>
            <w:shd w:val="clear" w:color="auto" w:fill="E6EFFF"/>
          </w:tcPr>
          <w:p>
            <w:pPr>
              <w:jc w:val="right"/>
              <w:ind w:right="64"/>
              <w:spacing w:after="0"/>
              <w:rPr>
                <w:sz w:val="20"/>
                <w:szCs w:val="20"/>
                <w:color w:val="auto"/>
              </w:rPr>
            </w:pPr>
            <w:r>
              <w:rPr>
                <w:rFonts w:ascii="Arial" w:cs="Arial" w:eastAsia="Arial" w:hAnsi="Arial"/>
                <w:sz w:val="15"/>
                <w:szCs w:val="15"/>
                <w:color w:val="auto"/>
              </w:rPr>
              <w:t>57.62</w:t>
            </w:r>
          </w:p>
        </w:tc>
        <w:tc>
          <w:tcPr>
            <w:tcW w:w="480" w:type="dxa"/>
            <w:vAlign w:val="bottom"/>
            <w:shd w:val="clear" w:color="auto" w:fill="E6EFFF"/>
          </w:tcPr>
          <w:p>
            <w:pPr>
              <w:jc w:val="right"/>
              <w:ind w:right="243"/>
              <w:spacing w:after="0"/>
              <w:rPr>
                <w:sz w:val="20"/>
                <w:szCs w:val="20"/>
                <w:color w:val="auto"/>
              </w:rPr>
            </w:pPr>
            <w:r>
              <w:rPr>
                <w:rFonts w:ascii="Arial" w:cs="Arial" w:eastAsia="Arial" w:hAnsi="Arial"/>
                <w:sz w:val="15"/>
                <w:szCs w:val="15"/>
                <w:color w:val="auto"/>
              </w:rPr>
              <w:t>$</w:t>
            </w:r>
          </w:p>
        </w:tc>
        <w:tc>
          <w:tcPr>
            <w:tcW w:w="940" w:type="dxa"/>
            <w:vAlign w:val="bottom"/>
            <w:shd w:val="clear" w:color="auto" w:fill="E6EFFF"/>
          </w:tcPr>
          <w:p>
            <w:pPr>
              <w:jc w:val="right"/>
              <w:ind w:right="24"/>
              <w:spacing w:after="0"/>
              <w:rPr>
                <w:sz w:val="20"/>
                <w:szCs w:val="20"/>
                <w:color w:val="auto"/>
              </w:rPr>
            </w:pPr>
            <w:r>
              <w:rPr>
                <w:rFonts w:ascii="Arial" w:cs="Arial" w:eastAsia="Arial" w:hAnsi="Arial"/>
                <w:sz w:val="15"/>
                <w:szCs w:val="15"/>
                <w:color w:val="auto"/>
              </w:rPr>
              <w:t>42.29</w:t>
            </w:r>
          </w:p>
        </w:tc>
        <w:tc>
          <w:tcPr>
            <w:tcW w:w="48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r>
      <w:tr>
        <w:trPr>
          <w:trHeight w:val="187"/>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Low</w:t>
            </w: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48.83</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55.02</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39.73</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23.60</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208" w:lineRule="exact"/>
        <w:rPr>
          <w:sz w:val="20"/>
          <w:szCs w:val="20"/>
          <w:color w:val="auto"/>
        </w:rPr>
      </w:pPr>
    </w:p>
    <w:p>
      <w:pPr>
        <w:jc w:val="both"/>
        <w:ind w:left="568" w:hanging="568"/>
        <w:spacing w:after="0"/>
        <w:tabs>
          <w:tab w:leader="none" w:pos="5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unaudited quarterly data presented has been revised for the effects of the restatement disclosed in Note 1 to the Consolidated Financial Statements. The impact on revenues for the first, second and third quarter of 2009 was a decrease of $4.1, $3.1, and $2.5, respectively. The impact on revenues for the first, second, third and fourth quarter of 2008 was a decrease of $5.0, $4.2, $3.2, and $3.3, respectively. The impact on net (loss) earnings for the first, second and third quarter of 2009 was a decrease to earnings of $4.1, $3.0 and $2.4, respectively. The impact on net earnings (loss) for the first, second, third and fourth quarter of 2008 was a decrease to earnings of $3.9, $3.4, $2.9 and $3.2, respectively. The net (loss) earnings per share - diluted impact for the first, second and third quarter of 2009 was a decrease to earnings per share - diluted of $0.05, $0.04 and $0.03, respectively. The net earnings (loss) per share - - diluted impact for the first, second, third and fourth quarter of 2008 was a decrease to earnings per share - diluted of $0.05, $0.05, $0.04 and $0.04, respectively. For the first quarter of 2009, our net earnings of $2.3 million as previously reported changed to a net loss of $1.8 million as restated; therefore, the weighted average shares - diluted for the first quarter of 2009 changed from 78.3 million to 78.1 million due to the net loss as the assumed exercise price of stock-based awards had an anitdilutive effect and were excluded from the calculation of weighted average shares - diluted.</w:t>
      </w:r>
    </w:p>
    <w:p>
      <w:pPr>
        <w:spacing w:after="0" w:line="182" w:lineRule="exact"/>
        <w:rPr>
          <w:rFonts w:ascii="Arial" w:cs="Arial" w:eastAsia="Arial" w:hAnsi="Arial"/>
          <w:sz w:val="14"/>
          <w:szCs w:val="14"/>
          <w:color w:val="auto"/>
        </w:rPr>
      </w:pPr>
    </w:p>
    <w:p>
      <w:pPr>
        <w:ind w:left="568" w:hanging="568"/>
        <w:spacing w:after="0" w:line="245" w:lineRule="auto"/>
        <w:tabs>
          <w:tab w:leader="none" w:pos="5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 $61.0 impairment charge recorded in the third quarter, and reorganization charges of $6.9, $13.0, $0.9 and $12.7 recorded in the first, second, third and fourth quarters, respectively.</w:t>
      </w:r>
    </w:p>
    <w:p>
      <w:pPr>
        <w:spacing w:after="0" w:line="176" w:lineRule="exact"/>
        <w:rPr>
          <w:rFonts w:ascii="Arial" w:cs="Arial" w:eastAsia="Arial" w:hAnsi="Arial"/>
          <w:sz w:val="14"/>
          <w:szCs w:val="14"/>
          <w:color w:val="auto"/>
        </w:rPr>
      </w:pPr>
    </w:p>
    <w:p>
      <w:pPr>
        <w:jc w:val="both"/>
        <w:ind w:left="568" w:hanging="568"/>
        <w:spacing w:after="0" w:line="242" w:lineRule="auto"/>
        <w:tabs>
          <w:tab w:leader="none" w:pos="5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third quarter includes ($0.78) per share related to the impairment charge, ($0.07) per share for the loss on the sale of an equity investment and ($0.06) per share related to the extinguishment of our interest rate swap agreements and amended revolving credit facility. Also included in the results are reorganization costs of ($0.06) per diluted share in the first quarter, ($0.11) per diluted share in the second quarter, ($0.01) per diluted share in the third quarter and ($0.11) per diluted share in the fourth quarter.</w:t>
      </w:r>
    </w:p>
    <w:p>
      <w:pPr>
        <w:spacing w:after="0" w:line="179" w:lineRule="exact"/>
        <w:rPr>
          <w:rFonts w:ascii="Arial" w:cs="Arial" w:eastAsia="Arial" w:hAnsi="Arial"/>
          <w:sz w:val="14"/>
          <w:szCs w:val="14"/>
          <w:color w:val="auto"/>
        </w:rPr>
      </w:pPr>
    </w:p>
    <w:p>
      <w:pPr>
        <w:ind w:left="568" w:right="20" w:hanging="568"/>
        <w:spacing w:after="0" w:line="245" w:lineRule="auto"/>
        <w:tabs>
          <w:tab w:leader="none" w:pos="5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second quarter includes a $53.7 benefit related to the modification to the payroll tax calculation in France. The fourth quarter includes a $48.2 benefit due to a business tax refund in France and a $14.5 of additional benefit related to the modification to the payroll tax calculation in France.</w:t>
      </w:r>
    </w:p>
    <w:p>
      <w:pPr>
        <w:spacing w:after="0" w:line="176" w:lineRule="exact"/>
        <w:rPr>
          <w:rFonts w:ascii="Arial" w:cs="Arial" w:eastAsia="Arial" w:hAnsi="Arial"/>
          <w:sz w:val="14"/>
          <w:szCs w:val="14"/>
          <w:color w:val="auto"/>
        </w:rPr>
      </w:pPr>
    </w:p>
    <w:p>
      <w:pPr>
        <w:ind w:left="568" w:right="20" w:hanging="568"/>
        <w:spacing w:after="0" w:line="245" w:lineRule="auto"/>
        <w:tabs>
          <w:tab w:leader="none" w:pos="5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addition to the items in (d) above, the second quarter includes $54.1 of expense for the legal reserve recorded related to the French competition investigation, the third quarter includes a $163.1 impairment charge and the fourth quarter includes $37.2 of reorganization costs.</w:t>
      </w:r>
    </w:p>
    <w:p>
      <w:pPr>
        <w:spacing w:after="0" w:line="176" w:lineRule="exact"/>
        <w:rPr>
          <w:rFonts w:ascii="Arial" w:cs="Arial" w:eastAsia="Arial" w:hAnsi="Arial"/>
          <w:sz w:val="14"/>
          <w:szCs w:val="14"/>
          <w:color w:val="auto"/>
        </w:rPr>
      </w:pPr>
    </w:p>
    <w:p>
      <w:pPr>
        <w:jc w:val="both"/>
        <w:ind w:left="568" w:hanging="568"/>
        <w:spacing w:after="0" w:line="237" w:lineRule="auto"/>
        <w:tabs>
          <w:tab w:leader="none" w:pos="5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second quarter includes $0.44 per diluted share benefit related to the modification to the payroll tax calculation in France and ($0.62) per diluted share decrease for the legal reserve recorded related to the French competition investigation. The third quarter includes ($1.94) per diluted share related to the impairment charge. The fourth quarter includes a $0.36 benefit for the business tax refund in France, an $0.11 benefit related to the modification to the payroll tax calculation in France and ($0.34) per diluted share for reorganization costs.</w:t>
      </w:r>
    </w:p>
    <w:p>
      <w:pPr>
        <w:jc w:val="center"/>
        <w:ind w:right="-7"/>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6268"/>
        <w:spacing w:after="0"/>
        <w:tabs>
          <w:tab w:leader="none" w:pos="9328" w:val="left"/>
        </w:tabs>
        <w:rPr>
          <w:sz w:val="20"/>
          <w:szCs w:val="20"/>
          <w:color w:val="auto"/>
        </w:rPr>
      </w:pPr>
      <w:r>
        <w:rPr>
          <w:rFonts w:ascii="Arial" w:cs="Arial" w:eastAsia="Arial" w:hAnsi="Arial"/>
          <w:sz w:val="14"/>
          <w:szCs w:val="14"/>
          <w:b w:val="1"/>
          <w:bCs w:val="1"/>
          <w:color w:val="939598"/>
        </w:rPr>
        <w:t>Notes to Consolidated Financial Statements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87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8"/>
          </w:cols>
          <w:pgMar w:left="232" w:top="135" w:right="2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86B6A5"/>
        </w:rPr>
        <w:t>Selected Financial Data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86B6A5"/>
        </w:rPr>
        <w:t>in millions,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tcBorders>
              <w:bottom w:val="single" w:sz="8" w:color="4D8ABE"/>
              <w:right w:val="single" w:sz="8" w:color="4D8ABE"/>
            </w:tcBorders>
            <w:gridSpan w:val="2"/>
          </w:tcPr>
          <w:p>
            <w:pPr>
              <w:spacing w:after="0"/>
              <w:rPr>
                <w:sz w:val="20"/>
                <w:szCs w:val="20"/>
                <w:color w:val="auto"/>
              </w:rPr>
            </w:pPr>
            <w:r>
              <w:rPr>
                <w:rFonts w:ascii="Arial" w:cs="Arial" w:eastAsia="Arial" w:hAnsi="Arial"/>
                <w:sz w:val="14"/>
                <w:szCs w:val="14"/>
                <w:b w:val="1"/>
                <w:bCs w:val="1"/>
                <w:color w:val="4D8ABE"/>
              </w:rPr>
              <w:t>As Of And For The Year Ended December 31</w:t>
            </w:r>
          </w:p>
        </w:tc>
        <w:tc>
          <w:tcPr>
            <w:tcW w:w="80" w:type="dxa"/>
            <w:vAlign w:val="bottom"/>
            <w:tcBorders>
              <w:bottom w:val="single" w:sz="8" w:color="4D8ABE"/>
            </w:tcBorders>
            <w:shd w:val="clear" w:color="auto" w:fill="4D8ABE"/>
          </w:tcPr>
          <w:p>
            <w:pPr>
              <w:spacing w:after="0"/>
              <w:rPr>
                <w:sz w:val="18"/>
                <w:szCs w:val="18"/>
                <w:color w:val="auto"/>
              </w:rPr>
            </w:pPr>
          </w:p>
        </w:tc>
        <w:tc>
          <w:tcPr>
            <w:tcW w:w="1500" w:type="dxa"/>
            <w:vAlign w:val="bottom"/>
            <w:tcBorders>
              <w:bottom w:val="single" w:sz="8" w:color="4D8ABE"/>
              <w:right w:val="single" w:sz="8" w:color="4D8ABE"/>
            </w:tcBorders>
            <w:shd w:val="clear" w:color="auto" w:fill="4D8ABE"/>
          </w:tcPr>
          <w:p>
            <w:pPr>
              <w:jc w:val="right"/>
              <w:ind w:right="284"/>
              <w:spacing w:after="0"/>
              <w:rPr>
                <w:sz w:val="20"/>
                <w:szCs w:val="20"/>
                <w:color w:val="auto"/>
              </w:rPr>
            </w:pPr>
            <w:r>
              <w:rPr>
                <w:rFonts w:ascii="Arial" w:cs="Arial" w:eastAsia="Arial" w:hAnsi="Arial"/>
                <w:sz w:val="14"/>
                <w:szCs w:val="14"/>
                <w:b w:val="1"/>
                <w:bCs w:val="1"/>
                <w:color w:val="FFFFFF"/>
              </w:rPr>
              <w:t>2009</w:t>
            </w:r>
          </w:p>
        </w:tc>
        <w:tc>
          <w:tcPr>
            <w:tcW w:w="360" w:type="dxa"/>
            <w:vAlign w:val="bottom"/>
            <w:tcBorders>
              <w:bottom w:val="single" w:sz="8" w:color="4D8ABE"/>
            </w:tcBorders>
          </w:tcPr>
          <w:p>
            <w:pPr>
              <w:spacing w:after="0"/>
              <w:rPr>
                <w:sz w:val="18"/>
                <w:szCs w:val="18"/>
                <w:color w:val="auto"/>
              </w:rPr>
            </w:pPr>
          </w:p>
        </w:tc>
        <w:tc>
          <w:tcPr>
            <w:tcW w:w="1020" w:type="dxa"/>
            <w:vAlign w:val="bottom"/>
            <w:tcBorders>
              <w:bottom w:val="single" w:sz="8" w:color="4D8ABE"/>
            </w:tcBorders>
          </w:tcPr>
          <w:p>
            <w:pPr>
              <w:jc w:val="right"/>
              <w:ind w:right="84"/>
              <w:spacing w:after="0"/>
              <w:rPr>
                <w:sz w:val="20"/>
                <w:szCs w:val="20"/>
                <w:color w:val="auto"/>
              </w:rPr>
            </w:pPr>
            <w:r>
              <w:rPr>
                <w:rFonts w:ascii="Arial" w:cs="Arial" w:eastAsia="Arial" w:hAnsi="Arial"/>
                <w:sz w:val="14"/>
                <w:szCs w:val="14"/>
                <w:b w:val="1"/>
                <w:bCs w:val="1"/>
                <w:color w:val="4D8ABE"/>
              </w:rPr>
              <w:t>2008</w:t>
            </w:r>
            <w:r>
              <w:rPr>
                <w:rFonts w:ascii="Arial" w:cs="Arial" w:eastAsia="Arial" w:hAnsi="Arial"/>
                <w:sz w:val="19"/>
                <w:szCs w:val="19"/>
                <w:b w:val="1"/>
                <w:bCs w:val="1"/>
                <w:color w:val="4D8ABE"/>
                <w:vertAlign w:val="superscript"/>
              </w:rPr>
              <w:t>(a)</w:t>
            </w:r>
          </w:p>
        </w:tc>
        <w:tc>
          <w:tcPr>
            <w:tcW w:w="540" w:type="dxa"/>
            <w:vAlign w:val="bottom"/>
            <w:tcBorders>
              <w:bottom w:val="single" w:sz="8" w:color="4D8ABE"/>
            </w:tcBorders>
          </w:tcPr>
          <w:p>
            <w:pPr>
              <w:spacing w:after="0"/>
              <w:rPr>
                <w:sz w:val="18"/>
                <w:szCs w:val="18"/>
                <w:color w:val="auto"/>
              </w:rPr>
            </w:pPr>
          </w:p>
        </w:tc>
        <w:tc>
          <w:tcPr>
            <w:tcW w:w="1040" w:type="dxa"/>
            <w:vAlign w:val="bottom"/>
            <w:tcBorders>
              <w:bottom w:val="single" w:sz="8" w:color="4D8ABE"/>
            </w:tcBorders>
          </w:tcPr>
          <w:p>
            <w:pPr>
              <w:jc w:val="right"/>
              <w:ind w:right="84"/>
              <w:spacing w:after="0"/>
              <w:rPr>
                <w:sz w:val="20"/>
                <w:szCs w:val="20"/>
                <w:color w:val="auto"/>
              </w:rPr>
            </w:pPr>
            <w:r>
              <w:rPr>
                <w:rFonts w:ascii="Arial" w:cs="Arial" w:eastAsia="Arial" w:hAnsi="Arial"/>
                <w:sz w:val="14"/>
                <w:szCs w:val="14"/>
                <w:b w:val="1"/>
                <w:bCs w:val="1"/>
                <w:color w:val="4D8ABE"/>
              </w:rPr>
              <w:t>2007</w:t>
            </w:r>
            <w:r>
              <w:rPr>
                <w:rFonts w:ascii="Arial" w:cs="Arial" w:eastAsia="Arial" w:hAnsi="Arial"/>
                <w:sz w:val="19"/>
                <w:szCs w:val="19"/>
                <w:b w:val="1"/>
                <w:bCs w:val="1"/>
                <w:color w:val="4D8ABE"/>
                <w:vertAlign w:val="superscript"/>
              </w:rPr>
              <w:t>(a)</w:t>
            </w:r>
          </w:p>
        </w:tc>
        <w:tc>
          <w:tcPr>
            <w:tcW w:w="540" w:type="dxa"/>
            <w:vAlign w:val="bottom"/>
            <w:tcBorders>
              <w:bottom w:val="single" w:sz="8" w:color="4D8ABE"/>
            </w:tcBorders>
          </w:tcPr>
          <w:p>
            <w:pPr>
              <w:spacing w:after="0"/>
              <w:rPr>
                <w:sz w:val="18"/>
                <w:szCs w:val="18"/>
                <w:color w:val="auto"/>
              </w:rPr>
            </w:pPr>
          </w:p>
        </w:tc>
        <w:tc>
          <w:tcPr>
            <w:tcW w:w="1040" w:type="dxa"/>
            <w:vAlign w:val="bottom"/>
            <w:tcBorders>
              <w:bottom w:val="single" w:sz="8" w:color="4D8ABE"/>
            </w:tcBorders>
          </w:tcPr>
          <w:p>
            <w:pPr>
              <w:jc w:val="right"/>
              <w:ind w:right="104"/>
              <w:spacing w:after="0"/>
              <w:rPr>
                <w:sz w:val="20"/>
                <w:szCs w:val="20"/>
                <w:color w:val="auto"/>
              </w:rPr>
            </w:pPr>
            <w:r>
              <w:rPr>
                <w:rFonts w:ascii="Arial" w:cs="Arial" w:eastAsia="Arial" w:hAnsi="Arial"/>
                <w:sz w:val="14"/>
                <w:szCs w:val="14"/>
                <w:b w:val="1"/>
                <w:bCs w:val="1"/>
                <w:color w:val="4D8ABE"/>
              </w:rPr>
              <w:t>2006</w:t>
            </w:r>
          </w:p>
        </w:tc>
        <w:tc>
          <w:tcPr>
            <w:tcW w:w="520" w:type="dxa"/>
            <w:vAlign w:val="bottom"/>
            <w:tcBorders>
              <w:bottom w:val="single" w:sz="8" w:color="4D8ABE"/>
            </w:tcBorders>
          </w:tcPr>
          <w:p>
            <w:pPr>
              <w:spacing w:after="0"/>
              <w:rPr>
                <w:sz w:val="18"/>
                <w:szCs w:val="18"/>
                <w:color w:val="auto"/>
              </w:rPr>
            </w:pPr>
          </w:p>
        </w:tc>
        <w:tc>
          <w:tcPr>
            <w:tcW w:w="1220" w:type="dxa"/>
            <w:vAlign w:val="bottom"/>
            <w:tcBorders>
              <w:bottom w:val="single" w:sz="8" w:color="4D8ABE"/>
            </w:tcBorders>
          </w:tcPr>
          <w:p>
            <w:pPr>
              <w:jc w:val="right"/>
              <w:ind w:right="264"/>
              <w:spacing w:after="0"/>
              <w:rPr>
                <w:sz w:val="20"/>
                <w:szCs w:val="20"/>
                <w:color w:val="auto"/>
              </w:rPr>
            </w:pPr>
            <w:r>
              <w:rPr>
                <w:rFonts w:ascii="Arial" w:cs="Arial" w:eastAsia="Arial" w:hAnsi="Arial"/>
                <w:sz w:val="14"/>
                <w:szCs w:val="14"/>
                <w:b w:val="1"/>
                <w:bCs w:val="1"/>
                <w:color w:val="4D8ABE"/>
              </w:rPr>
              <w:t>2005</w:t>
            </w:r>
          </w:p>
        </w:tc>
      </w:tr>
      <w:tr>
        <w:trPr>
          <w:trHeight w:val="175"/>
        </w:trPr>
        <w:tc>
          <w:tcPr>
            <w:tcW w:w="2400" w:type="dxa"/>
            <w:vAlign w:val="bottom"/>
            <w:shd w:val="clear" w:color="auto" w:fill="E6EFFF"/>
          </w:tcPr>
          <w:p>
            <w:pPr>
              <w:spacing w:after="0"/>
              <w:rPr>
                <w:sz w:val="20"/>
                <w:szCs w:val="20"/>
                <w:color w:val="auto"/>
              </w:rPr>
            </w:pPr>
            <w:r>
              <w:rPr>
                <w:rFonts w:ascii="Arial" w:cs="Arial" w:eastAsia="Arial" w:hAnsi="Arial"/>
                <w:sz w:val="15"/>
                <w:szCs w:val="15"/>
                <w:b w:val="1"/>
                <w:bCs w:val="1"/>
                <w:color w:val="939598"/>
              </w:rPr>
              <w:t>Operations Data</w:t>
            </w:r>
          </w:p>
        </w:tc>
        <w:tc>
          <w:tcPr>
            <w:tcW w:w="118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500" w:type="dxa"/>
            <w:vAlign w:val="bottom"/>
            <w:tcBorders>
              <w:right w:val="single" w:sz="8" w:color="4D8ABE"/>
            </w:tcBorders>
            <w:shd w:val="clear" w:color="auto" w:fill="E6EFFF"/>
          </w:tcPr>
          <w:p>
            <w:pPr>
              <w:spacing w:after="0"/>
              <w:rPr>
                <w:sz w:val="15"/>
                <w:szCs w:val="15"/>
                <w:color w:val="auto"/>
              </w:rPr>
            </w:pPr>
          </w:p>
        </w:tc>
        <w:tc>
          <w:tcPr>
            <w:tcW w:w="36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r>
      <w:tr>
        <w:trPr>
          <w:trHeight w:val="184"/>
        </w:trPr>
        <w:tc>
          <w:tcPr>
            <w:tcW w:w="2400" w:type="dxa"/>
            <w:vAlign w:val="bottom"/>
          </w:tcPr>
          <w:p>
            <w:pPr>
              <w:spacing w:after="0"/>
              <w:rPr>
                <w:sz w:val="20"/>
                <w:szCs w:val="20"/>
                <w:color w:val="auto"/>
              </w:rPr>
            </w:pPr>
            <w:r>
              <w:rPr>
                <w:rFonts w:ascii="Arial" w:cs="Arial" w:eastAsia="Arial" w:hAnsi="Arial"/>
                <w:sz w:val="15"/>
                <w:szCs w:val="15"/>
                <w:color w:val="auto"/>
              </w:rPr>
              <w:t>Revenues from Services</w:t>
            </w:r>
          </w:p>
        </w:tc>
        <w:tc>
          <w:tcPr>
            <w:tcW w:w="1180" w:type="dxa"/>
            <w:vAlign w:val="bottom"/>
            <w:tcBorders>
              <w:right w:val="single" w:sz="8" w:color="4D8ABE"/>
            </w:tcBorders>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4D8ABE"/>
                <w:w w:val="71"/>
              </w:rPr>
              <w:t>$</w:t>
            </w:r>
          </w:p>
        </w:tc>
        <w:tc>
          <w:tcPr>
            <w:tcW w:w="1500" w:type="dxa"/>
            <w:vAlign w:val="bottom"/>
            <w:tcBorders>
              <w:right w:val="single" w:sz="8" w:color="4D8ABE"/>
            </w:tcBorders>
          </w:tcPr>
          <w:p>
            <w:pPr>
              <w:jc w:val="right"/>
              <w:ind w:right="284"/>
              <w:spacing w:after="0"/>
              <w:rPr>
                <w:sz w:val="20"/>
                <w:szCs w:val="20"/>
                <w:color w:val="auto"/>
              </w:rPr>
            </w:pPr>
            <w:r>
              <w:rPr>
                <w:rFonts w:ascii="Arial" w:cs="Arial" w:eastAsia="Arial" w:hAnsi="Arial"/>
                <w:sz w:val="15"/>
                <w:szCs w:val="15"/>
                <w:color w:val="4D8ABE"/>
              </w:rPr>
              <w:t>16,038.7</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21,537.1</w:t>
            </w:r>
          </w:p>
        </w:tc>
        <w:tc>
          <w:tcPr>
            <w:tcW w:w="5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20,486.1</w:t>
            </w:r>
          </w:p>
        </w:tc>
        <w:tc>
          <w:tcPr>
            <w:tcW w:w="5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17,562.5</w:t>
            </w:r>
          </w:p>
        </w:tc>
        <w:tc>
          <w:tcPr>
            <w:tcW w:w="5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15,845.4</w:t>
            </w:r>
          </w:p>
        </w:tc>
      </w:tr>
      <w:tr>
        <w:trPr>
          <w:trHeight w:val="184"/>
        </w:trPr>
        <w:tc>
          <w:tcPr>
            <w:tcW w:w="2400" w:type="dxa"/>
            <w:vAlign w:val="bottom"/>
            <w:shd w:val="clear" w:color="auto" w:fill="E6EFFF"/>
          </w:tcPr>
          <w:p>
            <w:pPr>
              <w:spacing w:after="0"/>
              <w:rPr>
                <w:sz w:val="20"/>
                <w:szCs w:val="20"/>
                <w:color w:val="auto"/>
              </w:rPr>
            </w:pPr>
            <w:r>
              <w:rPr>
                <w:rFonts w:ascii="Arial" w:cs="Arial" w:eastAsia="Arial" w:hAnsi="Arial"/>
                <w:sz w:val="15"/>
                <w:szCs w:val="15"/>
                <w:color w:val="auto"/>
              </w:rPr>
              <w:t>Gross profit</w:t>
            </w:r>
          </w:p>
        </w:tc>
        <w:tc>
          <w:tcPr>
            <w:tcW w:w="118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500" w:type="dxa"/>
            <w:vAlign w:val="bottom"/>
            <w:tcBorders>
              <w:right w:val="single" w:sz="8" w:color="4D8ABE"/>
            </w:tcBorders>
            <w:shd w:val="clear" w:color="auto" w:fill="E6EFFF"/>
          </w:tcPr>
          <w:p>
            <w:pPr>
              <w:jc w:val="right"/>
              <w:ind w:right="284"/>
              <w:spacing w:after="0"/>
              <w:rPr>
                <w:sz w:val="20"/>
                <w:szCs w:val="20"/>
                <w:color w:val="auto"/>
              </w:rPr>
            </w:pPr>
            <w:r>
              <w:rPr>
                <w:rFonts w:ascii="Arial" w:cs="Arial" w:eastAsia="Arial" w:hAnsi="Arial"/>
                <w:sz w:val="15"/>
                <w:szCs w:val="15"/>
                <w:color w:val="4D8ABE"/>
              </w:rPr>
              <w:t>2,818.2</w:t>
            </w:r>
          </w:p>
        </w:tc>
        <w:tc>
          <w:tcPr>
            <w:tcW w:w="36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4,086.9</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3,834.4</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3,146.0</w:t>
            </w:r>
          </w:p>
        </w:tc>
        <w:tc>
          <w:tcPr>
            <w:tcW w:w="520" w:type="dxa"/>
            <w:vAlign w:val="bottom"/>
            <w:shd w:val="clear" w:color="auto" w:fill="E6EFFF"/>
          </w:tcPr>
          <w:p>
            <w:pPr>
              <w:spacing w:after="0"/>
              <w:rPr>
                <w:sz w:val="15"/>
                <w:szCs w:val="15"/>
                <w:color w:val="auto"/>
              </w:rPr>
            </w:pPr>
          </w:p>
        </w:tc>
        <w:tc>
          <w:tcPr>
            <w:tcW w:w="1220" w:type="dxa"/>
            <w:vAlign w:val="bottom"/>
            <w:shd w:val="clear" w:color="auto" w:fill="E6EFFF"/>
          </w:tcPr>
          <w:p>
            <w:pPr>
              <w:jc w:val="right"/>
              <w:ind w:right="264"/>
              <w:spacing w:after="0"/>
              <w:rPr>
                <w:sz w:val="20"/>
                <w:szCs w:val="20"/>
                <w:color w:val="auto"/>
              </w:rPr>
            </w:pPr>
            <w:r>
              <w:rPr>
                <w:rFonts w:ascii="Arial" w:cs="Arial" w:eastAsia="Arial" w:hAnsi="Arial"/>
                <w:sz w:val="15"/>
                <w:szCs w:val="15"/>
                <w:color w:val="auto"/>
              </w:rPr>
              <w:t>2,861.8</w:t>
            </w:r>
          </w:p>
        </w:tc>
      </w:tr>
      <w:tr>
        <w:trPr>
          <w:trHeight w:val="184"/>
        </w:trPr>
        <w:tc>
          <w:tcPr>
            <w:tcW w:w="2400" w:type="dxa"/>
            <w:vAlign w:val="bottom"/>
          </w:tcPr>
          <w:p>
            <w:pPr>
              <w:spacing w:after="0"/>
              <w:rPr>
                <w:sz w:val="20"/>
                <w:szCs w:val="20"/>
                <w:color w:val="auto"/>
              </w:rPr>
            </w:pPr>
            <w:r>
              <w:rPr>
                <w:rFonts w:ascii="Arial" w:cs="Arial" w:eastAsia="Arial" w:hAnsi="Arial"/>
                <w:sz w:val="15"/>
                <w:szCs w:val="15"/>
                <w:color w:val="auto"/>
              </w:rPr>
              <w:t>Operating profit</w:t>
            </w:r>
          </w:p>
        </w:tc>
        <w:tc>
          <w:tcPr>
            <w:tcW w:w="1180" w:type="dxa"/>
            <w:vAlign w:val="bottom"/>
            <w:tcBorders>
              <w:right w:val="single" w:sz="8" w:color="4D8ABE"/>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right w:val="single" w:sz="8" w:color="4D8ABE"/>
            </w:tcBorders>
          </w:tcPr>
          <w:p>
            <w:pPr>
              <w:jc w:val="right"/>
              <w:ind w:right="284"/>
              <w:spacing w:after="0"/>
              <w:rPr>
                <w:sz w:val="20"/>
                <w:szCs w:val="20"/>
                <w:color w:val="auto"/>
              </w:rPr>
            </w:pPr>
            <w:r>
              <w:rPr>
                <w:rFonts w:ascii="Arial" w:cs="Arial" w:eastAsia="Arial" w:hAnsi="Arial"/>
                <w:sz w:val="15"/>
                <w:szCs w:val="15"/>
                <w:color w:val="4D8ABE"/>
              </w:rPr>
              <w:t>41.7</w:t>
            </w:r>
          </w:p>
        </w:tc>
        <w:tc>
          <w:tcPr>
            <w:tcW w:w="360" w:type="dxa"/>
            <w:vAlign w:val="bottom"/>
          </w:tcPr>
          <w:p>
            <w:pPr>
              <w:spacing w:after="0"/>
              <w:rPr>
                <w:sz w:val="15"/>
                <w:szCs w:val="15"/>
                <w:color w:val="auto"/>
              </w:rPr>
            </w:pP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493.5</w:t>
            </w:r>
          </w:p>
        </w:tc>
        <w:tc>
          <w:tcPr>
            <w:tcW w:w="540" w:type="dxa"/>
            <w:vAlign w:val="bottom"/>
          </w:tcPr>
          <w:p>
            <w:pPr>
              <w:spacing w:after="0"/>
              <w:rPr>
                <w:sz w:val="15"/>
                <w:szCs w:val="15"/>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811.2</w:t>
            </w:r>
          </w:p>
        </w:tc>
        <w:tc>
          <w:tcPr>
            <w:tcW w:w="5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532.1</w:t>
            </w:r>
          </w:p>
        </w:tc>
        <w:tc>
          <w:tcPr>
            <w:tcW w:w="520" w:type="dxa"/>
            <w:vAlign w:val="bottom"/>
          </w:tcPr>
          <w:p>
            <w:pPr>
              <w:spacing w:after="0"/>
              <w:rPr>
                <w:sz w:val="15"/>
                <w:szCs w:val="15"/>
                <w:color w:val="auto"/>
              </w:rPr>
            </w:pP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428.8</w:t>
            </w:r>
          </w:p>
        </w:tc>
      </w:tr>
      <w:tr>
        <w:trPr>
          <w:trHeight w:val="184"/>
        </w:trPr>
        <w:tc>
          <w:tcPr>
            <w:tcW w:w="3580" w:type="dxa"/>
            <w:vAlign w:val="bottom"/>
            <w:tcBorders>
              <w:right w:val="single" w:sz="8" w:color="4D8ABE"/>
            </w:tcBorders>
            <w:gridSpan w:val="2"/>
            <w:shd w:val="clear" w:color="auto" w:fill="E6EFFF"/>
          </w:tcPr>
          <w:p>
            <w:pPr>
              <w:spacing w:after="0"/>
              <w:rPr>
                <w:sz w:val="20"/>
                <w:szCs w:val="20"/>
                <w:color w:val="auto"/>
              </w:rPr>
            </w:pPr>
            <w:r>
              <w:rPr>
                <w:rFonts w:ascii="Arial" w:cs="Arial" w:eastAsia="Arial" w:hAnsi="Arial"/>
                <w:sz w:val="15"/>
                <w:szCs w:val="15"/>
                <w:color w:val="auto"/>
              </w:rPr>
              <w:t>Net (loss) earnings from continuing operations</w:t>
            </w:r>
          </w:p>
        </w:tc>
        <w:tc>
          <w:tcPr>
            <w:tcW w:w="80" w:type="dxa"/>
            <w:vAlign w:val="bottom"/>
            <w:shd w:val="clear" w:color="auto" w:fill="E6EFFF"/>
          </w:tcPr>
          <w:p>
            <w:pPr>
              <w:spacing w:after="0"/>
              <w:rPr>
                <w:sz w:val="15"/>
                <w:szCs w:val="15"/>
                <w:color w:val="auto"/>
              </w:rPr>
            </w:pPr>
          </w:p>
        </w:tc>
        <w:tc>
          <w:tcPr>
            <w:tcW w:w="1500" w:type="dxa"/>
            <w:vAlign w:val="bottom"/>
            <w:tcBorders>
              <w:right w:val="single" w:sz="8" w:color="4D8ABE"/>
            </w:tcBorders>
            <w:shd w:val="clear" w:color="auto" w:fill="E6EFFF"/>
          </w:tcPr>
          <w:p>
            <w:pPr>
              <w:jc w:val="right"/>
              <w:ind w:right="224"/>
              <w:spacing w:after="0"/>
              <w:rPr>
                <w:sz w:val="20"/>
                <w:szCs w:val="20"/>
                <w:color w:val="auto"/>
              </w:rPr>
            </w:pPr>
            <w:r>
              <w:rPr>
                <w:rFonts w:ascii="Arial" w:cs="Arial" w:eastAsia="Arial" w:hAnsi="Arial"/>
                <w:sz w:val="15"/>
                <w:szCs w:val="15"/>
                <w:color w:val="4D8ABE"/>
              </w:rPr>
              <w:t>(9.2)</w:t>
            </w:r>
          </w:p>
        </w:tc>
        <w:tc>
          <w:tcPr>
            <w:tcW w:w="36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205.5</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473.7</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305.7</w:t>
            </w:r>
          </w:p>
        </w:tc>
        <w:tc>
          <w:tcPr>
            <w:tcW w:w="520" w:type="dxa"/>
            <w:vAlign w:val="bottom"/>
            <w:shd w:val="clear" w:color="auto" w:fill="E6EFFF"/>
          </w:tcPr>
          <w:p>
            <w:pPr>
              <w:spacing w:after="0"/>
              <w:rPr>
                <w:sz w:val="15"/>
                <w:szCs w:val="15"/>
                <w:color w:val="auto"/>
              </w:rPr>
            </w:pPr>
          </w:p>
        </w:tc>
        <w:tc>
          <w:tcPr>
            <w:tcW w:w="1220" w:type="dxa"/>
            <w:vAlign w:val="bottom"/>
            <w:shd w:val="clear" w:color="auto" w:fill="E6EFFF"/>
          </w:tcPr>
          <w:p>
            <w:pPr>
              <w:jc w:val="right"/>
              <w:ind w:right="264"/>
              <w:spacing w:after="0"/>
              <w:rPr>
                <w:sz w:val="20"/>
                <w:szCs w:val="20"/>
                <w:color w:val="auto"/>
              </w:rPr>
            </w:pPr>
            <w:r>
              <w:rPr>
                <w:rFonts w:ascii="Arial" w:cs="Arial" w:eastAsia="Arial" w:hAnsi="Arial"/>
                <w:sz w:val="15"/>
                <w:szCs w:val="15"/>
                <w:color w:val="auto"/>
              </w:rPr>
              <w:t>255.1</w:t>
            </w:r>
          </w:p>
        </w:tc>
      </w:tr>
      <w:tr>
        <w:trPr>
          <w:trHeight w:val="184"/>
        </w:trPr>
        <w:tc>
          <w:tcPr>
            <w:tcW w:w="2400" w:type="dxa"/>
            <w:vAlign w:val="bottom"/>
          </w:tcPr>
          <w:p>
            <w:pPr>
              <w:spacing w:after="0"/>
              <w:rPr>
                <w:sz w:val="20"/>
                <w:szCs w:val="20"/>
                <w:color w:val="auto"/>
              </w:rPr>
            </w:pPr>
            <w:r>
              <w:rPr>
                <w:rFonts w:ascii="Arial" w:cs="Arial" w:eastAsia="Arial" w:hAnsi="Arial"/>
                <w:sz w:val="15"/>
                <w:szCs w:val="15"/>
                <w:b w:val="1"/>
                <w:bCs w:val="1"/>
                <w:color w:val="939598"/>
              </w:rPr>
              <w:t>Per Share Data</w:t>
            </w:r>
          </w:p>
        </w:tc>
        <w:tc>
          <w:tcPr>
            <w:tcW w:w="1180" w:type="dxa"/>
            <w:vAlign w:val="bottom"/>
            <w:tcBorders>
              <w:right w:val="single" w:sz="8" w:color="4D8ABE"/>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right w:val="single" w:sz="8" w:color="4D8ABE"/>
            </w:tcBorders>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2"/>
        </w:trPr>
        <w:tc>
          <w:tcPr>
            <w:tcW w:w="2400" w:type="dxa"/>
            <w:vAlign w:val="bottom"/>
            <w:shd w:val="clear" w:color="auto" w:fill="E6EFFF"/>
          </w:tcPr>
          <w:p>
            <w:pPr>
              <w:spacing w:after="0"/>
              <w:rPr>
                <w:sz w:val="20"/>
                <w:szCs w:val="20"/>
                <w:color w:val="auto"/>
              </w:rPr>
            </w:pPr>
            <w:r>
              <w:rPr>
                <w:rFonts w:ascii="Arial" w:cs="Arial" w:eastAsia="Arial" w:hAnsi="Arial"/>
                <w:sz w:val="15"/>
                <w:szCs w:val="15"/>
                <w:color w:val="auto"/>
              </w:rPr>
              <w:t>Net (loss) earnings from continuing</w:t>
            </w:r>
          </w:p>
        </w:tc>
        <w:tc>
          <w:tcPr>
            <w:tcW w:w="1180" w:type="dxa"/>
            <w:vAlign w:val="bottom"/>
            <w:tcBorders>
              <w:right w:val="single" w:sz="8" w:color="4D8ABE"/>
            </w:tcBorders>
            <w:shd w:val="clear" w:color="auto" w:fill="E6EFFF"/>
          </w:tcPr>
          <w:p>
            <w:pPr>
              <w:ind w:left="60"/>
              <w:spacing w:after="0"/>
              <w:rPr>
                <w:sz w:val="20"/>
                <w:szCs w:val="20"/>
                <w:color w:val="auto"/>
              </w:rPr>
            </w:pPr>
            <w:r>
              <w:rPr>
                <w:rFonts w:ascii="Arial" w:cs="Arial" w:eastAsia="Arial" w:hAnsi="Arial"/>
                <w:sz w:val="15"/>
                <w:szCs w:val="15"/>
                <w:color w:val="auto"/>
              </w:rPr>
              <w:t>operations –</w:t>
            </w:r>
          </w:p>
        </w:tc>
        <w:tc>
          <w:tcPr>
            <w:tcW w:w="80" w:type="dxa"/>
            <w:vAlign w:val="bottom"/>
            <w:shd w:val="clear" w:color="auto" w:fill="E6EFFF"/>
          </w:tcPr>
          <w:p>
            <w:pPr>
              <w:spacing w:after="0"/>
              <w:rPr>
                <w:sz w:val="14"/>
                <w:szCs w:val="14"/>
                <w:color w:val="auto"/>
              </w:rPr>
            </w:pPr>
          </w:p>
        </w:tc>
        <w:tc>
          <w:tcPr>
            <w:tcW w:w="1500" w:type="dxa"/>
            <w:vAlign w:val="bottom"/>
            <w:tcBorders>
              <w:right w:val="single" w:sz="8" w:color="4D8ABE"/>
            </w:tcBorders>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540" w:type="dxa"/>
            <w:vAlign w:val="bottom"/>
            <w:shd w:val="clear" w:color="auto" w:fill="E6EFFF"/>
          </w:tcPr>
          <w:p>
            <w:pPr>
              <w:spacing w:after="0"/>
              <w:rPr>
                <w:sz w:val="14"/>
                <w:szCs w:val="14"/>
                <w:color w:val="auto"/>
              </w:rPr>
            </w:pPr>
          </w:p>
        </w:tc>
        <w:tc>
          <w:tcPr>
            <w:tcW w:w="1040" w:type="dxa"/>
            <w:vAlign w:val="bottom"/>
            <w:shd w:val="clear" w:color="auto" w:fill="E6EFFF"/>
          </w:tcPr>
          <w:p>
            <w:pPr>
              <w:spacing w:after="0"/>
              <w:rPr>
                <w:sz w:val="14"/>
                <w:szCs w:val="14"/>
                <w:color w:val="auto"/>
              </w:rPr>
            </w:pPr>
          </w:p>
        </w:tc>
        <w:tc>
          <w:tcPr>
            <w:tcW w:w="540" w:type="dxa"/>
            <w:vAlign w:val="bottom"/>
            <w:shd w:val="clear" w:color="auto" w:fill="E6EFFF"/>
          </w:tcPr>
          <w:p>
            <w:pPr>
              <w:spacing w:after="0"/>
              <w:rPr>
                <w:sz w:val="14"/>
                <w:szCs w:val="14"/>
                <w:color w:val="auto"/>
              </w:rPr>
            </w:pPr>
          </w:p>
        </w:tc>
        <w:tc>
          <w:tcPr>
            <w:tcW w:w="1040" w:type="dxa"/>
            <w:vAlign w:val="bottom"/>
            <w:shd w:val="clear" w:color="auto" w:fill="E6EFFF"/>
          </w:tcPr>
          <w:p>
            <w:pPr>
              <w:spacing w:after="0"/>
              <w:rPr>
                <w:sz w:val="14"/>
                <w:szCs w:val="14"/>
                <w:color w:val="auto"/>
              </w:rPr>
            </w:pPr>
          </w:p>
        </w:tc>
        <w:tc>
          <w:tcPr>
            <w:tcW w:w="520" w:type="dxa"/>
            <w:vAlign w:val="bottom"/>
            <w:shd w:val="clear" w:color="auto" w:fill="E6EFFF"/>
          </w:tcPr>
          <w:p>
            <w:pPr>
              <w:spacing w:after="0"/>
              <w:rPr>
                <w:sz w:val="14"/>
                <w:szCs w:val="14"/>
                <w:color w:val="auto"/>
              </w:rPr>
            </w:pPr>
          </w:p>
        </w:tc>
        <w:tc>
          <w:tcPr>
            <w:tcW w:w="1220" w:type="dxa"/>
            <w:vAlign w:val="bottom"/>
            <w:shd w:val="clear" w:color="auto" w:fill="E6EFFF"/>
          </w:tcPr>
          <w:p>
            <w:pPr>
              <w:spacing w:after="0"/>
              <w:rPr>
                <w:sz w:val="14"/>
                <w:szCs w:val="14"/>
                <w:color w:val="auto"/>
              </w:rPr>
            </w:pPr>
          </w:p>
        </w:tc>
      </w:tr>
      <w:tr>
        <w:trPr>
          <w:trHeight w:val="173"/>
        </w:trPr>
        <w:tc>
          <w:tcPr>
            <w:tcW w:w="2400" w:type="dxa"/>
            <w:vAlign w:val="bottom"/>
            <w:shd w:val="clear" w:color="auto" w:fill="E6EFFF"/>
          </w:tcPr>
          <w:p>
            <w:pPr>
              <w:ind w:left="140"/>
              <w:spacing w:after="0"/>
              <w:rPr>
                <w:sz w:val="20"/>
                <w:szCs w:val="20"/>
                <w:color w:val="auto"/>
              </w:rPr>
            </w:pPr>
            <w:r>
              <w:rPr>
                <w:rFonts w:ascii="Arial" w:cs="Arial" w:eastAsia="Arial" w:hAnsi="Arial"/>
                <w:sz w:val="15"/>
                <w:szCs w:val="15"/>
                <w:color w:val="auto"/>
              </w:rPr>
              <w:t>basic</w:t>
            </w:r>
          </w:p>
        </w:tc>
        <w:tc>
          <w:tcPr>
            <w:tcW w:w="118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500" w:type="dxa"/>
            <w:vAlign w:val="bottom"/>
            <w:tcBorders>
              <w:right w:val="single" w:sz="8" w:color="4D8ABE"/>
            </w:tcBorders>
            <w:shd w:val="clear" w:color="auto" w:fill="E6EFFF"/>
          </w:tcPr>
          <w:p>
            <w:pPr>
              <w:jc w:val="right"/>
              <w:ind w:right="224"/>
              <w:spacing w:after="0"/>
              <w:rPr>
                <w:sz w:val="20"/>
                <w:szCs w:val="20"/>
                <w:color w:val="auto"/>
              </w:rPr>
            </w:pPr>
            <w:r>
              <w:rPr>
                <w:rFonts w:ascii="Arial" w:cs="Arial" w:eastAsia="Arial" w:hAnsi="Arial"/>
                <w:sz w:val="15"/>
                <w:szCs w:val="15"/>
                <w:color w:val="4D8ABE"/>
              </w:rPr>
              <w:t>$ (0.12)</w:t>
            </w:r>
          </w:p>
        </w:tc>
        <w:tc>
          <w:tcPr>
            <w:tcW w:w="36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$ 2.61</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$ 5.70</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$ 3.55</w:t>
            </w:r>
          </w:p>
        </w:tc>
        <w:tc>
          <w:tcPr>
            <w:tcW w:w="520" w:type="dxa"/>
            <w:vAlign w:val="bottom"/>
            <w:shd w:val="clear" w:color="auto" w:fill="E6EFFF"/>
          </w:tcPr>
          <w:p>
            <w:pPr>
              <w:spacing w:after="0"/>
              <w:rPr>
                <w:sz w:val="15"/>
                <w:szCs w:val="15"/>
                <w:color w:val="auto"/>
              </w:rPr>
            </w:pPr>
          </w:p>
        </w:tc>
        <w:tc>
          <w:tcPr>
            <w:tcW w:w="1220" w:type="dxa"/>
            <w:vAlign w:val="bottom"/>
            <w:shd w:val="clear" w:color="auto" w:fill="E6EFFF"/>
          </w:tcPr>
          <w:p>
            <w:pPr>
              <w:jc w:val="right"/>
              <w:ind w:right="264"/>
              <w:spacing w:after="0"/>
              <w:rPr>
                <w:sz w:val="20"/>
                <w:szCs w:val="20"/>
                <w:color w:val="auto"/>
              </w:rPr>
            </w:pPr>
            <w:r>
              <w:rPr>
                <w:rFonts w:ascii="Arial" w:cs="Arial" w:eastAsia="Arial" w:hAnsi="Arial"/>
                <w:sz w:val="15"/>
                <w:szCs w:val="15"/>
                <w:color w:val="auto"/>
              </w:rPr>
              <w:t>$ 2.89</w:t>
            </w:r>
          </w:p>
        </w:tc>
      </w:tr>
      <w:tr>
        <w:trPr>
          <w:trHeight w:val="172"/>
        </w:trPr>
        <w:tc>
          <w:tcPr>
            <w:tcW w:w="2400" w:type="dxa"/>
            <w:vAlign w:val="bottom"/>
          </w:tcPr>
          <w:p>
            <w:pPr>
              <w:spacing w:after="0"/>
              <w:rPr>
                <w:sz w:val="20"/>
                <w:szCs w:val="20"/>
                <w:color w:val="auto"/>
              </w:rPr>
            </w:pPr>
            <w:r>
              <w:rPr>
                <w:rFonts w:ascii="Arial" w:cs="Arial" w:eastAsia="Arial" w:hAnsi="Arial"/>
                <w:sz w:val="15"/>
                <w:szCs w:val="15"/>
                <w:color w:val="auto"/>
              </w:rPr>
              <w:t>Net (loss) earnings from continuing</w:t>
            </w:r>
          </w:p>
        </w:tc>
        <w:tc>
          <w:tcPr>
            <w:tcW w:w="1180" w:type="dxa"/>
            <w:vAlign w:val="bottom"/>
            <w:tcBorders>
              <w:right w:val="single" w:sz="8" w:color="4D8ABE"/>
            </w:tcBorders>
          </w:tcPr>
          <w:p>
            <w:pPr>
              <w:ind w:left="60"/>
              <w:spacing w:after="0"/>
              <w:rPr>
                <w:sz w:val="20"/>
                <w:szCs w:val="20"/>
                <w:color w:val="auto"/>
              </w:rPr>
            </w:pPr>
            <w:r>
              <w:rPr>
                <w:rFonts w:ascii="Arial" w:cs="Arial" w:eastAsia="Arial" w:hAnsi="Arial"/>
                <w:sz w:val="15"/>
                <w:szCs w:val="15"/>
                <w:color w:val="auto"/>
              </w:rPr>
              <w:t>operations –</w:t>
            </w:r>
          </w:p>
        </w:tc>
        <w:tc>
          <w:tcPr>
            <w:tcW w:w="80" w:type="dxa"/>
            <w:vAlign w:val="bottom"/>
          </w:tcPr>
          <w:p>
            <w:pPr>
              <w:spacing w:after="0"/>
              <w:rPr>
                <w:sz w:val="14"/>
                <w:szCs w:val="14"/>
                <w:color w:val="auto"/>
              </w:rPr>
            </w:pPr>
          </w:p>
        </w:tc>
        <w:tc>
          <w:tcPr>
            <w:tcW w:w="1500" w:type="dxa"/>
            <w:vAlign w:val="bottom"/>
            <w:tcBorders>
              <w:right w:val="single" w:sz="8" w:color="4D8ABE"/>
            </w:tcBorders>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2400" w:type="dxa"/>
            <w:vAlign w:val="bottom"/>
          </w:tcPr>
          <w:p>
            <w:pPr>
              <w:ind w:left="140"/>
              <w:spacing w:after="0"/>
              <w:rPr>
                <w:sz w:val="20"/>
                <w:szCs w:val="20"/>
                <w:color w:val="auto"/>
              </w:rPr>
            </w:pPr>
            <w:r>
              <w:rPr>
                <w:rFonts w:ascii="Arial" w:cs="Arial" w:eastAsia="Arial" w:hAnsi="Arial"/>
                <w:sz w:val="15"/>
                <w:szCs w:val="15"/>
                <w:color w:val="auto"/>
              </w:rPr>
              <w:t>diluted</w:t>
            </w:r>
          </w:p>
        </w:tc>
        <w:tc>
          <w:tcPr>
            <w:tcW w:w="1180" w:type="dxa"/>
            <w:vAlign w:val="bottom"/>
            <w:tcBorders>
              <w:right w:val="single" w:sz="8" w:color="4D8ABE"/>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right w:val="single" w:sz="8" w:color="4D8ABE"/>
            </w:tcBorders>
          </w:tcPr>
          <w:p>
            <w:pPr>
              <w:jc w:val="right"/>
              <w:ind w:right="224"/>
              <w:spacing w:after="0"/>
              <w:rPr>
                <w:sz w:val="20"/>
                <w:szCs w:val="20"/>
                <w:color w:val="auto"/>
              </w:rPr>
            </w:pPr>
            <w:r>
              <w:rPr>
                <w:rFonts w:ascii="Arial" w:cs="Arial" w:eastAsia="Arial" w:hAnsi="Arial"/>
                <w:sz w:val="15"/>
                <w:szCs w:val="15"/>
                <w:color w:val="4D8ABE"/>
              </w:rPr>
              <w:t>(0.12)</w:t>
            </w:r>
          </w:p>
        </w:tc>
        <w:tc>
          <w:tcPr>
            <w:tcW w:w="360" w:type="dxa"/>
            <w:vAlign w:val="bottom"/>
          </w:tcPr>
          <w:p>
            <w:pPr>
              <w:spacing w:after="0"/>
              <w:rPr>
                <w:sz w:val="15"/>
                <w:szCs w:val="15"/>
                <w:color w:val="auto"/>
              </w:rPr>
            </w:pP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2.58</w:t>
            </w:r>
          </w:p>
        </w:tc>
        <w:tc>
          <w:tcPr>
            <w:tcW w:w="540" w:type="dxa"/>
            <w:vAlign w:val="bottom"/>
          </w:tcPr>
          <w:p>
            <w:pPr>
              <w:spacing w:after="0"/>
              <w:rPr>
                <w:sz w:val="15"/>
                <w:szCs w:val="15"/>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color w:val="auto"/>
              </w:rPr>
              <w:t>5.60</w:t>
            </w:r>
          </w:p>
        </w:tc>
        <w:tc>
          <w:tcPr>
            <w:tcW w:w="5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3.48</w:t>
            </w:r>
          </w:p>
        </w:tc>
        <w:tc>
          <w:tcPr>
            <w:tcW w:w="520" w:type="dxa"/>
            <w:vAlign w:val="bottom"/>
          </w:tcPr>
          <w:p>
            <w:pPr>
              <w:spacing w:after="0"/>
              <w:rPr>
                <w:sz w:val="15"/>
                <w:szCs w:val="15"/>
                <w:color w:val="auto"/>
              </w:rPr>
            </w:pPr>
          </w:p>
        </w:tc>
        <w:tc>
          <w:tcPr>
            <w:tcW w:w="1220" w:type="dxa"/>
            <w:vAlign w:val="bottom"/>
          </w:tcPr>
          <w:p>
            <w:pPr>
              <w:jc w:val="right"/>
              <w:ind w:right="264"/>
              <w:spacing w:after="0"/>
              <w:rPr>
                <w:sz w:val="20"/>
                <w:szCs w:val="20"/>
                <w:color w:val="auto"/>
              </w:rPr>
            </w:pPr>
            <w:r>
              <w:rPr>
                <w:rFonts w:ascii="Arial" w:cs="Arial" w:eastAsia="Arial" w:hAnsi="Arial"/>
                <w:sz w:val="15"/>
                <w:szCs w:val="15"/>
                <w:color w:val="auto"/>
              </w:rPr>
              <w:t>2.81</w:t>
            </w:r>
          </w:p>
        </w:tc>
      </w:tr>
      <w:tr>
        <w:trPr>
          <w:trHeight w:val="184"/>
        </w:trPr>
        <w:tc>
          <w:tcPr>
            <w:tcW w:w="2400" w:type="dxa"/>
            <w:vAlign w:val="bottom"/>
            <w:shd w:val="clear" w:color="auto" w:fill="E6EFFF"/>
          </w:tcPr>
          <w:p>
            <w:pPr>
              <w:spacing w:after="0"/>
              <w:rPr>
                <w:sz w:val="20"/>
                <w:szCs w:val="20"/>
                <w:color w:val="auto"/>
              </w:rPr>
            </w:pPr>
            <w:r>
              <w:rPr>
                <w:rFonts w:ascii="Arial" w:cs="Arial" w:eastAsia="Arial" w:hAnsi="Arial"/>
                <w:sz w:val="15"/>
                <w:szCs w:val="15"/>
                <w:color w:val="auto"/>
              </w:rPr>
              <w:t>Dividends</w:t>
            </w:r>
          </w:p>
        </w:tc>
        <w:tc>
          <w:tcPr>
            <w:tcW w:w="118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500" w:type="dxa"/>
            <w:vAlign w:val="bottom"/>
            <w:tcBorders>
              <w:right w:val="single" w:sz="8" w:color="4D8ABE"/>
            </w:tcBorders>
            <w:shd w:val="clear" w:color="auto" w:fill="E6EFFF"/>
          </w:tcPr>
          <w:p>
            <w:pPr>
              <w:jc w:val="right"/>
              <w:ind w:right="284"/>
              <w:spacing w:after="0"/>
              <w:rPr>
                <w:sz w:val="20"/>
                <w:szCs w:val="20"/>
                <w:color w:val="auto"/>
              </w:rPr>
            </w:pPr>
            <w:r>
              <w:rPr>
                <w:rFonts w:ascii="Arial" w:cs="Arial" w:eastAsia="Arial" w:hAnsi="Arial"/>
                <w:sz w:val="15"/>
                <w:szCs w:val="15"/>
                <w:color w:val="4D8ABE"/>
              </w:rPr>
              <w:t>0.74</w:t>
            </w:r>
          </w:p>
        </w:tc>
        <w:tc>
          <w:tcPr>
            <w:tcW w:w="360" w:type="dxa"/>
            <w:vAlign w:val="bottom"/>
            <w:shd w:val="clear" w:color="auto" w:fill="E6EFFF"/>
          </w:tcPr>
          <w:p>
            <w:pPr>
              <w:spacing w:after="0"/>
              <w:rPr>
                <w:sz w:val="15"/>
                <w:szCs w:val="15"/>
                <w:color w:val="auto"/>
              </w:rPr>
            </w:pPr>
          </w:p>
        </w:tc>
        <w:tc>
          <w:tcPr>
            <w:tcW w:w="102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0.74</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0.69</w:t>
            </w:r>
          </w:p>
        </w:tc>
        <w:tc>
          <w:tcPr>
            <w:tcW w:w="540" w:type="dxa"/>
            <w:vAlign w:val="bottom"/>
            <w:shd w:val="clear" w:color="auto" w:fill="E6EFFF"/>
          </w:tcPr>
          <w:p>
            <w:pPr>
              <w:spacing w:after="0"/>
              <w:rPr>
                <w:sz w:val="15"/>
                <w:szCs w:val="15"/>
                <w:color w:val="auto"/>
              </w:rPr>
            </w:pPr>
          </w:p>
        </w:tc>
        <w:tc>
          <w:tcPr>
            <w:tcW w:w="104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0.59</w:t>
            </w:r>
          </w:p>
        </w:tc>
        <w:tc>
          <w:tcPr>
            <w:tcW w:w="520" w:type="dxa"/>
            <w:vAlign w:val="bottom"/>
            <w:shd w:val="clear" w:color="auto" w:fill="E6EFFF"/>
          </w:tcPr>
          <w:p>
            <w:pPr>
              <w:spacing w:after="0"/>
              <w:rPr>
                <w:sz w:val="15"/>
                <w:szCs w:val="15"/>
                <w:color w:val="auto"/>
              </w:rPr>
            </w:pPr>
          </w:p>
        </w:tc>
        <w:tc>
          <w:tcPr>
            <w:tcW w:w="1220" w:type="dxa"/>
            <w:vAlign w:val="bottom"/>
            <w:shd w:val="clear" w:color="auto" w:fill="E6EFFF"/>
          </w:tcPr>
          <w:p>
            <w:pPr>
              <w:jc w:val="right"/>
              <w:ind w:right="264"/>
              <w:spacing w:after="0"/>
              <w:rPr>
                <w:sz w:val="20"/>
                <w:szCs w:val="20"/>
                <w:color w:val="auto"/>
              </w:rPr>
            </w:pPr>
            <w:r>
              <w:rPr>
                <w:rFonts w:ascii="Arial" w:cs="Arial" w:eastAsia="Arial" w:hAnsi="Arial"/>
                <w:sz w:val="15"/>
                <w:szCs w:val="15"/>
                <w:color w:val="auto"/>
              </w:rPr>
              <w:t>0.47</w:t>
            </w:r>
          </w:p>
        </w:tc>
      </w:tr>
      <w:tr>
        <w:trPr>
          <w:trHeight w:val="184"/>
        </w:trPr>
        <w:tc>
          <w:tcPr>
            <w:tcW w:w="2400" w:type="dxa"/>
            <w:vAlign w:val="bottom"/>
          </w:tcPr>
          <w:p>
            <w:pPr>
              <w:spacing w:after="0"/>
              <w:rPr>
                <w:sz w:val="20"/>
                <w:szCs w:val="20"/>
                <w:color w:val="auto"/>
              </w:rPr>
            </w:pPr>
            <w:r>
              <w:rPr>
                <w:rFonts w:ascii="Arial" w:cs="Arial" w:eastAsia="Arial" w:hAnsi="Arial"/>
                <w:sz w:val="15"/>
                <w:szCs w:val="15"/>
                <w:b w:val="1"/>
                <w:bCs w:val="1"/>
                <w:color w:val="939598"/>
              </w:rPr>
              <w:t>Balance Sheet Data</w:t>
            </w:r>
          </w:p>
        </w:tc>
        <w:tc>
          <w:tcPr>
            <w:tcW w:w="1180" w:type="dxa"/>
            <w:vAlign w:val="bottom"/>
            <w:tcBorders>
              <w:right w:val="single" w:sz="8" w:color="4D8ABE"/>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right w:val="single" w:sz="8" w:color="4D8ABE"/>
            </w:tcBorders>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2400" w:type="dxa"/>
            <w:vAlign w:val="bottom"/>
            <w:shd w:val="clear" w:color="auto" w:fill="E6EFFF"/>
          </w:tcPr>
          <w:p>
            <w:pPr>
              <w:spacing w:after="0"/>
              <w:rPr>
                <w:sz w:val="20"/>
                <w:szCs w:val="20"/>
                <w:color w:val="auto"/>
              </w:rPr>
            </w:pPr>
            <w:r>
              <w:rPr>
                <w:rFonts w:ascii="Arial" w:cs="Arial" w:eastAsia="Arial" w:hAnsi="Arial"/>
                <w:sz w:val="15"/>
                <w:szCs w:val="15"/>
                <w:color w:val="auto"/>
              </w:rPr>
              <w:t>Total assets</w:t>
            </w:r>
          </w:p>
        </w:tc>
        <w:tc>
          <w:tcPr>
            <w:tcW w:w="1180" w:type="dxa"/>
            <w:vAlign w:val="bottom"/>
            <w:tcBorders>
              <w:right w:val="single" w:sz="8" w:color="4D8ABE"/>
            </w:tcBorders>
            <w:shd w:val="clear" w:color="auto" w:fill="E6EFFF"/>
          </w:tcPr>
          <w:p>
            <w:pPr>
              <w:spacing w:after="0"/>
              <w:rPr>
                <w:sz w:val="15"/>
                <w:szCs w:val="15"/>
                <w:color w:val="auto"/>
              </w:rPr>
            </w:pP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500" w:type="dxa"/>
            <w:vAlign w:val="bottom"/>
            <w:tcBorders>
              <w:right w:val="single" w:sz="8" w:color="4D8ABE"/>
            </w:tcBorders>
            <w:shd w:val="clear" w:color="auto" w:fill="E6EFFF"/>
          </w:tcPr>
          <w:p>
            <w:pPr>
              <w:jc w:val="right"/>
              <w:ind w:right="284"/>
              <w:spacing w:after="0"/>
              <w:rPr>
                <w:sz w:val="20"/>
                <w:szCs w:val="20"/>
                <w:color w:val="auto"/>
              </w:rPr>
            </w:pPr>
            <w:r>
              <w:rPr>
                <w:rFonts w:ascii="Arial" w:cs="Arial" w:eastAsia="Arial" w:hAnsi="Arial"/>
                <w:sz w:val="15"/>
                <w:szCs w:val="15"/>
                <w:color w:val="4D8ABE"/>
              </w:rPr>
              <w:t>6,213.8</w:t>
            </w:r>
          </w:p>
        </w:tc>
        <w:tc>
          <w:tcPr>
            <w:tcW w:w="36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6,622.2</w:t>
            </w:r>
          </w:p>
        </w:tc>
        <w:tc>
          <w:tcPr>
            <w:tcW w:w="54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E6EFFF"/>
          </w:tcPr>
          <w:p>
            <w:pPr>
              <w:jc w:val="right"/>
              <w:ind w:right="84"/>
              <w:spacing w:after="0"/>
              <w:rPr>
                <w:sz w:val="20"/>
                <w:szCs w:val="20"/>
                <w:color w:val="auto"/>
              </w:rPr>
            </w:pPr>
            <w:r>
              <w:rPr>
                <w:rFonts w:ascii="Arial" w:cs="Arial" w:eastAsia="Arial" w:hAnsi="Arial"/>
                <w:sz w:val="15"/>
                <w:szCs w:val="15"/>
                <w:color w:val="auto"/>
              </w:rPr>
              <w:t>7,226.9</w:t>
            </w:r>
          </w:p>
        </w:tc>
        <w:tc>
          <w:tcPr>
            <w:tcW w:w="54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E6EFFF"/>
          </w:tcPr>
          <w:p>
            <w:pPr>
              <w:jc w:val="right"/>
              <w:ind w:right="104"/>
              <w:spacing w:after="0"/>
              <w:rPr>
                <w:sz w:val="20"/>
                <w:szCs w:val="20"/>
                <w:color w:val="auto"/>
              </w:rPr>
            </w:pPr>
            <w:r>
              <w:rPr>
                <w:rFonts w:ascii="Arial" w:cs="Arial" w:eastAsia="Arial" w:hAnsi="Arial"/>
                <w:sz w:val="15"/>
                <w:szCs w:val="15"/>
                <w:color w:val="auto"/>
              </w:rPr>
              <w:t>6,514.1</w:t>
            </w:r>
          </w:p>
        </w:tc>
        <w:tc>
          <w:tcPr>
            <w:tcW w:w="520" w:type="dxa"/>
            <w:vAlign w:val="bottom"/>
            <w:shd w:val="clear" w:color="auto" w:fill="E6EFFF"/>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E6EFFF"/>
          </w:tcPr>
          <w:p>
            <w:pPr>
              <w:jc w:val="right"/>
              <w:ind w:right="264"/>
              <w:spacing w:after="0"/>
              <w:rPr>
                <w:sz w:val="20"/>
                <w:szCs w:val="20"/>
                <w:color w:val="auto"/>
              </w:rPr>
            </w:pPr>
            <w:r>
              <w:rPr>
                <w:rFonts w:ascii="Arial" w:cs="Arial" w:eastAsia="Arial" w:hAnsi="Arial"/>
                <w:sz w:val="15"/>
                <w:szCs w:val="15"/>
                <w:color w:val="auto"/>
              </w:rPr>
              <w:t>5,568.4</w:t>
            </w:r>
          </w:p>
        </w:tc>
      </w:tr>
      <w:tr>
        <w:trPr>
          <w:trHeight w:val="187"/>
        </w:trPr>
        <w:tc>
          <w:tcPr>
            <w:tcW w:w="24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Long-term debt</w:t>
            </w:r>
          </w:p>
        </w:tc>
        <w:tc>
          <w:tcPr>
            <w:tcW w:w="1180" w:type="dxa"/>
            <w:vAlign w:val="bottom"/>
            <w:tcBorders>
              <w:bottom w:val="single" w:sz="8" w:color="auto"/>
              <w:right w:val="single" w:sz="8" w:color="4D8ABE"/>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right w:val="single" w:sz="8" w:color="4D8ABE"/>
            </w:tcBorders>
          </w:tcPr>
          <w:p>
            <w:pPr>
              <w:jc w:val="right"/>
              <w:ind w:right="284"/>
              <w:spacing w:after="0"/>
              <w:rPr>
                <w:sz w:val="20"/>
                <w:szCs w:val="20"/>
                <w:color w:val="auto"/>
              </w:rPr>
            </w:pPr>
            <w:r>
              <w:rPr>
                <w:rFonts w:ascii="Arial" w:cs="Arial" w:eastAsia="Arial" w:hAnsi="Arial"/>
                <w:sz w:val="15"/>
                <w:szCs w:val="15"/>
                <w:color w:val="4D8ABE"/>
              </w:rPr>
              <w:t>715.6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837.3</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874.8</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791.2</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475.0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 should be read in conjunction with the above summary.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 Selected Financial Data presented has been revised for the effects of the restatement disclosed in Note 1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4D8ABE"/>
        </w:rPr>
        <w:t>Performance Graph</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Set forth below is a graph for the periods ending December 31, 2004-2009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18.6% of the total market capitalization of the companies included in the index. The graph assumes a $100 investment on December 31, 2004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126365</wp:posOffset>
            </wp:positionV>
            <wp:extent cx="5654675" cy="18389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4675" cy="183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b w:val="1"/>
                <w:bCs w:val="1"/>
                <w:color w:val="4D8ABE"/>
              </w:rPr>
              <w:t>December 31</w:t>
            </w:r>
          </w:p>
        </w:tc>
        <w:tc>
          <w:tcPr>
            <w:tcW w:w="80" w:type="dxa"/>
            <w:vAlign w:val="bottom"/>
            <w:tcBorders>
              <w:bottom w:val="single" w:sz="8" w:color="4D8ABE"/>
            </w:tcBorders>
            <w:shd w:val="clear" w:color="auto" w:fill="4D8ABE"/>
          </w:tcPr>
          <w:p>
            <w:pPr>
              <w:spacing w:after="0"/>
              <w:rPr>
                <w:sz w:val="16"/>
                <w:szCs w:val="16"/>
                <w:color w:val="auto"/>
              </w:rPr>
            </w:pPr>
          </w:p>
        </w:tc>
        <w:tc>
          <w:tcPr>
            <w:tcW w:w="1260" w:type="dxa"/>
            <w:vAlign w:val="bottom"/>
            <w:tcBorders>
              <w:bottom w:val="single" w:sz="8" w:color="4D8ABE"/>
              <w:right w:val="single" w:sz="8" w:color="4D8ABE"/>
            </w:tcBorders>
            <w:shd w:val="clear" w:color="auto" w:fill="4D8ABE"/>
          </w:tcPr>
          <w:p>
            <w:pPr>
              <w:jc w:val="right"/>
              <w:ind w:right="165"/>
              <w:spacing w:after="0"/>
              <w:rPr>
                <w:sz w:val="20"/>
                <w:szCs w:val="20"/>
                <w:color w:val="auto"/>
              </w:rPr>
            </w:pPr>
            <w:r>
              <w:rPr>
                <w:rFonts w:ascii="Arial" w:cs="Arial" w:eastAsia="Arial" w:hAnsi="Arial"/>
                <w:sz w:val="14"/>
                <w:szCs w:val="14"/>
                <w:b w:val="1"/>
                <w:bCs w:val="1"/>
                <w:color w:val="FFFFFF"/>
              </w:rPr>
              <w:t>2009</w:t>
            </w:r>
          </w:p>
        </w:tc>
        <w:tc>
          <w:tcPr>
            <w:tcW w:w="440" w:type="dxa"/>
            <w:vAlign w:val="bottom"/>
            <w:tcBorders>
              <w:bottom w:val="single" w:sz="8" w:color="4D8ABE"/>
            </w:tcBorders>
          </w:tcPr>
          <w:p>
            <w:pPr>
              <w:spacing w:after="0"/>
              <w:rPr>
                <w:sz w:val="16"/>
                <w:szCs w:val="16"/>
                <w:color w:val="auto"/>
              </w:rPr>
            </w:pPr>
          </w:p>
        </w:tc>
        <w:tc>
          <w:tcPr>
            <w:tcW w:w="780" w:type="dxa"/>
            <w:vAlign w:val="bottom"/>
            <w:tcBorders>
              <w:bottom w:val="single" w:sz="8" w:color="4D8ABE"/>
            </w:tcBorders>
          </w:tcPr>
          <w:p>
            <w:pPr>
              <w:jc w:val="right"/>
              <w:ind w:right="45"/>
              <w:spacing w:after="0"/>
              <w:rPr>
                <w:sz w:val="20"/>
                <w:szCs w:val="20"/>
                <w:color w:val="auto"/>
              </w:rPr>
            </w:pPr>
            <w:r>
              <w:rPr>
                <w:rFonts w:ascii="Arial" w:cs="Arial" w:eastAsia="Arial" w:hAnsi="Arial"/>
                <w:sz w:val="14"/>
                <w:szCs w:val="14"/>
                <w:b w:val="1"/>
                <w:bCs w:val="1"/>
                <w:color w:val="4D8ABE"/>
              </w:rPr>
              <w:t>2008</w:t>
            </w:r>
          </w:p>
        </w:tc>
        <w:tc>
          <w:tcPr>
            <w:tcW w:w="560" w:type="dxa"/>
            <w:vAlign w:val="bottom"/>
            <w:tcBorders>
              <w:bottom w:val="single" w:sz="8" w:color="4D8ABE"/>
            </w:tcBorders>
          </w:tcPr>
          <w:p>
            <w:pPr>
              <w:spacing w:after="0"/>
              <w:rPr>
                <w:sz w:val="16"/>
                <w:szCs w:val="16"/>
                <w:color w:val="auto"/>
              </w:rPr>
            </w:pPr>
          </w:p>
        </w:tc>
        <w:tc>
          <w:tcPr>
            <w:tcW w:w="780" w:type="dxa"/>
            <w:vAlign w:val="bottom"/>
            <w:tcBorders>
              <w:bottom w:val="single" w:sz="8" w:color="4D8ABE"/>
            </w:tcBorders>
          </w:tcPr>
          <w:p>
            <w:pPr>
              <w:jc w:val="right"/>
              <w:ind w:right="45"/>
              <w:spacing w:after="0"/>
              <w:rPr>
                <w:sz w:val="20"/>
                <w:szCs w:val="20"/>
                <w:color w:val="auto"/>
              </w:rPr>
            </w:pPr>
            <w:r>
              <w:rPr>
                <w:rFonts w:ascii="Arial" w:cs="Arial" w:eastAsia="Arial" w:hAnsi="Arial"/>
                <w:sz w:val="14"/>
                <w:szCs w:val="14"/>
                <w:b w:val="1"/>
                <w:bCs w:val="1"/>
                <w:color w:val="4D8ABE"/>
              </w:rPr>
              <w:t>2007</w:t>
            </w:r>
          </w:p>
        </w:tc>
        <w:tc>
          <w:tcPr>
            <w:tcW w:w="560" w:type="dxa"/>
            <w:vAlign w:val="bottom"/>
            <w:tcBorders>
              <w:bottom w:val="single" w:sz="8" w:color="4D8ABE"/>
            </w:tcBorders>
          </w:tcPr>
          <w:p>
            <w:pPr>
              <w:spacing w:after="0"/>
              <w:rPr>
                <w:sz w:val="16"/>
                <w:szCs w:val="16"/>
                <w:color w:val="auto"/>
              </w:rPr>
            </w:pPr>
          </w:p>
        </w:tc>
        <w:tc>
          <w:tcPr>
            <w:tcW w:w="780" w:type="dxa"/>
            <w:vAlign w:val="bottom"/>
            <w:tcBorders>
              <w:bottom w:val="single" w:sz="8" w:color="4D8ABE"/>
            </w:tcBorders>
          </w:tcPr>
          <w:p>
            <w:pPr>
              <w:jc w:val="right"/>
              <w:ind w:right="45"/>
              <w:spacing w:after="0"/>
              <w:rPr>
                <w:sz w:val="20"/>
                <w:szCs w:val="20"/>
                <w:color w:val="auto"/>
              </w:rPr>
            </w:pPr>
            <w:r>
              <w:rPr>
                <w:rFonts w:ascii="Arial" w:cs="Arial" w:eastAsia="Arial" w:hAnsi="Arial"/>
                <w:sz w:val="14"/>
                <w:szCs w:val="14"/>
                <w:b w:val="1"/>
                <w:bCs w:val="1"/>
                <w:color w:val="4D8ABE"/>
              </w:rPr>
              <w:t>2006</w:t>
            </w:r>
          </w:p>
        </w:tc>
        <w:tc>
          <w:tcPr>
            <w:tcW w:w="560" w:type="dxa"/>
            <w:vAlign w:val="bottom"/>
            <w:tcBorders>
              <w:bottom w:val="single" w:sz="8" w:color="4D8ABE"/>
            </w:tcBorders>
          </w:tcPr>
          <w:p>
            <w:pPr>
              <w:spacing w:after="0"/>
              <w:rPr>
                <w:sz w:val="16"/>
                <w:szCs w:val="16"/>
                <w:color w:val="auto"/>
              </w:rPr>
            </w:pPr>
          </w:p>
        </w:tc>
        <w:tc>
          <w:tcPr>
            <w:tcW w:w="780" w:type="dxa"/>
            <w:vAlign w:val="bottom"/>
            <w:tcBorders>
              <w:bottom w:val="single" w:sz="8" w:color="4D8ABE"/>
            </w:tcBorders>
          </w:tcPr>
          <w:p>
            <w:pPr>
              <w:jc w:val="right"/>
              <w:ind w:right="25"/>
              <w:spacing w:after="0"/>
              <w:rPr>
                <w:sz w:val="20"/>
                <w:szCs w:val="20"/>
                <w:color w:val="auto"/>
              </w:rPr>
            </w:pPr>
            <w:r>
              <w:rPr>
                <w:rFonts w:ascii="Arial" w:cs="Arial" w:eastAsia="Arial" w:hAnsi="Arial"/>
                <w:sz w:val="14"/>
                <w:szCs w:val="14"/>
                <w:b w:val="1"/>
                <w:bCs w:val="1"/>
                <w:color w:val="4D8ABE"/>
              </w:rPr>
              <w:t>2005</w:t>
            </w:r>
          </w:p>
        </w:tc>
        <w:tc>
          <w:tcPr>
            <w:tcW w:w="560" w:type="dxa"/>
            <w:vAlign w:val="bottom"/>
            <w:tcBorders>
              <w:bottom w:val="single" w:sz="8" w:color="4D8ABE"/>
            </w:tcBorders>
          </w:tcPr>
          <w:p>
            <w:pPr>
              <w:spacing w:after="0"/>
              <w:rPr>
                <w:sz w:val="16"/>
                <w:szCs w:val="16"/>
                <w:color w:val="auto"/>
              </w:rPr>
            </w:pPr>
          </w:p>
        </w:tc>
        <w:tc>
          <w:tcPr>
            <w:tcW w:w="900" w:type="dxa"/>
            <w:vAlign w:val="bottom"/>
            <w:tcBorders>
              <w:bottom w:val="single" w:sz="8" w:color="4D8ABE"/>
            </w:tcBorders>
          </w:tcPr>
          <w:p>
            <w:pPr>
              <w:jc w:val="right"/>
              <w:ind w:right="145"/>
              <w:spacing w:after="0"/>
              <w:rPr>
                <w:sz w:val="20"/>
                <w:szCs w:val="20"/>
                <w:color w:val="auto"/>
              </w:rPr>
            </w:pPr>
            <w:r>
              <w:rPr>
                <w:rFonts w:ascii="Arial" w:cs="Arial" w:eastAsia="Arial" w:hAnsi="Arial"/>
                <w:sz w:val="14"/>
                <w:szCs w:val="14"/>
                <w:b w:val="1"/>
                <w:bCs w:val="1"/>
                <w:color w:val="4D8ABE"/>
              </w:rPr>
              <w:t>2004</w:t>
            </w:r>
          </w:p>
        </w:tc>
      </w:tr>
      <w:tr>
        <w:trPr>
          <w:trHeight w:val="175"/>
        </w:trPr>
        <w:tc>
          <w:tcPr>
            <w:tcW w:w="34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Manpower</w:t>
            </w:r>
          </w:p>
        </w:tc>
        <w:tc>
          <w:tcPr>
            <w:tcW w:w="80" w:type="dxa"/>
            <w:vAlign w:val="bottom"/>
            <w:shd w:val="clear" w:color="auto" w:fill="E6EFFF"/>
          </w:tcPr>
          <w:p>
            <w:pPr>
              <w:jc w:val="right"/>
              <w:spacing w:after="0"/>
              <w:rPr>
                <w:sz w:val="20"/>
                <w:szCs w:val="20"/>
                <w:color w:val="auto"/>
              </w:rPr>
            </w:pPr>
            <w:r>
              <w:rPr>
                <w:rFonts w:ascii="Arial" w:cs="Arial" w:eastAsia="Arial" w:hAnsi="Arial"/>
                <w:sz w:val="15"/>
                <w:szCs w:val="15"/>
                <w:color w:val="4D8ABE"/>
                <w:w w:val="71"/>
              </w:rPr>
              <w:t>$</w:t>
            </w:r>
          </w:p>
        </w:tc>
        <w:tc>
          <w:tcPr>
            <w:tcW w:w="1260" w:type="dxa"/>
            <w:vAlign w:val="bottom"/>
            <w:tcBorders>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113</w:t>
            </w:r>
          </w:p>
        </w:tc>
        <w:tc>
          <w:tcPr>
            <w:tcW w:w="440" w:type="dxa"/>
            <w:vAlign w:val="bottom"/>
            <w:shd w:val="clear" w:color="auto" w:fill="E6EFFF"/>
          </w:tcPr>
          <w:p>
            <w:pPr>
              <w:jc w:val="right"/>
              <w:ind w:right="2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rPr>
              <w:t>70</w:t>
            </w:r>
          </w:p>
        </w:tc>
        <w:tc>
          <w:tcPr>
            <w:tcW w:w="560" w:type="dxa"/>
            <w:vAlign w:val="bottom"/>
            <w:shd w:val="clear" w:color="auto" w:fill="E6EFFF"/>
          </w:tcPr>
          <w:p>
            <w:pPr>
              <w:jc w:val="right"/>
              <w:ind w:right="283"/>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rPr>
              <w:t>118</w:t>
            </w:r>
          </w:p>
        </w:tc>
        <w:tc>
          <w:tcPr>
            <w:tcW w:w="560" w:type="dxa"/>
            <w:vAlign w:val="bottom"/>
            <w:shd w:val="clear" w:color="auto" w:fill="E6EFFF"/>
          </w:tcPr>
          <w:p>
            <w:pPr>
              <w:jc w:val="right"/>
              <w:ind w:right="283"/>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FFF"/>
          </w:tcPr>
          <w:p>
            <w:pPr>
              <w:jc w:val="right"/>
              <w:ind w:right="45"/>
              <w:spacing w:after="0"/>
              <w:rPr>
                <w:sz w:val="20"/>
                <w:szCs w:val="20"/>
                <w:color w:val="auto"/>
              </w:rPr>
            </w:pPr>
            <w:r>
              <w:rPr>
                <w:rFonts w:ascii="Arial" w:cs="Arial" w:eastAsia="Arial" w:hAnsi="Arial"/>
                <w:sz w:val="15"/>
                <w:szCs w:val="15"/>
                <w:color w:val="auto"/>
              </w:rPr>
              <w:t>155</w:t>
            </w:r>
          </w:p>
        </w:tc>
        <w:tc>
          <w:tcPr>
            <w:tcW w:w="560" w:type="dxa"/>
            <w:vAlign w:val="bottom"/>
            <w:shd w:val="clear" w:color="auto" w:fill="E6EFFF"/>
          </w:tcPr>
          <w:p>
            <w:pPr>
              <w:jc w:val="right"/>
              <w:ind w:right="283"/>
              <w:spacing w:after="0"/>
              <w:rPr>
                <w:sz w:val="20"/>
                <w:szCs w:val="20"/>
                <w:color w:val="auto"/>
              </w:rPr>
            </w:pPr>
            <w:r>
              <w:rPr>
                <w:rFonts w:ascii="Arial" w:cs="Arial" w:eastAsia="Arial" w:hAnsi="Arial"/>
                <w:sz w:val="15"/>
                <w:szCs w:val="15"/>
                <w:color w:val="auto"/>
              </w:rPr>
              <w:t>$</w:t>
            </w:r>
          </w:p>
        </w:tc>
        <w:tc>
          <w:tcPr>
            <w:tcW w:w="780" w:type="dxa"/>
            <w:vAlign w:val="bottom"/>
            <w:shd w:val="clear" w:color="auto" w:fill="E6EFFF"/>
          </w:tcPr>
          <w:p>
            <w:pPr>
              <w:jc w:val="right"/>
              <w:ind w:right="25"/>
              <w:spacing w:after="0"/>
              <w:rPr>
                <w:sz w:val="20"/>
                <w:szCs w:val="20"/>
                <w:color w:val="auto"/>
              </w:rPr>
            </w:pPr>
            <w:r>
              <w:rPr>
                <w:rFonts w:ascii="Arial" w:cs="Arial" w:eastAsia="Arial" w:hAnsi="Arial"/>
                <w:sz w:val="15"/>
                <w:szCs w:val="15"/>
                <w:color w:val="auto"/>
              </w:rPr>
              <w:t>96</w:t>
            </w:r>
          </w:p>
        </w:tc>
        <w:tc>
          <w:tcPr>
            <w:tcW w:w="560" w:type="dxa"/>
            <w:vAlign w:val="bottom"/>
            <w:shd w:val="clear" w:color="auto" w:fill="E6EFFF"/>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shd w:val="clear" w:color="auto" w:fill="E6EFFF"/>
          </w:tcPr>
          <w:p>
            <w:pPr>
              <w:jc w:val="right"/>
              <w:ind w:right="145"/>
              <w:spacing w:after="0"/>
              <w:rPr>
                <w:sz w:val="20"/>
                <w:szCs w:val="20"/>
                <w:color w:val="auto"/>
              </w:rPr>
            </w:pPr>
            <w:r>
              <w:rPr>
                <w:rFonts w:ascii="Arial" w:cs="Arial" w:eastAsia="Arial" w:hAnsi="Arial"/>
                <w:sz w:val="15"/>
                <w:szCs w:val="15"/>
                <w:color w:val="auto"/>
              </w:rPr>
              <w:t>100</w:t>
            </w:r>
          </w:p>
        </w:tc>
      </w:tr>
      <w:tr>
        <w:trPr>
          <w:trHeight w:val="184"/>
        </w:trPr>
        <w:tc>
          <w:tcPr>
            <w:tcW w:w="3400" w:type="dxa"/>
            <w:vAlign w:val="bottom"/>
            <w:tcBorders>
              <w:right w:val="single" w:sz="8" w:color="4D8ABE"/>
            </w:tcBorders>
          </w:tcPr>
          <w:p>
            <w:pPr>
              <w:spacing w:after="0"/>
              <w:rPr>
                <w:sz w:val="20"/>
                <w:szCs w:val="20"/>
                <w:color w:val="auto"/>
              </w:rPr>
            </w:pPr>
            <w:r>
              <w:rPr>
                <w:rFonts w:ascii="Arial" w:cs="Arial" w:eastAsia="Arial" w:hAnsi="Arial"/>
                <w:sz w:val="15"/>
                <w:szCs w:val="15"/>
                <w:color w:val="auto"/>
              </w:rPr>
              <w:t>S&amp;P 400 Midcap Stock Index</w:t>
            </w:r>
          </w:p>
        </w:tc>
        <w:tc>
          <w:tcPr>
            <w:tcW w:w="80" w:type="dxa"/>
            <w:vAlign w:val="bottom"/>
          </w:tcPr>
          <w:p>
            <w:pPr>
              <w:spacing w:after="0"/>
              <w:rPr>
                <w:sz w:val="15"/>
                <w:szCs w:val="15"/>
                <w:color w:val="auto"/>
              </w:rPr>
            </w:pPr>
          </w:p>
        </w:tc>
        <w:tc>
          <w:tcPr>
            <w:tcW w:w="1260" w:type="dxa"/>
            <w:vAlign w:val="bottom"/>
            <w:tcBorders>
              <w:right w:val="single" w:sz="8" w:color="4D8ABE"/>
            </w:tcBorders>
          </w:tcPr>
          <w:p>
            <w:pPr>
              <w:jc w:val="right"/>
              <w:ind w:right="165"/>
              <w:spacing w:after="0"/>
              <w:rPr>
                <w:sz w:val="20"/>
                <w:szCs w:val="20"/>
                <w:color w:val="auto"/>
              </w:rPr>
            </w:pPr>
            <w:r>
              <w:rPr>
                <w:rFonts w:ascii="Arial" w:cs="Arial" w:eastAsia="Arial" w:hAnsi="Arial"/>
                <w:sz w:val="15"/>
                <w:szCs w:val="15"/>
                <w:color w:val="4D8ABE"/>
              </w:rPr>
              <w:t>110</w:t>
            </w:r>
          </w:p>
        </w:tc>
        <w:tc>
          <w:tcPr>
            <w:tcW w:w="440" w:type="dxa"/>
            <w:vAlign w:val="bottom"/>
          </w:tcPr>
          <w:p>
            <w:pPr>
              <w:spacing w:after="0"/>
              <w:rPr>
                <w:sz w:val="15"/>
                <w:szCs w:val="15"/>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81</w:t>
            </w:r>
          </w:p>
        </w:tc>
        <w:tc>
          <w:tcPr>
            <w:tcW w:w="560" w:type="dxa"/>
            <w:vAlign w:val="bottom"/>
          </w:tcPr>
          <w:p>
            <w:pPr>
              <w:spacing w:after="0"/>
              <w:rPr>
                <w:sz w:val="15"/>
                <w:szCs w:val="15"/>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129</w:t>
            </w:r>
          </w:p>
        </w:tc>
        <w:tc>
          <w:tcPr>
            <w:tcW w:w="560" w:type="dxa"/>
            <w:vAlign w:val="bottom"/>
          </w:tcPr>
          <w:p>
            <w:pPr>
              <w:spacing w:after="0"/>
              <w:rPr>
                <w:sz w:val="15"/>
                <w:szCs w:val="15"/>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121</w:t>
            </w:r>
          </w:p>
        </w:tc>
        <w:tc>
          <w:tcPr>
            <w:tcW w:w="5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111</w:t>
            </w:r>
          </w:p>
        </w:tc>
        <w:tc>
          <w:tcPr>
            <w:tcW w:w="5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Arial" w:cs="Arial" w:eastAsia="Arial" w:hAnsi="Arial"/>
                <w:sz w:val="15"/>
                <w:szCs w:val="15"/>
                <w:color w:val="auto"/>
              </w:rPr>
              <w:t>100</w:t>
            </w:r>
          </w:p>
        </w:tc>
      </w:tr>
      <w:tr>
        <w:trPr>
          <w:trHeight w:val="172"/>
        </w:trPr>
        <w:tc>
          <w:tcPr>
            <w:tcW w:w="34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5"/>
                <w:szCs w:val="15"/>
                <w:color w:val="auto"/>
              </w:rPr>
              <w:t>S&amp;P Supercomposite Human Resources</w:t>
            </w:r>
          </w:p>
        </w:tc>
        <w:tc>
          <w:tcPr>
            <w:tcW w:w="80" w:type="dxa"/>
            <w:vAlign w:val="bottom"/>
            <w:shd w:val="clear" w:color="auto" w:fill="E6EFFF"/>
          </w:tcPr>
          <w:p>
            <w:pPr>
              <w:spacing w:after="0"/>
              <w:rPr>
                <w:sz w:val="14"/>
                <w:szCs w:val="14"/>
                <w:color w:val="auto"/>
              </w:rPr>
            </w:pPr>
          </w:p>
        </w:tc>
        <w:tc>
          <w:tcPr>
            <w:tcW w:w="1260" w:type="dxa"/>
            <w:vAlign w:val="bottom"/>
            <w:tcBorders>
              <w:right w:val="single" w:sz="8" w:color="4D8ABE"/>
            </w:tcBorders>
            <w:shd w:val="clear" w:color="auto" w:fill="E6EFFF"/>
          </w:tcPr>
          <w:p>
            <w:pPr>
              <w:spacing w:after="0"/>
              <w:rPr>
                <w:sz w:val="14"/>
                <w:szCs w:val="14"/>
                <w:color w:val="auto"/>
              </w:rPr>
            </w:pPr>
          </w:p>
        </w:tc>
        <w:tc>
          <w:tcPr>
            <w:tcW w:w="44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900" w:type="dxa"/>
            <w:vAlign w:val="bottom"/>
            <w:shd w:val="clear" w:color="auto" w:fill="E6EFFF"/>
          </w:tcPr>
          <w:p>
            <w:pPr>
              <w:spacing w:after="0"/>
              <w:rPr>
                <w:sz w:val="14"/>
                <w:szCs w:val="14"/>
                <w:color w:val="auto"/>
              </w:rPr>
            </w:pPr>
          </w:p>
        </w:tc>
      </w:tr>
      <w:tr>
        <w:trPr>
          <w:trHeight w:val="176"/>
        </w:trPr>
        <w:tc>
          <w:tcPr>
            <w:tcW w:w="3400" w:type="dxa"/>
            <w:vAlign w:val="bottom"/>
            <w:tcBorders>
              <w:bottom w:val="single" w:sz="8" w:color="auto"/>
              <w:right w:val="single" w:sz="8" w:color="4D8ABE"/>
            </w:tcBorders>
            <w:shd w:val="clear" w:color="auto" w:fill="E6EFFF"/>
          </w:tcPr>
          <w:p>
            <w:pPr>
              <w:ind w:left="140"/>
              <w:spacing w:after="0"/>
              <w:rPr>
                <w:sz w:val="20"/>
                <w:szCs w:val="20"/>
                <w:color w:val="auto"/>
              </w:rPr>
            </w:pPr>
            <w:r>
              <w:rPr>
                <w:rFonts w:ascii="Arial" w:cs="Arial" w:eastAsia="Arial" w:hAnsi="Arial"/>
                <w:sz w:val="15"/>
                <w:szCs w:val="15"/>
                <w:color w:val="auto"/>
              </w:rPr>
              <w:t>and Employment Services Index</w:t>
            </w:r>
          </w:p>
        </w:tc>
        <w:tc>
          <w:tcPr>
            <w:tcW w:w="80" w:type="dxa"/>
            <w:vAlign w:val="bottom"/>
            <w:tcBorders>
              <w:bottom w:val="single" w:sz="8" w:color="auto"/>
            </w:tcBorders>
            <w:shd w:val="clear" w:color="auto" w:fill="E6EFFF"/>
          </w:tcPr>
          <w:p>
            <w:pPr>
              <w:spacing w:after="0"/>
              <w:rPr>
                <w:sz w:val="15"/>
                <w:szCs w:val="15"/>
                <w:color w:val="auto"/>
              </w:rPr>
            </w:pPr>
          </w:p>
        </w:tc>
        <w:tc>
          <w:tcPr>
            <w:tcW w:w="1260" w:type="dxa"/>
            <w:vAlign w:val="bottom"/>
            <w:tcBorders>
              <w:bottom w:val="single" w:sz="8" w:color="auto"/>
              <w:right w:val="single" w:sz="8" w:color="4D8ABE"/>
            </w:tcBorders>
            <w:shd w:val="clear" w:color="auto" w:fill="E6EFFF"/>
          </w:tcPr>
          <w:p>
            <w:pPr>
              <w:jc w:val="right"/>
              <w:ind w:right="165"/>
              <w:spacing w:after="0"/>
              <w:rPr>
                <w:sz w:val="20"/>
                <w:szCs w:val="20"/>
                <w:color w:val="auto"/>
              </w:rPr>
            </w:pPr>
            <w:r>
              <w:rPr>
                <w:rFonts w:ascii="Arial" w:cs="Arial" w:eastAsia="Arial" w:hAnsi="Arial"/>
                <w:sz w:val="15"/>
                <w:szCs w:val="15"/>
                <w:color w:val="4D8ABE"/>
              </w:rPr>
              <w:t>127</w:t>
            </w:r>
          </w:p>
        </w:tc>
        <w:tc>
          <w:tcPr>
            <w:tcW w:w="44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93</w:t>
            </w:r>
          </w:p>
        </w:tc>
        <w:tc>
          <w:tcPr>
            <w:tcW w:w="56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103</w:t>
            </w:r>
          </w:p>
        </w:tc>
        <w:tc>
          <w:tcPr>
            <w:tcW w:w="56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45"/>
              <w:spacing w:after="0"/>
              <w:rPr>
                <w:sz w:val="20"/>
                <w:szCs w:val="20"/>
                <w:color w:val="auto"/>
              </w:rPr>
            </w:pPr>
            <w:r>
              <w:rPr>
                <w:rFonts w:ascii="Arial" w:cs="Arial" w:eastAsia="Arial" w:hAnsi="Arial"/>
                <w:sz w:val="15"/>
                <w:szCs w:val="15"/>
                <w:color w:val="auto"/>
              </w:rPr>
              <w:t>136</w:t>
            </w:r>
          </w:p>
        </w:tc>
        <w:tc>
          <w:tcPr>
            <w:tcW w:w="560" w:type="dxa"/>
            <w:vAlign w:val="bottom"/>
            <w:tcBorders>
              <w:bottom w:val="single" w:sz="8" w:color="auto"/>
            </w:tcBorders>
            <w:shd w:val="clear" w:color="auto" w:fill="E6EFFF"/>
          </w:tcPr>
          <w:p>
            <w:pPr>
              <w:spacing w:after="0"/>
              <w:rPr>
                <w:sz w:val="15"/>
                <w:szCs w:val="15"/>
                <w:color w:val="auto"/>
              </w:rPr>
            </w:pPr>
          </w:p>
        </w:tc>
        <w:tc>
          <w:tcPr>
            <w:tcW w:w="780" w:type="dxa"/>
            <w:vAlign w:val="bottom"/>
            <w:tcBorders>
              <w:bottom w:val="single" w:sz="8" w:color="auto"/>
            </w:tcBorders>
            <w:shd w:val="clear" w:color="auto" w:fill="E6EFFF"/>
          </w:tcPr>
          <w:p>
            <w:pPr>
              <w:jc w:val="right"/>
              <w:ind w:right="25"/>
              <w:spacing w:after="0"/>
              <w:rPr>
                <w:sz w:val="20"/>
                <w:szCs w:val="20"/>
                <w:color w:val="auto"/>
              </w:rPr>
            </w:pPr>
            <w:r>
              <w:rPr>
                <w:rFonts w:ascii="Arial" w:cs="Arial" w:eastAsia="Arial" w:hAnsi="Arial"/>
                <w:sz w:val="15"/>
                <w:szCs w:val="15"/>
                <w:color w:val="auto"/>
              </w:rPr>
              <w:t>114</w:t>
            </w:r>
          </w:p>
        </w:tc>
        <w:tc>
          <w:tcPr>
            <w:tcW w:w="560" w:type="dxa"/>
            <w:vAlign w:val="bottom"/>
            <w:tcBorders>
              <w:bottom w:val="single" w:sz="8" w:color="auto"/>
            </w:tcBorders>
            <w:shd w:val="clear" w:color="auto" w:fill="E6EFFF"/>
          </w:tcPr>
          <w:p>
            <w:pPr>
              <w:spacing w:after="0"/>
              <w:rPr>
                <w:sz w:val="15"/>
                <w:szCs w:val="15"/>
                <w:color w:val="auto"/>
              </w:rPr>
            </w:pPr>
          </w:p>
        </w:tc>
        <w:tc>
          <w:tcPr>
            <w:tcW w:w="900" w:type="dxa"/>
            <w:vAlign w:val="bottom"/>
            <w:tcBorders>
              <w:bottom w:val="single" w:sz="8" w:color="auto"/>
            </w:tcBorders>
            <w:shd w:val="clear" w:color="auto" w:fill="E6EFFF"/>
          </w:tcPr>
          <w:p>
            <w:pPr>
              <w:jc w:val="right"/>
              <w:ind w:right="145"/>
              <w:spacing w:after="0"/>
              <w:rPr>
                <w:sz w:val="20"/>
                <w:szCs w:val="20"/>
                <w:color w:val="auto"/>
              </w:rPr>
            </w:pPr>
            <w:r>
              <w:rPr>
                <w:rFonts w:ascii="Arial" w:cs="Arial" w:eastAsia="Arial" w:hAnsi="Arial"/>
                <w:sz w:val="15"/>
                <w:szCs w:val="15"/>
                <w:color w:val="auto"/>
              </w:rPr>
              <w:t>100</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CERTIFICATIONS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Manpower has filed the Chief Executive Officer/Chief Financial Officer certifications that are required by Section 302 of the Sarbanes-Oxley Act of 2002 as exhibits to its Annual Report on Form 10-K. In 2009, Jeffrey A. Joerres, Manpower’s Chief Executive Officer, submitted a certification to the New York Stock Exchange in accordance with Section 303A.12 of the NYSE Listed Company Manual stating that, as of the date of the certification, he was not aware of any violation by Manpower of the NYSE’s corporate governance listing standards.</w:t>
      </w:r>
    </w:p>
    <w:p>
      <w:pPr>
        <w:spacing w:after="0" w:line="18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76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86B6A5"/>
        </w:rPr>
        <w:t>Principle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149225</wp:posOffset>
            </wp:positionV>
            <wp:extent cx="5647055" cy="26047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47055" cy="260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Argentina, Australia, Austria, Bahrain, Belgium, Belarus, Bolivia, Brazil, Bulgaria, Canada, Chile, China, Colombia, Costa Rica, Czech Republic, Denmark, Dominican Republic, Ecuador, El Salvador, Estonia, Finland, France, Germany, Greece, Guadeloupe, Guatemala, Honduras, Hong Kong, Hungary, India, Ireland, Israel, Italy, Japan, Kazakhstan, Korea, Kuwait, Latvia, Lithuania, Luxembourg, Macau, Malaysia, Martinique, Mexico, Monaco, Morocco, Netherlands, New Caledonia, New Zealand, Nicaragua, Norway, Panama, Paraguay, Peru, Philippines, Poland, Portugal, Puerto Rico, Qatar, Reunion, Romania, Russia, Saudi Arabia,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279640" cy="1054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964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b w:val="1"/>
          <w:bCs w:val="1"/>
          <w:color w:val="auto"/>
        </w:rPr>
        <w:t xml:space="preserve">Manpower Inc. (NYSE: MAN) </w:t>
      </w:r>
      <w:r>
        <w:rPr>
          <w:rFonts w:ascii="Arial" w:cs="Arial" w:eastAsia="Arial" w:hAnsi="Arial"/>
          <w:sz w:val="15"/>
          <w:szCs w:val="15"/>
          <w:color w:val="auto"/>
        </w:rPr>
        <w:t>is a world leader in the employment services industry; creating and delivering services that enable its clients to win in the changing world of</w:t>
      </w:r>
      <w:r>
        <w:rPr>
          <w:rFonts w:ascii="Arial" w:cs="Arial" w:eastAsia="Arial" w:hAnsi="Arial"/>
          <w:sz w:val="15"/>
          <w:szCs w:val="15"/>
          <w:b w:val="1"/>
          <w:bCs w:val="1"/>
          <w:color w:val="auto"/>
        </w:rPr>
        <w:t xml:space="preserve"> </w:t>
      </w:r>
      <w:r>
        <w:rPr>
          <w:rFonts w:ascii="Arial" w:cs="Arial" w:eastAsia="Arial" w:hAnsi="Arial"/>
          <w:sz w:val="15"/>
          <w:szCs w:val="15"/>
          <w:color w:val="auto"/>
        </w:rPr>
        <w:t>work. With over 60 years’ experience, the $16 billion company offers employers a range of services for the entire employment and business cycle including permanent, temporary and contract recruitment; employee assessment and selection; training; outplacement; outsourcing and consulting. Manpower’s worldwide network of nearly 4,000 offices in 82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82" w:lineRule="exact"/>
        <w:rPr>
          <w:sz w:val="20"/>
          <w:szCs w:val="20"/>
          <w:color w:val="auto"/>
        </w:rPr>
      </w:pPr>
    </w:p>
    <w:p>
      <w:pPr>
        <w:jc w:val="right"/>
        <w:spacing w:after="0"/>
        <w:tabs>
          <w:tab w:leader="none" w:pos="2080" w:val="left"/>
        </w:tabs>
        <w:rPr>
          <w:sz w:val="20"/>
          <w:szCs w:val="20"/>
          <w:color w:val="auto"/>
        </w:rPr>
      </w:pPr>
      <w:r>
        <w:rPr>
          <w:rFonts w:ascii="Arial" w:cs="Arial" w:eastAsia="Arial" w:hAnsi="Arial"/>
          <w:sz w:val="14"/>
          <w:szCs w:val="14"/>
          <w:b w:val="1"/>
          <w:bCs w:val="1"/>
          <w:color w:val="939598"/>
        </w:rPr>
        <w:t>Principle Operating Units</w:t>
      </w:r>
      <w:r>
        <w:rPr>
          <w:sz w:val="20"/>
          <w:szCs w:val="20"/>
          <w:color w:val="auto"/>
        </w:rPr>
        <w:tab/>
      </w:r>
      <w:r>
        <w:rPr>
          <w:rFonts w:ascii="Arial" w:cs="Arial" w:eastAsia="Arial" w:hAnsi="Arial"/>
          <w:sz w:val="13"/>
          <w:szCs w:val="13"/>
          <w:color w:val="auto"/>
        </w:rPr>
        <w:t xml:space="preserve">Manpower 2009 Annual Report </w:t>
      </w:r>
      <w:r>
        <w:rPr>
          <w:rFonts w:ascii="Arial" w:cs="Arial" w:eastAsia="Arial" w:hAnsi="Arial"/>
          <w:sz w:val="13"/>
          <w:szCs w:val="13"/>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87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86B6A5"/>
        </w:rPr>
        <w:t>Corporate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4D8ABE"/>
        </w:rPr>
        <w:t>Directors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JEFFREY A. JOERRES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Chairman, CEO and President</w:t>
      </w:r>
    </w:p>
    <w:p>
      <w:pPr>
        <w:spacing w:after="0"/>
        <w:rPr>
          <w:sz w:val="20"/>
          <w:szCs w:val="20"/>
          <w:color w:val="auto"/>
        </w:rPr>
      </w:pPr>
      <w:r>
        <w:rPr>
          <w:rFonts w:ascii="Arial" w:cs="Arial" w:eastAsia="Arial" w:hAnsi="Arial"/>
          <w:sz w:val="15"/>
          <w:szCs w:val="15"/>
          <w:color w:val="auto"/>
        </w:rPr>
        <w:t>Manpower Inc.</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MARC J. BOLLAND </w:t>
      </w:r>
      <w:r>
        <w:rPr>
          <w:rFonts w:ascii="Arial" w:cs="Arial" w:eastAsia="Arial" w:hAnsi="Arial"/>
          <w:sz w:val="21"/>
          <w:szCs w:val="21"/>
          <w:b w:val="1"/>
          <w:bCs w:val="1"/>
          <w:color w:val="86B6A5"/>
          <w:vertAlign w:val="superscript"/>
        </w:rPr>
        <w:t>2</w:t>
      </w:r>
    </w:p>
    <w:p>
      <w:pPr>
        <w:spacing w:after="0"/>
        <w:rPr>
          <w:sz w:val="20"/>
          <w:szCs w:val="20"/>
          <w:color w:val="auto"/>
        </w:rPr>
      </w:pPr>
      <w:r>
        <w:rPr>
          <w:rFonts w:ascii="Arial" w:cs="Arial" w:eastAsia="Arial" w:hAnsi="Arial"/>
          <w:sz w:val="15"/>
          <w:szCs w:val="15"/>
          <w:color w:val="auto"/>
        </w:rPr>
        <w:t>CEO</w:t>
      </w:r>
    </w:p>
    <w:p>
      <w:pPr>
        <w:spacing w:after="0"/>
        <w:rPr>
          <w:sz w:val="20"/>
          <w:szCs w:val="20"/>
          <w:color w:val="auto"/>
        </w:rPr>
      </w:pPr>
      <w:r>
        <w:rPr>
          <w:rFonts w:ascii="Arial" w:cs="Arial" w:eastAsia="Arial" w:hAnsi="Arial"/>
          <w:sz w:val="15"/>
          <w:szCs w:val="15"/>
          <w:color w:val="auto"/>
        </w:rPr>
        <w:t>Wm Morrison Supermarkets PLC</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GINA BOSWELL </w:t>
      </w:r>
      <w:r>
        <w:rPr>
          <w:rFonts w:ascii="Arial" w:cs="Arial" w:eastAsia="Arial" w:hAnsi="Arial"/>
          <w:sz w:val="21"/>
          <w:szCs w:val="21"/>
          <w:b w:val="1"/>
          <w:bCs w:val="1"/>
          <w:color w:val="86B6A5"/>
          <w:vertAlign w:val="superscript"/>
        </w:rPr>
        <w:t>1</w:t>
      </w:r>
    </w:p>
    <w:p>
      <w:pPr>
        <w:spacing w:after="0"/>
        <w:rPr>
          <w:sz w:val="20"/>
          <w:szCs w:val="20"/>
          <w:color w:val="auto"/>
        </w:rPr>
      </w:pPr>
      <w:r>
        <w:rPr>
          <w:rFonts w:ascii="Arial" w:cs="Arial" w:eastAsia="Arial" w:hAnsi="Arial"/>
          <w:sz w:val="15"/>
          <w:szCs w:val="15"/>
          <w:color w:val="auto"/>
        </w:rPr>
        <w:t>President of Global Brands</w:t>
      </w:r>
    </w:p>
    <w:p>
      <w:pPr>
        <w:spacing w:after="0"/>
        <w:rPr>
          <w:sz w:val="20"/>
          <w:szCs w:val="20"/>
          <w:color w:val="auto"/>
        </w:rPr>
      </w:pPr>
      <w:r>
        <w:rPr>
          <w:rFonts w:ascii="Arial" w:cs="Arial" w:eastAsia="Arial" w:hAnsi="Arial"/>
          <w:sz w:val="15"/>
          <w:szCs w:val="15"/>
          <w:color w:val="auto"/>
        </w:rPr>
        <w:t>The Alberto-Culver Company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J. THOMAS BOUCHARD </w:t>
      </w:r>
      <w:r>
        <w:rPr>
          <w:rFonts w:ascii="Arial" w:cs="Arial" w:eastAsia="Arial" w:hAnsi="Arial"/>
          <w:sz w:val="21"/>
          <w:szCs w:val="21"/>
          <w:b w:val="1"/>
          <w:bCs w:val="1"/>
          <w:color w:val="86B6A5"/>
          <w:vertAlign w:val="superscript"/>
        </w:rPr>
        <w:t>2*,3</w:t>
      </w:r>
    </w:p>
    <w:p>
      <w:pPr>
        <w:ind w:right="2080"/>
        <w:spacing w:after="0" w:line="256" w:lineRule="auto"/>
        <w:rPr>
          <w:sz w:val="20"/>
          <w:szCs w:val="20"/>
          <w:color w:val="auto"/>
        </w:rPr>
      </w:pPr>
      <w:r>
        <w:rPr>
          <w:rFonts w:ascii="Arial" w:cs="Arial" w:eastAsia="Arial" w:hAnsi="Arial"/>
          <w:sz w:val="15"/>
          <w:szCs w:val="15"/>
          <w:color w:val="auto"/>
        </w:rPr>
        <w:t>Retired Senior Vice President, Human Resources IBM</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CARI DOMINGUEZ </w:t>
      </w:r>
      <w:r>
        <w:rPr>
          <w:rFonts w:ascii="Arial" w:cs="Arial" w:eastAsia="Arial" w:hAnsi="Arial"/>
          <w:sz w:val="21"/>
          <w:szCs w:val="21"/>
          <w:b w:val="1"/>
          <w:bCs w:val="1"/>
          <w:color w:val="86B6A5"/>
          <w:vertAlign w:val="superscript"/>
        </w:rPr>
        <w:t>2</w:t>
      </w:r>
    </w:p>
    <w:p>
      <w:pPr>
        <w:ind w:right="1960"/>
        <w:spacing w:after="0" w:line="256" w:lineRule="auto"/>
        <w:rPr>
          <w:sz w:val="20"/>
          <w:szCs w:val="20"/>
          <w:color w:val="auto"/>
        </w:rPr>
      </w:pPr>
      <w:r>
        <w:rPr>
          <w:rFonts w:ascii="Arial" w:cs="Arial" w:eastAsia="Arial" w:hAnsi="Arial"/>
          <w:sz w:val="15"/>
          <w:szCs w:val="15"/>
          <w:color w:val="auto"/>
        </w:rPr>
        <w:t>Former Chair of the Equal Employment Opportunity Commission</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JACK M. GREENBERG </w:t>
      </w:r>
      <w:r>
        <w:rPr>
          <w:rFonts w:ascii="Arial" w:cs="Arial" w:eastAsia="Arial" w:hAnsi="Arial"/>
          <w:sz w:val="21"/>
          <w:szCs w:val="21"/>
          <w:b w:val="1"/>
          <w:bCs w:val="1"/>
          <w:color w:val="86B6A5"/>
          <w:vertAlign w:val="superscript"/>
        </w:rPr>
        <w:t>2,3</w:t>
      </w:r>
    </w:p>
    <w:p>
      <w:pPr>
        <w:spacing w:after="0"/>
        <w:rPr>
          <w:sz w:val="20"/>
          <w:szCs w:val="20"/>
          <w:color w:val="auto"/>
        </w:rPr>
      </w:pPr>
      <w:r>
        <w:rPr>
          <w:rFonts w:ascii="Arial" w:cs="Arial" w:eastAsia="Arial" w:hAnsi="Arial"/>
          <w:sz w:val="15"/>
          <w:szCs w:val="15"/>
          <w:color w:val="auto"/>
        </w:rPr>
        <w:t>Non-Executive Chairman</w:t>
      </w:r>
    </w:p>
    <w:p>
      <w:pPr>
        <w:spacing w:after="0"/>
        <w:rPr>
          <w:sz w:val="20"/>
          <w:szCs w:val="20"/>
          <w:color w:val="auto"/>
        </w:rPr>
      </w:pPr>
      <w:r>
        <w:rPr>
          <w:rFonts w:ascii="Arial" w:cs="Arial" w:eastAsia="Arial" w:hAnsi="Arial"/>
          <w:sz w:val="15"/>
          <w:szCs w:val="15"/>
          <w:color w:val="auto"/>
        </w:rPr>
        <w:t>Western Union Company</w:t>
      </w:r>
    </w:p>
    <w:p>
      <w:pPr>
        <w:spacing w:after="0"/>
        <w:rPr>
          <w:sz w:val="20"/>
          <w:szCs w:val="20"/>
          <w:color w:val="auto"/>
        </w:rPr>
      </w:pPr>
      <w:r>
        <w:rPr>
          <w:rFonts w:ascii="Arial" w:cs="Arial" w:eastAsia="Arial" w:hAnsi="Arial"/>
          <w:sz w:val="15"/>
          <w:szCs w:val="15"/>
          <w:color w:val="auto"/>
        </w:rPr>
        <w:t>Retired Chairman and CEO</w:t>
      </w:r>
    </w:p>
    <w:p>
      <w:pPr>
        <w:spacing w:after="0"/>
        <w:rPr>
          <w:sz w:val="20"/>
          <w:szCs w:val="20"/>
          <w:color w:val="auto"/>
        </w:rPr>
      </w:pPr>
      <w:r>
        <w:rPr>
          <w:rFonts w:ascii="Arial" w:cs="Arial" w:eastAsia="Arial" w:hAnsi="Arial"/>
          <w:sz w:val="15"/>
          <w:szCs w:val="15"/>
          <w:color w:val="auto"/>
        </w:rPr>
        <w:t>McDonald’s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TERRY A. HUENEKE </w:t>
      </w:r>
      <w:r>
        <w:rPr>
          <w:rFonts w:ascii="Arial" w:cs="Arial" w:eastAsia="Arial" w:hAnsi="Arial"/>
          <w:sz w:val="21"/>
          <w:szCs w:val="21"/>
          <w:b w:val="1"/>
          <w:bCs w:val="1"/>
          <w:color w:val="86B6A5"/>
          <w:vertAlign w:val="superscript"/>
        </w:rPr>
        <w:t>1</w:t>
      </w:r>
    </w:p>
    <w:p>
      <w:pPr>
        <w:spacing w:after="0"/>
        <w:rPr>
          <w:sz w:val="20"/>
          <w:szCs w:val="20"/>
          <w:color w:val="auto"/>
        </w:rPr>
      </w:pPr>
      <w:r>
        <w:rPr>
          <w:rFonts w:ascii="Arial" w:cs="Arial" w:eastAsia="Arial" w:hAnsi="Arial"/>
          <w:sz w:val="15"/>
          <w:szCs w:val="15"/>
          <w:color w:val="auto"/>
        </w:rPr>
        <w:t>Retired Executive Vice President</w:t>
      </w:r>
    </w:p>
    <w:p>
      <w:pPr>
        <w:spacing w:after="0"/>
        <w:rPr>
          <w:sz w:val="20"/>
          <w:szCs w:val="20"/>
          <w:color w:val="auto"/>
        </w:rPr>
      </w:pPr>
      <w:r>
        <w:rPr>
          <w:rFonts w:ascii="Arial" w:cs="Arial" w:eastAsia="Arial" w:hAnsi="Arial"/>
          <w:sz w:val="15"/>
          <w:szCs w:val="15"/>
          <w:color w:val="auto"/>
        </w:rPr>
        <w:t>Manpower Inc.</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ROBERTO MENDOZA </w:t>
      </w:r>
      <w:r>
        <w:rPr>
          <w:rFonts w:ascii="Arial" w:cs="Arial" w:eastAsia="Arial" w:hAnsi="Arial"/>
          <w:sz w:val="21"/>
          <w:szCs w:val="21"/>
          <w:b w:val="1"/>
          <w:bCs w:val="1"/>
          <w:color w:val="86B6A5"/>
          <w:vertAlign w:val="superscript"/>
        </w:rPr>
        <w:t>1</w:t>
      </w:r>
    </w:p>
    <w:p>
      <w:pPr>
        <w:spacing w:after="0"/>
        <w:rPr>
          <w:sz w:val="20"/>
          <w:szCs w:val="20"/>
          <w:color w:val="auto"/>
        </w:rPr>
      </w:pPr>
      <w:r>
        <w:rPr>
          <w:rFonts w:ascii="Arial" w:cs="Arial" w:eastAsia="Arial" w:hAnsi="Arial"/>
          <w:sz w:val="15"/>
          <w:szCs w:val="15"/>
          <w:color w:val="auto"/>
        </w:rPr>
        <w:t>President</w:t>
      </w:r>
    </w:p>
    <w:p>
      <w:pPr>
        <w:spacing w:after="0"/>
        <w:rPr>
          <w:sz w:val="20"/>
          <w:szCs w:val="20"/>
          <w:color w:val="auto"/>
        </w:rPr>
      </w:pPr>
      <w:r>
        <w:rPr>
          <w:rFonts w:ascii="Arial" w:cs="Arial" w:eastAsia="Arial" w:hAnsi="Arial"/>
          <w:sz w:val="15"/>
          <w:szCs w:val="15"/>
          <w:color w:val="auto"/>
        </w:rPr>
        <w:t>Deming Mendoza &amp; Co., LLC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ULICE PAYNE JR.</w:t>
      </w:r>
      <w:r>
        <w:rPr>
          <w:rFonts w:ascii="Arial" w:cs="Arial" w:eastAsia="Arial" w:hAnsi="Arial"/>
          <w:sz w:val="21"/>
          <w:szCs w:val="21"/>
          <w:b w:val="1"/>
          <w:bCs w:val="1"/>
          <w:color w:val="86B6A5"/>
          <w:vertAlign w:val="superscript"/>
        </w:rPr>
        <w:t>1</w:t>
      </w:r>
    </w:p>
    <w:p>
      <w:pPr>
        <w:spacing w:after="0"/>
        <w:rPr>
          <w:sz w:val="20"/>
          <w:szCs w:val="20"/>
          <w:color w:val="auto"/>
        </w:rPr>
      </w:pPr>
      <w:r>
        <w:rPr>
          <w:rFonts w:ascii="Arial" w:cs="Arial" w:eastAsia="Arial" w:hAnsi="Arial"/>
          <w:sz w:val="15"/>
          <w:szCs w:val="15"/>
          <w:color w:val="auto"/>
        </w:rPr>
        <w:t>President and CEO</w:t>
      </w:r>
    </w:p>
    <w:p>
      <w:pPr>
        <w:spacing w:after="0"/>
        <w:rPr>
          <w:sz w:val="20"/>
          <w:szCs w:val="20"/>
          <w:color w:val="auto"/>
        </w:rPr>
      </w:pPr>
      <w:r>
        <w:rPr>
          <w:rFonts w:ascii="Arial" w:cs="Arial" w:eastAsia="Arial" w:hAnsi="Arial"/>
          <w:sz w:val="15"/>
          <w:szCs w:val="15"/>
          <w:color w:val="auto"/>
        </w:rPr>
        <w:t>Addison-Clifton, LLC</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JOHN R. WALTER </w:t>
      </w:r>
      <w:r>
        <w:rPr>
          <w:rFonts w:ascii="Arial" w:cs="Arial" w:eastAsia="Arial" w:hAnsi="Arial"/>
          <w:sz w:val="21"/>
          <w:szCs w:val="21"/>
          <w:b w:val="1"/>
          <w:bCs w:val="1"/>
          <w:color w:val="86B6A5"/>
          <w:vertAlign w:val="superscript"/>
        </w:rPr>
        <w:t>2,3*</w:t>
      </w:r>
    </w:p>
    <w:p>
      <w:pPr>
        <w:spacing w:after="0"/>
        <w:rPr>
          <w:sz w:val="20"/>
          <w:szCs w:val="20"/>
          <w:color w:val="auto"/>
        </w:rPr>
      </w:pPr>
      <w:r>
        <w:rPr>
          <w:rFonts w:ascii="Arial" w:cs="Arial" w:eastAsia="Arial" w:hAnsi="Arial"/>
          <w:sz w:val="15"/>
          <w:szCs w:val="15"/>
          <w:color w:val="auto"/>
        </w:rPr>
        <w:t>Retired President and COO</w:t>
      </w:r>
    </w:p>
    <w:p>
      <w:pPr>
        <w:spacing w:after="0"/>
        <w:rPr>
          <w:sz w:val="20"/>
          <w:szCs w:val="20"/>
          <w:color w:val="auto"/>
        </w:rPr>
      </w:pPr>
      <w:r>
        <w:rPr>
          <w:rFonts w:ascii="Arial" w:cs="Arial" w:eastAsia="Arial" w:hAnsi="Arial"/>
          <w:sz w:val="15"/>
          <w:szCs w:val="15"/>
          <w:color w:val="auto"/>
        </w:rPr>
        <w:t>AT&amp;T Corp.</w:t>
      </w:r>
    </w:p>
    <w:p>
      <w:pPr>
        <w:spacing w:after="0"/>
        <w:rPr>
          <w:sz w:val="20"/>
          <w:szCs w:val="20"/>
          <w:color w:val="auto"/>
        </w:rPr>
      </w:pPr>
      <w:r>
        <w:rPr>
          <w:rFonts w:ascii="Arial" w:cs="Arial" w:eastAsia="Arial" w:hAnsi="Arial"/>
          <w:sz w:val="15"/>
          <w:szCs w:val="15"/>
          <w:color w:val="auto"/>
        </w:rPr>
        <w:t>Former Chairman, President and CEO</w:t>
      </w:r>
    </w:p>
    <w:p>
      <w:pPr>
        <w:spacing w:after="0"/>
        <w:rPr>
          <w:sz w:val="20"/>
          <w:szCs w:val="20"/>
          <w:color w:val="auto"/>
        </w:rPr>
      </w:pPr>
      <w:r>
        <w:rPr>
          <w:rFonts w:ascii="Arial" w:cs="Arial" w:eastAsia="Arial" w:hAnsi="Arial"/>
          <w:sz w:val="15"/>
          <w:szCs w:val="15"/>
          <w:color w:val="auto"/>
        </w:rPr>
        <w:t>R.R. Donnelley &amp; Sons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 xml:space="preserve">EDWARD J. ZORE </w:t>
      </w:r>
      <w:r>
        <w:rPr>
          <w:rFonts w:ascii="Arial" w:cs="Arial" w:eastAsia="Arial" w:hAnsi="Arial"/>
          <w:sz w:val="21"/>
          <w:szCs w:val="21"/>
          <w:b w:val="1"/>
          <w:bCs w:val="1"/>
          <w:color w:val="86B6A5"/>
          <w:vertAlign w:val="superscript"/>
        </w:rPr>
        <w:t>1*,3</w:t>
      </w:r>
    </w:p>
    <w:p>
      <w:pPr>
        <w:spacing w:after="0"/>
        <w:rPr>
          <w:sz w:val="20"/>
          <w:szCs w:val="20"/>
          <w:color w:val="auto"/>
        </w:rPr>
      </w:pPr>
      <w:r>
        <w:rPr>
          <w:rFonts w:ascii="Arial" w:cs="Arial" w:eastAsia="Arial" w:hAnsi="Arial"/>
          <w:sz w:val="15"/>
          <w:szCs w:val="15"/>
          <w:color w:val="auto"/>
        </w:rPr>
        <w:t>President and CEO</w:t>
      </w:r>
    </w:p>
    <w:p>
      <w:pPr>
        <w:spacing w:after="0"/>
        <w:rPr>
          <w:sz w:val="20"/>
          <w:szCs w:val="20"/>
          <w:color w:val="auto"/>
        </w:rPr>
      </w:pPr>
      <w:r>
        <w:rPr>
          <w:rFonts w:ascii="Arial" w:cs="Arial" w:eastAsia="Arial" w:hAnsi="Arial"/>
          <w:sz w:val="15"/>
          <w:szCs w:val="15"/>
          <w:color w:val="auto"/>
        </w:rPr>
        <w:t>Northwestern Mutual</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86B6A5"/>
        </w:rPr>
        <w:t>(NOTE: Final committee assignments to be made at the Board meeting in February)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BOARD COMMITTEES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1 Audit Committee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2 Executive Compensation and Human Resources Committee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3 Nominating and Governance Committee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 Denotes Committee Chair</w:t>
      </w:r>
    </w:p>
    <w:p>
      <w:pPr>
        <w:spacing w:after="0" w:line="164"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 xml:space="preserve">78 </w:t>
      </w:r>
      <w:r>
        <w:rPr>
          <w:rFonts w:ascii="Arial" w:cs="Arial" w:eastAsia="Arial" w:hAnsi="Arial"/>
          <w:sz w:val="14"/>
          <w:szCs w:val="14"/>
          <w:color w:val="auto"/>
        </w:rPr>
        <w:t>Manpower 2009 Annual Report</w:t>
      </w:r>
      <w:r>
        <w:rPr>
          <w:sz w:val="20"/>
          <w:szCs w:val="20"/>
          <w:color w:val="auto"/>
        </w:rPr>
        <w:tab/>
      </w:r>
      <w:r>
        <w:rPr>
          <w:rFonts w:ascii="Arial" w:cs="Arial" w:eastAsia="Arial" w:hAnsi="Arial"/>
          <w:sz w:val="13"/>
          <w:szCs w:val="13"/>
          <w:b w:val="1"/>
          <w:bCs w:val="1"/>
          <w:color w:val="939598"/>
        </w:rPr>
        <w:t>Corporate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4D8ABE"/>
        </w:rPr>
        <w:t>Management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JEFFREY A. JOERRES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Chairman, CEO and President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MICHAEL J. VAN HANDEL</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CFO</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BARBARA J. BECK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rPr>
          <w:sz w:val="20"/>
          <w:szCs w:val="20"/>
          <w:color w:val="auto"/>
        </w:rPr>
      </w:pPr>
      <w:r>
        <w:rPr>
          <w:rFonts w:ascii="Arial" w:cs="Arial" w:eastAsia="Arial" w:hAnsi="Arial"/>
          <w:sz w:val="15"/>
          <w:szCs w:val="15"/>
          <w:color w:val="auto"/>
        </w:rPr>
        <w:t>President – Europe, Middle East and Africa</w:t>
      </w:r>
    </w:p>
    <w:p>
      <w:pPr>
        <w:spacing w:after="0"/>
        <w:rPr>
          <w:sz w:val="20"/>
          <w:szCs w:val="20"/>
          <w:color w:val="auto"/>
        </w:rPr>
      </w:pPr>
      <w:r>
        <w:rPr>
          <w:rFonts w:ascii="Arial" w:cs="Arial" w:eastAsia="Arial" w:hAnsi="Arial"/>
          <w:sz w:val="15"/>
          <w:szCs w:val="15"/>
          <w:color w:val="auto"/>
        </w:rPr>
        <w:t>(Excluding France)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DARRYL GREEN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rPr>
          <w:sz w:val="20"/>
          <w:szCs w:val="20"/>
          <w:color w:val="auto"/>
        </w:rPr>
      </w:pPr>
      <w:r>
        <w:rPr>
          <w:rFonts w:ascii="Arial" w:cs="Arial" w:eastAsia="Arial" w:hAnsi="Arial"/>
          <w:sz w:val="15"/>
          <w:szCs w:val="15"/>
          <w:color w:val="auto"/>
        </w:rPr>
        <w:t>President – Asia Pacific and Middle East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FRANÇOISE GRI</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rPr>
          <w:sz w:val="20"/>
          <w:szCs w:val="20"/>
          <w:color w:val="auto"/>
        </w:rPr>
      </w:pPr>
      <w:r>
        <w:rPr>
          <w:rFonts w:ascii="Arial" w:cs="Arial" w:eastAsia="Arial" w:hAnsi="Arial"/>
          <w:sz w:val="15"/>
          <w:szCs w:val="15"/>
          <w:color w:val="auto"/>
        </w:rPr>
        <w:t>President – France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JONAS PRISING</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rPr>
          <w:sz w:val="20"/>
          <w:szCs w:val="20"/>
          <w:color w:val="auto"/>
        </w:rPr>
      </w:pPr>
      <w:r>
        <w:rPr>
          <w:rFonts w:ascii="Arial" w:cs="Arial" w:eastAsia="Arial" w:hAnsi="Arial"/>
          <w:sz w:val="15"/>
          <w:szCs w:val="15"/>
          <w:color w:val="auto"/>
        </w:rPr>
        <w:t>President – The Americas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OWEN J. SULLIVAN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rPr>
          <w:sz w:val="20"/>
          <w:szCs w:val="20"/>
          <w:color w:val="auto"/>
        </w:rPr>
      </w:pPr>
      <w:r>
        <w:rPr>
          <w:rFonts w:ascii="Arial" w:cs="Arial" w:eastAsia="Arial" w:hAnsi="Arial"/>
          <w:sz w:val="15"/>
          <w:szCs w:val="15"/>
          <w:color w:val="auto"/>
        </w:rPr>
        <w:t>CEO of Jefferson Wells, Right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MARA SWAN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rPr>
          <w:sz w:val="20"/>
          <w:szCs w:val="20"/>
          <w:color w:val="auto"/>
        </w:rPr>
      </w:pPr>
      <w:r>
        <w:rPr>
          <w:rFonts w:ascii="Arial" w:cs="Arial" w:eastAsia="Arial" w:hAnsi="Arial"/>
          <w:sz w:val="15"/>
          <w:szCs w:val="15"/>
          <w:color w:val="auto"/>
        </w:rPr>
        <w:t>Global Strategy and Talent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DAVID ARKLESS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w:t>
      </w:r>
    </w:p>
    <w:p>
      <w:pPr>
        <w:spacing w:after="0"/>
        <w:rPr>
          <w:sz w:val="20"/>
          <w:szCs w:val="20"/>
          <w:color w:val="auto"/>
        </w:rPr>
      </w:pPr>
      <w:r>
        <w:rPr>
          <w:rFonts w:ascii="Arial" w:cs="Arial" w:eastAsia="Arial" w:hAnsi="Arial"/>
          <w:sz w:val="15"/>
          <w:szCs w:val="15"/>
          <w:color w:val="auto"/>
        </w:rPr>
        <w:t>President – Corporate and Government Affairs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DENIS EDWARDS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w:t>
      </w:r>
    </w:p>
    <w:p>
      <w:pPr>
        <w:spacing w:after="0"/>
        <w:rPr>
          <w:sz w:val="20"/>
          <w:szCs w:val="20"/>
          <w:color w:val="auto"/>
        </w:rPr>
      </w:pPr>
      <w:r>
        <w:rPr>
          <w:rFonts w:ascii="Arial" w:cs="Arial" w:eastAsia="Arial" w:hAnsi="Arial"/>
          <w:sz w:val="15"/>
          <w:szCs w:val="15"/>
          <w:color w:val="auto"/>
        </w:rPr>
        <w:t>Chief Information Officer</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KEN C. HUNT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w:t>
      </w:r>
    </w:p>
    <w:p>
      <w:pPr>
        <w:spacing w:after="0"/>
        <w:rPr>
          <w:sz w:val="20"/>
          <w:szCs w:val="20"/>
          <w:color w:val="auto"/>
        </w:rPr>
      </w:pPr>
      <w:r>
        <w:rPr>
          <w:rFonts w:ascii="Arial" w:cs="Arial" w:eastAsia="Arial" w:hAnsi="Arial"/>
          <w:sz w:val="15"/>
          <w:szCs w:val="15"/>
          <w:color w:val="auto"/>
        </w:rPr>
        <w:t>General Counsel and Secretary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TAMMY JOHNS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w:t>
      </w:r>
    </w:p>
    <w:p>
      <w:pPr>
        <w:spacing w:after="0"/>
        <w:rPr>
          <w:sz w:val="20"/>
          <w:szCs w:val="20"/>
          <w:color w:val="auto"/>
        </w:rPr>
      </w:pPr>
      <w:r>
        <w:rPr>
          <w:rFonts w:ascii="Arial" w:cs="Arial" w:eastAsia="Arial" w:hAnsi="Arial"/>
          <w:sz w:val="15"/>
          <w:szCs w:val="15"/>
          <w:color w:val="auto"/>
        </w:rPr>
        <w:t>Global Workforce Strategy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EMMA VAN ROOYEN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w:t>
      </w:r>
    </w:p>
    <w:p>
      <w:pPr>
        <w:spacing w:after="0"/>
        <w:rPr>
          <w:sz w:val="20"/>
          <w:szCs w:val="20"/>
          <w:color w:val="auto"/>
        </w:rPr>
      </w:pPr>
      <w:r>
        <w:rPr>
          <w:rFonts w:ascii="Arial" w:cs="Arial" w:eastAsia="Arial" w:hAnsi="Arial"/>
          <w:sz w:val="15"/>
          <w:szCs w:val="15"/>
          <w:color w:val="auto"/>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829310</wp:posOffset>
            </wp:positionV>
            <wp:extent cx="7287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2">
            <w:col w:w="5440" w:space="280"/>
            <w:col w:w="4499"/>
          </w:cols>
          <w:pgMar w:left="240" w:top="111" w:right="1440"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b w:val="1"/>
          <w:bCs w:val="1"/>
          <w:color w:val="86B6A5"/>
        </w:rPr>
        <w:t>WORLD HEADQUARTERS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P.O. Box 2053</w:t>
      </w:r>
    </w:p>
    <w:p>
      <w:pPr>
        <w:spacing w:after="0"/>
        <w:rPr>
          <w:sz w:val="20"/>
          <w:szCs w:val="20"/>
          <w:color w:val="auto"/>
        </w:rPr>
      </w:pPr>
      <w:r>
        <w:rPr>
          <w:rFonts w:ascii="Arial" w:cs="Arial" w:eastAsia="Arial" w:hAnsi="Arial"/>
          <w:sz w:val="15"/>
          <w:szCs w:val="15"/>
          <w:color w:val="auto"/>
        </w:rPr>
        <w:t>100 Manpower Place</w:t>
      </w:r>
    </w:p>
    <w:p>
      <w:pPr>
        <w:spacing w:after="0"/>
        <w:rPr>
          <w:sz w:val="20"/>
          <w:szCs w:val="20"/>
          <w:color w:val="auto"/>
        </w:rPr>
      </w:pPr>
      <w:r>
        <w:rPr>
          <w:rFonts w:ascii="Arial" w:cs="Arial" w:eastAsia="Arial" w:hAnsi="Arial"/>
          <w:sz w:val="15"/>
          <w:szCs w:val="15"/>
          <w:color w:val="auto"/>
        </w:rPr>
        <w:t>Milwaukee, WI 53212 USA</w:t>
      </w:r>
    </w:p>
    <w:p>
      <w:pPr>
        <w:spacing w:after="0"/>
        <w:rPr>
          <w:sz w:val="20"/>
          <w:szCs w:val="20"/>
          <w:color w:val="auto"/>
        </w:rPr>
      </w:pPr>
      <w:r>
        <w:rPr>
          <w:rFonts w:ascii="Arial" w:cs="Arial" w:eastAsia="Arial" w:hAnsi="Arial"/>
          <w:sz w:val="15"/>
          <w:szCs w:val="15"/>
          <w:color w:val="auto"/>
        </w:rPr>
        <w:t>+1.414.961.1000</w:t>
      </w:r>
    </w:p>
    <w:p>
      <w:pPr>
        <w:spacing w:after="0"/>
        <w:rPr>
          <w:sz w:val="20"/>
          <w:szCs w:val="20"/>
          <w:color w:val="auto"/>
        </w:rPr>
      </w:pPr>
      <w:r>
        <w:rPr>
          <w:rFonts w:ascii="Arial" w:cs="Arial" w:eastAsia="Arial" w:hAnsi="Arial"/>
          <w:sz w:val="15"/>
          <w:szCs w:val="15"/>
          <w:color w:val="auto"/>
        </w:rPr>
        <w:t>www.manpower.com</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TRANSFER AGENT AND REGISTRAR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BNY Mellon Shareowner Services</w:t>
      </w:r>
    </w:p>
    <w:p>
      <w:pPr>
        <w:spacing w:after="0"/>
        <w:rPr>
          <w:sz w:val="20"/>
          <w:szCs w:val="20"/>
          <w:color w:val="auto"/>
        </w:rPr>
      </w:pPr>
      <w:r>
        <w:rPr>
          <w:rFonts w:ascii="Arial" w:cs="Arial" w:eastAsia="Arial" w:hAnsi="Arial"/>
          <w:sz w:val="15"/>
          <w:szCs w:val="15"/>
          <w:color w:val="auto"/>
        </w:rPr>
        <w:t>P.O. Box 358015</w:t>
      </w:r>
    </w:p>
    <w:p>
      <w:pPr>
        <w:spacing w:after="0"/>
        <w:rPr>
          <w:sz w:val="20"/>
          <w:szCs w:val="20"/>
          <w:color w:val="auto"/>
        </w:rPr>
      </w:pPr>
      <w:r>
        <w:rPr>
          <w:rFonts w:ascii="Arial" w:cs="Arial" w:eastAsia="Arial" w:hAnsi="Arial"/>
          <w:sz w:val="15"/>
          <w:szCs w:val="15"/>
          <w:color w:val="auto"/>
        </w:rPr>
        <w:t>Pittsburgh, PA 15252-8015</w:t>
      </w:r>
    </w:p>
    <w:p>
      <w:pPr>
        <w:spacing w:after="0"/>
        <w:rPr>
          <w:sz w:val="20"/>
          <w:szCs w:val="20"/>
          <w:color w:val="auto"/>
        </w:rPr>
      </w:pPr>
      <w:r>
        <w:rPr>
          <w:rFonts w:ascii="Arial" w:cs="Arial" w:eastAsia="Arial" w:hAnsi="Arial"/>
          <w:sz w:val="15"/>
          <w:szCs w:val="15"/>
          <w:color w:val="auto"/>
        </w:rPr>
        <w:t>Shareowners Toll Free: (800) 874-1547</w:t>
      </w:r>
    </w:p>
    <w:p>
      <w:pPr>
        <w:spacing w:after="0"/>
        <w:rPr>
          <w:sz w:val="20"/>
          <w:szCs w:val="20"/>
          <w:color w:val="auto"/>
        </w:rPr>
      </w:pPr>
      <w:r>
        <w:rPr>
          <w:rFonts w:ascii="Arial" w:cs="Arial" w:eastAsia="Arial" w:hAnsi="Arial"/>
          <w:sz w:val="15"/>
          <w:szCs w:val="15"/>
          <w:color w:val="auto"/>
        </w:rPr>
        <w:t>Foreign Shareowners: (201) 680-6578</w:t>
      </w:r>
    </w:p>
    <w:p>
      <w:pPr>
        <w:spacing w:after="0"/>
        <w:rPr>
          <w:sz w:val="20"/>
          <w:szCs w:val="20"/>
          <w:color w:val="auto"/>
        </w:rPr>
      </w:pPr>
      <w:r>
        <w:rPr>
          <w:rFonts w:ascii="Arial" w:cs="Arial" w:eastAsia="Arial" w:hAnsi="Arial"/>
          <w:sz w:val="15"/>
          <w:szCs w:val="15"/>
          <w:color w:val="auto"/>
        </w:rPr>
        <w:t>Web Site: www.bnymellon.com/shareowner/isd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STOCK EXCHANGE LISTING</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NYSE Symbol: MAN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FORM 10-K</w:t>
      </w:r>
    </w:p>
    <w:p>
      <w:pPr>
        <w:spacing w:after="0" w:line="18" w:lineRule="exact"/>
        <w:rPr>
          <w:sz w:val="20"/>
          <w:szCs w:val="20"/>
          <w:color w:val="auto"/>
        </w:rPr>
      </w:pPr>
    </w:p>
    <w:p>
      <w:pPr>
        <w:ind w:right="1160"/>
        <w:spacing w:after="0"/>
        <w:rPr>
          <w:sz w:val="20"/>
          <w:szCs w:val="20"/>
          <w:color w:val="auto"/>
        </w:rPr>
      </w:pPr>
      <w:r>
        <w:rPr>
          <w:rFonts w:ascii="Arial" w:cs="Arial" w:eastAsia="Arial" w:hAnsi="Arial"/>
          <w:sz w:val="15"/>
          <w:szCs w:val="15"/>
          <w:color w:val="auto"/>
        </w:rPr>
        <w:t>A copy of Form 10-K filed with the Securities and Exchange Commission for the year ended December 31, 2009 is available without charge after February 19, 2010 and can be obtained online at: www.investor.manpower.com or by writing to:</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Michael J. Van Handel</w:t>
      </w:r>
    </w:p>
    <w:p>
      <w:pPr>
        <w:spacing w:after="0"/>
        <w:rPr>
          <w:sz w:val="20"/>
          <w:szCs w:val="20"/>
          <w:color w:val="auto"/>
        </w:rPr>
      </w:pPr>
      <w:r>
        <w:rPr>
          <w:rFonts w:ascii="Arial" w:cs="Arial" w:eastAsia="Arial" w:hAnsi="Arial"/>
          <w:sz w:val="15"/>
          <w:szCs w:val="15"/>
          <w:color w:val="auto"/>
        </w:rPr>
        <w:t>Manpower Inc.</w:t>
      </w:r>
    </w:p>
    <w:p>
      <w:pPr>
        <w:spacing w:after="0"/>
        <w:rPr>
          <w:sz w:val="20"/>
          <w:szCs w:val="20"/>
          <w:color w:val="auto"/>
        </w:rPr>
      </w:pPr>
      <w:r>
        <w:rPr>
          <w:rFonts w:ascii="Arial" w:cs="Arial" w:eastAsia="Arial" w:hAnsi="Arial"/>
          <w:sz w:val="15"/>
          <w:szCs w:val="15"/>
          <w:color w:val="auto"/>
        </w:rPr>
        <w:t>100 Manpower Place</w:t>
      </w:r>
    </w:p>
    <w:p>
      <w:pPr>
        <w:spacing w:after="0"/>
        <w:rPr>
          <w:sz w:val="20"/>
          <w:szCs w:val="20"/>
          <w:color w:val="auto"/>
        </w:rPr>
      </w:pPr>
      <w:r>
        <w:rPr>
          <w:rFonts w:ascii="Arial" w:cs="Arial" w:eastAsia="Arial" w:hAnsi="Arial"/>
          <w:sz w:val="15"/>
          <w:szCs w:val="15"/>
          <w:color w:val="auto"/>
        </w:rPr>
        <w:t>Milwaukee, WI 53212</w:t>
      </w:r>
    </w:p>
    <w:p>
      <w:pPr>
        <w:spacing w:after="0"/>
        <w:rPr>
          <w:sz w:val="20"/>
          <w:szCs w:val="20"/>
          <w:color w:val="auto"/>
        </w:rPr>
      </w:pPr>
      <w:r>
        <w:rPr>
          <w:rFonts w:ascii="Arial" w:cs="Arial" w:eastAsia="Arial" w:hAnsi="Arial"/>
          <w:sz w:val="15"/>
          <w:szCs w:val="15"/>
          <w:color w:val="auto"/>
        </w:rPr>
        <w:t>USA</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SHAREHOLDERS</w:t>
      </w:r>
    </w:p>
    <w:p>
      <w:pPr>
        <w:spacing w:after="0" w:line="18" w:lineRule="exact"/>
        <w:rPr>
          <w:sz w:val="20"/>
          <w:szCs w:val="20"/>
          <w:color w:val="auto"/>
        </w:rPr>
      </w:pPr>
    </w:p>
    <w:p>
      <w:pPr>
        <w:ind w:right="1240"/>
        <w:spacing w:after="0" w:line="256" w:lineRule="auto"/>
        <w:rPr>
          <w:sz w:val="20"/>
          <w:szCs w:val="20"/>
          <w:color w:val="auto"/>
        </w:rPr>
      </w:pPr>
      <w:r>
        <w:rPr>
          <w:rFonts w:ascii="Arial" w:cs="Arial" w:eastAsia="Arial" w:hAnsi="Arial"/>
          <w:sz w:val="15"/>
          <w:szCs w:val="15"/>
          <w:color w:val="auto"/>
        </w:rPr>
        <w:t>As of February 16, 2010, Manpower Inc. common stock was held by approximately 4,800 record holders.</w:t>
      </w:r>
    </w:p>
    <w:p>
      <w:pPr>
        <w:spacing w:after="0" w:line="131" w:lineRule="exact"/>
        <w:rPr>
          <w:sz w:val="20"/>
          <w:szCs w:val="20"/>
          <w:color w:val="auto"/>
        </w:rPr>
      </w:pPr>
    </w:p>
    <w:p>
      <w:pPr>
        <w:ind w:right="2040"/>
        <w:spacing w:after="0" w:line="248" w:lineRule="auto"/>
        <w:rPr>
          <w:sz w:val="20"/>
          <w:szCs w:val="20"/>
          <w:color w:val="auto"/>
        </w:rPr>
      </w:pPr>
      <w:r>
        <w:rPr>
          <w:rFonts w:ascii="Arial" w:cs="Arial" w:eastAsia="Arial" w:hAnsi="Arial"/>
          <w:sz w:val="15"/>
          <w:szCs w:val="15"/>
          <w:b w:val="1"/>
          <w:bCs w:val="1"/>
          <w:color w:val="86B6A5"/>
        </w:rPr>
        <w:t xml:space="preserve">ANNUAL MEETING OF SHAREHOLDERS </w:t>
      </w:r>
      <w:r>
        <w:rPr>
          <w:rFonts w:ascii="Arial" w:cs="Arial" w:eastAsia="Arial" w:hAnsi="Arial"/>
          <w:sz w:val="15"/>
          <w:szCs w:val="15"/>
          <w:color w:val="000000"/>
        </w:rPr>
        <w:t>April 27, 2010 at 10 a.m. Manpower World Headquarters</w:t>
      </w:r>
    </w:p>
    <w:p>
      <w:pPr>
        <w:spacing w:after="0"/>
        <w:rPr>
          <w:sz w:val="20"/>
          <w:szCs w:val="20"/>
          <w:color w:val="auto"/>
        </w:rPr>
      </w:pPr>
      <w:r>
        <w:rPr>
          <w:rFonts w:ascii="Arial" w:cs="Arial" w:eastAsia="Arial" w:hAnsi="Arial"/>
          <w:sz w:val="15"/>
          <w:szCs w:val="15"/>
          <w:color w:val="auto"/>
        </w:rPr>
        <w:t>100 Manpower Place</w:t>
      </w:r>
    </w:p>
    <w:p>
      <w:pPr>
        <w:spacing w:after="0"/>
        <w:rPr>
          <w:sz w:val="20"/>
          <w:szCs w:val="20"/>
          <w:color w:val="auto"/>
        </w:rPr>
      </w:pPr>
      <w:r>
        <w:rPr>
          <w:rFonts w:ascii="Arial" w:cs="Arial" w:eastAsia="Arial" w:hAnsi="Arial"/>
          <w:sz w:val="15"/>
          <w:szCs w:val="15"/>
          <w:color w:val="auto"/>
        </w:rPr>
        <w:t>Milwaukee, WI 53212</w:t>
      </w:r>
    </w:p>
    <w:p>
      <w:pPr>
        <w:spacing w:after="0"/>
        <w:rPr>
          <w:sz w:val="20"/>
          <w:szCs w:val="20"/>
          <w:color w:val="auto"/>
        </w:rPr>
      </w:pPr>
      <w:r>
        <w:rPr>
          <w:rFonts w:ascii="Arial" w:cs="Arial" w:eastAsia="Arial" w:hAnsi="Arial"/>
          <w:sz w:val="15"/>
          <w:szCs w:val="15"/>
          <w:color w:val="auto"/>
        </w:rPr>
        <w:t>USA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86B6A5"/>
        </w:rPr>
        <w:t>INVESTOR RELATIONS WEBSITE</w:t>
      </w:r>
    </w:p>
    <w:p>
      <w:pPr>
        <w:spacing w:after="0" w:line="19" w:lineRule="exact"/>
        <w:rPr>
          <w:sz w:val="20"/>
          <w:szCs w:val="20"/>
          <w:color w:val="auto"/>
        </w:rPr>
      </w:pPr>
    </w:p>
    <w:p>
      <w:pPr>
        <w:ind w:right="699"/>
        <w:spacing w:after="0" w:line="243" w:lineRule="auto"/>
        <w:rPr>
          <w:sz w:val="20"/>
          <w:szCs w:val="20"/>
          <w:color w:val="auto"/>
        </w:rPr>
      </w:pPr>
      <w:r>
        <w:rPr>
          <w:rFonts w:ascii="Arial" w:cs="Arial" w:eastAsia="Arial" w:hAnsi="Arial"/>
          <w:sz w:val="15"/>
          <w:szCs w:val="15"/>
          <w:color w:val="auto"/>
        </w:rPr>
        <w:t>The most current corporate and investor information can be found on the Manpower Inc. corporate Web site at www.manpower.com. Interested individuals may also choose to receive Manpower press releases and other information via e-mail by subscribing to our E-mail Alert service at www.investor.manpower.com.</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GOVERNANCE</w:t>
      </w:r>
    </w:p>
    <w:p>
      <w:pPr>
        <w:spacing w:after="0" w:line="18" w:lineRule="exact"/>
        <w:rPr>
          <w:sz w:val="20"/>
          <w:szCs w:val="20"/>
          <w:color w:val="auto"/>
        </w:rPr>
      </w:pPr>
    </w:p>
    <w:p>
      <w:pPr>
        <w:ind w:right="679"/>
        <w:spacing w:after="0" w:line="242" w:lineRule="auto"/>
        <w:rPr>
          <w:sz w:val="20"/>
          <w:szCs w:val="20"/>
          <w:color w:val="auto"/>
        </w:rPr>
      </w:pPr>
      <w:r>
        <w:rPr>
          <w:rFonts w:ascii="Arial" w:cs="Arial" w:eastAsia="Arial" w:hAnsi="Arial"/>
          <w:sz w:val="15"/>
          <w:szCs w:val="15"/>
          <w:color w:val="auto"/>
        </w:rPr>
        <w:t>As of February 1, 2010, the Corporate Governance Quotient indicated that Manpower outperformed 68.8% of the companies in the S&amp;P 400 and 85.5% of the companies in the Commercial and Professional Services Group. The Corporate Governance Quotient index is issued by RiskMetrics Group Inc., a respected authority on proxy voting and corporate governance.</w:t>
      </w:r>
    </w:p>
    <w:p>
      <w:pPr>
        <w:spacing w:after="0" w:line="161" w:lineRule="exact"/>
        <w:rPr>
          <w:sz w:val="20"/>
          <w:szCs w:val="20"/>
          <w:color w:val="auto"/>
        </w:rPr>
      </w:pPr>
    </w:p>
    <w:p>
      <w:pPr>
        <w:ind w:right="779"/>
        <w:spacing w:after="0" w:line="244" w:lineRule="auto"/>
        <w:rPr>
          <w:sz w:val="20"/>
          <w:szCs w:val="20"/>
          <w:color w:val="auto"/>
        </w:rPr>
      </w:pPr>
      <w:r>
        <w:rPr>
          <w:rFonts w:ascii="Arial" w:cs="Arial" w:eastAsia="Arial" w:hAnsi="Arial"/>
          <w:sz w:val="15"/>
          <w:szCs w:val="15"/>
          <w:color w:val="auto"/>
        </w:rPr>
        <w:t>Governance Metrics International, an independent corporate governance rating agency, rated Manpower a 7.0 on a scale of 1 to 10, with 10 being the highest ranking, on November 30, 2009. The average score for all U.S. companies rated by GMI is 7.2.</w:t>
      </w:r>
    </w:p>
    <w:p>
      <w:pPr>
        <w:spacing w:after="0" w:line="157" w:lineRule="exact"/>
        <w:rPr>
          <w:sz w:val="20"/>
          <w:szCs w:val="20"/>
          <w:color w:val="auto"/>
        </w:rPr>
      </w:pPr>
    </w:p>
    <w:p>
      <w:pPr>
        <w:ind w:right="619"/>
        <w:spacing w:after="0" w:line="242" w:lineRule="auto"/>
        <w:rPr>
          <w:sz w:val="20"/>
          <w:szCs w:val="20"/>
          <w:color w:val="auto"/>
        </w:rPr>
      </w:pPr>
      <w:r>
        <w:rPr>
          <w:rFonts w:ascii="Arial" w:cs="Arial" w:eastAsia="Arial" w:hAnsi="Arial"/>
          <w:sz w:val="15"/>
          <w:szCs w:val="15"/>
          <w:color w:val="auto"/>
        </w:rPr>
        <w:t>Manpower’s governance structure is designed to ensure transparency in our operations and adherence to the regulations set forth by the U.S. Securities and Exchange Commission (SEC). Information on Manpower’s governance structure and policies can be found at www.manpower.com in the section titled “About Manpower.”</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86B6A5"/>
        </w:rPr>
        <w:t>SOCIAL RESPONSIBILITY</w:t>
      </w:r>
    </w:p>
    <w:p>
      <w:pPr>
        <w:spacing w:after="0" w:line="18" w:lineRule="exact"/>
        <w:rPr>
          <w:sz w:val="20"/>
          <w:szCs w:val="20"/>
          <w:color w:val="auto"/>
        </w:rPr>
      </w:pPr>
    </w:p>
    <w:p>
      <w:pPr>
        <w:ind w:right="619"/>
        <w:spacing w:after="0" w:line="241" w:lineRule="auto"/>
        <w:rPr>
          <w:sz w:val="20"/>
          <w:szCs w:val="20"/>
          <w:color w:val="auto"/>
        </w:rPr>
      </w:pPr>
      <w:r>
        <w:rPr>
          <w:rFonts w:ascii="Arial" w:cs="Arial" w:eastAsia="Arial" w:hAnsi="Arial"/>
          <w:sz w:val="15"/>
          <w:szCs w:val="15"/>
          <w:color w:val="auto"/>
        </w:rPr>
        <w:t>Manpower’s business is, in itself, socially responsible because everything we do is geared toward connecting people with jobs, which enables individuals to support themselves and their families. We strive to be socially responsible in every aspect of our business; however, we focus our resources primarily on where we can have the most impact, in creating a bridge to employment for disadvantaged individuals through various workforce development programs around the world. Additional details regarding social responsibility efforts at Manpower can be found in our most recent Social Responsibility Report, which is accessible via our corporate Web site at www.manpower.com/socialresponsibility.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48895</wp:posOffset>
            </wp:positionV>
            <wp:extent cx="7287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7260" cy="41910"/>
                    </a:xfrm>
                    <a:prstGeom prst="rect">
                      <a:avLst/>
                    </a:prstGeom>
                    <a:noFill/>
                  </pic:spPr>
                </pic:pic>
              </a:graphicData>
            </a:graphic>
          </wp:anchor>
        </w:drawing>
      </w:r>
    </w:p>
    <w:p>
      <w:pPr>
        <w:sectPr>
          <w:pgSz w:w="11900" w:h="16838" w:orient="portrait"/>
          <w:cols w:equalWidth="0" w:num="2">
            <w:col w:w="5000" w:space="720"/>
            <w:col w:w="4499"/>
          </w:cols>
          <w:pgMar w:left="240" w:top="120" w:right="1440"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2629535</wp:posOffset>
            </wp:positionV>
            <wp:extent cx="7292340" cy="61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61595"/>
                    </a:xfrm>
                    <a:prstGeom prst="rect">
                      <a:avLst/>
                    </a:prstGeom>
                    <a:noFill/>
                  </pic:spPr>
                </pic:pic>
              </a:graphicData>
            </a:graphic>
          </wp:anchor>
        </w:drawing>
        <w:drawing>
          <wp:anchor simplePos="0" relativeHeight="251657728" behindDoc="1" locked="0" layoutInCell="0" allowOverlap="1">
            <wp:simplePos x="0" y="0"/>
            <wp:positionH relativeFrom="page">
              <wp:posOffset>614045</wp:posOffset>
            </wp:positionH>
            <wp:positionV relativeFrom="page">
              <wp:posOffset>88900</wp:posOffset>
            </wp:positionV>
            <wp:extent cx="6340475" cy="8680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340475" cy="868045"/>
                    </a:xfrm>
                    <a:prstGeom prst="rect">
                      <a:avLst/>
                    </a:prstGeom>
                    <a:noFill/>
                  </pic:spPr>
                </pic:pic>
              </a:graphicData>
            </a:graphic>
          </wp:anchor>
        </w:drawing>
        <w:drawing>
          <wp:anchor simplePos="0" relativeHeight="251657728" behindDoc="1" locked="0" layoutInCell="0" allowOverlap="1">
            <wp:simplePos x="0" y="0"/>
            <wp:positionH relativeFrom="page">
              <wp:posOffset>657860</wp:posOffset>
            </wp:positionH>
            <wp:positionV relativeFrom="page">
              <wp:posOffset>1613535</wp:posOffset>
            </wp:positionV>
            <wp:extent cx="6245860" cy="8388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245860" cy="838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5"/>
          <w:szCs w:val="15"/>
          <w:b w:val="1"/>
          <w:bCs w:val="1"/>
          <w:color w:val="auto"/>
        </w:rPr>
        <w:t>Exhibit 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320" w:type="dxa"/>
            <w:vAlign w:val="bottom"/>
            <w:gridSpan w:val="2"/>
          </w:tcPr>
          <w:p>
            <w:pPr>
              <w:jc w:val="center"/>
              <w:ind w:right="3003"/>
              <w:spacing w:after="0"/>
              <w:rPr>
                <w:sz w:val="20"/>
                <w:szCs w:val="20"/>
                <w:color w:val="auto"/>
              </w:rPr>
            </w:pPr>
            <w:r>
              <w:rPr>
                <w:rFonts w:ascii="Arial" w:cs="Arial" w:eastAsia="Arial" w:hAnsi="Arial"/>
                <w:sz w:val="15"/>
                <w:szCs w:val="15"/>
                <w:b w:val="1"/>
                <w:bCs w:val="1"/>
                <w:color w:val="auto"/>
              </w:rPr>
              <w:t>SUBSIDIARIES OF MANPOWER INC.</w:t>
            </w:r>
          </w:p>
        </w:tc>
      </w:tr>
      <w:tr>
        <w:trPr>
          <w:trHeight w:val="198"/>
        </w:trPr>
        <w:tc>
          <w:tcPr>
            <w:tcW w:w="1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320" w:type="dxa"/>
            <w:vAlign w:val="bottom"/>
            <w:gridSpan w:val="2"/>
          </w:tcPr>
          <w:p>
            <w:pPr>
              <w:jc w:val="center"/>
              <w:ind w:right="3023"/>
              <w:spacing w:after="0"/>
              <w:rPr>
                <w:sz w:val="20"/>
                <w:szCs w:val="20"/>
                <w:color w:val="auto"/>
              </w:rPr>
            </w:pPr>
            <w:r>
              <w:rPr>
                <w:rFonts w:ascii="Arial" w:cs="Arial" w:eastAsia="Arial" w:hAnsi="Arial"/>
                <w:sz w:val="15"/>
                <w:szCs w:val="15"/>
                <w:b w:val="1"/>
                <w:bCs w:val="1"/>
                <w:color w:val="auto"/>
                <w:w w:val="91"/>
              </w:rPr>
              <w:t>As of December 31, 2009</w:t>
            </w:r>
          </w:p>
        </w:tc>
      </w:tr>
      <w:tr>
        <w:trPr>
          <w:trHeight w:val="770"/>
        </w:trPr>
        <w:tc>
          <w:tcPr>
            <w:tcW w:w="1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1"/>
              </w:rPr>
              <w:t>Corporation Name</w:t>
            </w:r>
          </w:p>
        </w:tc>
        <w:tc>
          <w:tcPr>
            <w:tcW w:w="29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2"/>
              </w:rPr>
              <w:t>Incorporated in State / Country of</w:t>
            </w:r>
          </w:p>
        </w:tc>
      </w:tr>
      <w:tr>
        <w:trPr>
          <w:trHeight w:val="211"/>
        </w:trPr>
        <w:tc>
          <w:tcPr>
            <w:tcW w:w="4100" w:type="dxa"/>
            <w:vAlign w:val="bottom"/>
            <w:gridSpan w:val="2"/>
          </w:tcPr>
          <w:p>
            <w:pPr>
              <w:spacing w:after="0"/>
              <w:rPr>
                <w:sz w:val="20"/>
                <w:szCs w:val="20"/>
                <w:color w:val="auto"/>
              </w:rPr>
            </w:pPr>
            <w:r>
              <w:rPr>
                <w:rFonts w:ascii="Arial" w:cs="Arial" w:eastAsia="Arial" w:hAnsi="Arial"/>
                <w:sz w:val="15"/>
                <w:szCs w:val="15"/>
                <w:color w:val="auto"/>
              </w:rPr>
              <w:t>HUNTSVILLE SERVICE CONTRACTORS, INC.</w:t>
            </w:r>
          </w:p>
        </w:tc>
        <w:tc>
          <w:tcPr>
            <w:tcW w:w="42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AL</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Benefits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Argentina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Cotecsud S.A.S.E.</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Argentina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Argentina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Ruralpower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Argentina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Salespower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Argentina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Compower Pty Limited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No. 10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No. 11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No. 12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No. 13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No. 14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No. 15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Services (Australia)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ORMS Group APS Pty Limited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Consultants (OC)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Consultants Holdings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Consultants International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Consultants Pty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Workforce (VIC) Pty Limited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Australia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GmbH</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Holding GmbH</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Powerserve GmbH</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Austria GmbH</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Austria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Professional Bahrain S.P.C.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Bahrain</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RO of Manpower CIS LLC in Belarus Republic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Belarus</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Elan IT Resource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Belgium</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Business Solutions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Belgium</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Belgium NV</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Belgium</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S.A. Manpower (Belgium) N.V.</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Belgium</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Brasil Ltda.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Brazil</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Professional Ltda.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Brazil</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Staffing Ltda.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Brazil</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do Brasil Ltda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Brazil</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Clarendon Parker Holdings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British Virgin Islands</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Bulgaria Team EOOD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Bulgaria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Bulgaria OOD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Bulgaria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INC. / SO CALIFORNIA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Coutts Consulting Canada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Canada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Jefferson Wells International (Canada),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Canada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Services Canada Limited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Canada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Murray Axmith &amp; Associates Limited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Canada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Canada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Canada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&amp; Standard Labor Service (Beijing) Co.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China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w w:val="99"/>
              </w:rPr>
              <w:t>Manpower &amp; Standard Human Resources (Shanghai) Co.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China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Business Consulting (Shanghai) Co.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China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Caden (China) Co.,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China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China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China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de Columbia Ltda.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Colombia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Professional Ltd.</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Colombia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Costa Rica,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Costa Rica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DOO</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Croatia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Savjetovanje DOO</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Croatia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Elan IT Resource s.r.o.</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Czech Republic</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Manpower,spol. s r.o.</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Czech Republic</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CAREERHARMONY,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JEFFERSON WELLS INTERNATIONAL,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CIS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FINANCES LLC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FRANCHISES, LLC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HOLDINGS,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INTERNATIONAL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LICENSE HOLDINGS, INC.</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USCADEN CORPORATION</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Elan IT Resources A/S</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Denmark</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A/S (Denmark)</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Denmark</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Europe Holdings, Aps</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Denmark</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Denmark A/S</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Denmark</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Nordic Holding A/S</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Denmark</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Republica Dominicana, S.A.</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Dominican Rebublic</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El Salvador, S.A. de C.V.</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El Salvador</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OÜ</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Estonia</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Elan IT Resource OY</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Elan Technical Services OY</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Business Solutions OY</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Inclusive Oy</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Manpower OY</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MBS Technical Services OY</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Right Management Finland OY AB</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Finland</w:t>
            </w:r>
          </w:p>
        </w:tc>
      </w:tr>
      <w:tr>
        <w:trPr>
          <w:trHeight w:val="184"/>
        </w:trPr>
        <w:tc>
          <w:tcPr>
            <w:tcW w:w="4100" w:type="dxa"/>
            <w:vAlign w:val="bottom"/>
            <w:gridSpan w:val="2"/>
          </w:tcPr>
          <w:p>
            <w:pPr>
              <w:spacing w:after="0"/>
              <w:rPr>
                <w:sz w:val="20"/>
                <w:szCs w:val="20"/>
                <w:color w:val="auto"/>
              </w:rPr>
            </w:pPr>
            <w:r>
              <w:rPr>
                <w:rFonts w:ascii="Arial" w:cs="Arial" w:eastAsia="Arial" w:hAnsi="Arial"/>
                <w:sz w:val="15"/>
                <w:szCs w:val="15"/>
                <w:color w:val="auto"/>
              </w:rPr>
              <w:t>Alvedis Conseil SAS</w:t>
            </w:r>
          </w:p>
        </w:tc>
        <w:tc>
          <w:tcPr>
            <w:tcW w:w="42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France</w:t>
            </w:r>
          </w:p>
        </w:tc>
      </w:tr>
      <w:tr>
        <w:trPr>
          <w:trHeight w:val="194"/>
        </w:trPr>
        <w:tc>
          <w:tcPr>
            <w:tcW w:w="4100" w:type="dxa"/>
            <w:vAlign w:val="bottom"/>
            <w:gridSpan w:val="2"/>
          </w:tcPr>
          <w:p>
            <w:pPr>
              <w:spacing w:after="0"/>
              <w:rPr>
                <w:sz w:val="20"/>
                <w:szCs w:val="20"/>
                <w:color w:val="auto"/>
              </w:rPr>
            </w:pPr>
            <w:r>
              <w:rPr>
                <w:rFonts w:ascii="Arial" w:cs="Arial" w:eastAsia="Arial" w:hAnsi="Arial"/>
                <w:sz w:val="15"/>
                <w:szCs w:val="15"/>
                <w:color w:val="auto"/>
              </w:rPr>
              <w:t>Alisia SARL</w:t>
            </w:r>
          </w:p>
        </w:tc>
        <w:tc>
          <w:tcPr>
            <w:tcW w:w="426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5"/>
                <w:szCs w:val="15"/>
                <w:color w:val="auto"/>
              </w:rPr>
              <w:t>France</w:t>
            </w:r>
          </w:p>
        </w:tc>
      </w:tr>
    </w:tbl>
    <w:p>
      <w:pPr>
        <w:sectPr>
          <w:pgSz w:w="11900" w:h="16838" w:orient="portrait"/>
          <w:cols w:equalWidth="0" w:num="1">
            <w:col w:w="11440"/>
          </w:cols>
          <w:pgMar w:left="240" w:top="125" w:right="219" w:bottom="0" w:gutter="0" w:footer="0" w:header="0"/>
        </w:sectPr>
      </w:pPr>
    </w:p>
    <w:bookmarkStart w:id="117" w:name="page118"/>
    <w:bookmarkEnd w:id="117"/>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SARL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Services 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Egalite Des Chances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France Holding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France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Nouvelles Competences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Aux Personnes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Pixid S.N.C.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Spirit Search SAS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Supplay SAS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Adservice Gesellschaft für Werbung und Verkaufsförderung mbH</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AviationPower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Bankpower GmbH Personaldienstleistungen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Computing (Deutschland)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Services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Telecommunications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GroundworX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Beteiligungsgesellschaft 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Deutschland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Equal Treatment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GmbH &amp; Co. KG Personaldienstleistungen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Managed Services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Professional Engineering GmbH</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Manpower Professional Finance - Personaldienstleistungen GmbH</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Manpower Specialties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Vivento Interim Services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Team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Project Solutions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Guatemala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Honduras,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Computing (Asia)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HK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(Hong Kong)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Consultants Ltd (Hong Kong)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Hong Kong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Standard Management Consulting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Kft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Munkaero Szervezesi KFT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RMC OF ILLINOIS,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COMPLETE BUSINESS SERVICES OF ILLINOIS,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TRANSPERSONNEL,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India Pvt.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India Private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SKA HR Solutions Pvt.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Recruitment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(Ireland) Group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(Ireland)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PHI Transition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Transition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Care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Adam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Adi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Career Harmony,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Career-Management of Housing for elderly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M.F.S. Solutions for Financial Organizations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M.I.T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M.P.H. Holdings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Israel Holdings (1999)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Israel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Miluot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MBS (Manpower Business Solutions)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Nativ 2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Quality Translation Partnership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Storetail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Telepower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Unison Engineering Projects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(formerly Brookstreet Spa)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Solutions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Formazione Spa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Italia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S.P.A.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Consultants (Italy)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Adgrams,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JobSearchpower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JobSupportpower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Japan Co.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Mitsui Life Insurance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Mobile Com. Tokyo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Japan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Jordanian American Manpower Company, W.L.L.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Kaz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office of Manpower CIS LLC in Kazakhstan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Greece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Greece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Guatemala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Honduras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Hungary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Hungary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Jordan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Kazakhstan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Kazakhstan</w:t>
      </w:r>
    </w:p>
    <w:p>
      <w:pPr>
        <w:sectPr>
          <w:pgSz w:w="11900" w:h="16874" w:orient="portrait"/>
          <w:cols w:equalWidth="0" w:num="2">
            <w:col w:w="7640" w:space="720"/>
            <w:col w:w="1859"/>
          </w:cols>
          <w:pgMar w:left="240" w:top="129" w:right="1440" w:bottom="0" w:gutter="0" w:footer="0" w:header="0"/>
        </w:sectPr>
      </w:pPr>
    </w:p>
    <w:bookmarkStart w:id="118" w:name="page119"/>
    <w:bookmarkEnd w:id="118"/>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Manpower Korea, Inc.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Korea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TOPEKA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WICHITA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Clarendon Parker Kuwait WLL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office of UAB "Manpower Lit" in Latvia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Lit UAB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Sarl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SARL (Luxembourg)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Luxembourg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(Macau)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(Malaysia) Sdn Bhd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Agensi Pekerjaan Manpower Recruitment Sdn Bhd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(M) Sdn Bhd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Staffing Services (Malaysia) Sdn Bhd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Consultants International Pty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Techpower Consulting Sdn Bhd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Antilles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Agropower,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Factoria Y Manufactura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Intelecto Tecnologico,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Corporativo,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Industrial,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Mensajeria,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Professional,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Nurse.Co de Mexico,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Payment Services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Tecnologia Y Manufactura, S.A. de C.V.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Monaco SAM</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Services Maroc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Societe Marocaine De Travail Temporaire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Flexservice Solutions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Direkt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Management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Nederland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Solutions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Special Staffing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Performance Improvement Network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Nederland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Ultraflex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Ultrasearch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Vitae Beheer B.V.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Vitae Nederland B. V.</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Nouvelle Caledonie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Consultants (OC) Pty. Ltd (NZ)</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(New Zealand)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Consultants Ltd (New Zealand)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Nicaruagua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Alubar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Staffing Services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Framnaes Installajon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-Retail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Norway Holdings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Professional Engineering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Professional Executive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Staffing Services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Quality People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Norway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INCORPORATED OF NEW YORK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TRI COUNTY BUSINESS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Panama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Temporales Panama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Paraguay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Peru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Professional Services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Outsourcing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Prime Manpower Resources Development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MP Services SP. ZO. 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Poland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Sp. Z oo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Polska SP. ZO. O</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Manpower Portuguesa - Servicos De Recursos Humanos, S.A.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Manpower Portuguesa 2 - Servicos, LDA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Clarendon Parker Qatar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Qatar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FMI Resources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Ocean Indien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Romania SRL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CIS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Clarendon Parker Arabia</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Korea</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Korea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Korea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KS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Kuwait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Latvia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Lithuania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Macau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Martinique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Monaco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Morocco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Morocco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New Caledonia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Nicaragua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Panama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Panama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Paraguay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Peru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Peru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Philippines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Philippines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Portugal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Qatar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Qatar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Reunion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Reunion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Romania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Russia</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Saudia Arabia</w:t>
      </w:r>
    </w:p>
    <w:p>
      <w:pPr>
        <w:sectPr>
          <w:pgSz w:w="11900" w:h="16874" w:orient="portrait"/>
          <w:cols w:equalWidth="0" w:num="2">
            <w:col w:w="7640" w:space="720"/>
            <w:col w:w="1859"/>
          </w:cols>
          <w:pgMar w:left="240" w:top="129" w:right="1440" w:bottom="0" w:gutter="0" w:footer="0" w:header="0"/>
        </w:sectPr>
      </w:pPr>
    </w:p>
    <w:bookmarkStart w:id="119" w:name="page120"/>
    <w:bookmarkEnd w:id="119"/>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Manpower LLC Belgrade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Manpower Staffing Services (Singapore) Pte.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Consultants International Pty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Singapore Pte.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The Empower Group (Asia)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Slovakia SRO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d.o.o.</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SA (Proprietary)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Intoto (Pty)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SA (Pty)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Vuya Manpower (Pty)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ByManpower, S.L.U.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 Computing S.L.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S.L.U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Team E.T.T., S.A.U.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Spain, S.L.U.</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Telge Jobbstart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IT Resources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Production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Service Center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Business Solutions Technical Services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EL &amp; Tele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HälsoPartner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Student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Sverige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Nordea Bemanning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Ostgotahalsan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Sweden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Sinova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Sinova Sweden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Sveriges Akademikerformedling AB</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Allegra Finanz AG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Computing (Schweiz) AG, Zurich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Telecommunications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AG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Holding AG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HR Management 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MRC Consulting AG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Switzerland AG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Worklink AG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(Taiwan)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Taiwan Co., Ltd.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Manpower Professional and Executive Recruitment Co.,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Manpower Recruitment Solutions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Skillpower Services (Thailand)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Tunisie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Tunisie International SARL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Insan Kaynaklari Limited Sirketi</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Manpower Secme ve Yerlestirme Hizmetleri Limited Sirketi</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HR STAFFING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 Middle East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Clarendon Parker Middle East FZ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Dubai Airport Free Zone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Ukraine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office of Manpower CIS LLC in Ukraine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SHL Group PLC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Holdings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Bafin (UK)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Bafin Holdings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Bafin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Brook Street (UK)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Brook Street Bureau PLC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BS Project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Challoners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DP Support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Computing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Group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Resource Support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Telecommunications Group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Elan Telecommunications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Ferrisbush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Girlpower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Jefferson Wells,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Contract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Holdings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Nominees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Public Limited Company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Services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UK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Nicholas Andrews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Overdrive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Psyconsult International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Corecare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Right Management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Salespower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Temp Finance &amp; Accounting Service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The Empower Group Ltd.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Serbia</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Slovakia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Slovenia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Taiwan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Taiwan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Thailand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Thailand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Thailand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Tunisia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Tunisia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Turkey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Turkey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TX</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UAE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UAE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UAE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Ukraine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Ukraine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ectPr>
          <w:pgSz w:w="11900" w:h="16874" w:orient="portrait"/>
          <w:cols w:equalWidth="0" w:num="2">
            <w:col w:w="7640" w:space="720"/>
            <w:col w:w="1859"/>
          </w:cols>
          <w:pgMar w:left="240" w:top="129" w:right="1440" w:bottom="0" w:gutter="0" w:footer="0" w:header="0"/>
        </w:sectPr>
      </w:pPr>
    </w:p>
    <w:bookmarkStart w:id="120" w:name="page121"/>
    <w:bookmarkEnd w:id="120"/>
    <w:p>
      <w:pPr>
        <w:spacing w:after="0"/>
        <w:rPr>
          <w:sz w:val="20"/>
          <w:szCs w:val="20"/>
          <w:color w:val="auto"/>
        </w:rPr>
      </w:pPr>
      <w:r>
        <w:rPr>
          <w:rFonts w:ascii="Arial" w:cs="Arial" w:eastAsia="Arial" w:hAnsi="Arial"/>
          <w:sz w:val="15"/>
          <w:szCs w:val="15"/>
          <w:color w:val="auto"/>
        </w:rPr>
        <w:t>Working Links Ltd.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Aris Sociedad Anonima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de Venezuela 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Empresa de Trabajo Temporal, 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Servicios Alleray, C.A.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Vietnam Company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PUBLIC SECTOR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SIGNATURE GRAPHICS OF MILWAUKEE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NOMINEES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OF INDIANA LIMITED PARTNERSHIP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OF TEXAS LIMITED PARTNERSHIP</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SERVICES, INC. (a.k.a. NOMAD)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MANPOWER TEXAS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RESOURCE CONSULTING GROUP, INC. (f/k/a MPSSI)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SIGNATURE GRAPHICS OF MILWAUKEE,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Kingdom</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Uruguay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Venezuela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Venezuela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Venezuela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Vietnam</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WI</w:t>
      </w:r>
    </w:p>
    <w:p>
      <w:pPr>
        <w:sectPr>
          <w:pgSz w:w="11900" w:h="16838" w:orient="portrait"/>
          <w:cols w:equalWidth="0" w:num="2">
            <w:col w:w="7640" w:space="720"/>
            <w:col w:w="1859"/>
          </w:cols>
          <w:pgMar w:left="240" w:top="129"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349"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We consent to the incorporation by reference in Registration Statement Nos. 33-40441, 33-55264, 33-84736, 333-1040, 333-31021, 333-82459, 333-66656, 333-105205, 333-112164, 333-126703, 333-135000 and 333-161765 on Form S-8 and 333-650, 33-95896 and 333-87554 on Form S-4 of our reports dated February 19, 2010, relating to the consolidated financial statements and consolidated financial statement schedule of Manpower Inc. and subsidiaries (“the Company”), and the effectiveness of the Company’s internal control over financial reporting, appearing in and incorporated by reference in the Annual Report on Form 10-K of the Company for the year ended December 31, 2009.</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Milwaukee, Wisconsin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February 19, 2010</w:t>
      </w:r>
    </w:p>
    <w:p>
      <w:pPr>
        <w:sectPr>
          <w:pgSz w:w="11900" w:h="16838" w:orient="portrait"/>
          <w:cols w:equalWidth="0" w:num="1">
            <w:col w:w="11440"/>
          </w:cols>
          <w:pgMar w:left="240" w:top="332"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b w:val="1"/>
          <w:bCs w:val="1"/>
          <w:color w:val="auto"/>
        </w:rPr>
        <w:t>Exhibit 24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 FOR ANNUAL REPORT ON FORM 10-K</w:t>
      </w:r>
    </w:p>
    <w:p>
      <w:pPr>
        <w:spacing w:after="0" w:line="176" w:lineRule="exact"/>
        <w:rPr>
          <w:sz w:val="20"/>
          <w:szCs w:val="20"/>
          <w:color w:val="auto"/>
        </w:rPr>
      </w:pPr>
    </w:p>
    <w:p>
      <w:pPr>
        <w:jc w:val="both"/>
        <w:ind w:firstLine="569"/>
        <w:spacing w:after="0" w:line="265" w:lineRule="auto"/>
        <w:rPr>
          <w:sz w:val="20"/>
          <w:szCs w:val="20"/>
          <w:color w:val="auto"/>
        </w:rPr>
      </w:pPr>
      <w:r>
        <w:rPr>
          <w:rFonts w:ascii="Arial" w:cs="Arial" w:eastAsia="Arial" w:hAnsi="Arial"/>
          <w:sz w:val="14"/>
          <w:szCs w:val="14"/>
          <w:color w:val="auto"/>
        </w:rPr>
        <w:t>Each of the undersigned directors of Manpower Inc. (the “Company”) hereby constitutes and appoints Jeffrey A. Joerres, Michael J. Van Handel and Kenneth C. Hunt,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2009,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34" w:lineRule="exact"/>
        <w:rPr>
          <w:sz w:val="20"/>
          <w:szCs w:val="20"/>
          <w:color w:val="auto"/>
        </w:rPr>
      </w:pPr>
    </w:p>
    <w:p>
      <w:pPr>
        <w:jc w:val="both"/>
        <w:ind w:right="20" w:firstLine="613"/>
        <w:spacing w:after="0" w:line="270" w:lineRule="auto"/>
        <w:rPr>
          <w:sz w:val="20"/>
          <w:szCs w:val="20"/>
          <w:color w:val="auto"/>
        </w:rPr>
      </w:pPr>
      <w:r>
        <w:rPr>
          <w:rFonts w:ascii="Arial" w:cs="Arial" w:eastAsia="Arial" w:hAnsi="Arial"/>
          <w:sz w:val="15"/>
          <w:szCs w:val="15"/>
          <w:color w:val="auto"/>
        </w:rPr>
        <w:t>IN WITNESS WHEREOF, the undersigned have each executed this Power of Attorney for Annual Report on Form 10-K, on one or more counterparts, as of the 8th day of February, 2010.</w:t>
      </w:r>
    </w:p>
    <w:p>
      <w:pPr>
        <w:sectPr>
          <w:pgSz w:w="11900" w:h="16838" w:orient="portrait"/>
          <w:cols w:equalWidth="0" w:num="1">
            <w:col w:w="11440"/>
          </w:cols>
          <w:pgMar w:left="240" w:top="125" w:right="219" w:bottom="1440" w:gutter="0" w:footer="0" w:header="0"/>
        </w:sectPr>
      </w:pPr>
    </w:p>
    <w:p>
      <w:pPr>
        <w:spacing w:after="0" w:line="163"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6350</wp:posOffset>
            </wp:positionV>
            <wp:extent cx="1452245"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Marc J. Bolland</w:t>
      </w:r>
    </w:p>
    <w:p>
      <w:pPr>
        <w:spacing w:after="0" w:line="379"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/s/ Gina R. Boswell</w:t>
      </w:r>
    </w:p>
    <w:p>
      <w:pPr>
        <w:spacing w:after="0" w:line="22"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0</wp:posOffset>
            </wp:positionV>
            <wp:extent cx="1452245"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20955</wp:posOffset>
            </wp:positionV>
            <wp:extent cx="1452245"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26"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J. Thomas Bouchard</w:t>
      </w:r>
    </w:p>
    <w:p>
      <w:pPr>
        <w:spacing w:after="0" w:line="200" w:lineRule="exact"/>
        <w:rPr>
          <w:sz w:val="20"/>
          <w:szCs w:val="20"/>
          <w:color w:val="auto"/>
        </w:rPr>
      </w:pPr>
    </w:p>
    <w:p>
      <w:pPr>
        <w:spacing w:after="0" w:line="363"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 Cari M. Dominquez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13970</wp:posOffset>
            </wp:positionV>
            <wp:extent cx="1452245"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Cari M. Dominquez</w:t>
      </w:r>
    </w:p>
    <w:p>
      <w:pPr>
        <w:spacing w:after="0" w:line="200" w:lineRule="exact"/>
        <w:rPr>
          <w:sz w:val="20"/>
          <w:szCs w:val="20"/>
          <w:color w:val="auto"/>
        </w:rPr>
      </w:pPr>
    </w:p>
    <w:p>
      <w:pPr>
        <w:spacing w:after="0" w:line="363"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13970</wp:posOffset>
            </wp:positionV>
            <wp:extent cx="1452245"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Jack M. Greenberg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452245"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Terry A. Hueneke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452245"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Jeffrey A. Joerres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452245"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Roberto Mendoza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452245"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Ulice Payne, Jr.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452245"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John R. Walter</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452245"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52245" cy="1460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Edward J. Zore</w:t>
      </w:r>
    </w:p>
    <w:p>
      <w:pPr>
        <w:sectPr>
          <w:pgSz w:w="11900" w:h="16838" w:orient="portrait"/>
          <w:cols w:equalWidth="0" w:num="2">
            <w:col w:w="6140" w:space="720"/>
            <w:col w:w="4580"/>
          </w:cols>
          <w:pgMar w:left="240" w:top="125" w:right="21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5"/>
          <w:szCs w:val="15"/>
          <w:b w:val="1"/>
          <w:bCs w:val="1"/>
          <w:color w:val="auto"/>
        </w:rPr>
        <w:t>Exhibit 31.1</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 Jeffrey A. Joerres, Chairman and Chief Executive Officer of Manpower Inc., certify that:</w:t>
      </w:r>
    </w:p>
    <w:p>
      <w:pPr>
        <w:spacing w:after="0" w:line="172" w:lineRule="exact"/>
        <w:rPr>
          <w:sz w:val="20"/>
          <w:szCs w:val="20"/>
          <w:color w:val="auto"/>
        </w:rPr>
      </w:pPr>
    </w:p>
    <w:p>
      <w:pPr>
        <w:ind w:left="780" w:hanging="420"/>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Manpower Inc.;</w:t>
      </w:r>
    </w:p>
    <w:p>
      <w:pPr>
        <w:spacing w:after="0" w:line="172" w:lineRule="exact"/>
        <w:rPr>
          <w:rFonts w:ascii="Arial" w:cs="Arial" w:eastAsia="Arial" w:hAnsi="Arial"/>
          <w:sz w:val="15"/>
          <w:szCs w:val="15"/>
          <w:color w:val="auto"/>
        </w:rPr>
      </w:pPr>
    </w:p>
    <w:p>
      <w:pPr>
        <w:ind w:left="780" w:right="20" w:hanging="420"/>
        <w:spacing w:after="0" w:line="270" w:lineRule="auto"/>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5"/>
          <w:szCs w:val="15"/>
          <w:color w:val="auto"/>
        </w:rPr>
      </w:pPr>
    </w:p>
    <w:p>
      <w:pPr>
        <w:ind w:left="780" w:right="60" w:hanging="420"/>
        <w:spacing w:after="0" w:line="270" w:lineRule="auto"/>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5"/>
          <w:szCs w:val="15"/>
          <w:color w:val="auto"/>
        </w:rPr>
      </w:pPr>
    </w:p>
    <w:p>
      <w:pPr>
        <w:ind w:left="780" w:right="160" w:hanging="420"/>
        <w:spacing w:after="0" w:line="306"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1620" w:right="200" w:hanging="410"/>
        <w:spacing w:after="0" w:line="255"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5"/>
          <w:szCs w:val="15"/>
          <w:color w:val="auto"/>
        </w:rPr>
      </w:pPr>
    </w:p>
    <w:p>
      <w:pPr>
        <w:ind w:left="1620" w:right="20" w:hanging="410"/>
        <w:spacing w:after="0" w:line="255"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5"/>
          <w:szCs w:val="15"/>
          <w:color w:val="auto"/>
        </w:rPr>
      </w:pPr>
    </w:p>
    <w:p>
      <w:pPr>
        <w:ind w:left="1620" w:right="340" w:hanging="410"/>
        <w:spacing w:after="0" w:line="270"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5"/>
          <w:szCs w:val="15"/>
          <w:color w:val="auto"/>
        </w:rPr>
      </w:pPr>
    </w:p>
    <w:p>
      <w:pPr>
        <w:ind w:left="1620" w:hanging="410"/>
        <w:spacing w:after="0" w:line="255"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5"/>
          <w:szCs w:val="15"/>
          <w:color w:val="auto"/>
        </w:rPr>
      </w:pPr>
    </w:p>
    <w:p>
      <w:pPr>
        <w:ind w:left="780" w:right="260" w:hanging="420"/>
        <w:spacing w:after="0" w:line="270" w:lineRule="auto"/>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5"/>
          <w:szCs w:val="15"/>
          <w:color w:val="auto"/>
        </w:rPr>
      </w:pPr>
    </w:p>
    <w:p>
      <w:pPr>
        <w:ind w:left="1620" w:right="500" w:hanging="410"/>
        <w:spacing w:after="0" w:line="270"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5"/>
          <w:szCs w:val="15"/>
          <w:color w:val="auto"/>
        </w:rPr>
      </w:pPr>
    </w:p>
    <w:p>
      <w:pPr>
        <w:ind w:left="1620" w:right="120" w:hanging="410"/>
        <w:spacing w:after="0" w:line="270"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19, 2010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254250"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54250"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Chairman, Chief Executive Officer</w:t>
      </w:r>
    </w:p>
    <w:p>
      <w:pPr>
        <w:sectPr>
          <w:pgSz w:w="11900" w:h="16838" w:orient="portrait"/>
          <w:cols w:equalWidth="0" w:num="1">
            <w:col w:w="11440"/>
          </w:cols>
          <w:pgMar w:left="240" w:top="125"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 Michael J. Van Handel, Executive Vice President and Chief Financial Officer of Manpower Inc., certify that:</w:t>
      </w:r>
    </w:p>
    <w:p>
      <w:pPr>
        <w:spacing w:after="0" w:line="172" w:lineRule="exact"/>
        <w:rPr>
          <w:sz w:val="20"/>
          <w:szCs w:val="20"/>
          <w:color w:val="auto"/>
        </w:rPr>
      </w:pPr>
    </w:p>
    <w:p>
      <w:pPr>
        <w:ind w:left="780" w:hanging="42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Manpower Inc.;</w:t>
      </w:r>
    </w:p>
    <w:p>
      <w:pPr>
        <w:spacing w:after="0" w:line="172" w:lineRule="exact"/>
        <w:rPr>
          <w:rFonts w:ascii="Arial" w:cs="Arial" w:eastAsia="Arial" w:hAnsi="Arial"/>
          <w:sz w:val="15"/>
          <w:szCs w:val="15"/>
          <w:color w:val="auto"/>
        </w:rPr>
      </w:pPr>
    </w:p>
    <w:p>
      <w:pPr>
        <w:ind w:left="780" w:right="20" w:hanging="420"/>
        <w:spacing w:after="0" w:line="270" w:lineRule="auto"/>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5"/>
          <w:szCs w:val="15"/>
          <w:color w:val="auto"/>
        </w:rPr>
      </w:pPr>
    </w:p>
    <w:p>
      <w:pPr>
        <w:ind w:left="780" w:right="60" w:hanging="420"/>
        <w:spacing w:after="0" w:line="270" w:lineRule="auto"/>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5"/>
          <w:szCs w:val="15"/>
          <w:color w:val="auto"/>
        </w:rPr>
      </w:pPr>
    </w:p>
    <w:p>
      <w:pPr>
        <w:ind w:left="780" w:right="160" w:hanging="420"/>
        <w:spacing w:after="0" w:line="306" w:lineRule="auto"/>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1620" w:right="200" w:hanging="410"/>
        <w:spacing w:after="0" w:line="255"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5"/>
          <w:szCs w:val="15"/>
          <w:color w:val="auto"/>
        </w:rPr>
      </w:pPr>
    </w:p>
    <w:p>
      <w:pPr>
        <w:ind w:left="1620" w:right="20" w:hanging="410"/>
        <w:spacing w:after="0" w:line="255"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5"/>
          <w:szCs w:val="15"/>
          <w:color w:val="auto"/>
        </w:rPr>
      </w:pPr>
    </w:p>
    <w:p>
      <w:pPr>
        <w:ind w:left="1620" w:right="340" w:hanging="410"/>
        <w:spacing w:after="0" w:line="270"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5"/>
          <w:szCs w:val="15"/>
          <w:color w:val="auto"/>
        </w:rPr>
      </w:pPr>
    </w:p>
    <w:p>
      <w:pPr>
        <w:ind w:left="1620" w:hanging="410"/>
        <w:spacing w:after="0" w:line="255"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5"/>
          <w:szCs w:val="15"/>
          <w:color w:val="auto"/>
        </w:rPr>
      </w:pPr>
    </w:p>
    <w:p>
      <w:pPr>
        <w:ind w:left="780" w:right="260" w:hanging="420"/>
        <w:spacing w:after="0" w:line="270" w:lineRule="auto"/>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5"/>
          <w:szCs w:val="15"/>
          <w:color w:val="auto"/>
        </w:rPr>
      </w:pPr>
    </w:p>
    <w:p>
      <w:pPr>
        <w:ind w:left="1620" w:right="500" w:hanging="410"/>
        <w:spacing w:after="0" w:line="270"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5"/>
          <w:szCs w:val="15"/>
          <w:color w:val="auto"/>
        </w:rPr>
      </w:pPr>
    </w:p>
    <w:p>
      <w:pPr>
        <w:ind w:left="1620" w:right="120" w:hanging="410"/>
        <w:spacing w:after="0" w:line="270" w:lineRule="auto"/>
        <w:tabs>
          <w:tab w:leader="none" w:pos="16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19, 2010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962785"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62785"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Michael J. Van Handel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Chief Financial Officer</w:t>
      </w:r>
    </w:p>
    <w:p>
      <w:pPr>
        <w:sectPr>
          <w:pgSz w:w="11900" w:h="16838" w:orient="portrait"/>
          <w:cols w:equalWidth="0" w:num="1">
            <w:col w:w="11440"/>
          </w:cols>
          <w:pgMar w:left="240" w:top="125"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5"/>
          <w:szCs w:val="15"/>
          <w:b w:val="1"/>
          <w:bCs w:val="1"/>
          <w:color w:val="auto"/>
        </w:rPr>
        <w:t>Exhibit 32.1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 Inc. (the “Company”), hereby certifies that to his knowledge:</w:t>
      </w:r>
    </w:p>
    <w:p>
      <w:pPr>
        <w:spacing w:after="0" w:line="184" w:lineRule="exact"/>
        <w:rPr>
          <w:sz w:val="20"/>
          <w:szCs w:val="20"/>
          <w:color w:val="auto"/>
        </w:rPr>
      </w:pPr>
    </w:p>
    <w:p>
      <w:pPr>
        <w:ind w:left="780" w:right="340" w:hanging="420"/>
        <w:spacing w:after="0" w:line="270" w:lineRule="auto"/>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Company’s Annual Report on Form 10-K for the year ended December 31, 2009 fully complies with the requirements of Section 13(a) or 15(d), as applicable, of the Securities Exchange Act of 1934, and</w:t>
      </w:r>
    </w:p>
    <w:p>
      <w:pPr>
        <w:spacing w:after="0" w:line="128" w:lineRule="exact"/>
        <w:rPr>
          <w:rFonts w:ascii="Arial" w:cs="Arial" w:eastAsia="Arial" w:hAnsi="Arial"/>
          <w:sz w:val="15"/>
          <w:szCs w:val="15"/>
          <w:color w:val="auto"/>
        </w:rPr>
      </w:pPr>
    </w:p>
    <w:p>
      <w:pPr>
        <w:ind w:left="780" w:hanging="420"/>
        <w:spacing w:after="0"/>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19, 2010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03581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35810"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Chairman, Chief Executive Officer</w:t>
      </w:r>
    </w:p>
    <w:p>
      <w:pPr>
        <w:spacing w:after="0" w:line="173"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40"/>
          </w:cols>
          <w:pgMar w:left="240" w:top="125"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auto"/>
        </w:rPr>
        <w:t>Exhibit 32.2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 Inc. (the “Company”), hereby certifies that to his knowledge:</w:t>
      </w:r>
    </w:p>
    <w:p>
      <w:pPr>
        <w:spacing w:after="0" w:line="184" w:lineRule="exact"/>
        <w:rPr>
          <w:sz w:val="20"/>
          <w:szCs w:val="20"/>
          <w:color w:val="auto"/>
        </w:rPr>
      </w:pPr>
    </w:p>
    <w:p>
      <w:pPr>
        <w:ind w:left="780" w:right="340" w:hanging="420"/>
        <w:spacing w:after="0" w:line="270" w:lineRule="auto"/>
        <w:tabs>
          <w:tab w:leader="none" w:pos="7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Company’s Annual Report on Form 10-K for the year ended December 31, 2009 fully complies with the requirements of Section 13(a) or 15(d), as applicable, of the Securities Exchange Act of 1934, and</w:t>
      </w:r>
    </w:p>
    <w:p>
      <w:pPr>
        <w:spacing w:after="0" w:line="128" w:lineRule="exact"/>
        <w:rPr>
          <w:rFonts w:ascii="Arial" w:cs="Arial" w:eastAsia="Arial" w:hAnsi="Arial"/>
          <w:sz w:val="15"/>
          <w:szCs w:val="15"/>
          <w:color w:val="auto"/>
        </w:rPr>
      </w:pPr>
    </w:p>
    <w:p>
      <w:pPr>
        <w:ind w:left="780" w:hanging="420"/>
        <w:spacing w:after="0"/>
        <w:tabs>
          <w:tab w:leader="none" w:pos="7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19, 2010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18186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81860" cy="146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Michael J. Van Handel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Chief Financial Officer</w:t>
      </w:r>
    </w:p>
    <w:p>
      <w:pPr>
        <w:spacing w:after="0" w:line="173"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decimal"/>
      <w:start w:val="13"/>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decimal"/>
      <w:start w:val="17"/>
    </w:lvl>
  </w:abstractNum>
  <w:abstractNum w:abstractNumId="20">
    <w:nsid w:val="1E7FF521"/>
    <w:multiLevelType w:val="hybridMultilevel"/>
    <w:lvl w:ilvl="0">
      <w:lvlJc w:val="left"/>
      <w:lvlText w:val="%1"/>
      <w:numFmt w:val="decimal"/>
      <w:start w:val="19"/>
    </w:lvl>
  </w:abstractNum>
  <w:abstractNum w:abstractNumId="21">
    <w:nsid w:val="7C3DBD3D"/>
    <w:multiLevelType w:val="hybridMultilevel"/>
    <w:lvl w:ilvl="0">
      <w:lvlJc w:val="left"/>
      <w:lvlText w:val="%1"/>
      <w:numFmt w:val="decimal"/>
      <w:start w:val="39"/>
    </w:lvl>
  </w:abstractNum>
  <w:abstractNum w:abstractNumId="22">
    <w:nsid w:val="737B8DDC"/>
    <w:multiLevelType w:val="hybridMultilevel"/>
    <w:lvl w:ilvl="0">
      <w:lvlJc w:val="left"/>
      <w:lvlText w:val="%1"/>
      <w:numFmt w:val="decimal"/>
      <w:start w:val="42"/>
    </w:lvl>
  </w:abstractNum>
  <w:abstractNum w:abstractNumId="23">
    <w:nsid w:val="6CEAF087"/>
    <w:multiLevelType w:val="hybridMultilevel"/>
    <w:lvl w:ilvl="0">
      <w:lvlJc w:val="left"/>
      <w:lvlText w:val="%1"/>
      <w:numFmt w:val="decimal"/>
      <w:start w:val="76"/>
    </w:lvl>
  </w:abstractNum>
  <w:abstractNum w:abstractNumId="24">
    <w:nsid w:val="22221A70"/>
    <w:multiLevelType w:val="hybridMultilevel"/>
    <w:lvl w:ilvl="0">
      <w:lvlJc w:val="left"/>
      <w:lvlText w:val="%1"/>
      <w:numFmt w:val="decimal"/>
      <w:start w:val="76"/>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641"/>
    </w:lvl>
  </w:abstractNum>
  <w:abstractNum w:abstractNumId="28">
    <w:nsid w:val="419AC241"/>
    <w:multiLevelType w:val="hybridMultilevel"/>
    <w:lvl w:ilvl="0">
      <w:lvlJc w:val="left"/>
      <w:lvlText w:val="%1"/>
      <w:numFmt w:val="decimal"/>
      <w:start w:val="582"/>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2019-12-10T08:55:52Z</dcterms:created>
  <dcterms:modified xsi:type="dcterms:W3CDTF">2019-12-10T08:55:52Z</dcterms:modified>
</cp:coreProperties>
</file>