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PAYNE ULICE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MANPOWERGROUP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MANPOWER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ManpowerGroup Inc.</w:t>
              </w:r>
            </w:hyperlink>
            <w:r>
              <w:rPr/>
              <w:t xml:space="preserve"> [ </w:t>
            </w:r>
            <w:r>
              <w:rPr>
                <w:rFonts w:ascii="Times;serif" w:hAnsi="Times;serif"/>
                <w:color w:val="0000FF"/>
                <w:sz w:val="24"/>
                <w:shd w:fill="FFFFFF" w:val="clear"/>
              </w:rPr>
              <w:t>MAN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3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41.48</w:t>
            </w:r>
            <w:r>
              <w:rPr>
                <w:rFonts w:ascii="Times;serif" w:hAnsi="Times;serif"/>
                <w:color w:val="008000"/>
                <w:position w:val="7"/>
                <w:sz w:val="16"/>
                <w:sz w:val="20"/>
                <w:shd w:fill="FFFFFF" w:val="clear"/>
              </w:rPr>
              <w:t>(3)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41.48</w:t>
            </w:r>
            <w:r>
              <w:rPr>
                <w:rFonts w:ascii="Times;serif" w:hAnsi="Times;serif"/>
                <w:color w:val="008000"/>
                <w:position w:val="7"/>
                <w:sz w:val="16"/>
                <w:sz w:val="20"/>
                <w:shd w:fill="FFFFFF" w:val="clear"/>
              </w:rPr>
              <w:t>(3)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41.48</w:t>
            </w:r>
            <w:r>
              <w:rPr>
                <w:rFonts w:ascii="Times;serif" w:hAnsi="Times;serif"/>
                <w:color w:val="008000"/>
                <w:position w:val="7"/>
                <w:sz w:val="16"/>
                <w:sz w:val="20"/>
                <w:shd w:fill="FFFFFF" w:val="clear"/>
              </w:rPr>
              <w:t>(3)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41.48</w:t>
            </w:r>
            <w:r>
              <w:rPr>
                <w:rFonts w:ascii="Times;serif" w:hAnsi="Times;serif"/>
                <w:color w:val="008000"/>
                <w:position w:val="7"/>
                <w:sz w:val="16"/>
                <w:sz w:val="20"/>
                <w:shd w:fill="FFFFFF" w:val="clear"/>
              </w:rPr>
              <w:t>(3)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(7)</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6,054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29.73</w:t>
            </w:r>
            <w:r>
              <w:rPr>
                <w:rFonts w:ascii="Times;serif" w:hAnsi="Times;serif"/>
                <w:color w:val="008000"/>
                <w:position w:val="7"/>
                <w:sz w:val="16"/>
                <w:sz w:val="20"/>
                <w:shd w:fill="FFFFFF" w:val="clear"/>
              </w:rPr>
              <w:t>(8)</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deferred stock are fully vested on the date of grant and will be settled in shares of ManpowerGroup common stock on a 1 for 1 basis on the earlier of January 1, 2031 or within 30 days after the reporting person's termination of service as a director, except as otherwise provided in the Terms and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Receipt of deferred stock under the Plan and the Terms and Conditions in lieu of dividends.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Average Trading Price (as defined in the Terms and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deferred stock are fully vested on the date of grant and will be settled in shares of ManpowerGroup common stock on a 1 for 1 basis on the earlier of January 1, 2027 or within 30 days after the reporting person's termination of service as a director, except as otherwise provided in the Terms and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of deferred stock are fully vested on the date of grant and will be settled in shares of ManpowerGroup common stock on a 1 for 1 basis on the earlier of January 1, 2028 or within 30 days after the reporting person's termination of service as a director, except as otherwise provided in the Terms and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of deferred stock vest in quarterly installments on the last day of each calendar quarter during 2026 and will be settled in shares of ManpowerGroup common stock on a 1 for 1 basis on the earlier of January 1, 2029 or within 30 days after the reporting person's termination of service as a director, except as otherwise provided in the Terms and Conditions (as defined below).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Annual grant of deferred stock under the 2011 Equity Incentive Plan of the Company (the "Plan") and the Terms and Conditions Regarding the Grant of Awards to Non-Employee Directors under the Plan (the "Terms and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the Market Price (as defined in the Plan) on the last trading day of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Michelle Nettles (pursuant to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caps w:val="false"/>
          <w:smallCaps w:val="false"/>
        </w:rPr>
      </w:pPr>
      <w:bookmarkStart w:id="2" w:name="exhibit24-1.htm"/>
      <w:bookmarkStart w:id="3" w:name="ksexhibit241"/>
      <w:bookmarkEnd w:id="2"/>
      <w:bookmarkEnd w:id="3"/>
      <w:r>
        <w:rPr>
          <w:caps w:val="false"/>
          <w:smallCaps w:val="false"/>
        </w:rPr>
        <w:t> </w:t>
      </w:r>
      <w:r>
        <w:br w:type="page"/>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4"/>
        </w:rPr>
        <w:t>Exhibit 24.1</w:t>
      </w:r>
      <w:r>
        <w:rPr>
          <w:rFonts w:ascii="Times New Roman;Times;Serif" w:hAnsi="Times New Roman;Times;Serif"/>
          <w:b w:val="false"/>
          <w:i w:val="false"/>
          <w:caps w:val="false"/>
          <w:smallCaps w:val="false"/>
          <w:sz w:val="28"/>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POWER OF ATTORNEY</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 Executing Forms 3, 4 and 5 and 144</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Know all by these present, that the undersigned constitutes and appoints each of Jonas Prising, John T. McGinnis, Michelle Nettles, and Shannon Kobylarczyk, signing singly, his true and lawful attorney-in-fact to:</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left"/>
              <w:rPr/>
            </w:pPr>
            <w:r>
              <w:rPr/>
              <w:t>execute for and on behalf of the undersigned Forms 3, 4 and 5 in accordance with Section 16(a) of the Securities Exchange Act of 1934 and the rules thereunder;</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left"/>
              <w:rPr/>
            </w:pPr>
            <w:r>
              <w:rPr/>
              <w:t>execute for and on behalf of the undersigned notices on Form 144 in accordance with Rule 144 under the Securities Act of 1933;</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(3)</w:t>
            </w:r>
          </w:p>
        </w:tc>
        <w:tc>
          <w:tcPr>
            <w:tcW w:w="9901" w:type="dxa"/>
            <w:tcBorders/>
            <w:vAlign w:val="center"/>
          </w:tcPr>
          <w:p>
            <w:pPr>
              <w:pStyle w:val="TableContents"/>
              <w:bidi w:val="0"/>
              <w:spacing w:before="0" w:after="283"/>
              <w:jc w:val="left"/>
              <w:rPr/>
            </w:pPr>
            <w:r>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(4)</w:t>
            </w:r>
          </w:p>
        </w:tc>
        <w:tc>
          <w:tcPr>
            <w:tcW w:w="9901" w:type="dxa"/>
            <w:tcBorders/>
            <w:vAlign w:val="center"/>
          </w:tcPr>
          <w:p>
            <w:pPr>
              <w:pStyle w:val="TableContents"/>
              <w:bidi w:val="0"/>
              <w:spacing w:before="0" w:after="283"/>
              <w:jc w:val="left"/>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WITNESS WHEREOF, the undersigned has caused this Power of Attorney to be executed effective as of the 22</w:t>
      </w:r>
      <w:r>
        <w:rPr>
          <w:rFonts w:ascii="Times New Roman;Times;Serif" w:hAnsi="Times New Roman;Times;Serif"/>
          <w:b w:val="false"/>
          <w:i w:val="false"/>
          <w:caps w:val="false"/>
          <w:smallCaps w:val="false"/>
          <w:position w:val="8"/>
          <w:sz w:val="19"/>
          <w:sz w:val="24"/>
        </w:rPr>
        <w:t>nd</w:t>
      </w:r>
      <w:r>
        <w:rPr>
          <w:rFonts w:ascii="Times New Roman;Times;Serif" w:hAnsi="Times New Roman;Times;Serif"/>
          <w:b w:val="false"/>
          <w:i w:val="false"/>
          <w:caps w:val="false"/>
          <w:smallCaps w:val="false"/>
          <w:sz w:val="24"/>
        </w:rPr>
        <w:t xml:space="preserve"> day of January 2025.</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b/>
      </w:r>
      <w:r>
        <w:rPr>
          <w:rFonts w:ascii="Times New Roman;Times;Serif" w:hAnsi="Times New Roman;Times;Serif"/>
          <w:b w:val="false"/>
          <w:i w:val="false"/>
          <w:caps w:val="false"/>
          <w:smallCaps w:val="false"/>
          <w:sz w:val="24"/>
          <w:u w:val="single"/>
        </w:rPr>
        <w:tab/>
      </w:r>
    </w:p>
    <w:p>
      <w:pPr>
        <w:pStyle w:val="TextBody"/>
        <w:bidi w:val="0"/>
        <w:ind w:left="0" w:right="0" w:firstLine="504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Ulice Payne, Jr.</w:t>
      </w:r>
    </w:p>
    <w:p>
      <w:pPr>
        <w:pStyle w:val="TextBody"/>
        <w:bidi w:val="0"/>
        <w:ind w:left="0" w:right="0" w:firstLine="50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Ulice Payne, Jr.</w:t>
      </w:r>
    </w:p>
    <w:p>
      <w:pPr>
        <w:pStyle w:val="TextBody"/>
        <w:bidi w:val="0"/>
        <w:ind w:left="0" w:right="0" w:firstLine="72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8179" TargetMode="External"/><Relationship Id="rId5" Type="http://schemas.openxmlformats.org/officeDocument/2006/relationships/hyperlink" Target="http://www.sec.gov/cgi-bin/browse-edgar?action=getcompany&amp;CIK=00008717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1401</Words>
  <Characters>7069</Characters>
  <CharactersWithSpaces>8381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