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3" w:lineRule="exact"/>
        <w:rPr>
          <w:sz w:val="24"/>
          <w:szCs w:val="24"/>
          <w:color w:val="auto"/>
        </w:rPr>
      </w:pPr>
    </w:p>
    <w:p>
      <w:pPr>
        <w:jc w:val="center"/>
        <w:ind w:right="107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107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84" w:lineRule="exact"/>
        <w:rPr>
          <w:sz w:val="24"/>
          <w:szCs w:val="24"/>
          <w:color w:val="auto"/>
        </w:rPr>
      </w:pPr>
    </w:p>
    <w:p>
      <w:pPr>
        <w:jc w:val="center"/>
        <w:ind w:right="1079"/>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142" w:lineRule="exact"/>
        <w:rPr>
          <w:sz w:val="24"/>
          <w:szCs w:val="24"/>
          <w:color w:val="auto"/>
        </w:rPr>
      </w:pPr>
    </w:p>
    <w:p>
      <w:pPr>
        <w:jc w:val="center"/>
        <w:ind w:right="1079"/>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2" w:lineRule="exact"/>
        <w:rPr>
          <w:sz w:val="24"/>
          <w:szCs w:val="24"/>
          <w:color w:val="auto"/>
        </w:rPr>
      </w:pPr>
    </w:p>
    <w:p>
      <w:pPr>
        <w:jc w:val="center"/>
        <w:ind w:right="107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37" w:lineRule="exact"/>
        <w:rPr>
          <w:sz w:val="24"/>
          <w:szCs w:val="24"/>
          <w:color w:val="auto"/>
        </w:rPr>
      </w:pPr>
    </w:p>
    <w:p>
      <w:pPr>
        <w:jc w:val="center"/>
        <w:ind w:right="1079"/>
        <w:spacing w:after="0"/>
        <w:rPr>
          <w:sz w:val="20"/>
          <w:szCs w:val="20"/>
          <w:color w:val="auto"/>
        </w:rPr>
      </w:pPr>
      <w:r>
        <w:rPr>
          <w:rFonts w:ascii="Times New Roman" w:cs="Times New Roman" w:eastAsia="Times New Roman" w:hAnsi="Times New Roman"/>
          <w:sz w:val="16"/>
          <w:szCs w:val="16"/>
          <w:color w:val="auto"/>
        </w:rPr>
        <w:t>Date of Report (Date of earliest event reported): June 30, 2022</w:t>
      </w:r>
    </w:p>
    <w:p>
      <w:pPr>
        <w:spacing w:after="0" w:line="107" w:lineRule="exact"/>
        <w:rPr>
          <w:sz w:val="24"/>
          <w:szCs w:val="24"/>
          <w:color w:val="auto"/>
        </w:rPr>
      </w:pPr>
    </w:p>
    <w:p>
      <w:pPr>
        <w:jc w:val="center"/>
        <w:ind w:right="1079"/>
        <w:spacing w:after="0"/>
        <w:rPr>
          <w:sz w:val="20"/>
          <w:szCs w:val="20"/>
          <w:color w:val="auto"/>
        </w:rPr>
      </w:pPr>
      <w:r>
        <w:rPr>
          <w:rFonts w:ascii="Times New Roman" w:cs="Times New Roman" w:eastAsia="Times New Roman" w:hAnsi="Times New Roman"/>
          <w:sz w:val="38"/>
          <w:szCs w:val="38"/>
          <w:b w:val="1"/>
          <w:bCs w:val="1"/>
          <w:color w:val="auto"/>
        </w:rPr>
        <w:t>MANPOWERGROUP INC.</w:t>
      </w:r>
    </w:p>
    <w:p>
      <w:pPr>
        <w:spacing w:after="0" w:line="45"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97" w:lineRule="exact"/>
        <w:rPr>
          <w:sz w:val="24"/>
          <w:szCs w:val="24"/>
          <w:color w:val="auto"/>
        </w:rPr>
      </w:pPr>
    </w:p>
    <w:tbl>
      <w:tblPr>
        <w:tblLayout w:type="fixed"/>
        <w:tblInd w:w="20" w:type="dxa"/>
        <w:tblCellMar>
          <w:top w:w="0" w:type="dxa"/>
          <w:left w:w="0" w:type="dxa"/>
          <w:bottom w:w="0" w:type="dxa"/>
          <w:right w:w="0" w:type="dxa"/>
        </w:tblCellMar>
      </w:tblPr>
      <w:tr>
        <w:trPr>
          <w:trHeight w:val="208"/>
        </w:trPr>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Wisconsin</w:t>
            </w:r>
          </w:p>
        </w:tc>
        <w:tc>
          <w:tcPr>
            <w:tcW w:w="2020" w:type="dxa"/>
            <w:vAlign w:val="bottom"/>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1-10686</w:t>
            </w:r>
          </w:p>
        </w:tc>
        <w:tc>
          <w:tcPr>
            <w:tcW w:w="2500" w:type="dxa"/>
            <w:vAlign w:val="bottom"/>
          </w:tcPr>
          <w:p>
            <w:pPr>
              <w:jc w:val="right"/>
              <w:ind w:right="801"/>
              <w:spacing w:after="0"/>
              <w:rPr>
                <w:sz w:val="20"/>
                <w:szCs w:val="20"/>
                <w:color w:val="auto"/>
              </w:rPr>
            </w:pPr>
            <w:r>
              <w:rPr>
                <w:rFonts w:ascii="Times New Roman" w:cs="Times New Roman" w:eastAsia="Times New Roman" w:hAnsi="Times New Roman"/>
                <w:sz w:val="16"/>
                <w:szCs w:val="16"/>
                <w:b w:val="1"/>
                <w:bCs w:val="1"/>
                <w:color w:val="auto"/>
              </w:rPr>
              <w:t>39-1672779</w:t>
            </w:r>
          </w:p>
        </w:tc>
      </w:tr>
      <w:tr>
        <w:trPr>
          <w:trHeight w:val="26"/>
        </w:trPr>
        <w:tc>
          <w:tcPr>
            <w:tcW w:w="3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13"/>
        </w:trPr>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(State or other jurisdiction of incorporation)</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(Commission File Number)</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(IRS Employer Identification No.)</w:t>
            </w:r>
          </w:p>
        </w:tc>
      </w:tr>
      <w:tr>
        <w:trPr>
          <w:trHeight w:val="496"/>
        </w:trPr>
        <w:tc>
          <w:tcPr>
            <w:tcW w:w="5220" w:type="dxa"/>
            <w:vAlign w:val="bottom"/>
            <w:gridSpan w:val="2"/>
          </w:tcPr>
          <w:p>
            <w:pPr>
              <w:jc w:val="center"/>
              <w:ind w:left="661"/>
              <w:spacing w:after="0"/>
              <w:rPr>
                <w:sz w:val="20"/>
                <w:szCs w:val="20"/>
                <w:color w:val="auto"/>
              </w:rPr>
            </w:pPr>
            <w:r>
              <w:rPr>
                <w:rFonts w:ascii="Times New Roman" w:cs="Times New Roman" w:eastAsia="Times New Roman" w:hAnsi="Times New Roman"/>
                <w:sz w:val="16"/>
                <w:szCs w:val="16"/>
                <w:b w:val="1"/>
                <w:bCs w:val="1"/>
                <w:color w:val="auto"/>
                <w:w w:val="97"/>
              </w:rPr>
              <w:t>100 Manpower Place</w:t>
            </w:r>
          </w:p>
        </w:tc>
        <w:tc>
          <w:tcPr>
            <w:tcW w:w="2500" w:type="dxa"/>
            <w:vAlign w:val="bottom"/>
          </w:tcPr>
          <w:p>
            <w:pPr>
              <w:spacing w:after="0"/>
              <w:rPr>
                <w:sz w:val="24"/>
                <w:szCs w:val="24"/>
                <w:color w:val="auto"/>
              </w:rPr>
            </w:pPr>
          </w:p>
        </w:tc>
      </w:tr>
      <w:tr>
        <w:trPr>
          <w:trHeight w:val="236"/>
        </w:trPr>
        <w:tc>
          <w:tcPr>
            <w:tcW w:w="5220" w:type="dxa"/>
            <w:vAlign w:val="bottom"/>
            <w:gridSpan w:val="2"/>
          </w:tcPr>
          <w:p>
            <w:pPr>
              <w:jc w:val="center"/>
              <w:ind w:left="661"/>
              <w:spacing w:after="0"/>
              <w:rPr>
                <w:sz w:val="20"/>
                <w:szCs w:val="20"/>
                <w:color w:val="auto"/>
              </w:rPr>
            </w:pPr>
            <w:r>
              <w:rPr>
                <w:rFonts w:ascii="Times New Roman" w:cs="Times New Roman" w:eastAsia="Times New Roman" w:hAnsi="Times New Roman"/>
                <w:sz w:val="16"/>
                <w:szCs w:val="16"/>
                <w:b w:val="1"/>
                <w:bCs w:val="1"/>
                <w:color w:val="auto"/>
                <w:w w:val="98"/>
              </w:rPr>
              <w:t>Milwaukee, Wisconsin</w:t>
            </w:r>
          </w:p>
        </w:tc>
        <w:tc>
          <w:tcPr>
            <w:tcW w:w="2500" w:type="dxa"/>
            <w:vAlign w:val="bottom"/>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53212</w:t>
            </w:r>
          </w:p>
        </w:tc>
      </w:tr>
      <w:tr>
        <w:trPr>
          <w:trHeight w:val="26"/>
        </w:trPr>
        <w:tc>
          <w:tcPr>
            <w:tcW w:w="5220" w:type="dxa"/>
            <w:vAlign w:val="bottom"/>
            <w:tcBorders>
              <w:bottom w:val="single" w:sz="8" w:color="auto"/>
            </w:tcBorders>
            <w:gridSpan w:val="2"/>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13"/>
        </w:trPr>
        <w:tc>
          <w:tcPr>
            <w:tcW w:w="5220" w:type="dxa"/>
            <w:vAlign w:val="bottom"/>
            <w:gridSpan w:val="2"/>
          </w:tcPr>
          <w:p>
            <w:pPr>
              <w:jc w:val="center"/>
              <w:ind w:left="661"/>
              <w:spacing w:after="0"/>
              <w:rPr>
                <w:sz w:val="20"/>
                <w:szCs w:val="20"/>
                <w:color w:val="auto"/>
              </w:rPr>
            </w:pPr>
            <w:r>
              <w:rPr>
                <w:rFonts w:ascii="Times New Roman" w:cs="Times New Roman" w:eastAsia="Times New Roman" w:hAnsi="Times New Roman"/>
                <w:sz w:val="16"/>
                <w:szCs w:val="16"/>
                <w:b w:val="1"/>
                <w:bCs w:val="1"/>
                <w:color w:val="auto"/>
                <w:w w:val="98"/>
              </w:rPr>
              <w:t>(Address of principal executive offices)</w:t>
            </w:r>
          </w:p>
        </w:tc>
        <w:tc>
          <w:tcPr>
            <w:tcW w:w="2500" w:type="dxa"/>
            <w:vAlign w:val="bottom"/>
          </w:tcPr>
          <w:p>
            <w:pPr>
              <w:jc w:val="center"/>
              <w:ind w:left="641"/>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136" w:lineRule="exact"/>
        <w:rPr>
          <w:sz w:val="24"/>
          <w:szCs w:val="24"/>
          <w:color w:val="auto"/>
        </w:rPr>
      </w:pPr>
    </w:p>
    <w:p>
      <w:pPr>
        <w:jc w:val="center"/>
        <w:ind w:right="1079"/>
        <w:spacing w:after="0"/>
        <w:rPr>
          <w:sz w:val="20"/>
          <w:szCs w:val="20"/>
          <w:color w:val="auto"/>
        </w:rPr>
      </w:pPr>
      <w:r>
        <w:rPr>
          <w:rFonts w:ascii="Times New Roman" w:cs="Times New Roman" w:eastAsia="Times New Roman" w:hAnsi="Times New Roman"/>
          <w:sz w:val="16"/>
          <w:szCs w:val="16"/>
          <w:color w:val="auto"/>
        </w:rPr>
        <w:t>Registrant's telephone number, including area code: (414) 961-1000</w:t>
      </w:r>
    </w:p>
    <w:p>
      <w:pPr>
        <w:spacing w:after="0" w:line="135" w:lineRule="exact"/>
        <w:rPr>
          <w:sz w:val="24"/>
          <w:szCs w:val="24"/>
          <w:color w:val="auto"/>
        </w:rPr>
      </w:pPr>
    </w:p>
    <w:p>
      <w:pPr>
        <w:jc w:val="center"/>
        <w:ind w:right="107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94" w:lineRule="exact"/>
        <w:rPr>
          <w:sz w:val="24"/>
          <w:szCs w:val="24"/>
          <w:color w:val="auto"/>
        </w:rPr>
      </w:pPr>
    </w:p>
    <w:p>
      <w:pPr>
        <w:ind w:right="1419"/>
        <w:spacing w:after="0" w:line="257"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60" w:hanging="412"/>
        <w:spacing w:after="0"/>
        <w:tabs>
          <w:tab w:leader="none" w:pos="460" w:val="left"/>
        </w:tabs>
        <w:numPr>
          <w:ilvl w:val="0"/>
          <w:numId w:val="1"/>
        </w:numPr>
        <w:rPr>
          <w:rFonts w:ascii="MS PGothic" w:cs="MS PGothic" w:eastAsia="MS PGothic" w:hAnsi="MS PGothic"/>
          <w:sz w:val="38"/>
          <w:szCs w:val="38"/>
          <w:color w:val="auto"/>
          <w:vertAlign w:val="subscript"/>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27" w:lineRule="exact"/>
        <w:rPr>
          <w:rFonts w:ascii="MS PGothic" w:cs="MS PGothic" w:eastAsia="MS PGothic" w:hAnsi="MS PGothic"/>
          <w:sz w:val="38"/>
          <w:szCs w:val="38"/>
          <w:color w:val="auto"/>
          <w:vertAlign w:val="subscript"/>
        </w:rPr>
      </w:pPr>
    </w:p>
    <w:p>
      <w:pPr>
        <w:ind w:left="460" w:hanging="412"/>
        <w:spacing w:after="0"/>
        <w:tabs>
          <w:tab w:leader="none" w:pos="460" w:val="left"/>
        </w:tabs>
        <w:numPr>
          <w:ilvl w:val="0"/>
          <w:numId w:val="1"/>
        </w:numPr>
        <w:rPr>
          <w:rFonts w:ascii="MS PGothic" w:cs="MS PGothic" w:eastAsia="MS PGothic" w:hAnsi="MS PGothic"/>
          <w:sz w:val="38"/>
          <w:szCs w:val="38"/>
          <w:color w:val="auto"/>
          <w:vertAlign w:val="subscript"/>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27" w:lineRule="exact"/>
        <w:rPr>
          <w:rFonts w:ascii="MS PGothic" w:cs="MS PGothic" w:eastAsia="MS PGothic" w:hAnsi="MS PGothic"/>
          <w:sz w:val="38"/>
          <w:szCs w:val="38"/>
          <w:color w:val="auto"/>
          <w:vertAlign w:val="subscript"/>
        </w:rPr>
      </w:pPr>
    </w:p>
    <w:p>
      <w:pPr>
        <w:ind w:left="460" w:hanging="412"/>
        <w:spacing w:after="0"/>
        <w:tabs>
          <w:tab w:leader="none" w:pos="460" w:val="left"/>
        </w:tabs>
        <w:numPr>
          <w:ilvl w:val="0"/>
          <w:numId w:val="1"/>
        </w:numPr>
        <w:rPr>
          <w:rFonts w:ascii="MS PGothic" w:cs="MS PGothic" w:eastAsia="MS PGothic" w:hAnsi="MS PGothic"/>
          <w:sz w:val="38"/>
          <w:szCs w:val="38"/>
          <w:color w:val="auto"/>
          <w:vertAlign w:val="subscript"/>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01" w:lineRule="exact"/>
        <w:rPr>
          <w:rFonts w:ascii="MS PGothic" w:cs="MS PGothic" w:eastAsia="MS PGothic" w:hAnsi="MS PGothic"/>
          <w:sz w:val="38"/>
          <w:szCs w:val="38"/>
          <w:color w:val="auto"/>
          <w:vertAlign w:val="subscript"/>
        </w:rPr>
      </w:pPr>
    </w:p>
    <w:p>
      <w:pPr>
        <w:ind w:right="2099" w:firstLine="48"/>
        <w:spacing w:after="0" w:line="373" w:lineRule="auto"/>
        <w:tabs>
          <w:tab w:leader="none" w:pos="460" w:val="left"/>
        </w:tabs>
        <w:numPr>
          <w:ilvl w:val="0"/>
          <w:numId w:val="1"/>
        </w:numPr>
        <w:rPr>
          <w:rFonts w:ascii="MS PGothic" w:cs="MS PGothic" w:eastAsia="MS PGothic" w:hAnsi="MS PGothic"/>
          <w:sz w:val="38"/>
          <w:szCs w:val="38"/>
          <w:color w:val="auto"/>
          <w:vertAlign w:val="subscript"/>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152"/>
        </w:trPr>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240" w:type="dxa"/>
            <w:vAlign w:val="bottom"/>
            <w:vMerge w:val="restart"/>
          </w:tcPr>
          <w:p>
            <w:pPr>
              <w:spacing w:after="0"/>
              <w:rPr>
                <w:sz w:val="13"/>
                <w:szCs w:val="13"/>
                <w:color w:val="auto"/>
              </w:rPr>
            </w:pPr>
          </w:p>
        </w:tc>
        <w:tc>
          <w:tcPr>
            <w:tcW w:w="3180" w:type="dxa"/>
            <w:vAlign w:val="bottom"/>
            <w:gridSpan w:val="2"/>
          </w:tcPr>
          <w:p>
            <w:pPr>
              <w:jc w:val="center"/>
              <w:ind w:right="1400"/>
              <w:spacing w:after="0"/>
              <w:rPr>
                <w:sz w:val="20"/>
                <w:szCs w:val="20"/>
                <w:color w:val="auto"/>
              </w:rPr>
            </w:pPr>
            <w:r>
              <w:rPr>
                <w:rFonts w:ascii="Times New Roman" w:cs="Times New Roman" w:eastAsia="Times New Roman" w:hAnsi="Times New Roman"/>
                <w:sz w:val="13"/>
                <w:szCs w:val="13"/>
                <w:b w:val="1"/>
                <w:bCs w:val="1"/>
                <w:color w:val="auto"/>
                <w:w w:val="92"/>
              </w:rPr>
              <w:t>Trading</w:t>
            </w:r>
          </w:p>
        </w:tc>
        <w:tc>
          <w:tcPr>
            <w:tcW w:w="2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Name of each exchange</w:t>
            </w:r>
          </w:p>
        </w:tc>
        <w:tc>
          <w:tcPr>
            <w:tcW w:w="0" w:type="dxa"/>
            <w:vAlign w:val="bottom"/>
          </w:tcPr>
          <w:p>
            <w:pPr>
              <w:spacing w:after="0"/>
              <w:rPr>
                <w:sz w:val="1"/>
                <w:szCs w:val="1"/>
                <w:color w:val="auto"/>
              </w:rPr>
            </w:pPr>
          </w:p>
        </w:tc>
      </w:tr>
      <w:tr>
        <w:trPr>
          <w:trHeight w:val="172"/>
        </w:trPr>
        <w:tc>
          <w:tcPr>
            <w:tcW w:w="2140" w:type="dxa"/>
            <w:vAlign w:val="bottom"/>
            <w:tcBorders>
              <w:bottom w:val="single" w:sz="8" w:color="auto"/>
            </w:tcBorders>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138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on which registered</w:t>
            </w:r>
          </w:p>
        </w:tc>
        <w:tc>
          <w:tcPr>
            <w:tcW w:w="0" w:type="dxa"/>
            <w:vAlign w:val="bottom"/>
          </w:tcPr>
          <w:p>
            <w:pPr>
              <w:spacing w:after="0"/>
              <w:rPr>
                <w:sz w:val="1"/>
                <w:szCs w:val="1"/>
                <w:color w:val="auto"/>
              </w:rPr>
            </w:pPr>
          </w:p>
        </w:tc>
      </w:tr>
      <w:tr>
        <w:trPr>
          <w:trHeight w:val="269"/>
        </w:trPr>
        <w:tc>
          <w:tcPr>
            <w:tcW w:w="3380" w:type="dxa"/>
            <w:vAlign w:val="bottom"/>
            <w:gridSpan w:val="2"/>
          </w:tcPr>
          <w:p>
            <w:pPr>
              <w:jc w:val="center"/>
              <w:ind w:right="1240"/>
              <w:spacing w:after="0"/>
              <w:rPr>
                <w:sz w:val="20"/>
                <w:szCs w:val="20"/>
                <w:color w:val="auto"/>
              </w:rPr>
            </w:pPr>
            <w:r>
              <w:rPr>
                <w:rFonts w:ascii="Times New Roman" w:cs="Times New Roman" w:eastAsia="Times New Roman" w:hAnsi="Times New Roman"/>
                <w:sz w:val="16"/>
                <w:szCs w:val="16"/>
                <w:b w:val="1"/>
                <w:bCs w:val="1"/>
                <w:color w:val="auto"/>
                <w:w w:val="98"/>
              </w:rPr>
              <w:t>Common Stock, $.01 par value</w:t>
            </w:r>
          </w:p>
        </w:tc>
        <w:tc>
          <w:tcPr>
            <w:tcW w:w="3180" w:type="dxa"/>
            <w:vAlign w:val="bottom"/>
            <w:gridSpan w:val="2"/>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w w:val="99"/>
              </w:rPr>
              <w:t>MAN</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New York Stock Exchange</w:t>
            </w:r>
          </w:p>
        </w:tc>
        <w:tc>
          <w:tcPr>
            <w:tcW w:w="0" w:type="dxa"/>
            <w:vAlign w:val="bottom"/>
          </w:tcPr>
          <w:p>
            <w:pPr>
              <w:spacing w:after="0"/>
              <w:rPr>
                <w:sz w:val="1"/>
                <w:szCs w:val="1"/>
                <w:color w:val="auto"/>
              </w:rPr>
            </w:pPr>
          </w:p>
        </w:tc>
      </w:tr>
    </w:tbl>
    <w:p>
      <w:pPr>
        <w:spacing w:after="0" w:line="266" w:lineRule="exact"/>
        <w:rPr>
          <w:sz w:val="24"/>
          <w:szCs w:val="24"/>
          <w:color w:val="auto"/>
        </w:rPr>
      </w:pPr>
    </w:p>
    <w:p>
      <w:pPr>
        <w:ind w:right="1319"/>
        <w:spacing w:after="0" w:line="275"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200025</wp:posOffset>
            </wp:positionV>
            <wp:extent cx="539559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95595" cy="29845"/>
                    </a:xfrm>
                    <a:prstGeom prst="rect">
                      <a:avLst/>
                    </a:prstGeom>
                    <a:noFill/>
                  </pic:spPr>
                </pic:pic>
              </a:graphicData>
            </a:graphic>
          </wp:anchor>
        </w:drawing>
      </w:r>
    </w:p>
    <w:p>
      <w:pPr>
        <w:sectPr>
          <w:pgSz w:w="11900" w:h="16838" w:orient="portrait"/>
          <w:cols w:equalWidth="0" w:num="1">
            <w:col w:w="9579"/>
          </w:cols>
          <w:pgMar w:left="880" w:top="333" w:right="1440" w:bottom="1440" w:gutter="0" w:footer="0" w:header="0"/>
        </w:sectPr>
      </w:pPr>
    </w:p>
    <w:bookmarkStart w:id="1" w:name="page2"/>
    <w:bookmarkEnd w:id="1"/>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11" w:lineRule="exact"/>
        <w:rPr>
          <w:sz w:val="20"/>
          <w:szCs w:val="20"/>
          <w:color w:val="auto"/>
        </w:rPr>
      </w:pPr>
    </w:p>
    <w:p>
      <w:pPr>
        <w:jc w:val="both"/>
        <w:ind w:right="1399"/>
        <w:spacing w:after="0" w:line="247" w:lineRule="auto"/>
        <w:rPr>
          <w:sz w:val="20"/>
          <w:szCs w:val="20"/>
          <w:color w:val="auto"/>
        </w:rPr>
      </w:pPr>
      <w:r>
        <w:rPr>
          <w:rFonts w:ascii="Times New Roman" w:cs="Times New Roman" w:eastAsia="Times New Roman" w:hAnsi="Times New Roman"/>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73660</wp:posOffset>
            </wp:positionV>
            <wp:extent cx="539559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5595" cy="29845"/>
                    </a:xfrm>
                    <a:prstGeom prst="rect">
                      <a:avLst/>
                    </a:prstGeom>
                    <a:noFill/>
                  </pic:spPr>
                </pic:pic>
              </a:graphicData>
            </a:graphic>
          </wp:anchor>
        </w:drawing>
      </w:r>
    </w:p>
    <w:p>
      <w:pPr>
        <w:sectPr>
          <w:pgSz w:w="11900" w:h="16838" w:orient="portrait"/>
          <w:cols w:equalWidth="0" w:num="1">
            <w:col w:w="9579"/>
          </w:cols>
          <w:pgMar w:left="880" w:top="477" w:right="1440" w:bottom="1440" w:gutter="0" w:footer="0" w:header="0"/>
        </w:sectPr>
      </w:pPr>
    </w:p>
    <w:bookmarkStart w:id="2" w:name="page3"/>
    <w:bookmarkEnd w:id="2"/>
    <w:p>
      <w:pPr>
        <w:spacing w:after="0"/>
        <w:tabs>
          <w:tab w:leader="none" w:pos="980" w:val="left"/>
        </w:tabs>
        <w:rPr>
          <w:sz w:val="20"/>
          <w:szCs w:val="20"/>
          <w:color w:val="auto"/>
        </w:rPr>
      </w:pPr>
      <w:r>
        <w:rPr>
          <w:rFonts w:ascii="Times New Roman" w:cs="Times New Roman" w:eastAsia="Times New Roman" w:hAnsi="Times New Roman"/>
          <w:sz w:val="16"/>
          <w:szCs w:val="16"/>
          <w:b w:val="1"/>
          <w:bCs w:val="1"/>
          <w:color w:val="auto"/>
        </w:rPr>
        <w:t>Item 1.01</w:t>
      </w:r>
      <w:r>
        <w:rPr>
          <w:sz w:val="20"/>
          <w:szCs w:val="20"/>
          <w:color w:val="auto"/>
        </w:rPr>
        <w:tab/>
      </w:r>
      <w:r>
        <w:rPr>
          <w:rFonts w:ascii="Times New Roman" w:cs="Times New Roman" w:eastAsia="Times New Roman" w:hAnsi="Times New Roman"/>
          <w:sz w:val="15"/>
          <w:szCs w:val="15"/>
          <w:b w:val="1"/>
          <w:bCs w:val="1"/>
          <w:u w:val="single" w:color="auto"/>
          <w:color w:val="auto"/>
        </w:rPr>
        <w:t>Entry into a Material Definitive Agreement</w:t>
      </w:r>
    </w:p>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disclosure contained in Item 2.03 hereof is incorporated by reference into this Item 1.01.</w:t>
      </w:r>
    </w:p>
    <w:p>
      <w:pPr>
        <w:spacing w:after="0" w:line="286" w:lineRule="exact"/>
        <w:rPr>
          <w:sz w:val="20"/>
          <w:szCs w:val="20"/>
          <w:color w:val="auto"/>
        </w:rPr>
      </w:pPr>
    </w:p>
    <w:p>
      <w:pPr>
        <w:ind w:left="1000" w:right="1539" w:hanging="996"/>
        <w:spacing w:after="0" w:line="277" w:lineRule="auto"/>
        <w:tabs>
          <w:tab w:leader="none" w:pos="980" w:val="left"/>
        </w:tabs>
        <w:rPr>
          <w:sz w:val="20"/>
          <w:szCs w:val="20"/>
          <w:color w:val="auto"/>
        </w:rPr>
      </w:pPr>
      <w:r>
        <w:rPr>
          <w:rFonts w:ascii="Times New Roman" w:cs="Times New Roman" w:eastAsia="Times New Roman" w:hAnsi="Times New Roman"/>
          <w:sz w:val="16"/>
          <w:szCs w:val="16"/>
          <w:b w:val="1"/>
          <w:bCs w:val="1"/>
          <w:color w:val="auto"/>
        </w:rPr>
        <w:t>Item 2.03</w:t>
      </w:r>
      <w:r>
        <w:rPr>
          <w:sz w:val="20"/>
          <w:szCs w:val="20"/>
          <w:color w:val="auto"/>
        </w:rPr>
        <w:tab/>
      </w:r>
      <w:r>
        <w:rPr>
          <w:rFonts w:ascii="Times New Roman" w:cs="Times New Roman" w:eastAsia="Times New Roman" w:hAnsi="Times New Roman"/>
          <w:sz w:val="16"/>
          <w:szCs w:val="16"/>
          <w:b w:val="1"/>
          <w:bCs w:val="1"/>
          <w:u w:val="single" w:color="auto"/>
          <w:color w:val="auto"/>
        </w:rPr>
        <w:t>Creation of a Direct Financial Obligation or an Obligation under an Off-Balance Sheet Arrangement of a Registrant</w:t>
      </w:r>
    </w:p>
    <w:p>
      <w:pPr>
        <w:spacing w:after="0" w:line="144" w:lineRule="exact"/>
        <w:rPr>
          <w:sz w:val="20"/>
          <w:szCs w:val="20"/>
          <w:color w:val="auto"/>
        </w:rPr>
      </w:pPr>
    </w:p>
    <w:p>
      <w:pPr>
        <w:ind w:right="1179" w:firstLine="566"/>
        <w:spacing w:after="0" w:line="253" w:lineRule="auto"/>
        <w:rPr>
          <w:sz w:val="20"/>
          <w:szCs w:val="20"/>
          <w:color w:val="auto"/>
        </w:rPr>
      </w:pPr>
      <w:r>
        <w:rPr>
          <w:rFonts w:ascii="Times New Roman" w:cs="Times New Roman" w:eastAsia="Times New Roman" w:hAnsi="Times New Roman"/>
          <w:sz w:val="16"/>
          <w:szCs w:val="16"/>
          <w:color w:val="auto"/>
        </w:rPr>
        <w:t>On June 30, 2022, ManpowerGroup Inc. (the “Company”) offered and sold €400 million aggregate principal amount of the Company’s 3.500% notes due June 30, 2027 (the “Notes”). The net proceeds to the Company from the offering of the Notes were approximately €396.42 million, and will be used by the Company (i) to repay its €400 million 1.875% notes due September 11, 2022, and (ii) for general corporate purposes, which may include share repurchases and the acquisition of or investment in complementary businesses or other assets.</w:t>
      </w:r>
    </w:p>
    <w:p>
      <w:pPr>
        <w:spacing w:after="0" w:line="163" w:lineRule="exact"/>
        <w:rPr>
          <w:sz w:val="20"/>
          <w:szCs w:val="20"/>
          <w:color w:val="auto"/>
        </w:rPr>
      </w:pPr>
    </w:p>
    <w:p>
      <w:pPr>
        <w:ind w:right="1139" w:firstLine="566"/>
        <w:spacing w:after="0" w:line="253" w:lineRule="auto"/>
        <w:rPr>
          <w:sz w:val="20"/>
          <w:szCs w:val="20"/>
          <w:color w:val="auto"/>
        </w:rPr>
      </w:pPr>
      <w:r>
        <w:rPr>
          <w:rFonts w:ascii="Times New Roman" w:cs="Times New Roman" w:eastAsia="Times New Roman" w:hAnsi="Times New Roman"/>
          <w:sz w:val="16"/>
          <w:szCs w:val="16"/>
          <w:color w:val="auto"/>
        </w:rPr>
        <w:t>The Notes were offered at an issue price of 99.465% of the aggregate principal amount. Interest on the Notes is payable in arrears on June 30th of each year. The Notes are the unsecured senior obligations of the Company and will rank equally with all of the Company’s existing and future senior unsecured debt and other liabilities. The Notes were issued under a Fiscal and Paying Agency Agreement (the “Agreement”) between the Company and Citibank, N.A., London Branch, as Fiscal and Principal Paying Agent, Transfer Agent and Registrar, dated as of June 30, 2022.</w:t>
      </w:r>
    </w:p>
    <w:p>
      <w:pPr>
        <w:spacing w:after="0" w:line="163" w:lineRule="exact"/>
        <w:rPr>
          <w:sz w:val="20"/>
          <w:szCs w:val="20"/>
          <w:color w:val="auto"/>
        </w:rPr>
      </w:pPr>
    </w:p>
    <w:p>
      <w:pPr>
        <w:ind w:right="1099" w:firstLine="566"/>
        <w:spacing w:after="0" w:line="250" w:lineRule="auto"/>
        <w:rPr>
          <w:sz w:val="20"/>
          <w:szCs w:val="20"/>
          <w:color w:val="auto"/>
        </w:rPr>
      </w:pPr>
      <w:r>
        <w:rPr>
          <w:rFonts w:ascii="Times New Roman" w:cs="Times New Roman" w:eastAsia="Times New Roman" w:hAnsi="Times New Roman"/>
          <w:sz w:val="16"/>
          <w:szCs w:val="16"/>
          <w:color w:val="auto"/>
        </w:rPr>
        <w:t>The Company may redeem the Notes, in whole or in part, at the Company’s option at any time prior to March 30, 2027 (three months prior to the maturity date of the Notes) at a redemption price equal to the greater of (1) 100% of the principal amount of the Notes, or (2) as determined by the Quotation Agent (as defined in the Notes), the sum of the present values of the remaining scheduled payments of principal and interest thereon (not including any portion of such payments of interest accrued as of the date of redemption) discounted to the redemption date on an annual basis using a discount rate equal to the sum of the average of the two quotations of the average midmarket annual yield to maturity on an Actual/Actual (ICMA) basis of the OBL 0.000% due 16 April 2027 (or if that security is no longer outstanding, a similar security), plus 0.40%, plus in each case, accrued interest thereon to the date of redemption.</w:t>
      </w:r>
    </w:p>
    <w:p>
      <w:pPr>
        <w:spacing w:after="0" w:line="166" w:lineRule="exact"/>
        <w:rPr>
          <w:sz w:val="20"/>
          <w:szCs w:val="20"/>
          <w:color w:val="auto"/>
        </w:rPr>
      </w:pPr>
    </w:p>
    <w:p>
      <w:pPr>
        <w:ind w:right="1079" w:firstLine="566"/>
        <w:spacing w:after="0" w:line="260" w:lineRule="auto"/>
        <w:rPr>
          <w:sz w:val="20"/>
          <w:szCs w:val="20"/>
          <w:color w:val="auto"/>
        </w:rPr>
      </w:pPr>
      <w:r>
        <w:rPr>
          <w:rFonts w:ascii="Times New Roman" w:cs="Times New Roman" w:eastAsia="Times New Roman" w:hAnsi="Times New Roman"/>
          <w:sz w:val="16"/>
          <w:szCs w:val="16"/>
          <w:color w:val="auto"/>
        </w:rPr>
        <w:t>In addition, the Notes will be redeemable at the Company’s option, in whole or in part, at any time on or after March 30, 2027 (three months prior to the maturity date of the Notes) at a redemption price equal to 100% of the principal amount of the Notes to be redeemed, plus accrued and unpaid interest thereon at the date of the redemption.</w:t>
      </w:r>
    </w:p>
    <w:p>
      <w:pPr>
        <w:spacing w:after="0" w:line="157" w:lineRule="exact"/>
        <w:rPr>
          <w:sz w:val="20"/>
          <w:szCs w:val="20"/>
          <w:color w:val="auto"/>
        </w:rPr>
      </w:pPr>
    </w:p>
    <w:p>
      <w:pPr>
        <w:ind w:right="1099" w:firstLine="566"/>
        <w:spacing w:after="0" w:line="260" w:lineRule="auto"/>
        <w:rPr>
          <w:sz w:val="20"/>
          <w:szCs w:val="20"/>
          <w:color w:val="auto"/>
        </w:rPr>
      </w:pPr>
      <w:r>
        <w:rPr>
          <w:rFonts w:ascii="Times New Roman" w:cs="Times New Roman" w:eastAsia="Times New Roman" w:hAnsi="Times New Roman"/>
          <w:sz w:val="16"/>
          <w:szCs w:val="16"/>
          <w:color w:val="auto"/>
        </w:rPr>
        <w:t>The Notes are listed on the Official List of the Irish Stock Exchange plc trading as Euronext Dublin. The Notes have not been registered under the Securities Act of 1933, as amended, and may not be offered or sold in the United States absent registration or an applicable exemption from registration requirements.</w:t>
      </w:r>
    </w:p>
    <w:p>
      <w:pPr>
        <w:spacing w:after="0" w:line="157" w:lineRule="exact"/>
        <w:rPr>
          <w:sz w:val="20"/>
          <w:szCs w:val="20"/>
          <w:color w:val="auto"/>
        </w:rPr>
      </w:pPr>
    </w:p>
    <w:p>
      <w:pPr>
        <w:ind w:right="1159" w:firstLine="566"/>
        <w:spacing w:after="0" w:line="275" w:lineRule="auto"/>
        <w:rPr>
          <w:sz w:val="20"/>
          <w:szCs w:val="20"/>
          <w:color w:val="auto"/>
        </w:rPr>
      </w:pPr>
      <w:r>
        <w:rPr>
          <w:rFonts w:ascii="Times New Roman" w:cs="Times New Roman" w:eastAsia="Times New Roman" w:hAnsi="Times New Roman"/>
          <w:sz w:val="16"/>
          <w:szCs w:val="16"/>
          <w:color w:val="auto"/>
        </w:rPr>
        <w:t>The foregoing description of the Agreement is qualified in its entirety by reference to the agreement filed herewith as exhibit 4.1, which is incorporated by reference into this Item 2.03.</w:t>
      </w:r>
    </w:p>
    <w:p>
      <w:pPr>
        <w:spacing w:after="0" w:line="23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5"/>
          <w:szCs w:val="15"/>
          <w:b w:val="1"/>
          <w:bCs w:val="1"/>
          <w:u w:val="single" w:color="auto"/>
          <w:color w:val="auto"/>
        </w:rPr>
        <w:t>Exhibits</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7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89"/>
        </w:trPr>
        <w:tc>
          <w:tcPr>
            <w:tcW w:w="98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1</w:t>
            </w:r>
          </w:p>
        </w:tc>
        <w:tc>
          <w:tcPr>
            <w:tcW w:w="7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Fiscal and Paying Agency Agreement between the Company and Citibank, N.A., London Branch, as Fiscal</w:t>
            </w:r>
          </w:p>
        </w:tc>
      </w:tr>
      <w:tr>
        <w:trPr>
          <w:trHeight w:val="176"/>
        </w:trPr>
        <w:tc>
          <w:tcPr>
            <w:tcW w:w="2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740" w:type="dxa"/>
            <w:vAlign w:val="bottom"/>
          </w:tcPr>
          <w:p>
            <w:pPr>
              <w:spacing w:after="0"/>
              <w:rPr>
                <w:sz w:val="15"/>
                <w:szCs w:val="15"/>
                <w:color w:val="auto"/>
              </w:rPr>
            </w:pPr>
          </w:p>
        </w:tc>
        <w:tc>
          <w:tcPr>
            <w:tcW w:w="7240" w:type="dxa"/>
            <w:vAlign w:val="bottom"/>
          </w:tcPr>
          <w:p>
            <w:pPr>
              <w:ind w:left="100"/>
              <w:spacing w:after="0" w:line="176" w:lineRule="exact"/>
              <w:rPr>
                <w:sz w:val="20"/>
                <w:szCs w:val="20"/>
                <w:color w:val="auto"/>
              </w:rPr>
            </w:pPr>
            <w:r>
              <w:rPr>
                <w:rFonts w:ascii="Times New Roman" w:cs="Times New Roman" w:eastAsia="Times New Roman" w:hAnsi="Times New Roman"/>
                <w:sz w:val="16"/>
                <w:szCs w:val="16"/>
                <w:color w:val="auto"/>
                <w:w w:val="99"/>
              </w:rPr>
              <w:t>Agent, Principal Paying Agent and Registrar and Transfer Agent, dated as of June 30, 2022 (including the form</w:t>
            </w:r>
          </w:p>
        </w:tc>
      </w:tr>
      <w:tr>
        <w:trPr>
          <w:trHeight w:val="20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 Note attached thereto as Schedule I).</w:t>
            </w:r>
          </w:p>
        </w:tc>
      </w:tr>
    </w:tbl>
    <w:p>
      <w:pPr>
        <w:spacing w:after="0" w:line="219" w:lineRule="exact"/>
        <w:rPr>
          <w:sz w:val="20"/>
          <w:szCs w:val="20"/>
          <w:color w:val="auto"/>
        </w:rPr>
      </w:pPr>
    </w:p>
    <w:p>
      <w:pPr>
        <w:ind w:left="1100" w:hanging="1052"/>
        <w:spacing w:after="0"/>
        <w:tabs>
          <w:tab w:leader="none" w:pos="11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343535</wp:posOffset>
            </wp:positionV>
            <wp:extent cx="539559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5595" cy="29845"/>
                    </a:xfrm>
                    <a:prstGeom prst="rect">
                      <a:avLst/>
                    </a:prstGeom>
                    <a:noFill/>
                  </pic:spPr>
                </pic:pic>
              </a:graphicData>
            </a:graphic>
          </wp:anchor>
        </w:drawing>
      </w:r>
    </w:p>
    <w:p>
      <w:pPr>
        <w:sectPr>
          <w:pgSz w:w="11900" w:h="16838" w:orient="portrait"/>
          <w:cols w:equalWidth="0" w:num="1">
            <w:col w:w="9579"/>
          </w:cols>
          <w:pgMar w:left="880" w:top="593" w:right="1440" w:bottom="1440" w:gutter="0" w:footer="0" w:header="0"/>
        </w:sectPr>
      </w:pPr>
    </w:p>
    <w:bookmarkStart w:id="3" w:name="page4"/>
    <w:bookmarkEnd w:id="3"/>
    <w:p>
      <w:pPr>
        <w:ind w:left="3780"/>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6" w:lineRule="exact"/>
        <w:rPr>
          <w:sz w:val="20"/>
          <w:szCs w:val="20"/>
          <w:color w:val="auto"/>
        </w:rPr>
      </w:pPr>
    </w:p>
    <w:p>
      <w:pPr>
        <w:ind w:right="1279" w:firstLine="566"/>
        <w:spacing w:after="0" w:line="275"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1740" w:type="dxa"/>
            <w:vAlign w:val="bottom"/>
          </w:tcPr>
          <w:p>
            <w:pPr>
              <w:spacing w:after="0"/>
              <w:rPr>
                <w:sz w:val="17"/>
                <w:szCs w:val="17"/>
                <w:color w:val="auto"/>
              </w:rPr>
            </w:pPr>
          </w:p>
        </w:tc>
        <w:tc>
          <w:tcPr>
            <w:tcW w:w="65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MANPOWERGROUP INC.</w:t>
            </w:r>
          </w:p>
        </w:tc>
        <w:tc>
          <w:tcPr>
            <w:tcW w:w="0" w:type="dxa"/>
            <w:vAlign w:val="bottom"/>
          </w:tcPr>
          <w:p>
            <w:pPr>
              <w:spacing w:after="0"/>
              <w:rPr>
                <w:sz w:val="1"/>
                <w:szCs w:val="1"/>
                <w:color w:val="auto"/>
              </w:rPr>
            </w:pPr>
          </w:p>
        </w:tc>
      </w:tr>
      <w:tr>
        <w:trPr>
          <w:trHeight w:val="614"/>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Dated: June 30, 2022</w:t>
            </w:r>
          </w:p>
        </w:tc>
        <w:tc>
          <w:tcPr>
            <w:tcW w:w="1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By:</w:t>
            </w:r>
          </w:p>
        </w:tc>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Richard Buchband</w:t>
            </w:r>
          </w:p>
        </w:tc>
        <w:tc>
          <w:tcPr>
            <w:tcW w:w="0" w:type="dxa"/>
            <w:vAlign w:val="bottom"/>
          </w:tcPr>
          <w:p>
            <w:pPr>
              <w:spacing w:after="0"/>
              <w:rPr>
                <w:sz w:val="1"/>
                <w:szCs w:val="1"/>
                <w:color w:val="auto"/>
              </w:rPr>
            </w:pPr>
          </w:p>
        </w:tc>
      </w:tr>
      <w:tr>
        <w:trPr>
          <w:trHeight w:val="23"/>
        </w:trPr>
        <w:tc>
          <w:tcPr>
            <w:tcW w:w="1740" w:type="dxa"/>
            <w:vAlign w:val="bottom"/>
          </w:tcPr>
          <w:p>
            <w:pPr>
              <w:spacing w:after="0" w:line="20" w:lineRule="exact"/>
              <w:rPr>
                <w:sz w:val="1"/>
                <w:szCs w:val="1"/>
                <w:color w:val="auto"/>
              </w:rPr>
            </w:pPr>
          </w:p>
        </w:tc>
        <w:tc>
          <w:tcPr>
            <w:tcW w:w="110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auto"/>
              </w:rPr>
              <w:t>Name:</w:t>
            </w:r>
          </w:p>
        </w:tc>
        <w:tc>
          <w:tcPr>
            <w:tcW w:w="5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17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5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Richard Buchband</w:t>
            </w:r>
          </w:p>
        </w:tc>
        <w:tc>
          <w:tcPr>
            <w:tcW w:w="0" w:type="dxa"/>
            <w:vAlign w:val="bottom"/>
          </w:tcPr>
          <w:p>
            <w:pPr>
              <w:spacing w:after="0"/>
              <w:rPr>
                <w:sz w:val="1"/>
                <w:szCs w:val="1"/>
                <w:color w:val="auto"/>
              </w:rPr>
            </w:pPr>
          </w:p>
        </w:tc>
      </w:tr>
      <w:tr>
        <w:trPr>
          <w:trHeight w:val="236"/>
        </w:trPr>
        <w:tc>
          <w:tcPr>
            <w:tcW w:w="1740" w:type="dxa"/>
            <w:vAlign w:val="bottom"/>
          </w:tcPr>
          <w:p>
            <w:pPr>
              <w:spacing w:after="0"/>
              <w:rPr>
                <w:sz w:val="20"/>
                <w:szCs w:val="20"/>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Title:</w:t>
            </w:r>
          </w:p>
        </w:tc>
        <w:tc>
          <w:tcPr>
            <w:tcW w:w="5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Senior Vice President, General Counsel and Secretary</w:t>
            </w:r>
          </w:p>
        </w:tc>
        <w:tc>
          <w:tcPr>
            <w:tcW w:w="0" w:type="dxa"/>
            <w:vAlign w:val="bottom"/>
          </w:tcPr>
          <w:p>
            <w:pPr>
              <w:spacing w:after="0"/>
              <w:rPr>
                <w:sz w:val="1"/>
                <w:szCs w:val="1"/>
                <w:color w:val="auto"/>
              </w:rPr>
            </w:pPr>
          </w:p>
        </w:tc>
      </w:tr>
    </w:tbl>
    <w:p>
      <w:pPr>
        <w:sectPr>
          <w:pgSz w:w="11900" w:h="16838" w:orient="portrait"/>
          <w:cols w:equalWidth="0" w:num="1">
            <w:col w:w="9579"/>
          </w:cols>
          <w:pgMar w:left="880" w:top="499"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9"/>
          <w:szCs w:val="19"/>
          <w:b w:val="1"/>
          <w:bCs w:val="1"/>
          <w:color w:val="auto"/>
        </w:rPr>
        <w:t>EXECUTION VERSION</w:t>
      </w:r>
    </w:p>
    <w:p>
      <w:pPr>
        <w:spacing w:after="0" w:line="235" w:lineRule="exact"/>
        <w:rPr>
          <w:sz w:val="20"/>
          <w:szCs w:val="20"/>
          <w:color w:val="auto"/>
        </w:rPr>
      </w:pPr>
    </w:p>
    <w:p>
      <w:pPr>
        <w:jc w:val="right"/>
        <w:ind w:right="1419"/>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5"/>
          <w:szCs w:val="25"/>
          <w:b w:val="1"/>
          <w:bCs w:val="1"/>
          <w:color w:val="auto"/>
        </w:rPr>
        <w:t>FISCAL AND PAYING AGENCY AGREEMENT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200" w:lineRule="exact"/>
        <w:rPr>
          <w:sz w:val="20"/>
          <w:szCs w:val="20"/>
          <w:color w:val="auto"/>
        </w:rPr>
      </w:pPr>
    </w:p>
    <w:p>
      <w:pPr>
        <w:spacing w:after="0" w:line="265" w:lineRule="exact"/>
        <w:rPr>
          <w:sz w:val="20"/>
          <w:szCs w:val="20"/>
          <w:color w:val="auto"/>
        </w:rPr>
      </w:pPr>
    </w:p>
    <w:p>
      <w:pPr>
        <w:jc w:val="center"/>
        <w:ind w:right="1399"/>
        <w:spacing w:after="0"/>
        <w:rPr>
          <w:sz w:val="20"/>
          <w:szCs w:val="20"/>
          <w:color w:val="auto"/>
        </w:rPr>
      </w:pPr>
      <w:r>
        <w:rPr>
          <w:rFonts w:ascii="Times New Roman" w:cs="Times New Roman" w:eastAsia="Times New Roman" w:hAnsi="Times New Roman"/>
          <w:sz w:val="17"/>
          <w:szCs w:val="17"/>
          <w:b w:val="1"/>
          <w:bCs w:val="1"/>
          <w:color w:val="auto"/>
        </w:rPr>
        <w:t>Between</w:t>
      </w:r>
    </w:p>
    <w:p>
      <w:pPr>
        <w:spacing w:after="0" w:line="206" w:lineRule="exact"/>
        <w:rPr>
          <w:sz w:val="20"/>
          <w:szCs w:val="20"/>
          <w:color w:val="auto"/>
        </w:rPr>
      </w:pPr>
    </w:p>
    <w:p>
      <w:pPr>
        <w:jc w:val="center"/>
        <w:ind w:right="1399"/>
        <w:spacing w:after="0"/>
        <w:rPr>
          <w:sz w:val="20"/>
          <w:szCs w:val="20"/>
          <w:color w:val="auto"/>
        </w:rPr>
      </w:pPr>
      <w:r>
        <w:rPr>
          <w:rFonts w:ascii="Times New Roman" w:cs="Times New Roman" w:eastAsia="Times New Roman" w:hAnsi="Times New Roman"/>
          <w:sz w:val="17"/>
          <w:szCs w:val="17"/>
          <w:b w:val="1"/>
          <w:bCs w:val="1"/>
          <w:color w:val="auto"/>
        </w:rPr>
        <w:t>MANPOWERGROUP INC.</w:t>
      </w:r>
    </w:p>
    <w:p>
      <w:pPr>
        <w:spacing w:after="0" w:line="206" w:lineRule="exact"/>
        <w:rPr>
          <w:sz w:val="20"/>
          <w:szCs w:val="20"/>
          <w:color w:val="auto"/>
        </w:rPr>
      </w:pPr>
    </w:p>
    <w:p>
      <w:pPr>
        <w:jc w:val="center"/>
        <w:ind w:right="1399"/>
        <w:spacing w:after="0"/>
        <w:rPr>
          <w:sz w:val="20"/>
          <w:szCs w:val="20"/>
          <w:color w:val="auto"/>
        </w:rPr>
      </w:pPr>
      <w:r>
        <w:rPr>
          <w:rFonts w:ascii="Times New Roman" w:cs="Times New Roman" w:eastAsia="Times New Roman" w:hAnsi="Times New Roman"/>
          <w:sz w:val="17"/>
          <w:szCs w:val="17"/>
          <w:b w:val="1"/>
          <w:bCs w:val="1"/>
          <w:color w:val="auto"/>
        </w:rPr>
        <w:t>and</w:t>
      </w:r>
    </w:p>
    <w:p>
      <w:pPr>
        <w:spacing w:after="0" w:line="206" w:lineRule="exact"/>
        <w:rPr>
          <w:sz w:val="20"/>
          <w:szCs w:val="20"/>
          <w:color w:val="auto"/>
        </w:rPr>
      </w:pPr>
    </w:p>
    <w:p>
      <w:pPr>
        <w:jc w:val="center"/>
        <w:ind w:right="1399"/>
        <w:spacing w:after="0"/>
        <w:rPr>
          <w:sz w:val="20"/>
          <w:szCs w:val="20"/>
          <w:color w:val="auto"/>
        </w:rPr>
      </w:pPr>
      <w:r>
        <w:rPr>
          <w:rFonts w:ascii="Times New Roman" w:cs="Times New Roman" w:eastAsia="Times New Roman" w:hAnsi="Times New Roman"/>
          <w:sz w:val="17"/>
          <w:szCs w:val="17"/>
          <w:b w:val="1"/>
          <w:bCs w:val="1"/>
          <w:color w:val="auto"/>
        </w:rPr>
        <w:t>CITIBANK, N.A., LONDON BRANCH</w:t>
      </w:r>
    </w:p>
    <w:p>
      <w:pPr>
        <w:spacing w:after="0" w:line="27" w:lineRule="exact"/>
        <w:rPr>
          <w:sz w:val="20"/>
          <w:szCs w:val="20"/>
          <w:color w:val="auto"/>
        </w:rPr>
      </w:pPr>
    </w:p>
    <w:p>
      <w:pPr>
        <w:jc w:val="center"/>
        <w:ind w:right="1399"/>
        <w:spacing w:after="0"/>
        <w:rPr>
          <w:sz w:val="20"/>
          <w:szCs w:val="20"/>
          <w:color w:val="auto"/>
        </w:rPr>
      </w:pPr>
      <w:r>
        <w:rPr>
          <w:rFonts w:ascii="Times New Roman" w:cs="Times New Roman" w:eastAsia="Times New Roman" w:hAnsi="Times New Roman"/>
          <w:sz w:val="17"/>
          <w:szCs w:val="17"/>
          <w:b w:val="1"/>
          <w:bCs w:val="1"/>
          <w:color w:val="auto"/>
        </w:rPr>
        <w:t>as Fiscal Agent, Principal Paying Agent,</w:t>
      </w:r>
    </w:p>
    <w:p>
      <w:pPr>
        <w:spacing w:after="0" w:line="5" w:lineRule="exact"/>
        <w:rPr>
          <w:sz w:val="20"/>
          <w:szCs w:val="20"/>
          <w:color w:val="auto"/>
        </w:rPr>
      </w:pPr>
    </w:p>
    <w:p>
      <w:pPr>
        <w:jc w:val="center"/>
        <w:ind w:right="1399"/>
        <w:spacing w:after="0"/>
        <w:rPr>
          <w:sz w:val="20"/>
          <w:szCs w:val="20"/>
          <w:color w:val="auto"/>
        </w:rPr>
      </w:pPr>
      <w:r>
        <w:rPr>
          <w:rFonts w:ascii="Times New Roman" w:cs="Times New Roman" w:eastAsia="Times New Roman" w:hAnsi="Times New Roman"/>
          <w:sz w:val="17"/>
          <w:szCs w:val="17"/>
          <w:b w:val="1"/>
          <w:bCs w:val="1"/>
          <w:color w:val="auto"/>
        </w:rPr>
        <w:t>Registrar and Transfer Agent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Picture 1</w:t>
      </w:r>
    </w:p>
    <w:p>
      <w:pPr>
        <w:spacing w:after="0" w:line="19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3"/>
          <w:szCs w:val="13"/>
          <w:b w:val="1"/>
          <w:bCs w:val="1"/>
          <w:color w:val="auto"/>
        </w:rPr>
        <w:t>Allen &amp; Overy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497649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59"/>
          </w:cols>
          <w:pgMar w:left="1200" w:top="111"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60" w:type="dxa"/>
            <w:vAlign w:val="bottom"/>
          </w:tcPr>
          <w:p>
            <w:pPr>
              <w:ind w:left="2920"/>
              <w:spacing w:after="0"/>
              <w:rPr>
                <w:sz w:val="20"/>
                <w:szCs w:val="20"/>
                <w:color w:val="auto"/>
              </w:rPr>
            </w:pPr>
            <w:r>
              <w:rPr>
                <w:rFonts w:ascii="Times New Roman" w:cs="Times New Roman" w:eastAsia="Times New Roman" w:hAnsi="Times New Roman"/>
                <w:sz w:val="17"/>
                <w:szCs w:val="17"/>
                <w:b w:val="1"/>
                <w:bCs w:val="1"/>
                <w:color w:val="auto"/>
              </w:rPr>
              <w:t>CONTENTS</w:t>
            </w:r>
          </w:p>
        </w:tc>
        <w:tc>
          <w:tcPr>
            <w:tcW w:w="1240" w:type="dxa"/>
            <w:vAlign w:val="bottom"/>
          </w:tcPr>
          <w:p>
            <w:pPr>
              <w:spacing w:after="0"/>
              <w:rPr>
                <w:sz w:val="19"/>
                <w:szCs w:val="19"/>
                <w:color w:val="auto"/>
              </w:rPr>
            </w:pPr>
          </w:p>
        </w:tc>
      </w:tr>
      <w:tr>
        <w:trPr>
          <w:trHeight w:val="389"/>
        </w:trPr>
        <w:tc>
          <w:tcPr>
            <w:tcW w:w="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Clause</w:t>
            </w:r>
          </w:p>
        </w:tc>
        <w:tc>
          <w:tcPr>
            <w:tcW w:w="6060" w:type="dxa"/>
            <w:vAlign w:val="bottom"/>
          </w:tcPr>
          <w:p>
            <w:pPr>
              <w:spacing w:after="0"/>
              <w:rPr>
                <w:sz w:val="24"/>
                <w:szCs w:val="24"/>
                <w:color w:val="auto"/>
              </w:rPr>
            </w:pPr>
          </w:p>
        </w:tc>
        <w:tc>
          <w:tcPr>
            <w:tcW w:w="124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37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w:t>
            </w:r>
          </w:p>
        </w:tc>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General</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2.</w:t>
            </w:r>
          </w:p>
        </w:tc>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Appointment of the Fiscal Agent, Registrar, Transfer Agent and Paying Agent</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3.</w:t>
            </w:r>
          </w:p>
        </w:tc>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Amount; Additional Notes; Execution</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4.</w:t>
            </w:r>
          </w:p>
        </w:tc>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Authorized Representatives</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5.</w:t>
            </w:r>
          </w:p>
        </w:tc>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Form of the Notes</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6.</w:t>
            </w:r>
          </w:p>
        </w:tc>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Book-Entry Provisions</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7.</w:t>
            </w:r>
          </w:p>
        </w:tc>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Transfer and Exchange</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8.</w:t>
            </w:r>
          </w:p>
        </w:tc>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Definitive Notes</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4</w:t>
            </w:r>
          </w:p>
        </w:tc>
      </w:tr>
      <w:tr>
        <w:trPr>
          <w:trHeight w:val="21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9.</w:t>
            </w:r>
          </w:p>
        </w:tc>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Reliance on Instructions</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5</w:t>
            </w:r>
          </w:p>
        </w:tc>
      </w:tr>
      <w:tr>
        <w:trPr>
          <w:trHeight w:val="21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10.</w:t>
            </w:r>
          </w:p>
        </w:tc>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Company's Representations and Warranties</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5</w:t>
            </w:r>
          </w:p>
        </w:tc>
      </w:tr>
      <w:tr>
        <w:trPr>
          <w:trHeight w:val="21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11.</w:t>
            </w:r>
          </w:p>
        </w:tc>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Payment of Note Principal and Interest; Interest Payment Dates; Record Dates</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5</w:t>
            </w:r>
          </w:p>
        </w:tc>
      </w:tr>
      <w:tr>
        <w:trPr>
          <w:trHeight w:val="21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12.</w:t>
            </w:r>
          </w:p>
        </w:tc>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Duties of the Fiscal Agent</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9</w:t>
            </w:r>
          </w:p>
        </w:tc>
      </w:tr>
      <w:tr>
        <w:trPr>
          <w:trHeight w:val="21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13.</w:t>
            </w:r>
          </w:p>
        </w:tc>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Liability</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9</w:t>
            </w:r>
          </w:p>
        </w:tc>
      </w:tr>
      <w:tr>
        <w:trPr>
          <w:trHeight w:val="21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14.</w:t>
            </w:r>
          </w:p>
        </w:tc>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Indemnification by Company</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10</w:t>
            </w:r>
          </w:p>
        </w:tc>
      </w:tr>
      <w:tr>
        <w:trPr>
          <w:trHeight w:val="21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15.</w:t>
            </w:r>
          </w:p>
        </w:tc>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Indemnification by the Agents</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10</w:t>
            </w:r>
          </w:p>
        </w:tc>
      </w:tr>
      <w:tr>
        <w:trPr>
          <w:trHeight w:val="21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16.</w:t>
            </w:r>
          </w:p>
        </w:tc>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Compensation of the Agents</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10</w:t>
            </w:r>
          </w:p>
        </w:tc>
      </w:tr>
      <w:tr>
        <w:trPr>
          <w:trHeight w:val="21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17.</w:t>
            </w:r>
          </w:p>
        </w:tc>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Meetings of the Noteholders</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11</w:t>
            </w:r>
          </w:p>
        </w:tc>
      </w:tr>
      <w:tr>
        <w:trPr>
          <w:trHeight w:val="21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18.</w:t>
            </w:r>
          </w:p>
        </w:tc>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Notices</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11</w:t>
            </w:r>
          </w:p>
        </w:tc>
      </w:tr>
      <w:tr>
        <w:trPr>
          <w:trHeight w:val="21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19.</w:t>
            </w:r>
          </w:p>
        </w:tc>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Resignation or Removal of the Agents</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12</w:t>
            </w:r>
          </w:p>
        </w:tc>
      </w:tr>
      <w:tr>
        <w:trPr>
          <w:trHeight w:val="21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20.</w:t>
            </w:r>
          </w:p>
        </w:tc>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Benefit of Agreement</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12</w:t>
            </w:r>
          </w:p>
        </w:tc>
      </w:tr>
      <w:tr>
        <w:trPr>
          <w:trHeight w:val="21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21.</w:t>
            </w:r>
          </w:p>
        </w:tc>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Notes held by a Paying Agent</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12</w:t>
            </w:r>
          </w:p>
        </w:tc>
      </w:tr>
      <w:tr>
        <w:trPr>
          <w:trHeight w:val="21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22.</w:t>
            </w:r>
          </w:p>
        </w:tc>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Change of Control</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12</w:t>
            </w:r>
          </w:p>
        </w:tc>
      </w:tr>
      <w:tr>
        <w:trPr>
          <w:trHeight w:val="21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23.</w:t>
            </w:r>
          </w:p>
        </w:tc>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Counterparts</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15</w:t>
            </w:r>
          </w:p>
        </w:tc>
      </w:tr>
      <w:tr>
        <w:trPr>
          <w:trHeight w:val="21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24.</w:t>
            </w:r>
          </w:p>
        </w:tc>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Governing Law</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15</w:t>
            </w:r>
          </w:p>
        </w:tc>
      </w:tr>
      <w:tr>
        <w:trPr>
          <w:trHeight w:val="21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25.</w:t>
            </w:r>
          </w:p>
        </w:tc>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Submission to New York Jurisdiction</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16</w:t>
            </w:r>
          </w:p>
        </w:tc>
      </w:tr>
      <w:tr>
        <w:trPr>
          <w:trHeight w:val="22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26.</w:t>
            </w:r>
          </w:p>
        </w:tc>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Modification of Agreement and Notes</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17</w:t>
            </w:r>
          </w:p>
        </w:tc>
      </w:tr>
      <w:tr>
        <w:trPr>
          <w:trHeight w:val="401"/>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Schedule</w:t>
            </w:r>
          </w:p>
        </w:tc>
        <w:tc>
          <w:tcPr>
            <w:tcW w:w="1240" w:type="dxa"/>
            <w:vAlign w:val="bottom"/>
          </w:tcPr>
          <w:p>
            <w:pPr>
              <w:spacing w:after="0"/>
              <w:rPr>
                <w:sz w:val="24"/>
                <w:szCs w:val="24"/>
                <w:color w:val="auto"/>
              </w:rPr>
            </w:pPr>
          </w:p>
        </w:tc>
      </w:tr>
      <w:tr>
        <w:trPr>
          <w:trHeight w:val="37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w:t>
            </w:r>
          </w:p>
        </w:tc>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Form of Note</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19</w:t>
            </w:r>
          </w:p>
        </w:tc>
      </w:tr>
      <w:tr>
        <w:trPr>
          <w:trHeight w:val="22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2.</w:t>
            </w:r>
          </w:p>
        </w:tc>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Provisions for Meetings of the Noteholders</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36</w:t>
            </w:r>
          </w:p>
        </w:tc>
      </w:tr>
      <w:tr>
        <w:trPr>
          <w:trHeight w:val="602"/>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Signatories</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w:t>
            </w:r>
          </w:p>
        </w:tc>
      </w:tr>
      <w:tr>
        <w:trPr>
          <w:trHeight w:val="825"/>
        </w:trPr>
        <w:tc>
          <w:tcPr>
            <w:tcW w:w="540" w:type="dxa"/>
            <w:vAlign w:val="bottom"/>
            <w:tcBorders>
              <w:bottom w:val="single" w:sz="8" w:color="909090"/>
            </w:tcBorders>
          </w:tcPr>
          <w:p>
            <w:pPr>
              <w:spacing w:after="0"/>
              <w:rPr>
                <w:sz w:val="24"/>
                <w:szCs w:val="24"/>
                <w:color w:val="auto"/>
              </w:rPr>
            </w:pPr>
          </w:p>
        </w:tc>
        <w:tc>
          <w:tcPr>
            <w:tcW w:w="6060" w:type="dxa"/>
            <w:vAlign w:val="bottom"/>
            <w:tcBorders>
              <w:bottom w:val="single" w:sz="8" w:color="909090"/>
            </w:tcBorders>
          </w:tcPr>
          <w:p>
            <w:pPr>
              <w:spacing w:after="0"/>
              <w:rPr>
                <w:sz w:val="24"/>
                <w:szCs w:val="24"/>
                <w:color w:val="auto"/>
              </w:rPr>
            </w:pPr>
          </w:p>
        </w:tc>
        <w:tc>
          <w:tcPr>
            <w:tcW w:w="1240" w:type="dxa"/>
            <w:vAlign w:val="bottom"/>
            <w:tcBorders>
              <w:bottom w:val="single" w:sz="8" w:color="909090"/>
            </w:tcBorders>
          </w:tcPr>
          <w:p>
            <w:pPr>
              <w:spacing w:after="0"/>
              <w:rPr>
                <w:sz w:val="24"/>
                <w:szCs w:val="24"/>
                <w:color w:val="auto"/>
              </w:rPr>
            </w:pPr>
          </w:p>
        </w:tc>
      </w:tr>
    </w:tbl>
    <w:p>
      <w:pPr>
        <w:sectPr>
          <w:pgSz w:w="11900" w:h="16838" w:orient="portrait"/>
          <w:cols w:equalWidth="0" w:num="1">
            <w:col w:w="9259"/>
          </w:cols>
          <w:pgMar w:left="1200" w:top="671" w:right="1440" w:bottom="1440" w:gutter="0" w:footer="0" w:header="0"/>
        </w:sectPr>
      </w:pPr>
    </w:p>
    <w:bookmarkStart w:id="6" w:name="page7"/>
    <w:bookmarkEnd w:id="6"/>
    <w:p>
      <w:pPr>
        <w:spacing w:after="0" w:line="4" w:lineRule="exact"/>
        <w:rPr>
          <w:sz w:val="20"/>
          <w:szCs w:val="20"/>
          <w:color w:val="auto"/>
        </w:rPr>
      </w:pPr>
    </w:p>
    <w:p>
      <w:pPr>
        <w:jc w:val="both"/>
        <w:ind w:right="1399"/>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FISCAL AND PAYING AGENCY AGREEMENT </w:t>
      </w:r>
      <w:r>
        <w:rPr>
          <w:rFonts w:ascii="Times New Roman" w:cs="Times New Roman" w:eastAsia="Times New Roman" w:hAnsi="Times New Roman"/>
          <w:sz w:val="17"/>
          <w:szCs w:val="17"/>
          <w:color w:val="auto"/>
        </w:rPr>
        <w:t>dated as of June 30, 2022 (the</w:t>
      </w:r>
      <w:r>
        <w:rPr>
          <w:rFonts w:ascii="Times New Roman" w:cs="Times New Roman" w:eastAsia="Times New Roman" w:hAnsi="Times New Roman"/>
          <w:sz w:val="17"/>
          <w:szCs w:val="17"/>
          <w:b w:val="1"/>
          <w:bCs w:val="1"/>
          <w:color w:val="auto"/>
        </w:rPr>
        <w:t xml:space="preserve"> Agreement</w:t>
      </w:r>
      <w:r>
        <w:rPr>
          <w:rFonts w:ascii="Times New Roman" w:cs="Times New Roman" w:eastAsia="Times New Roman" w:hAnsi="Times New Roman"/>
          <w:sz w:val="17"/>
          <w:szCs w:val="17"/>
          <w:color w:val="auto"/>
        </w:rPr>
        <w:t>) among</w:t>
      </w:r>
      <w:r>
        <w:rPr>
          <w:rFonts w:ascii="Times New Roman" w:cs="Times New Roman" w:eastAsia="Times New Roman" w:hAnsi="Times New Roman"/>
          <w:sz w:val="17"/>
          <w:szCs w:val="17"/>
          <w:b w:val="1"/>
          <w:bCs w:val="1"/>
          <w:color w:val="auto"/>
        </w:rPr>
        <w:t xml:space="preserve"> MANPOWERGROUP INC.</w:t>
      </w:r>
      <w:r>
        <w:rPr>
          <w:rFonts w:ascii="Times New Roman" w:cs="Times New Roman" w:eastAsia="Times New Roman" w:hAnsi="Times New Roman"/>
          <w:sz w:val="17"/>
          <w:szCs w:val="17"/>
          <w:color w:val="auto"/>
        </w:rPr>
        <w:t>, a corporation organized under the laws of the State of Wisconsin (the</w:t>
      </w:r>
      <w:r>
        <w:rPr>
          <w:rFonts w:ascii="Times New Roman" w:cs="Times New Roman" w:eastAsia="Times New Roman" w:hAnsi="Times New Roman"/>
          <w:sz w:val="17"/>
          <w:szCs w:val="17"/>
          <w:b w:val="1"/>
          <w:bCs w:val="1"/>
          <w:color w:val="auto"/>
        </w:rPr>
        <w:t xml:space="preserv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b w:val="1"/>
          <w:bCs w:val="1"/>
          <w:color w:val="auto"/>
        </w:rPr>
        <w:t>CITIBANK, N.A., LONDON BRANCH</w:t>
      </w:r>
      <w:r>
        <w:rPr>
          <w:rFonts w:ascii="Times New Roman" w:cs="Times New Roman" w:eastAsia="Times New Roman" w:hAnsi="Times New Roman"/>
          <w:sz w:val="17"/>
          <w:szCs w:val="17"/>
          <w:color w:val="auto"/>
        </w:rPr>
        <w:t xml:space="preserve">, acting through its office at Citigroup Centre, 25 Canada Square, Canary Wharf, London E14 5LB, United Kingdom, as fiscal and principal paying agent, (Citibank, N.A., London Branch or any successor or additional person acting as fiscal or principal paying agent, as applicable, appointed hereunder being called the </w:t>
      </w:r>
      <w:r>
        <w:rPr>
          <w:rFonts w:ascii="Times New Roman" w:cs="Times New Roman" w:eastAsia="Times New Roman" w:hAnsi="Times New Roman"/>
          <w:sz w:val="17"/>
          <w:szCs w:val="17"/>
          <w:b w:val="1"/>
          <w:bCs w:val="1"/>
          <w:color w:val="auto"/>
        </w:rPr>
        <w:t>Fiscal Agent</w:t>
      </w:r>
      <w:r>
        <w:rPr>
          <w:rFonts w:ascii="Times New Roman" w:cs="Times New Roman" w:eastAsia="Times New Roman" w:hAnsi="Times New Roman"/>
          <w:sz w:val="17"/>
          <w:szCs w:val="17"/>
          <w:color w:val="auto"/>
        </w:rPr>
        <w:t xml:space="preserve"> and the </w:t>
      </w:r>
      <w:r>
        <w:rPr>
          <w:rFonts w:ascii="Times New Roman" w:cs="Times New Roman" w:eastAsia="Times New Roman" w:hAnsi="Times New Roman"/>
          <w:sz w:val="17"/>
          <w:szCs w:val="17"/>
          <w:b w:val="1"/>
          <w:bCs w:val="1"/>
          <w:color w:val="auto"/>
        </w:rPr>
        <w:t>Paying Agent</w:t>
      </w:r>
      <w:r>
        <w:rPr>
          <w:rFonts w:ascii="Times New Roman" w:cs="Times New Roman" w:eastAsia="Times New Roman" w:hAnsi="Times New Roman"/>
          <w:sz w:val="17"/>
          <w:szCs w:val="17"/>
          <w:color w:val="auto"/>
        </w:rPr>
        <w:t>, respectively).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WITNESSETH</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ind w:left="580" w:hanging="573"/>
        <w:spacing w:after="0"/>
        <w:tabs>
          <w:tab w:leader="none" w:pos="58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GENERAL</w:t>
      </w:r>
    </w:p>
    <w:p>
      <w:pPr>
        <w:spacing w:after="0" w:line="195" w:lineRule="exact"/>
        <w:rPr>
          <w:rFonts w:ascii="Times New Roman" w:cs="Times New Roman" w:eastAsia="Times New Roman" w:hAnsi="Times New Roman"/>
          <w:sz w:val="17"/>
          <w:szCs w:val="17"/>
          <w:b w:val="1"/>
          <w:bCs w:val="1"/>
          <w:color w:val="auto"/>
        </w:rPr>
      </w:pPr>
    </w:p>
    <w:p>
      <w:pPr>
        <w:jc w:val="both"/>
        <w:ind w:left="580" w:right="1399"/>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The Company has authorized the creation and issue of €400,000,000 3.500% notes due 30 June 2027 (the </w:t>
      </w:r>
      <w:r>
        <w:rPr>
          <w:rFonts w:ascii="Times New Roman" w:cs="Times New Roman" w:eastAsia="Times New Roman" w:hAnsi="Times New Roman"/>
          <w:sz w:val="17"/>
          <w:szCs w:val="17"/>
          <w:b w:val="1"/>
          <w:bCs w:val="1"/>
          <w:color w:val="auto"/>
        </w:rPr>
        <w:t>Notes</w:t>
      </w:r>
      <w:r>
        <w:rPr>
          <w:rFonts w:ascii="Times New Roman" w:cs="Times New Roman" w:eastAsia="Times New Roman" w:hAnsi="Times New Roman"/>
          <w:sz w:val="17"/>
          <w:szCs w:val="17"/>
          <w:color w:val="auto"/>
        </w:rPr>
        <w:t>). The Notes will be senior to all of the Company's unsecured subordinated indebtedness, effectively junior to all of the Company's secured indebtedness to the extent of the value of the collateral, and effectively junior to all indebtedness and other obligations, including trade payables, of all of the Company's Subsidiaries</w:t>
      </w:r>
      <w:r>
        <w:rPr>
          <w:rFonts w:ascii="Arial" w:cs="Arial" w:eastAsia="Arial" w:hAnsi="Arial"/>
          <w:sz w:val="15"/>
          <w:szCs w:val="15"/>
          <w:color w:val="auto"/>
        </w:rPr>
        <w:t>.</w:t>
      </w:r>
    </w:p>
    <w:p>
      <w:pPr>
        <w:spacing w:after="0" w:line="151" w:lineRule="exact"/>
        <w:rPr>
          <w:rFonts w:ascii="Times New Roman" w:cs="Times New Roman" w:eastAsia="Times New Roman" w:hAnsi="Times New Roman"/>
          <w:sz w:val="17"/>
          <w:szCs w:val="17"/>
          <w:b w:val="1"/>
          <w:bCs w:val="1"/>
          <w:color w:val="auto"/>
        </w:rPr>
      </w:pPr>
    </w:p>
    <w:p>
      <w:pPr>
        <w:ind w:left="580" w:right="1399" w:hanging="573"/>
        <w:spacing w:after="0" w:line="286" w:lineRule="auto"/>
        <w:tabs>
          <w:tab w:leader="none" w:pos="58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APPOINTMENT OF THE FISCAL AGENT, REGISTRAR, TRANSFER AGENT AND PAYING AGENT</w:t>
      </w:r>
    </w:p>
    <w:p>
      <w:pPr>
        <w:spacing w:after="0" w:line="126" w:lineRule="exact"/>
        <w:rPr>
          <w:sz w:val="20"/>
          <w:szCs w:val="20"/>
          <w:color w:val="auto"/>
        </w:rPr>
      </w:pPr>
    </w:p>
    <w:p>
      <w:pPr>
        <w:jc w:val="both"/>
        <w:ind w:left="580" w:right="1399" w:hanging="565"/>
        <w:spacing w:after="0" w:line="250" w:lineRule="auto"/>
        <w:tabs>
          <w:tab w:leader="none" w:pos="560" w:val="left"/>
        </w:tabs>
        <w:rPr>
          <w:sz w:val="20"/>
          <w:szCs w:val="20"/>
          <w:color w:val="auto"/>
        </w:rPr>
      </w:pP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7"/>
          <w:szCs w:val="17"/>
          <w:color w:val="auto"/>
        </w:rPr>
        <w:t xml:space="preserve">The Company hereby appoints the Fiscal Agent to act, and the Fiscal Agent hereby accepts such appointment, on the terms and conditions specified herein and in the Notes, as fiscal and principal paying agent for the Notes. The Company shall maintain an office or agency in London where Notes may be presented for registration (the </w:t>
      </w:r>
      <w:r>
        <w:rPr>
          <w:rFonts w:ascii="Times New Roman" w:cs="Times New Roman" w:eastAsia="Times New Roman" w:hAnsi="Times New Roman"/>
          <w:sz w:val="17"/>
          <w:szCs w:val="17"/>
          <w:b w:val="1"/>
          <w:bCs w:val="1"/>
          <w:color w:val="auto"/>
        </w:rPr>
        <w:t>Registrar</w:t>
      </w:r>
      <w:r>
        <w:rPr>
          <w:rFonts w:ascii="Times New Roman" w:cs="Times New Roman" w:eastAsia="Times New Roman" w:hAnsi="Times New Roman"/>
          <w:sz w:val="17"/>
          <w:szCs w:val="17"/>
          <w:color w:val="auto"/>
        </w:rPr>
        <w:t xml:space="preserve">) and an office or agency in London where Notes may be presented for transfer or exchange or for payment (the </w:t>
      </w:r>
      <w:r>
        <w:rPr>
          <w:rFonts w:ascii="Times New Roman" w:cs="Times New Roman" w:eastAsia="Times New Roman" w:hAnsi="Times New Roman"/>
          <w:sz w:val="17"/>
          <w:szCs w:val="17"/>
          <w:b w:val="1"/>
          <w:bCs w:val="1"/>
          <w:color w:val="auto"/>
        </w:rPr>
        <w:t>Transfer Agent</w:t>
      </w:r>
      <w:r>
        <w:rPr>
          <w:rFonts w:ascii="Times New Roman" w:cs="Times New Roman" w:eastAsia="Times New Roman" w:hAnsi="Times New Roman"/>
          <w:sz w:val="17"/>
          <w:szCs w:val="17"/>
          <w:color w:val="auto"/>
        </w:rPr>
        <w:t xml:space="preserve">). The Registrar shall keep a register of the Notes and of their transfer and exchange. The Company may have one or more co-registrars and one or more additional transfer and paying agents. The terms </w:t>
      </w:r>
      <w:r>
        <w:rPr>
          <w:rFonts w:ascii="Times New Roman" w:cs="Times New Roman" w:eastAsia="Times New Roman" w:hAnsi="Times New Roman"/>
          <w:sz w:val="17"/>
          <w:szCs w:val="17"/>
          <w:b w:val="1"/>
          <w:bCs w:val="1"/>
          <w:color w:val="auto"/>
        </w:rPr>
        <w:t>Paying Agents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 xml:space="preserve">Transfer Agent </w:t>
      </w:r>
      <w:r>
        <w:rPr>
          <w:rFonts w:ascii="Times New Roman" w:cs="Times New Roman" w:eastAsia="Times New Roman" w:hAnsi="Times New Roman"/>
          <w:sz w:val="17"/>
          <w:szCs w:val="17"/>
          <w:color w:val="auto"/>
        </w:rPr>
        <w:t>include any additional paying agent or transfer agent, as applicable, and the term</w:t>
      </w:r>
      <w:r>
        <w:rPr>
          <w:rFonts w:ascii="Times New Roman" w:cs="Times New Roman" w:eastAsia="Times New Roman" w:hAnsi="Times New Roman"/>
          <w:sz w:val="17"/>
          <w:szCs w:val="17"/>
          <w:b w:val="1"/>
          <w:bCs w:val="1"/>
          <w:color w:val="auto"/>
        </w:rPr>
        <w:t xml:space="preserve"> Registrar </w:t>
      </w:r>
      <w:r>
        <w:rPr>
          <w:rFonts w:ascii="Times New Roman" w:cs="Times New Roman" w:eastAsia="Times New Roman" w:hAnsi="Times New Roman"/>
          <w:sz w:val="17"/>
          <w:szCs w:val="17"/>
          <w:color w:val="auto"/>
        </w:rPr>
        <w:t>includes any co-registrars. The Company initially appoints Citibank, N.A., London Branch,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who accepts such appointment, as Registrar and Transfer Agent. The Fiscal Agent, the Paying Agents, the Transfer Agent and the Registrar will be referred to collectively as </w:t>
      </w:r>
      <w:r>
        <w:rPr>
          <w:rFonts w:ascii="Times New Roman" w:cs="Times New Roman" w:eastAsia="Times New Roman" w:hAnsi="Times New Roman"/>
          <w:sz w:val="17"/>
          <w:szCs w:val="17"/>
          <w:b w:val="1"/>
          <w:bCs w:val="1"/>
          <w:color w:val="auto"/>
        </w:rPr>
        <w:t>Agents</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jc w:val="both"/>
        <w:ind w:left="580" w:right="1399" w:hanging="565"/>
        <w:spacing w:after="0" w:line="253" w:lineRule="auto"/>
        <w:tabs>
          <w:tab w:leader="none" w:pos="560" w:val="left"/>
        </w:tabs>
        <w:rPr>
          <w:sz w:val="20"/>
          <w:szCs w:val="20"/>
          <w:color w:val="auto"/>
        </w:rPr>
      </w:pPr>
      <w:r>
        <w:rPr>
          <w:rFonts w:ascii="Times New Roman" w:cs="Times New Roman" w:eastAsia="Times New Roman" w:hAnsi="Times New Roman"/>
          <w:sz w:val="17"/>
          <w:szCs w:val="17"/>
          <w:color w:val="auto"/>
        </w:rPr>
        <w:t>2.2</w:t>
      </w:r>
      <w:r>
        <w:rPr>
          <w:sz w:val="20"/>
          <w:szCs w:val="20"/>
          <w:color w:val="auto"/>
        </w:rPr>
        <w:tab/>
      </w:r>
      <w:r>
        <w:rPr>
          <w:rFonts w:ascii="Times New Roman" w:cs="Times New Roman" w:eastAsia="Times New Roman" w:hAnsi="Times New Roman"/>
          <w:sz w:val="17"/>
          <w:szCs w:val="17"/>
          <w:color w:val="auto"/>
        </w:rPr>
        <w:t>The Company shall enter into an appropriate agency agreement with any registrar, transfer agent or paying agent not a party to this Agreement, which shall implement the provisions of this Agreement that relate to such agent. The Company shall notify the Fiscal Agent of the name and address of any such agent. If the Company fails to maintain a Registrar, Transfer Agent or Paying Agent, the Fiscal Agent shall be entitled, but not obliged, to act as such and shall be entitled to appropriate compensation therefor pursuant to Clause 16 hereof.</w:t>
      </w:r>
    </w:p>
    <w:p>
      <w:pPr>
        <w:spacing w:after="0" w:line="156" w:lineRule="exact"/>
        <w:rPr>
          <w:sz w:val="20"/>
          <w:szCs w:val="20"/>
          <w:color w:val="auto"/>
        </w:rPr>
      </w:pPr>
    </w:p>
    <w:p>
      <w:pPr>
        <w:jc w:val="both"/>
        <w:ind w:left="580" w:right="1419" w:hanging="565"/>
        <w:spacing w:after="0" w:line="265" w:lineRule="auto"/>
        <w:tabs>
          <w:tab w:leader="none" w:pos="560" w:val="left"/>
        </w:tabs>
        <w:rPr>
          <w:sz w:val="20"/>
          <w:szCs w:val="20"/>
          <w:color w:val="auto"/>
        </w:rPr>
      </w:pPr>
      <w:r>
        <w:rPr>
          <w:rFonts w:ascii="Times New Roman" w:cs="Times New Roman" w:eastAsia="Times New Roman" w:hAnsi="Times New Roman"/>
          <w:sz w:val="17"/>
          <w:szCs w:val="17"/>
          <w:color w:val="auto"/>
        </w:rPr>
        <w:t>2.3</w:t>
      </w:r>
      <w:r>
        <w:rPr>
          <w:sz w:val="20"/>
          <w:szCs w:val="20"/>
          <w:color w:val="auto"/>
        </w:rPr>
        <w:tab/>
      </w:r>
      <w:r>
        <w:rPr>
          <w:rFonts w:ascii="Times New Roman" w:cs="Times New Roman" w:eastAsia="Times New Roman" w:hAnsi="Times New Roman"/>
          <w:sz w:val="17"/>
          <w:szCs w:val="17"/>
          <w:color w:val="auto"/>
        </w:rPr>
        <w:t>Except as specifically provided in this Agreement, any Registrar, Transfer Agent, Fiscal Agent or Paying Agent will act solely as agents of the Company and will not assume any fiduciary duty, obligation or relationship of agency or trust to or with the holders of the Notes (</w:t>
      </w:r>
      <w:r>
        <w:rPr>
          <w:rFonts w:ascii="Times New Roman" w:cs="Times New Roman" w:eastAsia="Times New Roman" w:hAnsi="Times New Roman"/>
          <w:sz w:val="17"/>
          <w:szCs w:val="17"/>
          <w:b w:val="1"/>
          <w:bCs w:val="1"/>
          <w:color w:val="auto"/>
        </w:rPr>
        <w:t>Noteholders</w:t>
      </w:r>
      <w:r>
        <w:rPr>
          <w:rFonts w:ascii="Times New Roman" w:cs="Times New Roman" w:eastAsia="Times New Roman" w:hAnsi="Times New Roman"/>
          <w:sz w:val="17"/>
          <w:szCs w:val="17"/>
          <w:color w:val="auto"/>
        </w:rPr>
        <w:t>).</w:t>
      </w:r>
    </w:p>
    <w:p>
      <w:pPr>
        <w:spacing w:after="0" w:line="14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7"/>
          <w:szCs w:val="17"/>
          <w:color w:val="auto"/>
        </w:rPr>
        <w:t>The obligations of the Agents under this Agreement shall be several and not joint.</w:t>
      </w:r>
    </w:p>
    <w:p>
      <w:pPr>
        <w:spacing w:after="0" w:line="192" w:lineRule="exact"/>
        <w:rPr>
          <w:sz w:val="20"/>
          <w:szCs w:val="20"/>
          <w:color w:val="auto"/>
        </w:rPr>
      </w:pPr>
    </w:p>
    <w:p>
      <w:pPr>
        <w:ind w:left="580" w:hanging="573"/>
        <w:spacing w:after="0"/>
        <w:tabs>
          <w:tab w:leader="none" w:pos="58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AMOUNT; ADDITIONAL NOTES; EXECUTION</w:t>
      </w:r>
    </w:p>
    <w:p>
      <w:pPr>
        <w:spacing w:after="0" w:line="196" w:lineRule="exact"/>
        <w:rPr>
          <w:sz w:val="20"/>
          <w:szCs w:val="20"/>
          <w:color w:val="auto"/>
        </w:rPr>
      </w:pPr>
    </w:p>
    <w:p>
      <w:pPr>
        <w:jc w:val="both"/>
        <w:ind w:left="580" w:right="1399" w:hanging="565"/>
        <w:spacing w:after="0" w:line="265" w:lineRule="auto"/>
        <w:tabs>
          <w:tab w:leader="none" w:pos="560" w:val="left"/>
        </w:tabs>
        <w:rPr>
          <w:sz w:val="20"/>
          <w:szCs w:val="20"/>
          <w:color w:val="auto"/>
        </w:rPr>
      </w:pPr>
      <w:r>
        <w:rPr>
          <w:rFonts w:ascii="Times New Roman" w:cs="Times New Roman" w:eastAsia="Times New Roman" w:hAnsi="Times New Roman"/>
          <w:sz w:val="17"/>
          <w:szCs w:val="17"/>
          <w:color w:val="auto"/>
        </w:rPr>
        <w:t>3.1</w:t>
      </w:r>
      <w:r>
        <w:rPr>
          <w:sz w:val="20"/>
          <w:szCs w:val="20"/>
          <w:color w:val="auto"/>
        </w:rPr>
        <w:tab/>
      </w:r>
      <w:r>
        <w:rPr>
          <w:rFonts w:ascii="Times New Roman" w:cs="Times New Roman" w:eastAsia="Times New Roman" w:hAnsi="Times New Roman"/>
          <w:sz w:val="17"/>
          <w:szCs w:val="17"/>
          <w:color w:val="auto"/>
        </w:rPr>
        <w:t>The aggregate principal amount of Notes which may be initially issued hereunder is €400,000,000. Additional Notes may be issued from time to time under this Agreement, and if issued, they may form the same series and will be governed by the same Agreement as the Notes offered hereby.</w:t>
      </w:r>
    </w:p>
    <w:p>
      <w:pPr>
        <w:spacing w:after="0" w:line="19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497649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580" w:right="1399" w:hanging="565"/>
        <w:spacing w:after="0" w:line="259" w:lineRule="auto"/>
        <w:tabs>
          <w:tab w:leader="none" w:pos="560" w:val="left"/>
        </w:tabs>
        <w:rPr>
          <w:sz w:val="20"/>
          <w:szCs w:val="20"/>
          <w:color w:val="auto"/>
        </w:rPr>
      </w:pPr>
      <w:r>
        <w:rPr>
          <w:rFonts w:ascii="Times New Roman" w:cs="Times New Roman" w:eastAsia="Times New Roman" w:hAnsi="Times New Roman"/>
          <w:sz w:val="17"/>
          <w:szCs w:val="17"/>
          <w:color w:val="auto"/>
        </w:rPr>
        <w:t>3.2</w:t>
      </w:r>
      <w:r>
        <w:rPr>
          <w:sz w:val="20"/>
          <w:szCs w:val="20"/>
          <w:color w:val="auto"/>
        </w:rPr>
        <w:tab/>
      </w:r>
      <w:r>
        <w:rPr>
          <w:rFonts w:ascii="Times New Roman" w:cs="Times New Roman" w:eastAsia="Times New Roman" w:hAnsi="Times New Roman"/>
          <w:sz w:val="17"/>
          <w:szCs w:val="17"/>
          <w:color w:val="auto"/>
        </w:rPr>
        <w:t xml:space="preserve">The Global Note (as defined in Clause 5 below) and any certificated security (the </w:t>
      </w:r>
      <w:r>
        <w:rPr>
          <w:rFonts w:ascii="Times New Roman" w:cs="Times New Roman" w:eastAsia="Times New Roman" w:hAnsi="Times New Roman"/>
          <w:sz w:val="17"/>
          <w:szCs w:val="17"/>
          <w:b w:val="1"/>
          <w:bCs w:val="1"/>
          <w:color w:val="auto"/>
        </w:rPr>
        <w:t>Definitive Notes</w:t>
      </w:r>
      <w:r>
        <w:rPr>
          <w:rFonts w:ascii="Times New Roman" w:cs="Times New Roman" w:eastAsia="Times New Roman" w:hAnsi="Times New Roman"/>
          <w:sz w:val="17"/>
          <w:szCs w:val="17"/>
          <w:color w:val="auto"/>
        </w:rPr>
        <w:t>) shall be executed by or on behalf of the Company by the manual or facsimile signature of an Authorized Representative (as defined in Clause 4 below) of the Company and authenticated manually by or on behalf of the Fiscal Agent.</w:t>
      </w:r>
    </w:p>
    <w:p>
      <w:pPr>
        <w:spacing w:after="0" w:line="148" w:lineRule="exact"/>
        <w:rPr>
          <w:sz w:val="20"/>
          <w:szCs w:val="20"/>
          <w:color w:val="auto"/>
        </w:rPr>
      </w:pPr>
    </w:p>
    <w:p>
      <w:pPr>
        <w:ind w:left="580" w:hanging="573"/>
        <w:spacing w:after="0"/>
        <w:tabs>
          <w:tab w:leader="none" w:pos="58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AUTHORIZED REPRESENTATIVES</w:t>
      </w:r>
    </w:p>
    <w:p>
      <w:pPr>
        <w:spacing w:after="0" w:line="195" w:lineRule="exact"/>
        <w:rPr>
          <w:rFonts w:ascii="Times New Roman" w:cs="Times New Roman" w:eastAsia="Times New Roman" w:hAnsi="Times New Roman"/>
          <w:sz w:val="17"/>
          <w:szCs w:val="17"/>
          <w:b w:val="1"/>
          <w:bCs w:val="1"/>
          <w:color w:val="auto"/>
        </w:rPr>
      </w:pPr>
    </w:p>
    <w:p>
      <w:pPr>
        <w:jc w:val="both"/>
        <w:ind w:left="580" w:right="1419"/>
        <w:spacing w:after="0" w:line="28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From time to time the Company will furnish the Fiscal Agent with a certificate of the Company certifying the incumbency and specimen signatures of officers authorized to execute Notes on behalf of</w:t>
      </w:r>
    </w:p>
    <w:p>
      <w:pPr>
        <w:sectPr>
          <w:pgSz w:w="11900" w:h="16843" w:orient="portrait"/>
          <w:cols w:equalWidth="0" w:num="1">
            <w:col w:w="9259"/>
          </w:cols>
          <w:pgMar w:left="1200" w:top="115" w:right="1440" w:bottom="0" w:gutter="0" w:footer="0" w:header="0"/>
        </w:sectPr>
      </w:pPr>
    </w:p>
    <w:bookmarkStart w:id="7" w:name="page8"/>
    <w:bookmarkEnd w:id="7"/>
    <w:p>
      <w:pPr>
        <w:spacing w:after="0" w:line="1" w:lineRule="exact"/>
        <w:rPr>
          <w:sz w:val="20"/>
          <w:szCs w:val="20"/>
          <w:color w:val="auto"/>
        </w:rPr>
      </w:pPr>
    </w:p>
    <w:p>
      <w:pPr>
        <w:jc w:val="both"/>
        <w:ind w:left="573" w:right="1399"/>
        <w:spacing w:after="0" w:line="250" w:lineRule="auto"/>
        <w:rPr>
          <w:sz w:val="20"/>
          <w:szCs w:val="20"/>
          <w:color w:val="auto"/>
        </w:rPr>
      </w:pPr>
      <w:r>
        <w:rPr>
          <w:rFonts w:ascii="Times New Roman" w:cs="Times New Roman" w:eastAsia="Times New Roman" w:hAnsi="Times New Roman"/>
          <w:sz w:val="17"/>
          <w:szCs w:val="17"/>
          <w:color w:val="auto"/>
        </w:rPr>
        <w:t xml:space="preserve">the Company (each an </w:t>
      </w:r>
      <w:r>
        <w:rPr>
          <w:rFonts w:ascii="Times New Roman" w:cs="Times New Roman" w:eastAsia="Times New Roman" w:hAnsi="Times New Roman"/>
          <w:sz w:val="17"/>
          <w:szCs w:val="17"/>
          <w:b w:val="1"/>
          <w:bCs w:val="1"/>
          <w:color w:val="auto"/>
        </w:rPr>
        <w:t>Authorized Representative</w:t>
      </w:r>
      <w:r>
        <w:rPr>
          <w:rFonts w:ascii="Times New Roman" w:cs="Times New Roman" w:eastAsia="Times New Roman" w:hAnsi="Times New Roman"/>
          <w:sz w:val="17"/>
          <w:szCs w:val="17"/>
          <w:color w:val="auto"/>
        </w:rPr>
        <w:t>). Until the Fiscal Agent receives a subsequent incumbency certificate of the Company, the Fiscal Agent shall be entitled to rely on the last such certificate delivered to it for purposes of determining the Authorized Representatives. The Fiscal Agent shall have no responsibility to the Company to determine by whom or by what means a facsimile signature may have been affixed on the Notes or to determine whether any facsimile or manual signature is genuine, if such facsimile or manual signature resembles the specimen signatures filed with the Fiscal Agent by a duly authorized officer of the Company. Any Note bearing the manual or facsimile signature of a person who is an Authorized Representative on the date such signature is affixed shall bind the Company after the authentication and registration thereof by the Fiscal Agent, notwithstanding that such person shall have ceased to hold office on the date such Note is authenticated and delivered by the Fiscal Agent.</w:t>
      </w:r>
    </w:p>
    <w:p>
      <w:pPr>
        <w:spacing w:after="0" w:line="361" w:lineRule="exact"/>
        <w:rPr>
          <w:sz w:val="20"/>
          <w:szCs w:val="20"/>
          <w:color w:val="auto"/>
        </w:rPr>
      </w:pPr>
    </w:p>
    <w:p>
      <w:pPr>
        <w:ind w:left="573" w:hanging="573"/>
        <w:spacing w:after="0"/>
        <w:tabs>
          <w:tab w:leader="none" w:pos="573"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FORM OF THE NOTES</w:t>
      </w:r>
    </w:p>
    <w:p>
      <w:pPr>
        <w:spacing w:after="0" w:line="195" w:lineRule="exact"/>
        <w:rPr>
          <w:rFonts w:ascii="Times New Roman" w:cs="Times New Roman" w:eastAsia="Times New Roman" w:hAnsi="Times New Roman"/>
          <w:sz w:val="17"/>
          <w:szCs w:val="17"/>
          <w:b w:val="1"/>
          <w:bCs w:val="1"/>
          <w:color w:val="auto"/>
        </w:rPr>
      </w:pPr>
    </w:p>
    <w:p>
      <w:pPr>
        <w:ind w:left="573"/>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With regard to the issuance of Notes:</w:t>
      </w:r>
    </w:p>
    <w:p>
      <w:pPr>
        <w:spacing w:after="0" w:line="193" w:lineRule="exact"/>
        <w:rPr>
          <w:rFonts w:ascii="Times New Roman" w:cs="Times New Roman" w:eastAsia="Times New Roman" w:hAnsi="Times New Roman"/>
          <w:sz w:val="17"/>
          <w:szCs w:val="17"/>
          <w:b w:val="1"/>
          <w:bCs w:val="1"/>
          <w:color w:val="auto"/>
        </w:rPr>
      </w:pPr>
    </w:p>
    <w:p>
      <w:pPr>
        <w:jc w:val="both"/>
        <w:ind w:left="1133" w:right="1399" w:hanging="567"/>
        <w:spacing w:after="0" w:line="249" w:lineRule="auto"/>
        <w:tabs>
          <w:tab w:leader="none" w:pos="1133"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Notes will be offered and sold by the Company pursuant to a Subscription Agreement. The Notes will be resold initially only to persons other than U.S. persons (as defined in Regulation S under the United States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xml:space="preserve">)) outside the United States in offshore transactions in reliance on Regulation S. The Notes shall be issued in the form of one permanent global note in fully registered form substantially in the form of Schedule 1 attached hereto (the </w:t>
      </w:r>
      <w:r>
        <w:rPr>
          <w:rFonts w:ascii="Times New Roman" w:cs="Times New Roman" w:eastAsia="Times New Roman" w:hAnsi="Times New Roman"/>
          <w:sz w:val="17"/>
          <w:szCs w:val="17"/>
          <w:b w:val="1"/>
          <w:bCs w:val="1"/>
          <w:color w:val="auto"/>
        </w:rPr>
        <w:t>Global Note</w:t>
      </w:r>
      <w:r>
        <w:rPr>
          <w:rFonts w:ascii="Times New Roman" w:cs="Times New Roman" w:eastAsia="Times New Roman" w:hAnsi="Times New Roman"/>
          <w:sz w:val="17"/>
          <w:szCs w:val="17"/>
          <w:color w:val="auto"/>
        </w:rPr>
        <w:t xml:space="preserve">), without interest coupons and with the global securities legend and the applicable restricted securities legends, which shall be deposited with Citibank Europe plc as common depositary (the </w:t>
      </w:r>
      <w:r>
        <w:rPr>
          <w:rFonts w:ascii="Times New Roman" w:cs="Times New Roman" w:eastAsia="Times New Roman" w:hAnsi="Times New Roman"/>
          <w:sz w:val="17"/>
          <w:szCs w:val="17"/>
          <w:b w:val="1"/>
          <w:bCs w:val="1"/>
          <w:color w:val="auto"/>
        </w:rPr>
        <w:t>Depositary</w:t>
      </w:r>
      <w:r>
        <w:rPr>
          <w:rFonts w:ascii="Times New Roman" w:cs="Times New Roman" w:eastAsia="Times New Roman" w:hAnsi="Times New Roman"/>
          <w:sz w:val="17"/>
          <w:szCs w:val="17"/>
          <w:color w:val="auto"/>
        </w:rPr>
        <w:t>) for Euroclear Bank SA/NV (</w:t>
      </w:r>
      <w:r>
        <w:rPr>
          <w:rFonts w:ascii="Times New Roman" w:cs="Times New Roman" w:eastAsia="Times New Roman" w:hAnsi="Times New Roman"/>
          <w:sz w:val="17"/>
          <w:szCs w:val="17"/>
          <w:b w:val="1"/>
          <w:bCs w:val="1"/>
          <w:color w:val="auto"/>
        </w:rPr>
        <w:t>Euroclear</w:t>
      </w:r>
      <w:r>
        <w:rPr>
          <w:rFonts w:ascii="Times New Roman" w:cs="Times New Roman" w:eastAsia="Times New Roman" w:hAnsi="Times New Roman"/>
          <w:sz w:val="17"/>
          <w:szCs w:val="17"/>
          <w:color w:val="auto"/>
        </w:rPr>
        <w:t>) and Clearstream Banking, S.A. (</w:t>
      </w:r>
      <w:r>
        <w:rPr>
          <w:rFonts w:ascii="Times New Roman" w:cs="Times New Roman" w:eastAsia="Times New Roman" w:hAnsi="Times New Roman"/>
          <w:sz w:val="17"/>
          <w:szCs w:val="17"/>
          <w:b w:val="1"/>
          <w:bCs w:val="1"/>
          <w:color w:val="auto"/>
        </w:rPr>
        <w:t>Clearstream</w:t>
      </w:r>
      <w:r>
        <w:rPr>
          <w:rFonts w:ascii="Times New Roman" w:cs="Times New Roman" w:eastAsia="Times New Roman" w:hAnsi="Times New Roman"/>
          <w:sz w:val="17"/>
          <w:szCs w:val="17"/>
          <w:color w:val="auto"/>
        </w:rPr>
        <w:t>) and registered in the nominee name for such Depositary, and shall be duly executed by the Company and authenticated by the Fiscal Agent as provided in this Agreement. The terms of the Notes set forth in Schedule 1 and the provisions for the meetings of the Noteholders set forth in Schedule 2 are hereby expressly incorporated in and made part of the terms of this Agreement.</w:t>
      </w:r>
    </w:p>
    <w:p>
      <w:pPr>
        <w:spacing w:after="0" w:line="160" w:lineRule="exact"/>
        <w:rPr>
          <w:rFonts w:ascii="Times New Roman" w:cs="Times New Roman" w:eastAsia="Times New Roman" w:hAnsi="Times New Roman"/>
          <w:sz w:val="17"/>
          <w:szCs w:val="17"/>
          <w:color w:val="auto"/>
        </w:rPr>
      </w:pPr>
    </w:p>
    <w:p>
      <w:pPr>
        <w:jc w:val="both"/>
        <w:ind w:left="1133" w:right="1419" w:hanging="567"/>
        <w:spacing w:after="0" w:line="255" w:lineRule="auto"/>
        <w:tabs>
          <w:tab w:leader="none" w:pos="1133"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Prior to and including the date which is 40 days after the later of (i) the day on which the Notes are first offered to persons other than distributors (as defined in Regulation S under the Securities Act) in reliance on Regulation S, and (ii) the date of the closing of the offering (the </w:t>
      </w:r>
      <w:r>
        <w:rPr>
          <w:rFonts w:ascii="Times New Roman" w:cs="Times New Roman" w:eastAsia="Times New Roman" w:hAnsi="Times New Roman"/>
          <w:sz w:val="17"/>
          <w:szCs w:val="17"/>
          <w:b w:val="1"/>
          <w:bCs w:val="1"/>
          <w:color w:val="auto"/>
        </w:rPr>
        <w:t>Distribution Compliance Period</w:t>
      </w:r>
      <w:r>
        <w:rPr>
          <w:rFonts w:ascii="Times New Roman" w:cs="Times New Roman" w:eastAsia="Times New Roman" w:hAnsi="Times New Roman"/>
          <w:sz w:val="17"/>
          <w:szCs w:val="17"/>
          <w:color w:val="auto"/>
        </w:rPr>
        <w:t>), beneficial interests in the Global Note may not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transferred to a U.S. person or for the account or benefit of a U.S. person.</w:t>
      </w:r>
    </w:p>
    <w:p>
      <w:pPr>
        <w:spacing w:after="0" w:line="153" w:lineRule="exact"/>
        <w:rPr>
          <w:rFonts w:ascii="Times New Roman" w:cs="Times New Roman" w:eastAsia="Times New Roman" w:hAnsi="Times New Roman"/>
          <w:sz w:val="17"/>
          <w:szCs w:val="17"/>
          <w:color w:val="auto"/>
        </w:rPr>
      </w:pPr>
    </w:p>
    <w:p>
      <w:pPr>
        <w:jc w:val="both"/>
        <w:ind w:left="1133" w:right="1419" w:hanging="567"/>
        <w:spacing w:after="0" w:line="265" w:lineRule="auto"/>
        <w:tabs>
          <w:tab w:leader="none" w:pos="1133"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principal amount of the Global Notes may from time to time be increased or decreased by adjustments made on the records of the Registrar and the Depositary or its nominee as hereinafter provided.</w:t>
      </w:r>
    </w:p>
    <w:p>
      <w:pPr>
        <w:spacing w:after="0" w:line="191" w:lineRule="exact"/>
        <w:rPr>
          <w:sz w:val="20"/>
          <w:szCs w:val="20"/>
          <w:color w:val="auto"/>
        </w:rPr>
      </w:pPr>
    </w:p>
    <w:p>
      <w:pPr>
        <w:ind w:left="3893"/>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497649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73" w:hanging="573"/>
        <w:spacing w:after="0"/>
        <w:tabs>
          <w:tab w:leader="none" w:pos="573"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BOOK-ENTRY PROVISIONS</w:t>
      </w:r>
    </w:p>
    <w:p>
      <w:pPr>
        <w:spacing w:after="0" w:line="195" w:lineRule="exact"/>
        <w:rPr>
          <w:rFonts w:ascii="Times New Roman" w:cs="Times New Roman" w:eastAsia="Times New Roman" w:hAnsi="Times New Roman"/>
          <w:sz w:val="17"/>
          <w:szCs w:val="17"/>
          <w:b w:val="1"/>
          <w:bCs w:val="1"/>
          <w:color w:val="auto"/>
        </w:rPr>
      </w:pPr>
    </w:p>
    <w:p>
      <w:pPr>
        <w:jc w:val="both"/>
        <w:ind w:left="1133" w:right="1399" w:hanging="567"/>
        <w:spacing w:after="0" w:line="253" w:lineRule="auto"/>
        <w:tabs>
          <w:tab w:leader="none" w:pos="1133"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Clause 6 shall apply only to a Global Note deposited with or on behalf of, and registered in the name of a nominee of, the Depositary. The Company shall execute and the Fiscal Agent shall, in accordance with this Clause 6, authenticate and deliver the Global Note, which (i) shall be registered in the nominee name of the Depositary for such Global Note and (ii) shall be delivered by the Fiscal Agent to such Depositary or pursuant to such Depositary's instructions or held by a security custodian appointed by the Depositary.</w:t>
      </w:r>
    </w:p>
    <w:p>
      <w:pPr>
        <w:spacing w:after="0" w:line="154" w:lineRule="exact"/>
        <w:rPr>
          <w:rFonts w:ascii="Times New Roman" w:cs="Times New Roman" w:eastAsia="Times New Roman" w:hAnsi="Times New Roman"/>
          <w:sz w:val="17"/>
          <w:szCs w:val="17"/>
          <w:color w:val="auto"/>
        </w:rPr>
      </w:pPr>
    </w:p>
    <w:p>
      <w:pPr>
        <w:jc w:val="both"/>
        <w:ind w:left="1133" w:right="1399" w:hanging="567"/>
        <w:spacing w:after="0" w:line="251" w:lineRule="auto"/>
        <w:tabs>
          <w:tab w:leader="none" w:pos="1133"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Members of, or participants in, Euroclear and/or Clearstream (</w:t>
      </w:r>
      <w:r>
        <w:rPr>
          <w:rFonts w:ascii="Times New Roman" w:cs="Times New Roman" w:eastAsia="Times New Roman" w:hAnsi="Times New Roman"/>
          <w:sz w:val="17"/>
          <w:szCs w:val="17"/>
          <w:b w:val="1"/>
          <w:bCs w:val="1"/>
          <w:color w:val="auto"/>
        </w:rPr>
        <w:t>Agent Members</w:t>
      </w:r>
      <w:r>
        <w:rPr>
          <w:rFonts w:ascii="Times New Roman" w:cs="Times New Roman" w:eastAsia="Times New Roman" w:hAnsi="Times New Roman"/>
          <w:sz w:val="17"/>
          <w:szCs w:val="17"/>
          <w:color w:val="auto"/>
        </w:rPr>
        <w:t xml:space="preserve">) shall have no rights under this Agreement with respect to any Global Note held on behalf of Euroclear and Clearstream (the </w:t>
      </w:r>
      <w:r>
        <w:rPr>
          <w:rFonts w:ascii="Times New Roman" w:cs="Times New Roman" w:eastAsia="Times New Roman" w:hAnsi="Times New Roman"/>
          <w:sz w:val="17"/>
          <w:szCs w:val="17"/>
          <w:b w:val="1"/>
          <w:bCs w:val="1"/>
          <w:color w:val="auto"/>
        </w:rPr>
        <w:t>Clearing Systems</w:t>
      </w:r>
      <w:r>
        <w:rPr>
          <w:rFonts w:ascii="Times New Roman" w:cs="Times New Roman" w:eastAsia="Times New Roman" w:hAnsi="Times New Roman"/>
          <w:sz w:val="17"/>
          <w:szCs w:val="17"/>
          <w:color w:val="auto"/>
        </w:rPr>
        <w:t>) by the Depositary or by its custodian or under such Global Note, and the Company, the Fiscal Agent and any agent of the Company or the Fiscal Agent shall be entitled to treat the Depositary or its nominee as the absolute owner of such Global Note for all purposes whatsoever. Notwithstanding the foregoing, nothing herein shall prevent the Company, the Fiscal Agent or any agent of the Company or the Fiscal Agent from giving effect to any written certification, proxy or other authorization furnished by the Depositary or impair, as between the Clearing Systems and their Agent Members, the operation of customary practices</w:t>
      </w:r>
    </w:p>
    <w:p>
      <w:pPr>
        <w:sectPr>
          <w:pgSz w:w="11900" w:h="16839" w:orient="portrait"/>
          <w:cols w:equalWidth="0" w:num="1">
            <w:col w:w="9253"/>
          </w:cols>
          <w:pgMar w:left="1207" w:top="115" w:right="1440" w:bottom="0" w:gutter="0" w:footer="0" w:header="0"/>
        </w:sectPr>
      </w:pPr>
    </w:p>
    <w:bookmarkStart w:id="8" w:name="page9"/>
    <w:bookmarkEnd w:id="8"/>
    <w:p>
      <w:pPr>
        <w:ind w:left="1140" w:right="1419"/>
        <w:spacing w:after="0" w:line="283" w:lineRule="auto"/>
        <w:rPr>
          <w:sz w:val="20"/>
          <w:szCs w:val="20"/>
          <w:color w:val="auto"/>
        </w:rPr>
      </w:pPr>
      <w:r>
        <w:rPr>
          <w:rFonts w:ascii="Times New Roman" w:cs="Times New Roman" w:eastAsia="Times New Roman" w:hAnsi="Times New Roman"/>
          <w:sz w:val="17"/>
          <w:szCs w:val="17"/>
          <w:color w:val="auto"/>
        </w:rPr>
        <w:t>of such Depositary governing the exercise of the rights of a holder of a beneficial interest in any Global Note.</w:t>
      </w:r>
    </w:p>
    <w:p>
      <w:pPr>
        <w:spacing w:after="0" w:line="126" w:lineRule="exact"/>
        <w:rPr>
          <w:sz w:val="20"/>
          <w:szCs w:val="20"/>
          <w:color w:val="auto"/>
        </w:rPr>
      </w:pPr>
    </w:p>
    <w:p>
      <w:pPr>
        <w:ind w:left="580" w:hanging="573"/>
        <w:spacing w:after="0"/>
        <w:tabs>
          <w:tab w:leader="none" w:pos="58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TRANSFER AND EXCHANGE</w:t>
      </w:r>
    </w:p>
    <w:p>
      <w:pPr>
        <w:spacing w:after="0" w:line="19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color w:val="auto"/>
        </w:rPr>
        <w:t>7.1</w:t>
      </w:r>
      <w:r>
        <w:rPr>
          <w:sz w:val="20"/>
          <w:szCs w:val="20"/>
          <w:color w:val="auto"/>
        </w:rPr>
        <w:tab/>
      </w:r>
      <w:r>
        <w:rPr>
          <w:rFonts w:ascii="Times New Roman" w:cs="Times New Roman" w:eastAsia="Times New Roman" w:hAnsi="Times New Roman"/>
          <w:sz w:val="17"/>
          <w:szCs w:val="17"/>
          <w:color w:val="auto"/>
        </w:rPr>
        <w:t>Transfer and Exchange of Definitive Notes</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When Definitive Notes are presented to the Registrar with a request:</w:t>
      </w:r>
    </w:p>
    <w:p>
      <w:pPr>
        <w:spacing w:after="0" w:line="194" w:lineRule="exact"/>
        <w:rPr>
          <w:sz w:val="20"/>
          <w:szCs w:val="20"/>
          <w:color w:val="auto"/>
        </w:rPr>
      </w:pPr>
    </w:p>
    <w:p>
      <w:pPr>
        <w:ind w:left="1140" w:hanging="567"/>
        <w:spacing w:after="0"/>
        <w:tabs>
          <w:tab w:leader="none" w:pos="11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register the transfer of such Definitive Notes; or</w:t>
      </w:r>
    </w:p>
    <w:p>
      <w:pPr>
        <w:spacing w:after="0" w:line="193" w:lineRule="exact"/>
        <w:rPr>
          <w:rFonts w:ascii="Times New Roman" w:cs="Times New Roman" w:eastAsia="Times New Roman" w:hAnsi="Times New Roman"/>
          <w:sz w:val="17"/>
          <w:szCs w:val="17"/>
          <w:color w:val="auto"/>
        </w:rPr>
      </w:pPr>
    </w:p>
    <w:p>
      <w:pPr>
        <w:ind w:left="1140" w:right="1419" w:hanging="567"/>
        <w:spacing w:after="0" w:line="283" w:lineRule="auto"/>
        <w:tabs>
          <w:tab w:leader="none" w:pos="11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exchange such Definitive Notes for an equal principal amount of Definitive Notes of other authorized denominations,</w:t>
      </w:r>
    </w:p>
    <w:p>
      <w:pPr>
        <w:spacing w:after="0" w:line="129" w:lineRule="exact"/>
        <w:rPr>
          <w:sz w:val="20"/>
          <w:szCs w:val="20"/>
          <w:color w:val="auto"/>
        </w:rPr>
      </w:pPr>
    </w:p>
    <w:p>
      <w:pPr>
        <w:jc w:val="both"/>
        <w:ind w:left="580" w:right="1419"/>
        <w:spacing w:after="0" w:line="265" w:lineRule="auto"/>
        <w:rPr>
          <w:sz w:val="20"/>
          <w:szCs w:val="20"/>
          <w:color w:val="auto"/>
        </w:rPr>
      </w:pPr>
      <w:r>
        <w:rPr>
          <w:rFonts w:ascii="Times New Roman" w:cs="Times New Roman" w:eastAsia="Times New Roman" w:hAnsi="Times New Roman"/>
          <w:sz w:val="17"/>
          <w:szCs w:val="17"/>
          <w:color w:val="auto"/>
        </w:rPr>
        <w:t xml:space="preserve">the Registrar shall register the transfer or make the exchange as requested if its reasonable requirements for such transaction are met; </w:t>
      </w:r>
      <w:r>
        <w:rPr>
          <w:rFonts w:ascii="Times New Roman" w:cs="Times New Roman" w:eastAsia="Times New Roman" w:hAnsi="Times New Roman"/>
          <w:sz w:val="17"/>
          <w:szCs w:val="17"/>
          <w:b w:val="1"/>
          <w:b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however</w:t>
      </w:r>
      <w:r>
        <w:rPr>
          <w:rFonts w:ascii="Times New Roman" w:cs="Times New Roman" w:eastAsia="Times New Roman" w:hAnsi="Times New Roman"/>
          <w:sz w:val="17"/>
          <w:szCs w:val="17"/>
          <w:color w:val="auto"/>
        </w:rPr>
        <w:t>, that the Definitive Notes surrendered for transfer or exchange:</w:t>
      </w:r>
    </w:p>
    <w:p>
      <w:pPr>
        <w:spacing w:after="0" w:line="143" w:lineRule="exact"/>
        <w:rPr>
          <w:sz w:val="20"/>
          <w:szCs w:val="20"/>
          <w:color w:val="auto"/>
        </w:rPr>
      </w:pPr>
    </w:p>
    <w:p>
      <w:pPr>
        <w:jc w:val="both"/>
        <w:ind w:left="1700" w:right="1419" w:hanging="560"/>
        <w:spacing w:after="0" w:line="265" w:lineRule="auto"/>
        <w:tabs>
          <w:tab w:leader="none" w:pos="17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be duly endorsed or accompanied by a written instrument of transfer in form reasonably satisfactory to the Company and the Registrar, duly executed by the Noteholder thereof or its attorney duly authorized in writing; and</w:t>
      </w:r>
    </w:p>
    <w:p>
      <w:pPr>
        <w:spacing w:after="0" w:line="143" w:lineRule="exact"/>
        <w:rPr>
          <w:rFonts w:ascii="Times New Roman" w:cs="Times New Roman" w:eastAsia="Times New Roman" w:hAnsi="Times New Roman"/>
          <w:sz w:val="17"/>
          <w:szCs w:val="17"/>
          <w:color w:val="auto"/>
        </w:rPr>
      </w:pPr>
    </w:p>
    <w:p>
      <w:pPr>
        <w:ind w:left="1700" w:right="1419" w:hanging="560"/>
        <w:spacing w:after="0" w:line="283" w:lineRule="auto"/>
        <w:tabs>
          <w:tab w:leader="none" w:pos="17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be accompanied by the following additional information and documents, as applicable:</w:t>
      </w:r>
    </w:p>
    <w:p>
      <w:pPr>
        <w:spacing w:after="0" w:line="129" w:lineRule="exact"/>
        <w:rPr>
          <w:rFonts w:ascii="Times New Roman" w:cs="Times New Roman" w:eastAsia="Times New Roman" w:hAnsi="Times New Roman"/>
          <w:sz w:val="17"/>
          <w:szCs w:val="17"/>
          <w:color w:val="auto"/>
        </w:rPr>
      </w:pPr>
    </w:p>
    <w:p>
      <w:pPr>
        <w:jc w:val="both"/>
        <w:ind w:left="2280" w:right="1419" w:hanging="574"/>
        <w:spacing w:after="0" w:line="265" w:lineRule="auto"/>
        <w:tabs>
          <w:tab w:leader="none" w:pos="228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Definitive Notes are being delivered to the Registrar by a Noteholder for registration in the name of such Noteholder, without transfer, a certification from such Noteholder to that effect; or</w:t>
      </w:r>
    </w:p>
    <w:p>
      <w:pPr>
        <w:spacing w:after="0" w:line="143" w:lineRule="exact"/>
        <w:rPr>
          <w:rFonts w:ascii="Times New Roman" w:cs="Times New Roman" w:eastAsia="Times New Roman" w:hAnsi="Times New Roman"/>
          <w:sz w:val="17"/>
          <w:szCs w:val="17"/>
          <w:color w:val="auto"/>
        </w:rPr>
      </w:pPr>
    </w:p>
    <w:p>
      <w:pPr>
        <w:jc w:val="both"/>
        <w:ind w:left="2280" w:right="1419" w:hanging="574"/>
        <w:spacing w:after="0" w:line="265" w:lineRule="auto"/>
        <w:tabs>
          <w:tab w:leader="none" w:pos="228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Definitive Notes are being transferred to the Company or pursuant to an effective registration statement under the Securities Act of 1933, a certification to that effect; or</w:t>
      </w:r>
    </w:p>
    <w:p>
      <w:pPr>
        <w:spacing w:after="0" w:line="143" w:lineRule="exact"/>
        <w:rPr>
          <w:rFonts w:ascii="Times New Roman" w:cs="Times New Roman" w:eastAsia="Times New Roman" w:hAnsi="Times New Roman"/>
          <w:sz w:val="17"/>
          <w:szCs w:val="17"/>
          <w:color w:val="auto"/>
        </w:rPr>
      </w:pPr>
    </w:p>
    <w:p>
      <w:pPr>
        <w:jc w:val="both"/>
        <w:ind w:left="2280" w:right="1419" w:hanging="574"/>
        <w:spacing w:after="0" w:line="265" w:lineRule="auto"/>
        <w:tabs>
          <w:tab w:leader="none" w:pos="228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Definitive Notes are being transferred (i) pursuant to an exemption from registration in accordance with Regulation S under the Securities Act or (ii) in reliance</w:t>
      </w:r>
    </w:p>
    <w:p>
      <w:pPr>
        <w:spacing w:after="0" w:line="19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497649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59"/>
          </w:cols>
          <w:pgMar w:left="1200" w:top="120" w:right="1440" w:bottom="1440" w:gutter="0" w:footer="0" w:header="0"/>
        </w:sectPr>
      </w:pPr>
    </w:p>
    <w:bookmarkStart w:id="9" w:name="page10"/>
    <w:bookmarkEnd w:id="9"/>
    <w:p>
      <w:pPr>
        <w:jc w:val="both"/>
        <w:ind w:left="2280" w:right="1419"/>
        <w:spacing w:after="0" w:line="258" w:lineRule="auto"/>
        <w:rPr>
          <w:sz w:val="20"/>
          <w:szCs w:val="20"/>
          <w:color w:val="auto"/>
        </w:rPr>
      </w:pPr>
      <w:r>
        <w:rPr>
          <w:rFonts w:ascii="Times New Roman" w:cs="Times New Roman" w:eastAsia="Times New Roman" w:hAnsi="Times New Roman"/>
          <w:sz w:val="17"/>
          <w:szCs w:val="17"/>
          <w:color w:val="auto"/>
        </w:rPr>
        <w:t>upon another exemption from the requirements of the Securities Act (x) a certification to that effect and (y) if the Company so requests, an opinion of counsel or other evidence reasonably satisfactory to it as to the compliance with the requirements of the Securities Act.</w:t>
      </w:r>
    </w:p>
    <w:p>
      <w:pPr>
        <w:spacing w:after="0" w:line="15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color w:val="auto"/>
        </w:rPr>
        <w:t>7.2</w:t>
      </w:r>
      <w:r>
        <w:rPr>
          <w:sz w:val="20"/>
          <w:szCs w:val="20"/>
          <w:color w:val="auto"/>
        </w:rPr>
        <w:tab/>
      </w:r>
      <w:r>
        <w:rPr>
          <w:rFonts w:ascii="Times New Roman" w:cs="Times New Roman" w:eastAsia="Times New Roman" w:hAnsi="Times New Roman"/>
          <w:sz w:val="17"/>
          <w:szCs w:val="17"/>
          <w:color w:val="auto"/>
        </w:rPr>
        <w:t>Transfer and Exchange of Global Notes</w:t>
      </w:r>
    </w:p>
    <w:p>
      <w:pPr>
        <w:spacing w:after="0" w:line="194" w:lineRule="exact"/>
        <w:rPr>
          <w:sz w:val="20"/>
          <w:szCs w:val="20"/>
          <w:color w:val="auto"/>
        </w:rPr>
      </w:pPr>
    </w:p>
    <w:p>
      <w:pPr>
        <w:jc w:val="both"/>
        <w:ind w:left="1140" w:right="1399" w:hanging="567"/>
        <w:spacing w:after="0" w:line="250" w:lineRule="auto"/>
        <w:tabs>
          <w:tab w:leader="none" w:pos="11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 and exchange of the Global Note or beneficial interests therein shall be effected through the Depositary, in accordance with this Agreement (including applicable restrictions on transfer set forth herein, if any) and the procedures of the Depositary therefor. A transferor of a beneficial interest in the Global Note shall deliver to the Registrar a written order, given in accordance with the Depositary's procedures, containing information regarding the participant account of the Depositary to be credited with a beneficial interest in the Global Note. The Registrar shall, in accordance with such instructions, instruct the Depositary to credit to the account of the person specified in such instructions a beneficial interest in the Global Note and to debit the account of the person making the transfer the beneficial interest in the Global Note being transferred.</w:t>
      </w:r>
    </w:p>
    <w:p>
      <w:pPr>
        <w:spacing w:after="0" w:line="158" w:lineRule="exact"/>
        <w:rPr>
          <w:rFonts w:ascii="Times New Roman" w:cs="Times New Roman" w:eastAsia="Times New Roman" w:hAnsi="Times New Roman"/>
          <w:sz w:val="17"/>
          <w:szCs w:val="17"/>
          <w:color w:val="auto"/>
        </w:rPr>
      </w:pPr>
    </w:p>
    <w:p>
      <w:pPr>
        <w:jc w:val="both"/>
        <w:ind w:left="1140" w:right="1419" w:hanging="567"/>
        <w:spacing w:after="0" w:line="255" w:lineRule="auto"/>
        <w:tabs>
          <w:tab w:leader="none" w:pos="11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provisions of this Agreement (other than the provisions set forth in Clause 8), the Global Note may not be transferred as a whole except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53" w:lineRule="exact"/>
        <w:rPr>
          <w:rFonts w:ascii="Times New Roman" w:cs="Times New Roman" w:eastAsia="Times New Roman" w:hAnsi="Times New Roman"/>
          <w:sz w:val="17"/>
          <w:szCs w:val="17"/>
          <w:color w:val="auto"/>
        </w:rPr>
      </w:pPr>
    </w:p>
    <w:p>
      <w:pPr>
        <w:jc w:val="both"/>
        <w:ind w:left="1140" w:right="1399" w:hanging="567"/>
        <w:spacing w:after="0" w:line="253" w:lineRule="auto"/>
        <w:tabs>
          <w:tab w:leader="none" w:pos="11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Global Note is exchanged for Definitive Notes pursuant to Clause 8 of this Agreement, such securities may be exchanged only in accordance with such procedures as are substantially consistent with the provisions of this Clause 7 (including the certification requirements intended to ensure that such transfers comply with Regulation S or another applicable exemption under the Securities Act, as the case may be) and such other procedures as may from time to time be adopted by the Company.</w:t>
      </w:r>
    </w:p>
    <w:p>
      <w:pPr>
        <w:spacing w:after="0" w:line="154" w:lineRule="exact"/>
        <w:rPr>
          <w:rFonts w:ascii="Times New Roman" w:cs="Times New Roman" w:eastAsia="Times New Roman" w:hAnsi="Times New Roman"/>
          <w:sz w:val="17"/>
          <w:szCs w:val="17"/>
          <w:color w:val="auto"/>
        </w:rPr>
      </w:pPr>
    </w:p>
    <w:p>
      <w:pPr>
        <w:ind w:left="580" w:hanging="573"/>
        <w:spacing w:after="0"/>
        <w:tabs>
          <w:tab w:leader="none" w:pos="58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DEFINITIVE NOTES</w:t>
      </w:r>
    </w:p>
    <w:p>
      <w:pPr>
        <w:spacing w:after="0" w:line="196" w:lineRule="exact"/>
        <w:rPr>
          <w:sz w:val="20"/>
          <w:szCs w:val="20"/>
          <w:color w:val="auto"/>
        </w:rPr>
      </w:pPr>
    </w:p>
    <w:p>
      <w:pPr>
        <w:jc w:val="both"/>
        <w:ind w:left="580" w:right="1399" w:hanging="565"/>
        <w:spacing w:after="0" w:line="249" w:lineRule="auto"/>
        <w:tabs>
          <w:tab w:leader="none" w:pos="560" w:val="left"/>
        </w:tabs>
        <w:rPr>
          <w:sz w:val="20"/>
          <w:szCs w:val="20"/>
          <w:color w:val="auto"/>
        </w:rPr>
      </w:pPr>
      <w:r>
        <w:rPr>
          <w:rFonts w:ascii="Times New Roman" w:cs="Times New Roman" w:eastAsia="Times New Roman" w:hAnsi="Times New Roman"/>
          <w:sz w:val="17"/>
          <w:szCs w:val="17"/>
          <w:color w:val="auto"/>
        </w:rPr>
        <w:t>8.1</w:t>
      </w:r>
      <w:r>
        <w:rPr>
          <w:sz w:val="20"/>
          <w:szCs w:val="20"/>
          <w:color w:val="auto"/>
        </w:rPr>
        <w:tab/>
      </w:r>
      <w:r>
        <w:rPr>
          <w:rFonts w:ascii="Times New Roman" w:cs="Times New Roman" w:eastAsia="Times New Roman" w:hAnsi="Times New Roman"/>
          <w:sz w:val="17"/>
          <w:szCs w:val="17"/>
          <w:color w:val="auto"/>
        </w:rPr>
        <w:t>The Global Note deposited with the Depositary or with a securities custodian for the Depositary pursuant to Clause 6(a) shall be transferred to the beneficial owners thereof in the form of Definitive Notes in an aggregate principal amount equal to the principal amount of such Global Note, in exchange for such Global Note, only if such transfer complies with Clause 7 hereof and (a) the Depositary notifies the Company that it is unwilling or unable to continue as Depositary for such Global Note and a successor Depositary is not appointed by the Company within three months of such notice; (b) the Company, Euroclear or Clearstream so requests following an Event of Default under the Notes (in which case such securities may be exchanged in whole but not in part); (c) the owner of a book-entry interest requests such exchange in writing delivered through Euroclear and/or Clearstream or the Company following an Event of Default under the Notes; or (d) the Company would suffer a material disadvantage as a result of a change in laws or regulations (taxation or otherwise) or as a result of a change in the practice of Euroclear and/or Clearstream which would not be suffered were the Notes in definitive form and a certificate to such effect signed by two duly authorized officers of the Company is given to the Fiscal Agent. In the case of (b) and (d) above, the Company may give notice to the Fiscal Agent and the Noteholders of its intention to exchange the Global Notes for Definitive Notes.</w:t>
      </w:r>
    </w:p>
    <w:p>
      <w:pPr>
        <w:spacing w:after="0" w:line="156" w:lineRule="exact"/>
        <w:rPr>
          <w:sz w:val="20"/>
          <w:szCs w:val="20"/>
          <w:color w:val="auto"/>
        </w:rPr>
      </w:pPr>
    </w:p>
    <w:p>
      <w:pPr>
        <w:jc w:val="both"/>
        <w:ind w:left="580" w:right="1399" w:hanging="565"/>
        <w:spacing w:after="0" w:line="253" w:lineRule="auto"/>
        <w:tabs>
          <w:tab w:leader="none" w:pos="560" w:val="left"/>
        </w:tabs>
        <w:rPr>
          <w:sz w:val="20"/>
          <w:szCs w:val="20"/>
          <w:color w:val="auto"/>
        </w:rPr>
      </w:pPr>
      <w:r>
        <w:rPr>
          <w:rFonts w:ascii="Times New Roman" w:cs="Times New Roman" w:eastAsia="Times New Roman" w:hAnsi="Times New Roman"/>
          <w:sz w:val="17"/>
          <w:szCs w:val="17"/>
          <w:color w:val="auto"/>
        </w:rPr>
        <w:t>8.2</w:t>
      </w:r>
      <w:r>
        <w:rPr>
          <w:sz w:val="20"/>
          <w:szCs w:val="20"/>
          <w:color w:val="auto"/>
        </w:rPr>
        <w:tab/>
      </w:r>
      <w:r>
        <w:rPr>
          <w:rFonts w:ascii="Times New Roman" w:cs="Times New Roman" w:eastAsia="Times New Roman" w:hAnsi="Times New Roman"/>
          <w:sz w:val="17"/>
          <w:szCs w:val="17"/>
          <w:color w:val="auto"/>
        </w:rPr>
        <w:t>Any Global Note that is transferable to the beneficial owners thereof pursuant to this Clause 8 shall be surrendered by the Depositary to the Registrar located at its principal corporate trust office, to be so transferred, in whole, without charge, and the Registrar shall authenticate and deliver, upon such transfer of each portion of such Global Note, an equal aggregate principal amount of Definitive Notes of authorized denominations. Any portion of a Global Note transferred pursuant to this Clause 8 shall be executed,</w:t>
      </w:r>
    </w:p>
    <w:p>
      <w:pPr>
        <w:spacing w:after="0" w:line="20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497649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59"/>
          </w:cols>
          <w:pgMar w:left="1200" w:top="120" w:right="1440" w:bottom="1440" w:gutter="0" w:footer="0" w:header="0"/>
        </w:sectPr>
      </w:pPr>
    </w:p>
    <w:bookmarkStart w:id="10" w:name="page11"/>
    <w:bookmarkEnd w:id="10"/>
    <w:p>
      <w:pPr>
        <w:jc w:val="both"/>
        <w:ind w:left="580" w:right="1399"/>
        <w:spacing w:after="0" w:line="258" w:lineRule="auto"/>
        <w:rPr>
          <w:sz w:val="20"/>
          <w:szCs w:val="20"/>
          <w:color w:val="auto"/>
        </w:rPr>
      </w:pPr>
      <w:r>
        <w:rPr>
          <w:rFonts w:ascii="Times New Roman" w:cs="Times New Roman" w:eastAsia="Times New Roman" w:hAnsi="Times New Roman"/>
          <w:sz w:val="17"/>
          <w:szCs w:val="17"/>
          <w:color w:val="auto"/>
        </w:rPr>
        <w:t>authenticated and delivered only in minimum denominations of €100,000 and integral multiples of €1,000 in excess thereof and registered in such names as the Depositary shall direct. Any Definitive Note delivered in exchange for an interest in a restricted security shall bear the applicable restricted securities legend.</w:t>
      </w:r>
    </w:p>
    <w:p>
      <w:pPr>
        <w:spacing w:after="0" w:line="150" w:lineRule="exact"/>
        <w:rPr>
          <w:sz w:val="20"/>
          <w:szCs w:val="20"/>
          <w:color w:val="auto"/>
        </w:rPr>
      </w:pPr>
    </w:p>
    <w:p>
      <w:pPr>
        <w:jc w:val="both"/>
        <w:ind w:left="580" w:right="1399" w:hanging="565"/>
        <w:spacing w:after="0" w:line="265" w:lineRule="auto"/>
        <w:tabs>
          <w:tab w:leader="none" w:pos="560" w:val="left"/>
        </w:tabs>
        <w:rPr>
          <w:sz w:val="20"/>
          <w:szCs w:val="20"/>
          <w:color w:val="auto"/>
        </w:rPr>
      </w:pPr>
      <w:r>
        <w:rPr>
          <w:rFonts w:ascii="Times New Roman" w:cs="Times New Roman" w:eastAsia="Times New Roman" w:hAnsi="Times New Roman"/>
          <w:sz w:val="17"/>
          <w:szCs w:val="17"/>
          <w:color w:val="auto"/>
        </w:rPr>
        <w:t>8.3</w:t>
      </w:r>
      <w:r>
        <w:rPr>
          <w:sz w:val="20"/>
          <w:szCs w:val="20"/>
          <w:color w:val="auto"/>
        </w:rPr>
        <w:tab/>
      </w:r>
      <w:r>
        <w:rPr>
          <w:rFonts w:ascii="Times New Roman" w:cs="Times New Roman" w:eastAsia="Times New Roman" w:hAnsi="Times New Roman"/>
          <w:sz w:val="17"/>
          <w:szCs w:val="17"/>
          <w:color w:val="auto"/>
        </w:rPr>
        <w:t>In the event of the occurrence of one of the events specified in Clause 8.1 hereof, the Company shall promptly make available to the Registrar a reasonable supply of Definitive Notes in definitive, fully registered form without interest coupons.</w:t>
      </w:r>
    </w:p>
    <w:p>
      <w:pPr>
        <w:spacing w:after="0" w:line="143" w:lineRule="exact"/>
        <w:rPr>
          <w:sz w:val="20"/>
          <w:szCs w:val="20"/>
          <w:color w:val="auto"/>
        </w:rPr>
      </w:pPr>
    </w:p>
    <w:p>
      <w:pPr>
        <w:jc w:val="both"/>
        <w:ind w:left="580" w:right="1399" w:hanging="565"/>
        <w:spacing w:after="0" w:line="251" w:lineRule="auto"/>
        <w:tabs>
          <w:tab w:leader="none" w:pos="560" w:val="left"/>
        </w:tabs>
        <w:rPr>
          <w:sz w:val="20"/>
          <w:szCs w:val="20"/>
          <w:color w:val="auto"/>
        </w:rPr>
      </w:pPr>
      <w:r>
        <w:rPr>
          <w:rFonts w:ascii="Times New Roman" w:cs="Times New Roman" w:eastAsia="Times New Roman" w:hAnsi="Times New Roman"/>
          <w:sz w:val="17"/>
          <w:szCs w:val="17"/>
          <w:color w:val="auto"/>
        </w:rPr>
        <w:t>8.4</w:t>
      </w:r>
      <w:r>
        <w:rPr>
          <w:sz w:val="20"/>
          <w:szCs w:val="20"/>
          <w:color w:val="auto"/>
        </w:rPr>
        <w:tab/>
      </w:r>
      <w:r>
        <w:rPr>
          <w:rFonts w:ascii="Times New Roman" w:cs="Times New Roman" w:eastAsia="Times New Roman" w:hAnsi="Times New Roman"/>
          <w:sz w:val="17"/>
          <w:szCs w:val="17"/>
          <w:color w:val="auto"/>
        </w:rPr>
        <w:t>If Definitive Notes are issued and a holder thereof claims that such Definitive Note has been lost, destroyed or wrongfully taken, or if such Definitive Note is mutilated and is surrendered to the Registrar or at the office of a Transfer Agent, the Company will issue and the Fiscal Agent will authenticate a replacement Definitive Note if the Fiscal Agent's and the Company's requirements are met. The Company or the Fiscal Agent may require a Noteholder requesting replacement of a Definitive Note to furnish an indemnity bond sufficient in the judgment of both to protect the Company, the Fiscal Agent or the Paying Agent appointed pursuant to this Agreement from any loss which any of them may suffer if a Definitive Note is replaced. The Company may charge for any expenses incurred in replacing a Definitive Note.</w:t>
      </w:r>
    </w:p>
    <w:p>
      <w:pPr>
        <w:spacing w:after="0" w:line="359" w:lineRule="exact"/>
        <w:rPr>
          <w:sz w:val="20"/>
          <w:szCs w:val="20"/>
          <w:color w:val="auto"/>
        </w:rPr>
      </w:pPr>
    </w:p>
    <w:p>
      <w:pPr>
        <w:jc w:val="both"/>
        <w:ind w:left="580" w:right="1399" w:hanging="565"/>
        <w:spacing w:after="0" w:line="258" w:lineRule="auto"/>
        <w:tabs>
          <w:tab w:leader="none" w:pos="560" w:val="left"/>
        </w:tabs>
        <w:rPr>
          <w:sz w:val="20"/>
          <w:szCs w:val="20"/>
          <w:color w:val="auto"/>
        </w:rPr>
      </w:pPr>
      <w:r>
        <w:rPr>
          <w:rFonts w:ascii="Times New Roman" w:cs="Times New Roman" w:eastAsia="Times New Roman" w:hAnsi="Times New Roman"/>
          <w:sz w:val="17"/>
          <w:szCs w:val="17"/>
          <w:color w:val="auto"/>
        </w:rPr>
        <w:t>8.5</w:t>
      </w:r>
      <w:r>
        <w:rPr>
          <w:sz w:val="20"/>
          <w:szCs w:val="20"/>
          <w:color w:val="auto"/>
        </w:rPr>
        <w:tab/>
      </w:r>
      <w:r>
        <w:rPr>
          <w:rFonts w:ascii="Times New Roman" w:cs="Times New Roman" w:eastAsia="Times New Roman" w:hAnsi="Times New Roman"/>
          <w:sz w:val="17"/>
          <w:szCs w:val="17"/>
          <w:color w:val="auto"/>
        </w:rPr>
        <w:t>In case any such mutilated, destroyed, lost or stolen Definitive Note has become or is about to become due and payable, or is about to be redeemed or purchased by the Company pursuant to the provisions of this Agreement, the Company, in its discretion, may, instead of issuing a new Definitive Note, pay, redeem or purchase such Definitive Note, as the case may be.</w:t>
      </w:r>
    </w:p>
    <w:p>
      <w:pPr>
        <w:spacing w:after="0" w:line="151" w:lineRule="exact"/>
        <w:rPr>
          <w:sz w:val="20"/>
          <w:szCs w:val="20"/>
          <w:color w:val="auto"/>
        </w:rPr>
      </w:pPr>
    </w:p>
    <w:p>
      <w:pPr>
        <w:jc w:val="both"/>
        <w:ind w:left="580" w:right="1419" w:hanging="565"/>
        <w:spacing w:after="0" w:line="283" w:lineRule="auto"/>
        <w:tabs>
          <w:tab w:leader="none" w:pos="560" w:val="left"/>
        </w:tabs>
        <w:rPr>
          <w:sz w:val="20"/>
          <w:szCs w:val="20"/>
          <w:color w:val="auto"/>
        </w:rPr>
      </w:pPr>
      <w:r>
        <w:rPr>
          <w:rFonts w:ascii="Times New Roman" w:cs="Times New Roman" w:eastAsia="Times New Roman" w:hAnsi="Times New Roman"/>
          <w:sz w:val="17"/>
          <w:szCs w:val="17"/>
          <w:color w:val="auto"/>
        </w:rPr>
        <w:t>8.6</w:t>
      </w:r>
      <w:r>
        <w:rPr>
          <w:sz w:val="20"/>
          <w:szCs w:val="20"/>
          <w:color w:val="auto"/>
        </w:rPr>
        <w:tab/>
      </w:r>
      <w:r>
        <w:rPr>
          <w:rFonts w:ascii="Times New Roman" w:cs="Times New Roman" w:eastAsia="Times New Roman" w:hAnsi="Times New Roman"/>
          <w:sz w:val="17"/>
          <w:szCs w:val="17"/>
          <w:color w:val="auto"/>
        </w:rPr>
        <w:t>To the extent permitted by law, the Company and the Agents shall be entitled to treat the registered holder as the absolute owner thereof.</w:t>
      </w:r>
    </w:p>
    <w:p>
      <w:pPr>
        <w:spacing w:after="0" w:line="127" w:lineRule="exact"/>
        <w:rPr>
          <w:sz w:val="20"/>
          <w:szCs w:val="20"/>
          <w:color w:val="auto"/>
        </w:rPr>
      </w:pPr>
    </w:p>
    <w:p>
      <w:pPr>
        <w:ind w:left="580" w:hanging="573"/>
        <w:spacing w:after="0"/>
        <w:tabs>
          <w:tab w:leader="none" w:pos="58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RELIANCE ON INSTRUCTIONS</w:t>
      </w:r>
    </w:p>
    <w:p>
      <w:pPr>
        <w:spacing w:after="0" w:line="195" w:lineRule="exact"/>
        <w:rPr>
          <w:rFonts w:ascii="Times New Roman" w:cs="Times New Roman" w:eastAsia="Times New Roman" w:hAnsi="Times New Roman"/>
          <w:sz w:val="17"/>
          <w:szCs w:val="17"/>
          <w:b w:val="1"/>
          <w:bCs w:val="1"/>
          <w:color w:val="auto"/>
        </w:rPr>
      </w:pPr>
    </w:p>
    <w:p>
      <w:pPr>
        <w:ind w:left="580" w:right="1419"/>
        <w:spacing w:after="0" w:line="28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Agent shall incur any liability to the Company acting hereunder pursuant to instructions which such Agent believed in good faith to have been given by an Authorized Representative.</w:t>
      </w:r>
    </w:p>
    <w:p>
      <w:pPr>
        <w:spacing w:after="0" w:line="127" w:lineRule="exact"/>
        <w:rPr>
          <w:rFonts w:ascii="Times New Roman" w:cs="Times New Roman" w:eastAsia="Times New Roman" w:hAnsi="Times New Roman"/>
          <w:sz w:val="17"/>
          <w:szCs w:val="17"/>
          <w:b w:val="1"/>
          <w:bCs w:val="1"/>
          <w:color w:val="auto"/>
        </w:rPr>
      </w:pPr>
    </w:p>
    <w:p>
      <w:pPr>
        <w:ind w:left="580" w:hanging="573"/>
        <w:spacing w:after="0"/>
        <w:tabs>
          <w:tab w:leader="none" w:pos="58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COMPANY'S REPRESENTATIONS AND WARRANTIES</w:t>
      </w:r>
    </w:p>
    <w:p>
      <w:pPr>
        <w:spacing w:after="0" w:line="195" w:lineRule="exact"/>
        <w:rPr>
          <w:rFonts w:ascii="Times New Roman" w:cs="Times New Roman" w:eastAsia="Times New Roman" w:hAnsi="Times New Roman"/>
          <w:sz w:val="17"/>
          <w:szCs w:val="17"/>
          <w:b w:val="1"/>
          <w:bCs w:val="1"/>
          <w:color w:val="auto"/>
        </w:rPr>
      </w:pPr>
    </w:p>
    <w:p>
      <w:pPr>
        <w:jc w:val="both"/>
        <w:ind w:left="580" w:right="1419"/>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Agent is entitled to assume that the issuance and delivery of the Notes by the Company have been duly and validly authorized by the Company and that the Notes, when completed, authenticated and delivered pursuant hereto, will constitute the legal, valid and binding obligations of the Company.</w:t>
      </w:r>
    </w:p>
    <w:p>
      <w:pPr>
        <w:spacing w:after="0" w:line="141" w:lineRule="exact"/>
        <w:rPr>
          <w:rFonts w:ascii="Times New Roman" w:cs="Times New Roman" w:eastAsia="Times New Roman" w:hAnsi="Times New Roman"/>
          <w:sz w:val="17"/>
          <w:szCs w:val="17"/>
          <w:b w:val="1"/>
          <w:bCs w:val="1"/>
          <w:color w:val="auto"/>
        </w:rPr>
      </w:pPr>
    </w:p>
    <w:p>
      <w:pPr>
        <w:ind w:left="580" w:right="1419" w:hanging="573"/>
        <w:spacing w:after="0" w:line="286" w:lineRule="auto"/>
        <w:tabs>
          <w:tab w:leader="none" w:pos="58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PAYMENT OF NOTE PRINCIPAL AND INTEREST; INTEREST PAYMENT DATES; RECORD DATES</w:t>
      </w:r>
    </w:p>
    <w:p>
      <w:pPr>
        <w:spacing w:after="0" w:line="12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color w:val="auto"/>
        </w:rPr>
        <w:t>11.1</w:t>
      </w:r>
      <w:r>
        <w:rPr>
          <w:sz w:val="20"/>
          <w:szCs w:val="20"/>
          <w:color w:val="auto"/>
        </w:rPr>
        <w:tab/>
      </w:r>
      <w:r>
        <w:rPr>
          <w:rFonts w:ascii="Times New Roman" w:cs="Times New Roman" w:eastAsia="Times New Roman" w:hAnsi="Times New Roman"/>
          <w:sz w:val="17"/>
          <w:szCs w:val="17"/>
          <w:color w:val="auto"/>
        </w:rPr>
        <w:t>Payment</w:t>
      </w:r>
    </w:p>
    <w:p>
      <w:pPr>
        <w:spacing w:after="0" w:line="194" w:lineRule="exact"/>
        <w:rPr>
          <w:sz w:val="20"/>
          <w:szCs w:val="20"/>
          <w:color w:val="auto"/>
        </w:rPr>
      </w:pPr>
    </w:p>
    <w:p>
      <w:pPr>
        <w:jc w:val="both"/>
        <w:ind w:left="580" w:right="1399"/>
        <w:spacing w:after="0" w:line="251" w:lineRule="auto"/>
        <w:rPr>
          <w:sz w:val="20"/>
          <w:szCs w:val="20"/>
          <w:color w:val="auto"/>
        </w:rPr>
      </w:pPr>
      <w:r>
        <w:rPr>
          <w:rFonts w:ascii="Times New Roman" w:cs="Times New Roman" w:eastAsia="Times New Roman" w:hAnsi="Times New Roman"/>
          <w:sz w:val="17"/>
          <w:szCs w:val="17"/>
          <w:color w:val="auto"/>
        </w:rPr>
        <w:t>The Company will, on each date on which any payment in respect of the Notes becomes due, transfer to the Fiscal Agent by 10.00 a.m. (local time in the city of the Fiscal Agent's specified office) such amount as may be required for the purposes of such payment. The Company will deliver to the Fiscal Agent by 10.00 a.m. (local time in the city of the Fiscal Agent's specified office) on the second business day in the city of the Fiscal Agent's specified office before the due date for any such payment a copy of irrevocable instructions issued by it for such payment to be made to the Fiscal Agent. In this subclause, the date on which a payment in respect of the Notes becomes due means the first date on which the holder of a Note could claim the relevant payment by transfer to an account under the Notes. The Fiscal Agent will, in turn, make such payments to the order of the common depositary for Euroclear and Clearstream, which</w:t>
      </w:r>
    </w:p>
    <w:p>
      <w:pPr>
        <w:spacing w:after="0" w:line="20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497649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580" w:right="1419"/>
        <w:spacing w:after="0" w:line="253" w:lineRule="auto"/>
        <w:rPr>
          <w:sz w:val="20"/>
          <w:szCs w:val="20"/>
          <w:color w:val="auto"/>
        </w:rPr>
      </w:pPr>
      <w:r>
        <w:rPr>
          <w:rFonts w:ascii="Times New Roman" w:cs="Times New Roman" w:eastAsia="Times New Roman" w:hAnsi="Times New Roman"/>
          <w:sz w:val="17"/>
          <w:szCs w:val="17"/>
          <w:color w:val="auto"/>
        </w:rPr>
        <w:t>will distribute such payments to participants by wire transfer of immediately available funds to the account specified by the holder or holders thereof and in accordance with their respective customary procedures. If the Fiscal Agent determines in its reasonable discretion, that payment in accordance with this subclause 11.1 is required to be made at an earlier time so as to enable the Fiscal Agent to receive funds before it is required to make payments to the Noteholders, it will provide the Issuer with no less than 21 days' prior notice in writing of such requirement.</w:t>
      </w:r>
    </w:p>
    <w:p>
      <w:pPr>
        <w:spacing w:after="0" w:line="1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color w:val="auto"/>
        </w:rPr>
        <w:t>11.2</w:t>
      </w:r>
      <w:r>
        <w:rPr>
          <w:sz w:val="20"/>
          <w:szCs w:val="20"/>
          <w:color w:val="auto"/>
        </w:rPr>
        <w:tab/>
      </w:r>
      <w:r>
        <w:rPr>
          <w:rFonts w:ascii="Times New Roman" w:cs="Times New Roman" w:eastAsia="Times New Roman" w:hAnsi="Times New Roman"/>
          <w:sz w:val="17"/>
          <w:szCs w:val="17"/>
          <w:color w:val="auto"/>
        </w:rPr>
        <w:t>Method of Payment</w:t>
      </w:r>
    </w:p>
    <w:p>
      <w:pPr>
        <w:sectPr>
          <w:pgSz w:w="11900" w:h="16838" w:orient="portrait"/>
          <w:cols w:equalWidth="0" w:num="1">
            <w:col w:w="9259"/>
          </w:cols>
          <w:pgMar w:left="1200" w:top="120" w:right="1440" w:bottom="0" w:gutter="0" w:footer="0" w:header="0"/>
        </w:sectPr>
      </w:pPr>
    </w:p>
    <w:bookmarkStart w:id="11" w:name="page12"/>
    <w:bookmarkEnd w:id="11"/>
    <w:p>
      <w:pPr>
        <w:jc w:val="both"/>
        <w:ind w:left="580" w:right="1399"/>
        <w:spacing w:after="0" w:line="249" w:lineRule="auto"/>
        <w:rPr>
          <w:sz w:val="20"/>
          <w:szCs w:val="20"/>
          <w:color w:val="auto"/>
        </w:rPr>
      </w:pPr>
      <w:r>
        <w:rPr>
          <w:rFonts w:ascii="Times New Roman" w:cs="Times New Roman" w:eastAsia="Times New Roman" w:hAnsi="Times New Roman"/>
          <w:sz w:val="17"/>
          <w:szCs w:val="17"/>
          <w:color w:val="auto"/>
        </w:rPr>
        <w:t xml:space="preserve">Noteholders must surrender Notes to a Paying Agent to collect principal payments. The Company will pay principal and interest in Euros or such other lawful currency of the participating Member States in the Third Stage of European Economic and Monetary Union of the Treaty on the Functioning of the European Union that at the time of payment is legal tender for payment of public and private debts. Payments in respect of the Notes represented by the Global Note (including principal, premium and interest) will be made by wire transfer of immediately available funds to the accounts specified by Euroclear or Clearstream. The Company will make all payments in respect of a Definitive Note (including principal, premium and interest) by mailing a check to the registered address of each Noteholder thereof; </w:t>
      </w:r>
      <w:r>
        <w:rPr>
          <w:rFonts w:ascii="Times New Roman" w:cs="Times New Roman" w:eastAsia="Times New Roman" w:hAnsi="Times New Roman"/>
          <w:sz w:val="17"/>
          <w:szCs w:val="17"/>
          <w:b w:val="1"/>
          <w:b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however</w:t>
      </w:r>
      <w:r>
        <w:rPr>
          <w:rFonts w:ascii="Times New Roman" w:cs="Times New Roman" w:eastAsia="Times New Roman" w:hAnsi="Times New Roman"/>
          <w:sz w:val="17"/>
          <w:szCs w:val="17"/>
          <w:color w:val="auto"/>
        </w:rPr>
        <w:t>, that payments on a Definitive Note will be made by wire transfer if such Noteholder elects payment by wire transfer by giving written notice to the Fiscal Agent or the Paying Agent to such effect designating such account no later than 30 days immediately preceding the relevant due date for payment (or such other date as the Fiscal Agent may accept in its discretion).</w:t>
      </w:r>
    </w:p>
    <w:p>
      <w:pPr>
        <w:spacing w:after="0" w:line="16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color w:val="auto"/>
        </w:rPr>
        <w:t>11.3</w:t>
      </w:r>
      <w:r>
        <w:rPr>
          <w:sz w:val="20"/>
          <w:szCs w:val="20"/>
          <w:color w:val="auto"/>
        </w:rPr>
        <w:tab/>
      </w:r>
      <w:r>
        <w:rPr>
          <w:rFonts w:ascii="Times New Roman" w:cs="Times New Roman" w:eastAsia="Times New Roman" w:hAnsi="Times New Roman"/>
          <w:sz w:val="17"/>
          <w:szCs w:val="17"/>
          <w:color w:val="auto"/>
        </w:rPr>
        <w:t>Notification of Non-payment</w:t>
      </w:r>
    </w:p>
    <w:p>
      <w:pPr>
        <w:spacing w:after="0" w:line="194" w:lineRule="exact"/>
        <w:rPr>
          <w:sz w:val="20"/>
          <w:szCs w:val="20"/>
          <w:color w:val="auto"/>
        </w:rPr>
      </w:pPr>
    </w:p>
    <w:p>
      <w:pPr>
        <w:jc w:val="both"/>
        <w:ind w:left="580" w:right="1419"/>
        <w:spacing w:after="0" w:line="265" w:lineRule="auto"/>
        <w:rPr>
          <w:sz w:val="20"/>
          <w:szCs w:val="20"/>
          <w:color w:val="auto"/>
        </w:rPr>
      </w:pPr>
      <w:r>
        <w:rPr>
          <w:rFonts w:ascii="Times New Roman" w:cs="Times New Roman" w:eastAsia="Times New Roman" w:hAnsi="Times New Roman"/>
          <w:sz w:val="17"/>
          <w:szCs w:val="17"/>
          <w:color w:val="auto"/>
        </w:rPr>
        <w:t>The Fiscal Agent will forthwith notify each other Paying Agent and the Company if the Fiscal Agent has not by the due date for any payment due in respect of the Notes received the full amount so payable on such date.</w:t>
      </w:r>
    </w:p>
    <w:p>
      <w:pPr>
        <w:spacing w:after="0" w:line="14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color w:val="auto"/>
        </w:rPr>
        <w:t>11.4</w:t>
      </w:r>
      <w:r>
        <w:rPr>
          <w:sz w:val="20"/>
          <w:szCs w:val="20"/>
          <w:color w:val="auto"/>
        </w:rPr>
        <w:tab/>
      </w:r>
      <w:r>
        <w:rPr>
          <w:rFonts w:ascii="Times New Roman" w:cs="Times New Roman" w:eastAsia="Times New Roman" w:hAnsi="Times New Roman"/>
          <w:sz w:val="17"/>
          <w:szCs w:val="17"/>
          <w:color w:val="auto"/>
        </w:rPr>
        <w:t>Payment by Paying Agents</w:t>
      </w:r>
    </w:p>
    <w:p>
      <w:pPr>
        <w:spacing w:after="0" w:line="194" w:lineRule="exact"/>
        <w:rPr>
          <w:sz w:val="20"/>
          <w:szCs w:val="20"/>
          <w:color w:val="auto"/>
        </w:rPr>
      </w:pPr>
    </w:p>
    <w:p>
      <w:pPr>
        <w:jc w:val="both"/>
        <w:ind w:left="580" w:right="1399"/>
        <w:spacing w:after="0" w:line="252" w:lineRule="auto"/>
        <w:rPr>
          <w:sz w:val="20"/>
          <w:szCs w:val="20"/>
          <w:color w:val="auto"/>
        </w:rPr>
      </w:pPr>
      <w:r>
        <w:rPr>
          <w:rFonts w:ascii="Times New Roman" w:cs="Times New Roman" w:eastAsia="Times New Roman" w:hAnsi="Times New Roman"/>
          <w:sz w:val="17"/>
          <w:szCs w:val="17"/>
          <w:color w:val="auto"/>
        </w:rPr>
        <w:t>Each Paying Agent will, subject to and in accordance with the Notes, pay or cause to be paid on behalf of the Company on and after each due date therefor the amounts due in respect of the Notes and, in the case of each Paying Agent other than the Fiscal Agent, will be entitled to claim any amounts so paid from the Fiscal Agent. If any payment provided for in subclause 11.1 is made late but otherwise in accordance with this Agreement, the Paying Agents may nevertheless make payments in respect of the Notes. However, unless and until the full amount of any such payment has been made to the Fiscal Agent in cleared funds, the Paying Agents will not be bound to make such payments.</w:t>
      </w:r>
    </w:p>
    <w:p>
      <w:pPr>
        <w:spacing w:after="0" w:line="156" w:lineRule="exact"/>
        <w:rPr>
          <w:sz w:val="20"/>
          <w:szCs w:val="20"/>
          <w:color w:val="auto"/>
        </w:rPr>
      </w:pPr>
    </w:p>
    <w:p>
      <w:pPr>
        <w:jc w:val="both"/>
        <w:ind w:left="580" w:right="1399"/>
        <w:spacing w:after="0" w:line="258" w:lineRule="auto"/>
        <w:rPr>
          <w:sz w:val="20"/>
          <w:szCs w:val="20"/>
          <w:color w:val="auto"/>
        </w:rPr>
      </w:pPr>
      <w:r>
        <w:rPr>
          <w:rFonts w:ascii="Times New Roman" w:cs="Times New Roman" w:eastAsia="Times New Roman" w:hAnsi="Times New Roman"/>
          <w:sz w:val="17"/>
          <w:szCs w:val="17"/>
          <w:color w:val="auto"/>
        </w:rPr>
        <w:t>Pursuant to subclause 11.9 of this Agreement, each Paying Agent shall be entitled to make payments net of any Taxes required by any Applicable Law (as defined below) to be withheld or deducted. If such a withholding or deduction is so undertaken, the Agent will not pay an additional amount in respect of that withholding or deduction.</w:t>
      </w:r>
    </w:p>
    <w:p>
      <w:pPr>
        <w:spacing w:after="0" w:line="15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color w:val="auto"/>
        </w:rPr>
        <w:t>11.5</w:t>
      </w:r>
      <w:r>
        <w:rPr>
          <w:sz w:val="20"/>
          <w:szCs w:val="20"/>
          <w:color w:val="auto"/>
        </w:rPr>
        <w:tab/>
      </w:r>
      <w:r>
        <w:rPr>
          <w:rFonts w:ascii="Times New Roman" w:cs="Times New Roman" w:eastAsia="Times New Roman" w:hAnsi="Times New Roman"/>
          <w:sz w:val="17"/>
          <w:szCs w:val="17"/>
          <w:color w:val="auto"/>
        </w:rPr>
        <w:t>Reimbursement of Paying Agents</w:t>
      </w:r>
    </w:p>
    <w:p>
      <w:pPr>
        <w:spacing w:after="0" w:line="194" w:lineRule="exact"/>
        <w:rPr>
          <w:sz w:val="20"/>
          <w:szCs w:val="20"/>
          <w:color w:val="auto"/>
        </w:rPr>
      </w:pPr>
    </w:p>
    <w:p>
      <w:pPr>
        <w:jc w:val="both"/>
        <w:ind w:left="580" w:right="1419"/>
        <w:spacing w:after="0" w:line="283" w:lineRule="auto"/>
        <w:rPr>
          <w:sz w:val="20"/>
          <w:szCs w:val="20"/>
          <w:color w:val="auto"/>
        </w:rPr>
      </w:pPr>
      <w:r>
        <w:rPr>
          <w:rFonts w:ascii="Times New Roman" w:cs="Times New Roman" w:eastAsia="Times New Roman" w:hAnsi="Times New Roman"/>
          <w:sz w:val="17"/>
          <w:szCs w:val="17"/>
          <w:color w:val="auto"/>
        </w:rPr>
        <w:t>The Fiscal Agent will on demand promptly reimburse each other Paying Agent for payments in respect of the Notes properly made by it in accordance with the Notes and this Agreement.</w:t>
      </w:r>
    </w:p>
    <w:p>
      <w:pPr>
        <w:spacing w:after="0" w:line="17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497649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59"/>
          </w:cols>
          <w:pgMar w:left="1200" w:top="120" w:right="1440" w:bottom="1440" w:gutter="0" w:footer="0" w:header="0"/>
        </w:sectPr>
      </w:pPr>
    </w:p>
    <w:bookmarkStart w:id="12" w:name="page13"/>
    <w:bookmarkEnd w:id="12"/>
    <w:p>
      <w:pPr>
        <w:spacing w:after="0"/>
        <w:tabs>
          <w:tab w:leader="none" w:pos="560" w:val="left"/>
        </w:tabs>
        <w:rPr>
          <w:sz w:val="20"/>
          <w:szCs w:val="20"/>
          <w:color w:val="auto"/>
        </w:rPr>
      </w:pPr>
      <w:r>
        <w:rPr>
          <w:rFonts w:ascii="Times New Roman" w:cs="Times New Roman" w:eastAsia="Times New Roman" w:hAnsi="Times New Roman"/>
          <w:sz w:val="17"/>
          <w:szCs w:val="17"/>
          <w:color w:val="auto"/>
        </w:rPr>
        <w:t>11.6</w:t>
      </w:r>
      <w:r>
        <w:rPr>
          <w:sz w:val="20"/>
          <w:szCs w:val="20"/>
          <w:color w:val="auto"/>
        </w:rPr>
        <w:tab/>
      </w:r>
      <w:r>
        <w:rPr>
          <w:rFonts w:ascii="Times New Roman" w:cs="Times New Roman" w:eastAsia="Times New Roman" w:hAnsi="Times New Roman"/>
          <w:sz w:val="16"/>
          <w:szCs w:val="16"/>
          <w:color w:val="auto"/>
        </w:rPr>
        <w:t>Late Payment</w:t>
      </w:r>
    </w:p>
    <w:p>
      <w:pPr>
        <w:spacing w:after="0" w:line="193" w:lineRule="exact"/>
        <w:rPr>
          <w:sz w:val="20"/>
          <w:szCs w:val="20"/>
          <w:color w:val="auto"/>
        </w:rPr>
      </w:pPr>
    </w:p>
    <w:p>
      <w:pPr>
        <w:jc w:val="both"/>
        <w:ind w:left="580" w:right="1419"/>
        <w:spacing w:after="0" w:line="265" w:lineRule="auto"/>
        <w:rPr>
          <w:sz w:val="20"/>
          <w:szCs w:val="20"/>
          <w:color w:val="auto"/>
        </w:rPr>
      </w:pPr>
      <w:r>
        <w:rPr>
          <w:rFonts w:ascii="Times New Roman" w:cs="Times New Roman" w:eastAsia="Times New Roman" w:hAnsi="Times New Roman"/>
          <w:sz w:val="17"/>
          <w:szCs w:val="17"/>
          <w:color w:val="auto"/>
        </w:rPr>
        <w:t>If the Fiscal Agent has not by the due date for any payment in respect of the Notes received the full amount payable on such date but receives it later, it will forthwith give notice to each other Paying Agent and Noteholders that it has received such full amount.</w:t>
      </w:r>
    </w:p>
    <w:p>
      <w:pPr>
        <w:spacing w:after="0" w:line="14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color w:val="auto"/>
        </w:rPr>
        <w:t>11.7</w:t>
      </w:r>
      <w:r>
        <w:rPr>
          <w:sz w:val="20"/>
          <w:szCs w:val="20"/>
          <w:color w:val="auto"/>
        </w:rPr>
        <w:tab/>
      </w:r>
      <w:r>
        <w:rPr>
          <w:rFonts w:ascii="Times New Roman" w:cs="Times New Roman" w:eastAsia="Times New Roman" w:hAnsi="Times New Roman"/>
          <w:sz w:val="17"/>
          <w:szCs w:val="17"/>
          <w:color w:val="auto"/>
        </w:rPr>
        <w:t>Moneys Held by the Fiscal Agent</w:t>
      </w:r>
    </w:p>
    <w:p>
      <w:pPr>
        <w:spacing w:after="0" w:line="194" w:lineRule="exact"/>
        <w:rPr>
          <w:sz w:val="20"/>
          <w:szCs w:val="20"/>
          <w:color w:val="auto"/>
        </w:rPr>
      </w:pPr>
    </w:p>
    <w:p>
      <w:pPr>
        <w:jc w:val="both"/>
        <w:ind w:left="580" w:right="1399"/>
        <w:spacing w:after="0" w:line="251" w:lineRule="auto"/>
        <w:rPr>
          <w:sz w:val="20"/>
          <w:szCs w:val="20"/>
          <w:color w:val="auto"/>
        </w:rPr>
      </w:pPr>
      <w:r>
        <w:rPr>
          <w:rFonts w:ascii="Times New Roman" w:cs="Times New Roman" w:eastAsia="Times New Roman" w:hAnsi="Times New Roman"/>
          <w:sz w:val="17"/>
          <w:szCs w:val="17"/>
          <w:color w:val="auto"/>
        </w:rPr>
        <w:t>The Fiscal Agent may deal with moneys paid to it under this Agreement in the same manner as other moneys paid to it as a banker by its customers except that (a) it may not exercise any lien, right of set-off or similar claim in respect of them and (b) it shall not be liable to anyone for interest on any sums held by it under this Agreement. Any moneys paid by the Company to the Fiscal Agent for payment of principal or interest which remain unclaimed for two years after such moneys have become due and payable will be repaid to the Company upon its written request and the holder may thereafter look only to the Company for payment thereof. Moneys held by the Fiscal Agent need not be segregated except as required by law. Any funds held by the Agent will not be subject to the United Kingdom FCA Client Money Rules.</w:t>
      </w:r>
    </w:p>
    <w:p>
      <w:pPr>
        <w:spacing w:after="0" w:line="35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color w:val="auto"/>
        </w:rPr>
        <w:t>11.8</w:t>
      </w:r>
      <w:r>
        <w:rPr>
          <w:sz w:val="20"/>
          <w:szCs w:val="20"/>
          <w:color w:val="auto"/>
        </w:rPr>
        <w:tab/>
      </w:r>
      <w:r>
        <w:rPr>
          <w:rFonts w:ascii="Times New Roman" w:cs="Times New Roman" w:eastAsia="Times New Roman" w:hAnsi="Times New Roman"/>
          <w:sz w:val="17"/>
          <w:szCs w:val="17"/>
          <w:color w:val="auto"/>
        </w:rPr>
        <w:t>Partial Payments</w:t>
      </w:r>
    </w:p>
    <w:p>
      <w:pPr>
        <w:spacing w:after="0" w:line="194" w:lineRule="exact"/>
        <w:rPr>
          <w:sz w:val="20"/>
          <w:szCs w:val="20"/>
          <w:color w:val="auto"/>
        </w:rPr>
      </w:pPr>
    </w:p>
    <w:p>
      <w:pPr>
        <w:jc w:val="both"/>
        <w:ind w:left="580" w:right="1419"/>
        <w:spacing w:after="0" w:line="258" w:lineRule="auto"/>
        <w:rPr>
          <w:sz w:val="20"/>
          <w:szCs w:val="20"/>
          <w:color w:val="auto"/>
        </w:rPr>
      </w:pPr>
      <w:r>
        <w:rPr>
          <w:rFonts w:ascii="Times New Roman" w:cs="Times New Roman" w:eastAsia="Times New Roman" w:hAnsi="Times New Roman"/>
          <w:sz w:val="17"/>
          <w:szCs w:val="17"/>
          <w:color w:val="auto"/>
        </w:rPr>
        <w:t>If on presentation of a Note only part of the amount payable in respect of it is paid (except as a result of deduction of tax as permitted by the terms and conditions of the Notes) the Paying Agent to whom the Note is presented shall ensure that such Note shall have attached to it a memorandum of the amount paid and the date of payment.</w:t>
      </w:r>
    </w:p>
    <w:p>
      <w:pPr>
        <w:spacing w:after="0" w:line="15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color w:val="auto"/>
        </w:rPr>
        <w:t>11.9</w:t>
      </w:r>
      <w:r>
        <w:rPr>
          <w:sz w:val="20"/>
          <w:szCs w:val="20"/>
          <w:color w:val="auto"/>
        </w:rPr>
        <w:tab/>
      </w:r>
      <w:r>
        <w:rPr>
          <w:rFonts w:ascii="Times New Roman" w:cs="Times New Roman" w:eastAsia="Times New Roman" w:hAnsi="Times New Roman"/>
          <w:sz w:val="15"/>
          <w:szCs w:val="15"/>
          <w:color w:val="auto"/>
        </w:rPr>
        <w:t>FATCA</w:t>
      </w:r>
    </w:p>
    <w:p>
      <w:pPr>
        <w:spacing w:after="0" w:line="194" w:lineRule="exact"/>
        <w:rPr>
          <w:sz w:val="20"/>
          <w:szCs w:val="20"/>
          <w:color w:val="auto"/>
        </w:rPr>
      </w:pPr>
    </w:p>
    <w:p>
      <w:pPr>
        <w:jc w:val="both"/>
        <w:ind w:left="580" w:right="1399"/>
        <w:spacing w:after="0" w:line="253" w:lineRule="auto"/>
        <w:rPr>
          <w:sz w:val="20"/>
          <w:szCs w:val="20"/>
          <w:color w:val="auto"/>
        </w:rPr>
      </w:pPr>
      <w:r>
        <w:rPr>
          <w:rFonts w:ascii="Times New Roman" w:cs="Times New Roman" w:eastAsia="Times New Roman" w:hAnsi="Times New Roman"/>
          <w:sz w:val="17"/>
          <w:szCs w:val="17"/>
          <w:color w:val="auto"/>
        </w:rPr>
        <w:t xml:space="preserve">Payments will, without prejudice to the provisions of Clause 8 of the terms and conditions of the Notes, be subject in all cases to (i) any applicable fiscal or other laws and regulations, and (ii) any withholding or deduction (the </w:t>
      </w:r>
      <w:r>
        <w:rPr>
          <w:rFonts w:ascii="Times New Roman" w:cs="Times New Roman" w:eastAsia="Times New Roman" w:hAnsi="Times New Roman"/>
          <w:sz w:val="17"/>
          <w:szCs w:val="17"/>
          <w:b w:val="1"/>
          <w:bCs w:val="1"/>
          <w:color w:val="auto"/>
        </w:rPr>
        <w:t>FATCA Withholding Tax</w:t>
      </w:r>
      <w:r>
        <w:rPr>
          <w:rFonts w:ascii="Times New Roman" w:cs="Times New Roman" w:eastAsia="Times New Roman" w:hAnsi="Times New Roman"/>
          <w:sz w:val="17"/>
          <w:szCs w:val="17"/>
          <w:color w:val="auto"/>
        </w:rPr>
        <w:t xml:space="preserve">) required pursuant to an agreement described in Section 1471(b) of the U.S. Internal Revenue Code of 1986, as amended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or otherwise imposed pursuant to Sections 1471 through 1474 of the Code, any regulations or agreements thereunder, official interpretations thereof, or any law implementing an intergovernmental approach thereto (</w:t>
      </w:r>
      <w:r>
        <w:rPr>
          <w:rFonts w:ascii="Times New Roman" w:cs="Times New Roman" w:eastAsia="Times New Roman" w:hAnsi="Times New Roman"/>
          <w:sz w:val="17"/>
          <w:szCs w:val="17"/>
          <w:b w:val="1"/>
          <w:bCs w:val="1"/>
          <w:color w:val="auto"/>
        </w:rPr>
        <w:t>FATCA</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jc w:val="both"/>
        <w:ind w:left="580" w:right="1399"/>
        <w:spacing w:after="0" w:line="251" w:lineRule="auto"/>
        <w:rPr>
          <w:sz w:val="20"/>
          <w:szCs w:val="20"/>
          <w:color w:val="auto"/>
        </w:rPr>
      </w:pPr>
      <w:r>
        <w:rPr>
          <w:rFonts w:ascii="Times New Roman" w:cs="Times New Roman" w:eastAsia="Times New Roman" w:hAnsi="Times New Roman"/>
          <w:sz w:val="17"/>
          <w:szCs w:val="17"/>
          <w:color w:val="auto"/>
        </w:rPr>
        <w:t xml:space="preserve">If, for any reason, each of the Agents that is a "foreign financial institution," as such term is defined under FATCA (the </w:t>
      </w:r>
      <w:r>
        <w:rPr>
          <w:rFonts w:ascii="Times New Roman" w:cs="Times New Roman" w:eastAsia="Times New Roman" w:hAnsi="Times New Roman"/>
          <w:sz w:val="17"/>
          <w:szCs w:val="17"/>
          <w:b w:val="1"/>
          <w:bCs w:val="1"/>
          <w:color w:val="auto"/>
        </w:rPr>
        <w:t>FFI</w:t>
      </w:r>
      <w:r>
        <w:rPr>
          <w:rFonts w:ascii="Times New Roman" w:cs="Times New Roman" w:eastAsia="Times New Roman" w:hAnsi="Times New Roman"/>
          <w:sz w:val="17"/>
          <w:szCs w:val="17"/>
          <w:color w:val="auto"/>
        </w:rPr>
        <w:t xml:space="preserve">) does not become, or ceases to be, an FFI that, as from the effective date of any rules requiring withholding on "withholdable payments" or "passthru payments" (as such terms are defined pursuant to FATCA), meets the requirements of Section 1471(b) of the Code and any regulations or other official guidance issued thereunder and that has not elected to be withheld upon pursuant to Section 1471(b)(3) of the Code (the </w:t>
      </w:r>
      <w:r>
        <w:rPr>
          <w:rFonts w:ascii="Times New Roman" w:cs="Times New Roman" w:eastAsia="Times New Roman" w:hAnsi="Times New Roman"/>
          <w:sz w:val="17"/>
          <w:szCs w:val="17"/>
          <w:b w:val="1"/>
          <w:bCs w:val="1"/>
          <w:color w:val="auto"/>
        </w:rPr>
        <w:t>Participating FFI</w:t>
      </w:r>
      <w:r>
        <w:rPr>
          <w:rFonts w:ascii="Times New Roman" w:cs="Times New Roman" w:eastAsia="Times New Roman" w:hAnsi="Times New Roman"/>
          <w:sz w:val="17"/>
          <w:szCs w:val="17"/>
          <w:color w:val="auto"/>
        </w:rPr>
        <w:t>) and the Company considers in its sole discretion that it may be liable as a result to pay any FATCA Withholding Tax in respect of any payment due on any Notes, then the Company will be entitled to remove any or all the Agents in accordance with Clause 19 in order that the payment may be made without FATCA Withholding Tax.</w:t>
      </w:r>
    </w:p>
    <w:p>
      <w:pPr>
        <w:spacing w:after="0" w:line="155" w:lineRule="exact"/>
        <w:rPr>
          <w:sz w:val="20"/>
          <w:szCs w:val="20"/>
          <w:color w:val="auto"/>
        </w:rPr>
      </w:pPr>
    </w:p>
    <w:p>
      <w:pPr>
        <w:jc w:val="both"/>
        <w:ind w:left="580" w:right="1399"/>
        <w:spacing w:after="0" w:line="251" w:lineRule="auto"/>
        <w:rPr>
          <w:sz w:val="20"/>
          <w:szCs w:val="20"/>
          <w:color w:val="auto"/>
        </w:rPr>
      </w:pPr>
      <w:r>
        <w:rPr>
          <w:rFonts w:ascii="Times New Roman" w:cs="Times New Roman" w:eastAsia="Times New Roman" w:hAnsi="Times New Roman"/>
          <w:sz w:val="17"/>
          <w:szCs w:val="17"/>
          <w:color w:val="auto"/>
        </w:rPr>
        <w:t>Each party to this Agreement shall, within ten business days of a written request by another party, supply to that other party such forms, documentation and other information relating to it, its operations, or the Notes as that other party reasonably requests for the purposes of that other party's compliance with the Tax reporting or compliance obligations under FATCA or similar regimes adopted in other jurisdictions and shall notify the relevant other party reasonably promptly in the event that it becomes aware that any of the forms, documentation or other information provided by such party is (or becomes) inaccurate in any material respect; provided, however, that no party shall be required to provide any forms, documentation or other information pursuant to this subclause 11.9 to the extent that: (i) any such form, documentation</w:t>
      </w: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497649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59"/>
          </w:cols>
          <w:pgMar w:left="1200" w:top="120" w:right="1440" w:bottom="1440" w:gutter="0" w:footer="0" w:header="0"/>
        </w:sectPr>
      </w:pPr>
    </w:p>
    <w:bookmarkStart w:id="13" w:name="page14"/>
    <w:bookmarkEnd w:id="13"/>
    <w:p>
      <w:pPr>
        <w:jc w:val="both"/>
        <w:ind w:left="340" w:right="1399"/>
        <w:spacing w:after="0" w:line="251" w:lineRule="auto"/>
        <w:rPr>
          <w:sz w:val="20"/>
          <w:szCs w:val="20"/>
          <w:color w:val="auto"/>
        </w:rPr>
      </w:pPr>
      <w:r>
        <w:rPr>
          <w:rFonts w:ascii="Times New Roman" w:cs="Times New Roman" w:eastAsia="Times New Roman" w:hAnsi="Times New Roman"/>
          <w:sz w:val="17"/>
          <w:szCs w:val="17"/>
          <w:color w:val="auto"/>
        </w:rPr>
        <w:t>or other information (or the information required to be provided on such form or documentation) is not reasonably available to such party and cannot be obtained by such Party using reasonable efforts; or (ii) doing so would or might in the reasonable opinion of such party constitute a breach of any: (a) Applicable Law; (b) fiduciary duty; or (c) duty of confidentiality. For purposes of this subclause 11.9, “Applicable Law” shall be deemed to include (i) any rule or practice of any competent regulatory, prosecuting, tax or governmental authority in any jurisdiction (</w:t>
      </w:r>
      <w:r>
        <w:rPr>
          <w:rFonts w:ascii="Times New Roman" w:cs="Times New Roman" w:eastAsia="Times New Roman" w:hAnsi="Times New Roman"/>
          <w:sz w:val="17"/>
          <w:szCs w:val="17"/>
          <w:b w:val="1"/>
          <w:bCs w:val="1"/>
          <w:color w:val="auto"/>
        </w:rPr>
        <w:t>Authority</w:t>
      </w:r>
      <w:r>
        <w:rPr>
          <w:rFonts w:ascii="Times New Roman" w:cs="Times New Roman" w:eastAsia="Times New Roman" w:hAnsi="Times New Roman"/>
          <w:sz w:val="17"/>
          <w:szCs w:val="17"/>
          <w:color w:val="auto"/>
        </w:rPr>
        <w:t>) by which any party is bound or with which it is accustomed to comply; (ii) any agreement between any Authorities; and (iii) any agreement between any Authority and any party that is customarily entered into by institutions of a similar nature.</w:t>
      </w:r>
    </w:p>
    <w:p>
      <w:pPr>
        <w:spacing w:after="0" w:line="358" w:lineRule="exact"/>
        <w:rPr>
          <w:sz w:val="20"/>
          <w:szCs w:val="20"/>
          <w:color w:val="auto"/>
        </w:rPr>
      </w:pPr>
    </w:p>
    <w:p>
      <w:pPr>
        <w:jc w:val="both"/>
        <w:ind w:left="340" w:right="1399"/>
        <w:spacing w:after="0" w:line="248" w:lineRule="auto"/>
        <w:rPr>
          <w:sz w:val="20"/>
          <w:szCs w:val="20"/>
          <w:color w:val="auto"/>
        </w:rPr>
      </w:pPr>
      <w:r>
        <w:rPr>
          <w:rFonts w:ascii="Times New Roman" w:cs="Times New Roman" w:eastAsia="Times New Roman" w:hAnsi="Times New Roman"/>
          <w:sz w:val="17"/>
          <w:szCs w:val="17"/>
          <w:color w:val="auto"/>
        </w:rPr>
        <w:t xml:space="preserve">The Agents will treat information relating to or provided by the Company as confidential, but (unless consent is prohibited by law) the Company consents to the processing, transfer and disclosure by the Agents of any information relating to or provided by the Company to any of the Agents, their affiliates and agents, and third parties (including service providers) selected by any of them, wherever situated (together, the </w:t>
      </w:r>
      <w:r>
        <w:rPr>
          <w:rFonts w:ascii="Times New Roman" w:cs="Times New Roman" w:eastAsia="Times New Roman" w:hAnsi="Times New Roman"/>
          <w:sz w:val="17"/>
          <w:szCs w:val="17"/>
          <w:b w:val="1"/>
          <w:bCs w:val="1"/>
          <w:color w:val="auto"/>
        </w:rPr>
        <w:t>Authorized Recipients</w:t>
      </w:r>
      <w:r>
        <w:rPr>
          <w:rFonts w:ascii="Times New Roman" w:cs="Times New Roman" w:eastAsia="Times New Roman" w:hAnsi="Times New Roman"/>
          <w:sz w:val="17"/>
          <w:szCs w:val="17"/>
          <w:color w:val="auto"/>
        </w:rPr>
        <w:t>), for confidential use (including without limitation in connection with the provision of any service and for data processing, statistical and risk analysis purposes and for compliance with FATCA) provided that the Agents have ensured or shall ensure that each such Authorized Recipient to which they provide such confidential information is aware that such information is confidential and should be treated accordingly. The Agents, their affiliates and agents, and third parties referred to above may also transfer and disclose any such information as is required or requested by, or to, any court, legal process, FATCA or any competent regulatory, prosecuting, tax or governmental authority in any jurisdiction, domestic or foreign, including an auditor of a party to this Agreement and including any payor or payee as required by FATCA, and may use (and their performance will be subject to the rules of) any communications, clearing or payment systems, intermediary bank or other system. The Company (a) acknowledges that the transfers permitted by this clause may include transfers to jurisdictions which do not have strict data protection or data privacy laws; and (b) represents that it has provided to and secured from any person regarding whom it has provided information to the Agents any notices, consents and waivers necessary to permit the processing, transfer and disclosure of that information as permitted by this clause and that it will provide such notices and secure such necessary consents and waivers in advance of providing similar information to the Agents in the future.</w:t>
      </w:r>
    </w:p>
    <w:p>
      <w:pPr>
        <w:spacing w:after="0" w:line="162" w:lineRule="exact"/>
        <w:rPr>
          <w:sz w:val="20"/>
          <w:szCs w:val="20"/>
          <w:color w:val="auto"/>
        </w:rPr>
      </w:pPr>
    </w:p>
    <w:p>
      <w:pPr>
        <w:jc w:val="both"/>
        <w:ind w:left="340" w:right="1399"/>
        <w:spacing w:after="0" w:line="249" w:lineRule="auto"/>
        <w:rPr>
          <w:sz w:val="20"/>
          <w:szCs w:val="20"/>
          <w:color w:val="auto"/>
        </w:rPr>
      </w:pPr>
      <w:r>
        <w:rPr>
          <w:rFonts w:ascii="Times New Roman" w:cs="Times New Roman" w:eastAsia="Times New Roman" w:hAnsi="Times New Roman"/>
          <w:sz w:val="17"/>
          <w:szCs w:val="17"/>
          <w:color w:val="auto"/>
        </w:rPr>
        <w:t xml:space="preserve">Any payment by the Agents under this Agreement will be made without any deduction or withholding for or on account of any taxes, levies, imposts, charges, assessments, deductions, withholdings and related liabilities relating to payments made under the Notes that are required by applicable law (together, </w:t>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 provided, however, each Agent shall be entitled to make a deduction or withholding from any payment that it makes under any Notes for or on account of any Taxes, if and only to the extent so required by Applicable Law, in which event the Agent shall make such payment after such deduction or withholding has been made and shall account to the relevant governmental authority within the time allowed for the amount so deducted or withheld or, at its option, shall reasonably promptly after making such payment return to the Company the amount so deducted or withheld, in which case, the Company shall so account to the relevant Authority for such amount. For the avoidance of doubt, FATCA Withholding Tax is a deduction or withholding that is deemed to be required by Applicable Law for purposes of this Clause 11.9.</w:t>
      </w:r>
    </w:p>
    <w:p>
      <w:pPr>
        <w:spacing w:after="0" w:line="163" w:lineRule="exact"/>
        <w:rPr>
          <w:sz w:val="20"/>
          <w:szCs w:val="20"/>
          <w:color w:val="auto"/>
        </w:rPr>
      </w:pPr>
    </w:p>
    <w:p>
      <w:pPr>
        <w:jc w:val="both"/>
        <w:ind w:left="340" w:right="1399"/>
        <w:spacing w:after="0" w:line="253" w:lineRule="auto"/>
        <w:rPr>
          <w:sz w:val="20"/>
          <w:szCs w:val="20"/>
          <w:color w:val="auto"/>
        </w:rPr>
      </w:pPr>
      <w:r>
        <w:rPr>
          <w:rFonts w:ascii="Times New Roman" w:cs="Times New Roman" w:eastAsia="Times New Roman" w:hAnsi="Times New Roman"/>
          <w:sz w:val="17"/>
          <w:szCs w:val="17"/>
          <w:color w:val="auto"/>
        </w:rPr>
        <w:t>The Company shall notify each Agent in the event that the Company determines that any payment to be made by an Agent under any Notes is a payment that could be subject to FATCA Withholding Tax if such payment were made to a recipient that is generally unable to receive payments free from FATCA Withholding Tax, and the extent to which the relevant payment is so treated, provided, however, that the Company’s obligation under this Clause 11.9 shall apply only to the extent that such payments are so treated by virtue of characteristics of the Company, such Notes, or both.</w:t>
      </w:r>
    </w:p>
    <w:p>
      <w:pPr>
        <w:spacing w:after="0" w:line="20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90170</wp:posOffset>
            </wp:positionV>
            <wp:extent cx="497649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4" w:name="page15"/>
    <w:bookmarkEnd w:id="14"/>
    <w:p>
      <w:pPr>
        <w:jc w:val="both"/>
        <w:ind w:left="573" w:right="1399"/>
        <w:spacing w:after="0" w:line="250" w:lineRule="auto"/>
        <w:rPr>
          <w:sz w:val="20"/>
          <w:szCs w:val="20"/>
          <w:color w:val="auto"/>
        </w:rPr>
      </w:pPr>
      <w:r>
        <w:rPr>
          <w:rFonts w:ascii="Times New Roman" w:cs="Times New Roman" w:eastAsia="Times New Roman" w:hAnsi="Times New Roman"/>
          <w:sz w:val="17"/>
          <w:szCs w:val="17"/>
          <w:color w:val="auto"/>
        </w:rPr>
        <w:t>In the event that the Company determines in its sole discretion that any deduction or withholding for or on account of any Tax will be required by Applicable Law in connection with any payment due to any of the Agents on any Notes, then the Company will be entitled to redirect or reorganize any such payment in any way that it sees fit in order that the payment may be made without such deduction or withholding provided that, any such redirected or reorganized payment is made through a recognized institution of international standing and otherwise made in accordance with this Agreement. The Company will promptly notify the Agents of any such redirection or reorganization. For the avoidance of doubt, FATCA Withholding Tax is a deduction or withholding which is deemed to be required by Applicable Law for the purposes of this Clause 11.9.</w:t>
      </w:r>
    </w:p>
    <w:p>
      <w:pPr>
        <w:spacing w:after="0" w:line="159" w:lineRule="exact"/>
        <w:rPr>
          <w:sz w:val="20"/>
          <w:szCs w:val="20"/>
          <w:color w:val="auto"/>
        </w:rPr>
      </w:pPr>
    </w:p>
    <w:p>
      <w:pPr>
        <w:ind w:left="573" w:hanging="573"/>
        <w:spacing w:after="0"/>
        <w:tabs>
          <w:tab w:leader="none" w:pos="573"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DUTIES OF THE FISCAL AGENT</w:t>
      </w:r>
    </w:p>
    <w:p>
      <w:pPr>
        <w:spacing w:after="0" w:line="195" w:lineRule="exact"/>
        <w:rPr>
          <w:rFonts w:ascii="Times New Roman" w:cs="Times New Roman" w:eastAsia="Times New Roman" w:hAnsi="Times New Roman"/>
          <w:sz w:val="17"/>
          <w:szCs w:val="17"/>
          <w:b w:val="1"/>
          <w:bCs w:val="1"/>
          <w:color w:val="auto"/>
        </w:rPr>
      </w:pPr>
    </w:p>
    <w:p>
      <w:pPr>
        <w:ind w:left="573" w:right="1419"/>
        <w:spacing w:after="0" w:line="28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accordance with the terms and conditions of the Notes and this Agreement or if otherwise requested by the Company, the Fiscal Agent will:</w:t>
      </w:r>
    </w:p>
    <w:p>
      <w:pPr>
        <w:spacing w:after="0" w:line="129" w:lineRule="exact"/>
        <w:rPr>
          <w:rFonts w:ascii="Times New Roman" w:cs="Times New Roman" w:eastAsia="Times New Roman" w:hAnsi="Times New Roman"/>
          <w:sz w:val="17"/>
          <w:szCs w:val="17"/>
          <w:b w:val="1"/>
          <w:bCs w:val="1"/>
          <w:color w:val="auto"/>
        </w:rPr>
      </w:pPr>
    </w:p>
    <w:p>
      <w:pPr>
        <w:ind w:left="1133" w:hanging="567"/>
        <w:spacing w:after="0"/>
        <w:tabs>
          <w:tab w:leader="none" w:pos="1133"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 requests to effect exchanges of the Global Note to Definitive Notes;</w:t>
      </w:r>
    </w:p>
    <w:p>
      <w:pPr>
        <w:spacing w:after="0" w:line="193" w:lineRule="exact"/>
        <w:rPr>
          <w:rFonts w:ascii="Times New Roman" w:cs="Times New Roman" w:eastAsia="Times New Roman" w:hAnsi="Times New Roman"/>
          <w:sz w:val="17"/>
          <w:szCs w:val="17"/>
          <w:color w:val="auto"/>
        </w:rPr>
      </w:pPr>
    </w:p>
    <w:p>
      <w:pPr>
        <w:ind w:left="1133" w:right="1419" w:hanging="567"/>
        <w:spacing w:after="0" w:line="283" w:lineRule="auto"/>
        <w:tabs>
          <w:tab w:leader="none" w:pos="1133"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 record of the Global Note and the certificate number or numbers of all Definitive Notes delivered hereunder;</w:t>
      </w:r>
    </w:p>
    <w:p>
      <w:pPr>
        <w:spacing w:after="0" w:line="129" w:lineRule="exact"/>
        <w:rPr>
          <w:rFonts w:ascii="Times New Roman" w:cs="Times New Roman" w:eastAsia="Times New Roman" w:hAnsi="Times New Roman"/>
          <w:sz w:val="17"/>
          <w:szCs w:val="17"/>
          <w:color w:val="auto"/>
        </w:rPr>
      </w:pPr>
    </w:p>
    <w:p>
      <w:pPr>
        <w:jc w:val="both"/>
        <w:ind w:left="1133" w:right="1399" w:hanging="567"/>
        <w:spacing w:after="0" w:line="250" w:lineRule="auto"/>
        <w:tabs>
          <w:tab w:leader="none" w:pos="1133"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carry out such other acts as may be necessary to give effect to the terms and conditions of the Notes with respect to payment, transfer, cancellation and replacement, including, with respect to Definitive Notes, (i) retaining Forms W-9, W-8BEN, W-8BEN-E, W-8ECI, W-8IMY or other appropriate tax certification provided by or on behalf of the Noteholders necessary to exempt such Noteholders from withholding tax under the Internal Revenue Code of 1986, as amended, (ii) preparing and mailing to Noteholders and (iii) filing with the U.S. Internal Revenue Service any applicable forms or reports with respect to any payment made by the Fiscal Agent hereunder. The Fiscal Agent shall withhold and remit any withholding tax required to be withheld from any payments to Noteholders who have not supplied the required certification specified in subclause (i) above;</w:t>
      </w:r>
    </w:p>
    <w:p>
      <w:pPr>
        <w:spacing w:after="0" w:line="158" w:lineRule="exact"/>
        <w:rPr>
          <w:rFonts w:ascii="Times New Roman" w:cs="Times New Roman" w:eastAsia="Times New Roman" w:hAnsi="Times New Roman"/>
          <w:sz w:val="17"/>
          <w:szCs w:val="17"/>
          <w:color w:val="auto"/>
        </w:rPr>
      </w:pPr>
    </w:p>
    <w:p>
      <w:pPr>
        <w:jc w:val="both"/>
        <w:ind w:left="1133" w:right="1399" w:hanging="567"/>
        <w:spacing w:after="0" w:line="253" w:lineRule="auto"/>
        <w:tabs>
          <w:tab w:leader="none" w:pos="1133"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Company's right of redemption set forth in Clause 8.5 above, if any Note is mutilated or defaced or is apparently destroyed, lost or stolen, replace such Note at a specified office of any Paying Agent, subject to all applicable laws and stock exchange requirements, upon payment by the claimant of the expenses incurred in connection therewith and on such terms and with such indemnity as the Company and the Fiscal Agent may require (mutilated or defaced Notes must be surrendered before replacements will be issued); and</w:t>
      </w:r>
    </w:p>
    <w:p>
      <w:pPr>
        <w:spacing w:after="0" w:line="156" w:lineRule="exact"/>
        <w:rPr>
          <w:rFonts w:ascii="Times New Roman" w:cs="Times New Roman" w:eastAsia="Times New Roman" w:hAnsi="Times New Roman"/>
          <w:sz w:val="17"/>
          <w:szCs w:val="17"/>
          <w:color w:val="auto"/>
        </w:rPr>
      </w:pPr>
    </w:p>
    <w:p>
      <w:pPr>
        <w:jc w:val="both"/>
        <w:ind w:left="1133" w:right="1399" w:hanging="567"/>
        <w:spacing w:after="0" w:line="255" w:lineRule="auto"/>
        <w:tabs>
          <w:tab w:leader="none" w:pos="1133"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and in accordance with the instructions, and at the expense, of the Company received at least 10 days before the proposed publication date, arrange for the publication of any notice which is to be given to the Noteholders and supply a copy thereof to each other Paying Agent, Euroclear, Clearstream and, so long as the Notes are listed thereon, the Irish Stock Exchange plc trading as Euronext Dublin (</w:t>
      </w:r>
      <w:r>
        <w:rPr>
          <w:rFonts w:ascii="Times New Roman" w:cs="Times New Roman" w:eastAsia="Times New Roman" w:hAnsi="Times New Roman"/>
          <w:sz w:val="17"/>
          <w:szCs w:val="17"/>
          <w:b w:val="1"/>
          <w:bCs w:val="1"/>
          <w:color w:val="auto"/>
        </w:rPr>
        <w:t>Euronext Dublin</w:t>
      </w:r>
      <w:r>
        <w:rPr>
          <w:rFonts w:ascii="Times New Roman" w:cs="Times New Roman" w:eastAsia="Times New Roman" w:hAnsi="Times New Roman"/>
          <w:sz w:val="17"/>
          <w:szCs w:val="17"/>
          <w:color w:val="auto"/>
        </w:rPr>
        <w:t>).</w:t>
      </w:r>
    </w:p>
    <w:p>
      <w:pPr>
        <w:spacing w:after="0" w:line="151" w:lineRule="exact"/>
        <w:rPr>
          <w:rFonts w:ascii="Times New Roman" w:cs="Times New Roman" w:eastAsia="Times New Roman" w:hAnsi="Times New Roman"/>
          <w:sz w:val="17"/>
          <w:szCs w:val="17"/>
          <w:color w:val="auto"/>
        </w:rPr>
      </w:pPr>
    </w:p>
    <w:p>
      <w:pPr>
        <w:ind w:left="573" w:hanging="573"/>
        <w:spacing w:after="0"/>
        <w:tabs>
          <w:tab w:leader="none" w:pos="573"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LIABILITY</w:t>
      </w:r>
    </w:p>
    <w:p>
      <w:pPr>
        <w:spacing w:after="0" w:line="195" w:lineRule="exact"/>
        <w:rPr>
          <w:rFonts w:ascii="Times New Roman" w:cs="Times New Roman" w:eastAsia="Times New Roman" w:hAnsi="Times New Roman"/>
          <w:sz w:val="17"/>
          <w:szCs w:val="17"/>
          <w:b w:val="1"/>
          <w:bCs w:val="1"/>
          <w:color w:val="auto"/>
        </w:rPr>
      </w:pPr>
    </w:p>
    <w:p>
      <w:pPr>
        <w:jc w:val="both"/>
        <w:ind w:left="573" w:right="1399"/>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Neither the Agents nor their officers or employees shall be liable for any act or omission hereunder except in the case of gross negligence or willful default. The duties and obligations of the Agents and their officers and employees shall be determined by the express provisions of this Agreement and they shall not be liable except for the performance of such duties and obligations as are specifically set forth herein, and no implied covenants shall be read into this Agreement against them. The Agents shall be protected and</w:t>
      </w:r>
    </w:p>
    <w:p>
      <w:pPr>
        <w:spacing w:after="0" w:line="200" w:lineRule="exact"/>
        <w:rPr>
          <w:sz w:val="20"/>
          <w:szCs w:val="20"/>
          <w:color w:val="auto"/>
        </w:rPr>
      </w:pPr>
    </w:p>
    <w:p>
      <w:pPr>
        <w:spacing w:after="0" w:line="206" w:lineRule="exact"/>
        <w:rPr>
          <w:sz w:val="20"/>
          <w:szCs w:val="20"/>
          <w:color w:val="auto"/>
        </w:rPr>
      </w:pPr>
    </w:p>
    <w:p>
      <w:pPr>
        <w:ind w:left="3893"/>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497649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53"/>
          </w:cols>
          <w:pgMar w:left="1207" w:top="120" w:right="1440" w:bottom="1440" w:gutter="0" w:footer="0" w:header="0"/>
        </w:sectPr>
      </w:pPr>
    </w:p>
    <w:bookmarkStart w:id="15" w:name="page16"/>
    <w:bookmarkEnd w:id="15"/>
    <w:p>
      <w:pPr>
        <w:jc w:val="both"/>
        <w:ind w:left="573" w:right="1399"/>
        <w:spacing w:after="0" w:line="249" w:lineRule="auto"/>
        <w:rPr>
          <w:sz w:val="20"/>
          <w:szCs w:val="20"/>
          <w:color w:val="auto"/>
        </w:rPr>
      </w:pPr>
      <w:r>
        <w:rPr>
          <w:rFonts w:ascii="Times New Roman" w:cs="Times New Roman" w:eastAsia="Times New Roman" w:hAnsi="Times New Roman"/>
          <w:sz w:val="17"/>
          <w:szCs w:val="17"/>
          <w:color w:val="auto"/>
        </w:rPr>
        <w:t>shall incur no liability for or in respect of any action taken, omitted or suffered in reliance upon any instruction, request or order from the Company, or any Note, form of transfer, resolution, direction, consent, certificate, affidavit, statement, facsimile transmission, electronic message or other paper or document reasonably believed by it, acting in good faith, to be genuine and to have been delivered, signed or sent by the proper party or parties. The Agents shall be entitled to do nothing, without liability, if conflicting, unclear or equivocal instructions are received in order to comply with any Applicable Law. The Agents may consult with counsel or other professionals and shall be fully protected in any action reasonably taken, omitted or suffered in good faith in accordance with the advice of counsel. Neither the Agents nor their officers or employees shall be required to ascertain whether any issuance or sale of Notes (or any amendment or termination of this Agreement) have been duly authorized or are in compliance with any other agreement to which the Company is a party (whether or not the Agents are also a party to such other agreement).</w:t>
      </w:r>
    </w:p>
    <w:p>
      <w:pPr>
        <w:spacing w:after="0" w:line="162" w:lineRule="exact"/>
        <w:rPr>
          <w:sz w:val="20"/>
          <w:szCs w:val="20"/>
          <w:color w:val="auto"/>
        </w:rPr>
      </w:pPr>
    </w:p>
    <w:p>
      <w:pPr>
        <w:jc w:val="both"/>
        <w:ind w:left="573" w:right="1399"/>
        <w:spacing w:after="0" w:line="253" w:lineRule="auto"/>
        <w:rPr>
          <w:sz w:val="20"/>
          <w:szCs w:val="20"/>
          <w:color w:val="auto"/>
        </w:rPr>
      </w:pPr>
      <w:r>
        <w:rPr>
          <w:rFonts w:ascii="Times New Roman" w:cs="Times New Roman" w:eastAsia="Times New Roman" w:hAnsi="Times New Roman"/>
          <w:sz w:val="17"/>
          <w:szCs w:val="17"/>
          <w:color w:val="auto"/>
        </w:rPr>
        <w:t>Notwithstanding anything else herein contained, the Agents may refrain without liability from doing anything that would or might in their opinion be contrary to any law of any state or jurisdiction (including but not limited to the United States of America or any jurisdiction forming a part of it, and England &amp; Wales) or any directive or regulation of any agency of any such state or jurisdiction or which would or might otherwise render the Agents liable to any person or may without liability do anything which is, in the Agents’ opinion, necessary to comply with any such law, directive or regulation</w:t>
      </w:r>
      <w:r>
        <w:rPr>
          <w:rFonts w:ascii="Times New Roman" w:cs="Times New Roman" w:eastAsia="Times New Roman" w:hAnsi="Times New Roman"/>
          <w:sz w:val="17"/>
          <w:szCs w:val="17"/>
          <w:color w:val="0516BB"/>
        </w:rPr>
        <w:t>.</w:t>
      </w:r>
    </w:p>
    <w:p>
      <w:pPr>
        <w:spacing w:after="0" w:line="154" w:lineRule="exact"/>
        <w:rPr>
          <w:sz w:val="20"/>
          <w:szCs w:val="20"/>
          <w:color w:val="auto"/>
        </w:rPr>
      </w:pPr>
    </w:p>
    <w:p>
      <w:pPr>
        <w:ind w:left="573" w:hanging="573"/>
        <w:spacing w:after="0"/>
        <w:tabs>
          <w:tab w:leader="none" w:pos="573"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INDEMNIFICATION BY COMPANY</w:t>
      </w:r>
    </w:p>
    <w:p>
      <w:pPr>
        <w:spacing w:after="0" w:line="195" w:lineRule="exact"/>
        <w:rPr>
          <w:rFonts w:ascii="Times New Roman" w:cs="Times New Roman" w:eastAsia="Times New Roman" w:hAnsi="Times New Roman"/>
          <w:sz w:val="17"/>
          <w:szCs w:val="17"/>
          <w:b w:val="1"/>
          <w:bCs w:val="1"/>
          <w:color w:val="auto"/>
        </w:rPr>
      </w:pPr>
    </w:p>
    <w:p>
      <w:pPr>
        <w:jc w:val="both"/>
        <w:ind w:left="573" w:right="1399"/>
        <w:spacing w:after="0" w:line="25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agrees to indemnify and hold harmless each Agent and each of its respective directors, officers, employees and agents from and against any and all liabilities (including liability for penalties), losses, claims, damages, actions, suits, judgments, demands, costs and expenses (including reasonable legal fees and expenses) relating to or arising out of or in connection with its or their respective performance under this Agreement, except to the extent that they are caused by the gross negligence or willful default of each such Agent or the directors, officers, employees and agents of each such Agent. The foregoing indemnity includes, but is not limited to, any action taken or omitted in good faith within the scope of this Agreement upon telephone, telecopier or other electronically transmitted instructions, if authorized herein, received from or believed by the Agents in good faith to have been given by, an Authorized Representative. This indemnity shall survive the resignation or removal of any Agent and the expiry or termination of this Agreement.</w:t>
      </w:r>
    </w:p>
    <w:p>
      <w:pPr>
        <w:spacing w:after="0" w:line="153" w:lineRule="exact"/>
        <w:rPr>
          <w:rFonts w:ascii="Times New Roman" w:cs="Times New Roman" w:eastAsia="Times New Roman" w:hAnsi="Times New Roman"/>
          <w:sz w:val="17"/>
          <w:szCs w:val="17"/>
          <w:b w:val="1"/>
          <w:bCs w:val="1"/>
          <w:color w:val="auto"/>
        </w:rPr>
      </w:pPr>
    </w:p>
    <w:p>
      <w:pPr>
        <w:ind w:left="573" w:hanging="573"/>
        <w:spacing w:after="0"/>
        <w:tabs>
          <w:tab w:leader="none" w:pos="573"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INDEMNIFICATION BY THE AGENTS</w:t>
      </w:r>
    </w:p>
    <w:p>
      <w:pPr>
        <w:spacing w:after="0" w:line="195" w:lineRule="exact"/>
        <w:rPr>
          <w:rFonts w:ascii="Times New Roman" w:cs="Times New Roman" w:eastAsia="Times New Roman" w:hAnsi="Times New Roman"/>
          <w:sz w:val="17"/>
          <w:szCs w:val="17"/>
          <w:b w:val="1"/>
          <w:bCs w:val="1"/>
          <w:color w:val="auto"/>
        </w:rPr>
      </w:pPr>
    </w:p>
    <w:p>
      <w:pPr>
        <w:jc w:val="both"/>
        <w:ind w:left="573" w:right="1399"/>
        <w:spacing w:after="0" w:line="25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Agent agrees severally to indemnify and hold harmless the Company, its directors, officers, employees and agents from and against any and all liabilities (including liability for penalties), losses, claims, damages, actions, suits, judgments, demands, costs and expenses (including properly incurred legal fees and expenses) relating to or arising out of or in connection with its performance, in any capacity, under this Agreement, to the extent that they are caused by the gross negligence or willful default of such Agent. Each Agent shall have no liability whatsoever for any consequential or indirect loss (including, but not limited to, loss of business, goodwill, opportunity or profit) of any kind whatsoever. This indemnity shall survive the resignation or removal of any Agent and the expiry or termination of this Agreement.</w:t>
      </w:r>
    </w:p>
    <w:p>
      <w:pPr>
        <w:spacing w:after="0" w:line="357" w:lineRule="exact"/>
        <w:rPr>
          <w:rFonts w:ascii="Times New Roman" w:cs="Times New Roman" w:eastAsia="Times New Roman" w:hAnsi="Times New Roman"/>
          <w:sz w:val="17"/>
          <w:szCs w:val="17"/>
          <w:b w:val="1"/>
          <w:bCs w:val="1"/>
          <w:color w:val="auto"/>
        </w:rPr>
      </w:pPr>
    </w:p>
    <w:p>
      <w:pPr>
        <w:ind w:left="573" w:hanging="573"/>
        <w:spacing w:after="0"/>
        <w:tabs>
          <w:tab w:leader="none" w:pos="573"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COMPENSATION OF THE AGENTS</w:t>
      </w:r>
    </w:p>
    <w:p>
      <w:pPr>
        <w:spacing w:after="0" w:line="195" w:lineRule="exact"/>
        <w:rPr>
          <w:rFonts w:ascii="Times New Roman" w:cs="Times New Roman" w:eastAsia="Times New Roman" w:hAnsi="Times New Roman"/>
          <w:sz w:val="17"/>
          <w:szCs w:val="17"/>
          <w:b w:val="1"/>
          <w:bCs w:val="1"/>
          <w:color w:val="auto"/>
        </w:rPr>
      </w:pPr>
    </w:p>
    <w:p>
      <w:pPr>
        <w:jc w:val="both"/>
        <w:ind w:left="573" w:right="1399"/>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agrees to pay the compensation of each Agent at such rates as shall be agreed upon from time to time and to reimburse each Agent for properly incurred and documented out-of-pocket expenses (including costs of preparation of the Notes and properly incurred legal fees and expenses), disbursements</w:t>
      </w:r>
    </w:p>
    <w:p>
      <w:pPr>
        <w:spacing w:after="0" w:line="200" w:lineRule="exact"/>
        <w:rPr>
          <w:sz w:val="20"/>
          <w:szCs w:val="20"/>
          <w:color w:val="auto"/>
        </w:rPr>
      </w:pPr>
    </w:p>
    <w:p>
      <w:pPr>
        <w:spacing w:after="0" w:line="202" w:lineRule="exact"/>
        <w:rPr>
          <w:sz w:val="20"/>
          <w:szCs w:val="20"/>
          <w:color w:val="auto"/>
        </w:rPr>
      </w:pPr>
    </w:p>
    <w:p>
      <w:pPr>
        <w:ind w:left="3853"/>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497649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53"/>
          </w:cols>
          <w:pgMar w:left="1207" w:top="120" w:right="1440" w:bottom="1440" w:gutter="0" w:footer="0" w:header="0"/>
        </w:sectPr>
      </w:pPr>
    </w:p>
    <w:bookmarkStart w:id="16" w:name="page17"/>
    <w:bookmarkEnd w:id="16"/>
    <w:p>
      <w:pPr>
        <w:jc w:val="both"/>
        <w:ind w:left="580" w:right="1399"/>
        <w:spacing w:after="0" w:line="252" w:lineRule="auto"/>
        <w:rPr>
          <w:sz w:val="20"/>
          <w:szCs w:val="20"/>
          <w:color w:val="auto"/>
        </w:rPr>
      </w:pPr>
      <w:r>
        <w:rPr>
          <w:rFonts w:ascii="Times New Roman" w:cs="Times New Roman" w:eastAsia="Times New Roman" w:hAnsi="Times New Roman"/>
          <w:sz w:val="17"/>
          <w:szCs w:val="17"/>
          <w:color w:val="auto"/>
        </w:rPr>
        <w:t>and advances incurred or made in accordance with any provisions of this Agreement. The obligations of the Company to each Agent pursuant to this Clause 16 shall survive the resignation or removal of any Agent and the expiry or termination of this Agreement. These expenses shall include any costs or charges incurred by the Fiscal Agent in carrying out instructions to clear and/or settle transfers of securities under this Agreement (including cash penalty charges that may be incurred under Article 7 of the Central Securities Depositaries Regulation (EU) No 909/2014 if a settlement fail occurs due to the Company's failure to deliver any required securities or cash or other action or omission).</w:t>
      </w:r>
    </w:p>
    <w:p>
      <w:pPr>
        <w:spacing w:after="0" w:line="154" w:lineRule="exact"/>
        <w:rPr>
          <w:sz w:val="20"/>
          <w:szCs w:val="20"/>
          <w:color w:val="auto"/>
        </w:rPr>
      </w:pPr>
    </w:p>
    <w:p>
      <w:pPr>
        <w:ind w:left="580" w:hanging="573"/>
        <w:spacing w:after="0"/>
        <w:tabs>
          <w:tab w:leader="none" w:pos="58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MEETINGS OF THE NOTEHOLDERS</w:t>
      </w:r>
    </w:p>
    <w:p>
      <w:pPr>
        <w:spacing w:after="0" w:line="195" w:lineRule="exact"/>
        <w:rPr>
          <w:rFonts w:ascii="Times New Roman" w:cs="Times New Roman" w:eastAsia="Times New Roman" w:hAnsi="Times New Roman"/>
          <w:sz w:val="17"/>
          <w:szCs w:val="17"/>
          <w:b w:val="1"/>
          <w:bCs w:val="1"/>
          <w:color w:val="auto"/>
        </w:rPr>
      </w:pPr>
    </w:p>
    <w:p>
      <w:pPr>
        <w:jc w:val="both"/>
        <w:ind w:left="580" w:right="1399"/>
        <w:spacing w:after="0" w:line="25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Attached hereto as Schedule 2 are the provisions for meetings of the Noteholders. A Paying Agent shall, at the request of any Noteholder, issue Voting Certificates and Block Voting Instructions as defined in and in a form and manner which comply with the provisions of Schedule 2 (Provisions for Meetings of the Noteholders) (except that it shall not be required to issue the same less than 48 hours before the time fixed for any Meeting provided for therein). Such Paying Agent shall keep a full record of Voting Certificates and Block Voting Instructions issued by it and shall give to the Company, not less than 24 hours before the time appointed for any Meeting, full particulars of all Voting Certificates and Block Voting Instructions issued by it in respect of such Meeting. The terms used in this Clause 17 but not otherwise defined shall have the meaning given to them in Schedule 2 to this Agreement.</w:t>
      </w:r>
    </w:p>
    <w:p>
      <w:pPr>
        <w:spacing w:after="0" w:line="152" w:lineRule="exact"/>
        <w:rPr>
          <w:rFonts w:ascii="Times New Roman" w:cs="Times New Roman" w:eastAsia="Times New Roman" w:hAnsi="Times New Roman"/>
          <w:sz w:val="17"/>
          <w:szCs w:val="17"/>
          <w:b w:val="1"/>
          <w:bCs w:val="1"/>
          <w:color w:val="auto"/>
        </w:rPr>
      </w:pPr>
    </w:p>
    <w:p>
      <w:pPr>
        <w:ind w:left="580" w:hanging="573"/>
        <w:spacing w:after="0"/>
        <w:tabs>
          <w:tab w:leader="none" w:pos="58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NOTICES</w:t>
      </w:r>
    </w:p>
    <w:p>
      <w:pPr>
        <w:spacing w:after="0" w:line="196" w:lineRule="exact"/>
        <w:rPr>
          <w:sz w:val="20"/>
          <w:szCs w:val="20"/>
          <w:color w:val="auto"/>
        </w:rPr>
      </w:pPr>
    </w:p>
    <w:p>
      <w:pPr>
        <w:jc w:val="both"/>
        <w:ind w:left="580" w:right="1399" w:hanging="565"/>
        <w:spacing w:after="0" w:line="258" w:lineRule="auto"/>
        <w:tabs>
          <w:tab w:leader="none" w:pos="560" w:val="left"/>
        </w:tabs>
        <w:rPr>
          <w:sz w:val="20"/>
          <w:szCs w:val="20"/>
          <w:color w:val="auto"/>
        </w:rPr>
      </w:pPr>
      <w:r>
        <w:rPr>
          <w:rFonts w:ascii="Times New Roman" w:cs="Times New Roman" w:eastAsia="Times New Roman" w:hAnsi="Times New Roman"/>
          <w:sz w:val="17"/>
          <w:szCs w:val="17"/>
          <w:color w:val="auto"/>
        </w:rPr>
        <w:t>18.1</w:t>
      </w:r>
      <w:r>
        <w:rPr>
          <w:sz w:val="20"/>
          <w:szCs w:val="20"/>
          <w:color w:val="auto"/>
        </w:rPr>
        <w:tab/>
      </w:r>
      <w:r>
        <w:rPr>
          <w:rFonts w:ascii="Times New Roman" w:cs="Times New Roman" w:eastAsia="Times New Roman" w:hAnsi="Times New Roman"/>
          <w:sz w:val="17"/>
          <w:szCs w:val="17"/>
          <w:color w:val="auto"/>
        </w:rPr>
        <w:t>All communications by or on behalf of the Company relating to the issuance, transfer, exchange or payment of Notes or interest thereon shall be directed to the Fiscal Agent at its address set forth in subclause 18.2(b) hereof (or such other address as the Fiscal Agent shall specify in writing to the Company).</w:t>
      </w:r>
    </w:p>
    <w:p>
      <w:pPr>
        <w:spacing w:after="0" w:line="151" w:lineRule="exact"/>
        <w:rPr>
          <w:sz w:val="20"/>
          <w:szCs w:val="20"/>
          <w:color w:val="auto"/>
        </w:rPr>
      </w:pPr>
    </w:p>
    <w:p>
      <w:pPr>
        <w:jc w:val="both"/>
        <w:ind w:left="580" w:right="1399" w:hanging="565"/>
        <w:spacing w:after="0" w:line="265" w:lineRule="auto"/>
        <w:tabs>
          <w:tab w:leader="none" w:pos="560" w:val="left"/>
        </w:tabs>
        <w:rPr>
          <w:sz w:val="20"/>
          <w:szCs w:val="20"/>
          <w:color w:val="auto"/>
        </w:rPr>
      </w:pPr>
      <w:r>
        <w:rPr>
          <w:rFonts w:ascii="Times New Roman" w:cs="Times New Roman" w:eastAsia="Times New Roman" w:hAnsi="Times New Roman"/>
          <w:sz w:val="17"/>
          <w:szCs w:val="17"/>
          <w:color w:val="auto"/>
        </w:rPr>
        <w:t>18.2</w:t>
      </w:r>
      <w:r>
        <w:rPr>
          <w:sz w:val="20"/>
          <w:szCs w:val="20"/>
          <w:color w:val="auto"/>
        </w:rPr>
        <w:tab/>
      </w:r>
      <w:r>
        <w:rPr>
          <w:rFonts w:ascii="Times New Roman" w:cs="Times New Roman" w:eastAsia="Times New Roman" w:hAnsi="Times New Roman"/>
          <w:sz w:val="17"/>
          <w:szCs w:val="17"/>
          <w:color w:val="auto"/>
        </w:rPr>
        <w:t>Notices and other communications hereunder shall (except to the extent otherwise expressly provided) be in writing and shall be addressed as follows, or to such other addresses as the parties hereto shall specify from time to time:</w:t>
      </w:r>
    </w:p>
    <w:p>
      <w:pPr>
        <w:spacing w:after="0" w:line="143" w:lineRule="exact"/>
        <w:rPr>
          <w:sz w:val="20"/>
          <w:szCs w:val="20"/>
          <w:color w:val="auto"/>
        </w:rPr>
      </w:pPr>
    </w:p>
    <w:p>
      <w:pPr>
        <w:ind w:left="1140" w:right="6619" w:hanging="567"/>
        <w:spacing w:after="0" w:line="258" w:lineRule="auto"/>
        <w:tabs>
          <w:tab w:leader="none" w:pos="11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the Company: ManpowerGroup Inc.</w:t>
      </w:r>
    </w:p>
    <w:p>
      <w:pPr>
        <w:ind w:left="1140" w:right="6559"/>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Manpower Place Milwaukee, WI 53212</w:t>
      </w: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Attention:  Donald Mondano, Senior Vice President, Global Controller and Treasurer</w:t>
      </w:r>
    </w:p>
    <w:p>
      <w:pPr>
        <w:spacing w:after="0" w:line="5" w:lineRule="exact"/>
        <w:rPr>
          <w:rFonts w:ascii="Times New Roman" w:cs="Times New Roman" w:eastAsia="Times New Roman" w:hAnsi="Times New Roman"/>
          <w:sz w:val="17"/>
          <w:szCs w:val="17"/>
          <w:color w:val="auto"/>
        </w:rPr>
      </w:pP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Fax no: +1 414 906 7875</w:t>
      </w:r>
    </w:p>
    <w:p>
      <w:pPr>
        <w:spacing w:after="0" w:line="173" w:lineRule="exact"/>
        <w:rPr>
          <w:rFonts w:ascii="Times New Roman" w:cs="Times New Roman" w:eastAsia="Times New Roman" w:hAnsi="Times New Roman"/>
          <w:sz w:val="17"/>
          <w:szCs w:val="17"/>
          <w:color w:val="auto"/>
        </w:rPr>
      </w:pPr>
    </w:p>
    <w:p>
      <w:pPr>
        <w:ind w:left="1140" w:right="5939" w:hanging="567"/>
        <w:spacing w:after="0" w:line="254" w:lineRule="auto"/>
        <w:tabs>
          <w:tab w:leader="none" w:pos="11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the Fiscal Agent: Citibank, N.A., London Branch Citigroup Centre</w:t>
      </w:r>
    </w:p>
    <w:p>
      <w:pPr>
        <w:spacing w:after="0" w:line="1" w:lineRule="exact"/>
        <w:rPr>
          <w:rFonts w:ascii="Times New Roman" w:cs="Times New Roman" w:eastAsia="Times New Roman" w:hAnsi="Times New Roman"/>
          <w:sz w:val="17"/>
          <w:szCs w:val="17"/>
          <w:color w:val="auto"/>
        </w:rPr>
      </w:pPr>
    </w:p>
    <w:p>
      <w:pPr>
        <w:ind w:left="1140" w:right="6019"/>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Canada Square Canary Wharf London E14 5LB Attention: Agency and Trust Email: emea.at.debt@citi.com</w:t>
      </w:r>
    </w:p>
    <w:p>
      <w:pPr>
        <w:spacing w:after="0" w:line="357" w:lineRule="exact"/>
        <w:rPr>
          <w:sz w:val="20"/>
          <w:szCs w:val="20"/>
          <w:color w:val="auto"/>
        </w:rPr>
      </w:pPr>
    </w:p>
    <w:p>
      <w:pPr>
        <w:jc w:val="center"/>
        <w:ind w:right="1399"/>
        <w:spacing w:after="0" w:line="283" w:lineRule="auto"/>
        <w:rPr>
          <w:sz w:val="20"/>
          <w:szCs w:val="20"/>
          <w:color w:val="auto"/>
        </w:rPr>
      </w:pPr>
      <w:r>
        <w:rPr>
          <w:rFonts w:ascii="Times New Roman" w:cs="Times New Roman" w:eastAsia="Times New Roman" w:hAnsi="Times New Roman"/>
          <w:sz w:val="17"/>
          <w:szCs w:val="17"/>
          <w:color w:val="auto"/>
        </w:rPr>
        <w:t>18.3   While the Notes are held through the Clearing Systems, a notice will be deemed to have been given to Noteholders on the day the notice is sent to the Clearing Systems for publication to Noteholders.</w:t>
      </w:r>
    </w:p>
    <w:p>
      <w:pPr>
        <w:spacing w:after="0" w:line="17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497649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80" w:hanging="573"/>
        <w:spacing w:after="0"/>
        <w:tabs>
          <w:tab w:leader="none" w:pos="58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RESIGNATION OR REMOVAL OF THE AGENTS</w:t>
      </w:r>
    </w:p>
    <w:p>
      <w:pPr>
        <w:spacing w:after="0" w:line="195" w:lineRule="exact"/>
        <w:rPr>
          <w:rFonts w:ascii="Times New Roman" w:cs="Times New Roman" w:eastAsia="Times New Roman" w:hAnsi="Times New Roman"/>
          <w:sz w:val="17"/>
          <w:szCs w:val="17"/>
          <w:b w:val="1"/>
          <w:bCs w:val="1"/>
          <w:color w:val="auto"/>
        </w:rPr>
      </w:pPr>
    </w:p>
    <w:p>
      <w:pPr>
        <w:jc w:val="both"/>
        <w:ind w:left="580" w:right="1399"/>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The Agents may at any time resign from their respective roles by giving written notice to the Company of such intention on their part, specifying the date on which its desired resignation shall become effective; </w:t>
      </w:r>
      <w:r>
        <w:rPr>
          <w:rFonts w:ascii="Times New Roman" w:cs="Times New Roman" w:eastAsia="Times New Roman" w:hAnsi="Times New Roman"/>
          <w:sz w:val="17"/>
          <w:szCs w:val="17"/>
          <w:b w:val="1"/>
          <w:b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however</w:t>
      </w:r>
      <w:r>
        <w:rPr>
          <w:rFonts w:ascii="Times New Roman" w:cs="Times New Roman" w:eastAsia="Times New Roman" w:hAnsi="Times New Roman"/>
          <w:sz w:val="17"/>
          <w:szCs w:val="17"/>
          <w:color w:val="auto"/>
        </w:rPr>
        <w:t>, that such date shall be not less than 30 days after the giving of such notice by the Agents to the Company. The Agents may be removed at any time, immediately if such Agent is an FFI, and does not become, or ceases to be, a Participating FFI and with not less than 30 days' notice in all other cases, by the filing with them of an instrument in writing signed by a duly authorized officer of the Company and specifying such removal and the date upon which it is intended to become effective.</w:t>
      </w:r>
    </w:p>
    <w:p>
      <w:pPr>
        <w:sectPr>
          <w:pgSz w:w="11900" w:h="16838" w:orient="portrait"/>
          <w:cols w:equalWidth="0" w:num="1">
            <w:col w:w="9259"/>
          </w:cols>
          <w:pgMar w:left="1200" w:top="120" w:right="1440" w:bottom="0" w:gutter="0" w:footer="0" w:header="0"/>
        </w:sectPr>
      </w:pPr>
    </w:p>
    <w:bookmarkStart w:id="17" w:name="page18"/>
    <w:bookmarkEnd w:id="17"/>
    <w:p>
      <w:pPr>
        <w:jc w:val="both"/>
        <w:ind w:left="580" w:right="1399" w:firstLine="71"/>
        <w:spacing w:after="0" w:line="250" w:lineRule="auto"/>
        <w:rPr>
          <w:sz w:val="20"/>
          <w:szCs w:val="20"/>
          <w:color w:val="auto"/>
        </w:rPr>
      </w:pPr>
      <w:r>
        <w:rPr>
          <w:rFonts w:ascii="Times New Roman" w:cs="Times New Roman" w:eastAsia="Times New Roman" w:hAnsi="Times New Roman"/>
          <w:sz w:val="17"/>
          <w:szCs w:val="17"/>
          <w:color w:val="auto"/>
        </w:rPr>
        <w:t xml:space="preserve">Such resignation or removal shall take effect on the date of the appointment by the Company of a successor Agent and the acceptance of such appointment by such successor Agent. In the event of resignation by, or removal of, any of the Agents, if a successor Agent has not been appointed by the Company by the tenth day before the expiry of any notice given by such Agent or the Company, the Agent may itself appoint as its replacement any reputable and experienced financial institution. Immediately following such appointment, Agent shall give notice of such appointment to the Company, the remaining Agents and the Noteholders, whereupon the Company, the remaining Agents and the replacement Agent shall acquire and become subject to the same rights and obligations between themselves as if they had entered into an agreement in the form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xml:space="preserve"> of this Agreement.</w:t>
      </w:r>
    </w:p>
    <w:p>
      <w:pPr>
        <w:spacing w:after="0" w:line="159" w:lineRule="exact"/>
        <w:rPr>
          <w:sz w:val="20"/>
          <w:szCs w:val="20"/>
          <w:color w:val="auto"/>
        </w:rPr>
      </w:pPr>
    </w:p>
    <w:p>
      <w:pPr>
        <w:ind w:left="580" w:hanging="573"/>
        <w:spacing w:after="0"/>
        <w:tabs>
          <w:tab w:leader="none" w:pos="58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BENEFIT OF AGREEMENT</w:t>
      </w:r>
    </w:p>
    <w:p>
      <w:pPr>
        <w:spacing w:after="0" w:line="195" w:lineRule="exact"/>
        <w:rPr>
          <w:rFonts w:ascii="Times New Roman" w:cs="Times New Roman" w:eastAsia="Times New Roman" w:hAnsi="Times New Roman"/>
          <w:sz w:val="17"/>
          <w:szCs w:val="17"/>
          <w:b w:val="1"/>
          <w:bCs w:val="1"/>
          <w:color w:val="auto"/>
        </w:rPr>
      </w:pPr>
    </w:p>
    <w:p>
      <w:pPr>
        <w:jc w:val="both"/>
        <w:ind w:left="580" w:right="1419"/>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This Agreement is solely for the benefit of the parties hereto, their successors, assigns and any additional agents appointed in accordance with Clause 19 above and no other person shall acquire or have any right under or by virtue hereof.</w:t>
      </w:r>
    </w:p>
    <w:p>
      <w:pPr>
        <w:spacing w:after="0" w:line="141" w:lineRule="exact"/>
        <w:rPr>
          <w:rFonts w:ascii="Times New Roman" w:cs="Times New Roman" w:eastAsia="Times New Roman" w:hAnsi="Times New Roman"/>
          <w:sz w:val="17"/>
          <w:szCs w:val="17"/>
          <w:b w:val="1"/>
          <w:bCs w:val="1"/>
          <w:color w:val="auto"/>
        </w:rPr>
      </w:pPr>
    </w:p>
    <w:p>
      <w:pPr>
        <w:ind w:left="580" w:hanging="573"/>
        <w:spacing w:after="0"/>
        <w:tabs>
          <w:tab w:leader="none" w:pos="58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NOTES HELD BY A PAYING AGENT</w:t>
      </w:r>
    </w:p>
    <w:p>
      <w:pPr>
        <w:spacing w:after="0" w:line="195" w:lineRule="exact"/>
        <w:rPr>
          <w:rFonts w:ascii="Times New Roman" w:cs="Times New Roman" w:eastAsia="Times New Roman" w:hAnsi="Times New Roman"/>
          <w:sz w:val="17"/>
          <w:szCs w:val="17"/>
          <w:b w:val="1"/>
          <w:bCs w:val="1"/>
          <w:color w:val="auto"/>
        </w:rPr>
      </w:pPr>
    </w:p>
    <w:p>
      <w:pPr>
        <w:jc w:val="both"/>
        <w:ind w:left="580" w:right="1399"/>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Agent, in its individual or other capacity, may become the owner or pledgee of the Notes with the same rights it would have if it were not acting as fiscal and/or paying agent hereunder and may engage or be interested in any financial or other transaction with the Company and may act on, or as depositary, trustee or agent for, any committee or body of holders of Notes or other obligations of the Company as freely as if it were not appointed hereunder.</w:t>
      </w:r>
    </w:p>
    <w:p>
      <w:pPr>
        <w:spacing w:after="0" w:line="151" w:lineRule="exact"/>
        <w:rPr>
          <w:rFonts w:ascii="Times New Roman" w:cs="Times New Roman" w:eastAsia="Times New Roman" w:hAnsi="Times New Roman"/>
          <w:sz w:val="17"/>
          <w:szCs w:val="17"/>
          <w:b w:val="1"/>
          <w:bCs w:val="1"/>
          <w:color w:val="auto"/>
        </w:rPr>
      </w:pPr>
    </w:p>
    <w:p>
      <w:pPr>
        <w:ind w:left="580" w:hanging="573"/>
        <w:spacing w:after="0"/>
        <w:tabs>
          <w:tab w:leader="none" w:pos="58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CHANGE OF CONTROL</w:t>
      </w:r>
    </w:p>
    <w:p>
      <w:pPr>
        <w:spacing w:after="0" w:line="19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color w:val="auto"/>
        </w:rPr>
        <w:t>22.1</w:t>
      </w:r>
      <w:r>
        <w:rPr>
          <w:sz w:val="20"/>
          <w:szCs w:val="20"/>
          <w:color w:val="auto"/>
        </w:rPr>
        <w:tab/>
      </w:r>
      <w:r>
        <w:rPr>
          <w:rFonts w:ascii="Times New Roman" w:cs="Times New Roman" w:eastAsia="Times New Roman" w:hAnsi="Times New Roman"/>
          <w:sz w:val="17"/>
          <w:szCs w:val="17"/>
          <w:color w:val="auto"/>
        </w:rPr>
        <w:t>Change of Control Triggering Event</w:t>
      </w:r>
    </w:p>
    <w:p>
      <w:pPr>
        <w:spacing w:after="0" w:line="194" w:lineRule="exact"/>
        <w:rPr>
          <w:sz w:val="20"/>
          <w:szCs w:val="20"/>
          <w:color w:val="auto"/>
        </w:rPr>
      </w:pPr>
    </w:p>
    <w:p>
      <w:pPr>
        <w:jc w:val="both"/>
        <w:ind w:left="580" w:right="1399"/>
        <w:spacing w:after="0" w:line="251" w:lineRule="auto"/>
        <w:rPr>
          <w:sz w:val="20"/>
          <w:szCs w:val="20"/>
          <w:color w:val="auto"/>
        </w:rPr>
      </w:pPr>
      <w:r>
        <w:rPr>
          <w:rFonts w:ascii="Times New Roman" w:cs="Times New Roman" w:eastAsia="Times New Roman" w:hAnsi="Times New Roman"/>
          <w:sz w:val="17"/>
          <w:szCs w:val="17"/>
          <w:color w:val="auto"/>
        </w:rPr>
        <w:t xml:space="preserve">If the Company experiences both a Change of Control and a Rating Decline (each as defined below and together, a </w:t>
      </w:r>
      <w:r>
        <w:rPr>
          <w:rFonts w:ascii="Times New Roman" w:cs="Times New Roman" w:eastAsia="Times New Roman" w:hAnsi="Times New Roman"/>
          <w:sz w:val="17"/>
          <w:szCs w:val="17"/>
          <w:b w:val="1"/>
          <w:bCs w:val="1"/>
          <w:color w:val="auto"/>
        </w:rPr>
        <w:t>Change of Control Triggering Event</w:t>
      </w:r>
      <w:r>
        <w:rPr>
          <w:rFonts w:ascii="Times New Roman" w:cs="Times New Roman" w:eastAsia="Times New Roman" w:hAnsi="Times New Roman"/>
          <w:sz w:val="17"/>
          <w:szCs w:val="17"/>
          <w:color w:val="auto"/>
        </w:rPr>
        <w:t xml:space="preserve">), each Noteholder will have the right to require the Company to repurchase all or any part of such Noteholder's Notes at a purchase price in cash equal to 101% of the aggregate principal amount of the Notes repurchased plus accrued and unpaid interest on the Notes repurchased to the date of purchase (subject to the right of Noteholders of record on the relevant record date to receive interest due on the relevant interest payment date); </w:t>
      </w:r>
      <w:r>
        <w:rPr>
          <w:rFonts w:ascii="Times New Roman" w:cs="Times New Roman" w:eastAsia="Times New Roman" w:hAnsi="Times New Roman"/>
          <w:sz w:val="17"/>
          <w:szCs w:val="17"/>
          <w:b w:val="1"/>
          <w:b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however</w:t>
      </w:r>
      <w:r>
        <w:rPr>
          <w:rFonts w:ascii="Times New Roman" w:cs="Times New Roman" w:eastAsia="Times New Roman" w:hAnsi="Times New Roman"/>
          <w:sz w:val="17"/>
          <w:szCs w:val="17"/>
          <w:color w:val="auto"/>
        </w:rPr>
        <w:t>, that the Company shall not be obliged to repurchase Notes in the event and to the extent that it has unconditionally exercised its right to redeem all of the Notes or all conditions to such redemption have been satisfied or waived.</w:t>
      </w:r>
    </w:p>
    <w:p>
      <w:pPr>
        <w:spacing w:after="0" w:line="15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color w:val="auto"/>
        </w:rPr>
        <w:t>22.2</w:t>
      </w:r>
      <w:r>
        <w:rPr>
          <w:sz w:val="20"/>
          <w:szCs w:val="20"/>
          <w:color w:val="auto"/>
        </w:rPr>
        <w:tab/>
      </w:r>
      <w:r>
        <w:rPr>
          <w:rFonts w:ascii="Times New Roman" w:cs="Times New Roman" w:eastAsia="Times New Roman" w:hAnsi="Times New Roman"/>
          <w:sz w:val="17"/>
          <w:szCs w:val="17"/>
          <w:color w:val="auto"/>
        </w:rPr>
        <w:t>Change of Control Procedures</w:t>
      </w:r>
    </w:p>
    <w:p>
      <w:pPr>
        <w:spacing w:after="0" w:line="194" w:lineRule="exact"/>
        <w:rPr>
          <w:sz w:val="20"/>
          <w:szCs w:val="20"/>
          <w:color w:val="auto"/>
        </w:rPr>
      </w:pPr>
    </w:p>
    <w:p>
      <w:pPr>
        <w:jc w:val="both"/>
        <w:ind w:left="580" w:right="1419"/>
        <w:spacing w:after="0" w:line="283" w:lineRule="auto"/>
        <w:rPr>
          <w:sz w:val="20"/>
          <w:szCs w:val="20"/>
          <w:color w:val="auto"/>
        </w:rPr>
      </w:pPr>
      <w:r>
        <w:rPr>
          <w:rFonts w:ascii="Times New Roman" w:cs="Times New Roman" w:eastAsia="Times New Roman" w:hAnsi="Times New Roman"/>
          <w:sz w:val="17"/>
          <w:szCs w:val="17"/>
          <w:color w:val="auto"/>
        </w:rPr>
        <w:t>Unless the Company has unconditionally exercised its right to redeem all the Notes or all conditions to such redemption have been satisfied or waived, no later than the date that is 30 days after any Change of</w:t>
      </w:r>
    </w:p>
    <w:p>
      <w:pPr>
        <w:spacing w:after="0" w:line="17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497649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59"/>
          </w:cols>
          <w:pgMar w:left="1200" w:top="120" w:right="1440"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7"/>
          <w:szCs w:val="17"/>
          <w:color w:val="auto"/>
        </w:rPr>
        <w:t xml:space="preserve">Control Triggering Event, the Company will mail a notice (the </w:t>
      </w:r>
      <w:r>
        <w:rPr>
          <w:rFonts w:ascii="Times New Roman" w:cs="Times New Roman" w:eastAsia="Times New Roman" w:hAnsi="Times New Roman"/>
          <w:sz w:val="17"/>
          <w:szCs w:val="17"/>
          <w:b w:val="1"/>
          <w:bCs w:val="1"/>
          <w:color w:val="auto"/>
        </w:rPr>
        <w:t>Change of Control Offer</w:t>
      </w:r>
      <w:r>
        <w:rPr>
          <w:rFonts w:ascii="Times New Roman" w:cs="Times New Roman" w:eastAsia="Times New Roman" w:hAnsi="Times New Roman"/>
          <w:sz w:val="17"/>
          <w:szCs w:val="17"/>
          <w:color w:val="auto"/>
        </w:rPr>
        <w:t>) to each</w:t>
      </w:r>
    </w:p>
    <w:p>
      <w:pPr>
        <w:spacing w:after="0" w:line="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Noteholder, with a copy to the Fiscal Agent:</w:t>
      </w:r>
    </w:p>
    <w:p>
      <w:pPr>
        <w:spacing w:after="0" w:line="174" w:lineRule="exact"/>
        <w:rPr>
          <w:sz w:val="20"/>
          <w:szCs w:val="20"/>
          <w:color w:val="auto"/>
        </w:rPr>
      </w:pPr>
    </w:p>
    <w:p>
      <w:pPr>
        <w:jc w:val="both"/>
        <w:ind w:left="1140" w:right="1399" w:hanging="567"/>
        <w:spacing w:after="0" w:line="255" w:lineRule="auto"/>
        <w:tabs>
          <w:tab w:leader="none" w:pos="11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stating that a Change of Control Triggering Event has occurred and that such Noteholder has the right to require the Company to purchase such Noteholder's Notes at a purchase price in cash equal to 101% of the aggregate principal amount of such Notes plus accrued and unpaid interest to the date of purchase (subject to the right of the Noteholders of record on a record date to receive interest on the relevant interest payment date) (the </w:t>
      </w:r>
      <w:r>
        <w:rPr>
          <w:rFonts w:ascii="Times New Roman" w:cs="Times New Roman" w:eastAsia="Times New Roman" w:hAnsi="Times New Roman"/>
          <w:sz w:val="17"/>
          <w:szCs w:val="17"/>
          <w:b w:val="1"/>
          <w:bCs w:val="1"/>
          <w:color w:val="auto"/>
        </w:rPr>
        <w:t>Change of Control Payment</w:t>
      </w:r>
      <w:r>
        <w:rPr>
          <w:rFonts w:ascii="Times New Roman" w:cs="Times New Roman" w:eastAsia="Times New Roman" w:hAnsi="Times New Roman"/>
          <w:sz w:val="17"/>
          <w:szCs w:val="17"/>
          <w:color w:val="auto"/>
        </w:rPr>
        <w:t>);</w:t>
      </w:r>
    </w:p>
    <w:p>
      <w:pPr>
        <w:spacing w:after="0" w:line="153" w:lineRule="exact"/>
        <w:rPr>
          <w:rFonts w:ascii="Times New Roman" w:cs="Times New Roman" w:eastAsia="Times New Roman" w:hAnsi="Times New Roman"/>
          <w:sz w:val="17"/>
          <w:szCs w:val="17"/>
          <w:color w:val="auto"/>
        </w:rPr>
      </w:pPr>
    </w:p>
    <w:p>
      <w:pPr>
        <w:ind w:left="1140" w:right="1419" w:hanging="567"/>
        <w:spacing w:after="0" w:line="283" w:lineRule="auto"/>
        <w:tabs>
          <w:tab w:leader="none" w:pos="11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stating the repurchase date (which shall be no earlier than 30 days nor later than 60 days from the date such notice is mailed) (the </w:t>
      </w:r>
      <w:r>
        <w:rPr>
          <w:rFonts w:ascii="Times New Roman" w:cs="Times New Roman" w:eastAsia="Times New Roman" w:hAnsi="Times New Roman"/>
          <w:sz w:val="17"/>
          <w:szCs w:val="17"/>
          <w:b w:val="1"/>
          <w:bCs w:val="1"/>
          <w:color w:val="auto"/>
        </w:rPr>
        <w:t>Change of Control Payment Date</w:t>
      </w:r>
      <w:r>
        <w:rPr>
          <w:rFonts w:ascii="Times New Roman" w:cs="Times New Roman" w:eastAsia="Times New Roman" w:hAnsi="Times New Roman"/>
          <w:sz w:val="17"/>
          <w:szCs w:val="17"/>
          <w:color w:val="auto"/>
        </w:rPr>
        <w:t>);</w:t>
      </w:r>
    </w:p>
    <w:p>
      <w:pPr>
        <w:spacing w:after="0" w:line="129" w:lineRule="exact"/>
        <w:rPr>
          <w:rFonts w:ascii="Times New Roman" w:cs="Times New Roman" w:eastAsia="Times New Roman" w:hAnsi="Times New Roman"/>
          <w:sz w:val="17"/>
          <w:szCs w:val="17"/>
          <w:color w:val="auto"/>
        </w:rPr>
      </w:pPr>
    </w:p>
    <w:p>
      <w:pPr>
        <w:ind w:left="1140" w:right="1419" w:hanging="567"/>
        <w:spacing w:after="0" w:line="283" w:lineRule="auto"/>
        <w:tabs>
          <w:tab w:leader="none" w:pos="11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describing the circumstances and relevant facts regarding the transaction or transactions that constitute the Change of Control Triggering Event;</w:t>
      </w:r>
    </w:p>
    <w:p>
      <w:pPr>
        <w:spacing w:after="0" w:line="129" w:lineRule="exact"/>
        <w:rPr>
          <w:rFonts w:ascii="Times New Roman" w:cs="Times New Roman" w:eastAsia="Times New Roman" w:hAnsi="Times New Roman"/>
          <w:sz w:val="17"/>
          <w:szCs w:val="17"/>
          <w:color w:val="auto"/>
        </w:rPr>
      </w:pPr>
    </w:p>
    <w:p>
      <w:pPr>
        <w:ind w:left="1140" w:right="1419" w:hanging="567"/>
        <w:spacing w:after="0" w:line="283" w:lineRule="auto"/>
        <w:tabs>
          <w:tab w:leader="none" w:pos="11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describing the procedures determined by the Company, consistent with this Agreement, that a Noteholder must follow in order to have its Notes repurchased; and</w:t>
      </w:r>
    </w:p>
    <w:p>
      <w:pPr>
        <w:spacing w:after="0" w:line="129" w:lineRule="exact"/>
        <w:rPr>
          <w:rFonts w:ascii="Times New Roman" w:cs="Times New Roman" w:eastAsia="Times New Roman" w:hAnsi="Times New Roman"/>
          <w:sz w:val="17"/>
          <w:szCs w:val="17"/>
          <w:color w:val="auto"/>
        </w:rPr>
      </w:pPr>
    </w:p>
    <w:p>
      <w:pPr>
        <w:jc w:val="both"/>
        <w:ind w:left="1140" w:right="1419" w:hanging="567"/>
        <w:spacing w:after="0" w:line="265" w:lineRule="auto"/>
        <w:tabs>
          <w:tab w:leader="none" w:pos="11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notice is mailed prior to the occurrence of a Change of Control Triggering Event, stating that the Change of Control Offer is conditional on the occurrence of such Change of Control Triggering Event.</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On the Change of Control Payment Date, the Company will, to the extent lawful:</w:t>
      </w:r>
    </w:p>
    <w:p>
      <w:pPr>
        <w:spacing w:after="0" w:line="194" w:lineRule="exact"/>
        <w:rPr>
          <w:sz w:val="20"/>
          <w:szCs w:val="20"/>
          <w:color w:val="auto"/>
        </w:rPr>
      </w:pPr>
    </w:p>
    <w:p>
      <w:pPr>
        <w:ind w:left="1700" w:right="1419" w:hanging="560"/>
        <w:spacing w:after="0" w:line="283" w:lineRule="auto"/>
        <w:tabs>
          <w:tab w:leader="none" w:pos="17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 for payment all Notes or portions of Notes properly tendered pursuant to the Change of Control Offer;</w:t>
      </w:r>
    </w:p>
    <w:p>
      <w:pPr>
        <w:spacing w:after="0" w:line="129" w:lineRule="exact"/>
        <w:rPr>
          <w:rFonts w:ascii="Times New Roman" w:cs="Times New Roman" w:eastAsia="Times New Roman" w:hAnsi="Times New Roman"/>
          <w:sz w:val="17"/>
          <w:szCs w:val="17"/>
          <w:color w:val="auto"/>
        </w:rPr>
      </w:pPr>
    </w:p>
    <w:p>
      <w:pPr>
        <w:ind w:left="1700" w:right="1419" w:hanging="560"/>
        <w:spacing w:after="0" w:line="283" w:lineRule="auto"/>
        <w:tabs>
          <w:tab w:leader="none" w:pos="17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 with the principal Paying Agent an amount equal to the Change of Control Payment in respect of all Notes or portions of Notes properly tendered;</w:t>
      </w:r>
    </w:p>
    <w:p>
      <w:pPr>
        <w:spacing w:after="0" w:line="129" w:lineRule="exact"/>
        <w:rPr>
          <w:rFonts w:ascii="Times New Roman" w:cs="Times New Roman" w:eastAsia="Times New Roman" w:hAnsi="Times New Roman"/>
          <w:sz w:val="17"/>
          <w:szCs w:val="17"/>
          <w:color w:val="auto"/>
        </w:rPr>
      </w:pPr>
    </w:p>
    <w:p>
      <w:pPr>
        <w:jc w:val="both"/>
        <w:ind w:left="1700" w:right="1399" w:hanging="560"/>
        <w:spacing w:after="0" w:line="265" w:lineRule="auto"/>
        <w:tabs>
          <w:tab w:leader="none" w:pos="17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 or cause to be delivered to the Fiscal Agent the Notes properly accepted and an officer's certificate stating the aggregate principal amount of Notes or portions of Notes being purchased by the Company in the Change of Control Offer;</w:t>
      </w:r>
    </w:p>
    <w:p>
      <w:pPr>
        <w:spacing w:after="0" w:line="143" w:lineRule="exact"/>
        <w:rPr>
          <w:rFonts w:ascii="Times New Roman" w:cs="Times New Roman" w:eastAsia="Times New Roman" w:hAnsi="Times New Roman"/>
          <w:sz w:val="17"/>
          <w:szCs w:val="17"/>
          <w:color w:val="auto"/>
        </w:rPr>
      </w:pPr>
    </w:p>
    <w:p>
      <w:pPr>
        <w:jc w:val="both"/>
        <w:ind w:left="1700" w:right="1419" w:hanging="560"/>
        <w:spacing w:after="0" w:line="265" w:lineRule="auto"/>
        <w:tabs>
          <w:tab w:leader="none" w:pos="17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 or cause to be delivered, to the principal Paying Agent the Global Notes in order to reflect thereon the portion of such Notes or portions thereof that have been tendered to and purchased by the Company; and</w:t>
      </w:r>
    </w:p>
    <w:p>
      <w:pPr>
        <w:spacing w:after="0" w:line="143" w:lineRule="exact"/>
        <w:rPr>
          <w:rFonts w:ascii="Times New Roman" w:cs="Times New Roman" w:eastAsia="Times New Roman" w:hAnsi="Times New Roman"/>
          <w:sz w:val="17"/>
          <w:szCs w:val="17"/>
          <w:color w:val="auto"/>
        </w:rPr>
      </w:pPr>
    </w:p>
    <w:p>
      <w:pPr>
        <w:ind w:left="1700" w:right="1399" w:hanging="560"/>
        <w:spacing w:after="0" w:line="283" w:lineRule="auto"/>
        <w:tabs>
          <w:tab w:leader="none" w:pos="17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 or cause to be delivered, to the Registrar for cancellation all Definitive Notes accepted for purchase by the Company.</w:t>
      </w:r>
    </w:p>
    <w:p>
      <w:pPr>
        <w:spacing w:after="0" w:line="1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color w:val="auto"/>
        </w:rPr>
        <w:t>22.3</w:t>
      </w:r>
      <w:r>
        <w:rPr>
          <w:sz w:val="20"/>
          <w:szCs w:val="20"/>
          <w:color w:val="auto"/>
        </w:rPr>
        <w:tab/>
      </w:r>
      <w:r>
        <w:rPr>
          <w:rFonts w:ascii="Times New Roman" w:cs="Times New Roman" w:eastAsia="Times New Roman" w:hAnsi="Times New Roman"/>
          <w:sz w:val="17"/>
          <w:szCs w:val="17"/>
          <w:color w:val="auto"/>
        </w:rPr>
        <w:t>Definitive Notes</w:t>
      </w:r>
    </w:p>
    <w:p>
      <w:pPr>
        <w:spacing w:after="0" w:line="194" w:lineRule="exact"/>
        <w:rPr>
          <w:sz w:val="20"/>
          <w:szCs w:val="20"/>
          <w:color w:val="auto"/>
        </w:rPr>
      </w:pPr>
    </w:p>
    <w:p>
      <w:pPr>
        <w:jc w:val="both"/>
        <w:ind w:left="580" w:right="1399"/>
        <w:spacing w:after="0" w:line="252" w:lineRule="auto"/>
        <w:rPr>
          <w:sz w:val="20"/>
          <w:szCs w:val="20"/>
          <w:color w:val="auto"/>
        </w:rPr>
      </w:pPr>
      <w:r>
        <w:rPr>
          <w:rFonts w:ascii="Times New Roman" w:cs="Times New Roman" w:eastAsia="Times New Roman" w:hAnsi="Times New Roman"/>
          <w:sz w:val="17"/>
          <w:szCs w:val="17"/>
          <w:color w:val="auto"/>
        </w:rPr>
        <w:t xml:space="preserve">If any Definitive Notes have been issued, the principal Paying Agent will promptly mail to each Noteholder of Definitive Notes properly tendered the Change of Control Payment for such Notes, and the Fiscal Agent will promptly authenticate and the Registrar will mail, at the cost of the Noteholder, (or cause to be transferred by book entry) to each Noteholder of the Definitive Notes a new Note equal in principal amount to the unpurchased portion of the Notes surrendered, if any; </w:t>
      </w:r>
      <w:r>
        <w:rPr>
          <w:rFonts w:ascii="Times New Roman" w:cs="Times New Roman" w:eastAsia="Times New Roman" w:hAnsi="Times New Roman"/>
          <w:sz w:val="17"/>
          <w:szCs w:val="17"/>
          <w:b w:val="1"/>
          <w:bCs w:val="1"/>
          <w:color w:val="auto"/>
        </w:rPr>
        <w:t>provided</w:t>
      </w:r>
      <w:r>
        <w:rPr>
          <w:rFonts w:ascii="Times New Roman" w:cs="Times New Roman" w:eastAsia="Times New Roman" w:hAnsi="Times New Roman"/>
          <w:sz w:val="17"/>
          <w:szCs w:val="17"/>
          <w:color w:val="auto"/>
        </w:rPr>
        <w:t xml:space="preserve"> that each such new Note will be in a principal amount that is at least €100,000 and an integral multiple of €1,000 in excess thereof.</w:t>
      </w:r>
    </w:p>
    <w:p>
      <w:pPr>
        <w:spacing w:after="0" w:line="200" w:lineRule="exact"/>
        <w:rPr>
          <w:sz w:val="20"/>
          <w:szCs w:val="20"/>
          <w:color w:val="auto"/>
        </w:rPr>
      </w:pPr>
    </w:p>
    <w:p>
      <w:pPr>
        <w:spacing w:after="0" w:line="21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497649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59"/>
          </w:cols>
          <w:pgMar w:left="1200" w:top="115" w:right="1440" w:bottom="1440" w:gutter="0" w:footer="0" w:header="0"/>
        </w:sectPr>
      </w:pPr>
    </w:p>
    <w:bookmarkStart w:id="19" w:name="page20"/>
    <w:bookmarkEnd w:id="19"/>
    <w:p>
      <w:pPr>
        <w:spacing w:after="0"/>
        <w:tabs>
          <w:tab w:leader="none" w:pos="560" w:val="left"/>
        </w:tabs>
        <w:rPr>
          <w:sz w:val="20"/>
          <w:szCs w:val="20"/>
          <w:color w:val="auto"/>
        </w:rPr>
      </w:pPr>
      <w:r>
        <w:rPr>
          <w:rFonts w:ascii="Times New Roman" w:cs="Times New Roman" w:eastAsia="Times New Roman" w:hAnsi="Times New Roman"/>
          <w:sz w:val="17"/>
          <w:szCs w:val="17"/>
          <w:color w:val="auto"/>
        </w:rPr>
        <w:t>22.4</w:t>
      </w:r>
      <w:r>
        <w:rPr>
          <w:sz w:val="20"/>
          <w:szCs w:val="20"/>
          <w:color w:val="auto"/>
        </w:rPr>
        <w:tab/>
      </w:r>
      <w:r>
        <w:rPr>
          <w:rFonts w:ascii="Times New Roman" w:cs="Times New Roman" w:eastAsia="Times New Roman" w:hAnsi="Times New Roman"/>
          <w:sz w:val="17"/>
          <w:szCs w:val="17"/>
          <w:color w:val="auto"/>
        </w:rPr>
        <w:t>Notice to Euronext Dublin</w:t>
      </w:r>
    </w:p>
    <w:p>
      <w:pPr>
        <w:spacing w:after="0" w:line="191" w:lineRule="exact"/>
        <w:rPr>
          <w:sz w:val="20"/>
          <w:szCs w:val="20"/>
          <w:color w:val="auto"/>
        </w:rPr>
      </w:pPr>
    </w:p>
    <w:p>
      <w:pPr>
        <w:jc w:val="both"/>
        <w:ind w:left="580" w:right="1399"/>
        <w:spacing w:after="0" w:line="266" w:lineRule="auto"/>
        <w:rPr>
          <w:sz w:val="20"/>
          <w:szCs w:val="20"/>
          <w:color w:val="auto"/>
        </w:rPr>
      </w:pPr>
      <w:r>
        <w:rPr>
          <w:rFonts w:ascii="Times New Roman" w:cs="Times New Roman" w:eastAsia="Times New Roman" w:hAnsi="Times New Roman"/>
          <w:sz w:val="17"/>
          <w:szCs w:val="17"/>
          <w:color w:val="auto"/>
        </w:rPr>
        <w:t xml:space="preserve">For so long as the Notes are listed on the official list of Euronext Dublin (the </w:t>
      </w:r>
      <w:r>
        <w:rPr>
          <w:rFonts w:ascii="Times New Roman" w:cs="Times New Roman" w:eastAsia="Times New Roman" w:hAnsi="Times New Roman"/>
          <w:sz w:val="17"/>
          <w:szCs w:val="17"/>
          <w:b w:val="1"/>
          <w:bCs w:val="1"/>
          <w:color w:val="auto"/>
        </w:rPr>
        <w:t>Official List</w:t>
      </w:r>
      <w:r>
        <w:rPr>
          <w:rFonts w:ascii="Times New Roman" w:cs="Times New Roman" w:eastAsia="Times New Roman" w:hAnsi="Times New Roman"/>
          <w:sz w:val="17"/>
          <w:szCs w:val="17"/>
          <w:color w:val="auto"/>
        </w:rPr>
        <w:t>) and the rules of such exchange so require, the Company will give notice with respect to the results of the Change of Control Offer to the Companies Announcement Office in Dublin.</w:t>
      </w:r>
    </w:p>
    <w:p>
      <w:pPr>
        <w:spacing w:after="0" w:line="14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color w:val="auto"/>
        </w:rPr>
        <w:t>22.5</w:t>
      </w:r>
      <w:r>
        <w:rPr>
          <w:sz w:val="20"/>
          <w:szCs w:val="20"/>
          <w:color w:val="auto"/>
        </w:rPr>
        <w:tab/>
      </w:r>
      <w:r>
        <w:rPr>
          <w:rFonts w:ascii="Times New Roman" w:cs="Times New Roman" w:eastAsia="Times New Roman" w:hAnsi="Times New Roman"/>
          <w:sz w:val="17"/>
          <w:szCs w:val="17"/>
          <w:color w:val="auto"/>
        </w:rPr>
        <w:t>Applicability</w:t>
      </w:r>
    </w:p>
    <w:p>
      <w:pPr>
        <w:spacing w:after="0" w:line="194" w:lineRule="exact"/>
        <w:rPr>
          <w:sz w:val="20"/>
          <w:szCs w:val="20"/>
          <w:color w:val="auto"/>
        </w:rPr>
      </w:pPr>
    </w:p>
    <w:p>
      <w:pPr>
        <w:jc w:val="both"/>
        <w:ind w:left="580" w:right="1419"/>
        <w:spacing w:after="0" w:line="265" w:lineRule="auto"/>
        <w:rPr>
          <w:sz w:val="20"/>
          <w:szCs w:val="20"/>
          <w:color w:val="auto"/>
        </w:rPr>
      </w:pPr>
      <w:r>
        <w:rPr>
          <w:rFonts w:ascii="Times New Roman" w:cs="Times New Roman" w:eastAsia="Times New Roman" w:hAnsi="Times New Roman"/>
          <w:sz w:val="17"/>
          <w:szCs w:val="17"/>
          <w:color w:val="auto"/>
        </w:rPr>
        <w:t>The provisions described above that require the Company to make a Change of Control Offer following a Change of Control Triggering Event will be applicable whether or not any other provisions of this Agreement are applicable.</w:t>
      </w:r>
    </w:p>
    <w:p>
      <w:pPr>
        <w:spacing w:after="0" w:line="14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color w:val="auto"/>
        </w:rPr>
        <w:t>22.6</w:t>
      </w:r>
      <w:r>
        <w:rPr>
          <w:sz w:val="20"/>
          <w:szCs w:val="20"/>
          <w:color w:val="auto"/>
        </w:rPr>
        <w:tab/>
      </w:r>
      <w:r>
        <w:rPr>
          <w:rFonts w:ascii="Times New Roman" w:cs="Times New Roman" w:eastAsia="Times New Roman" w:hAnsi="Times New Roman"/>
          <w:sz w:val="17"/>
          <w:szCs w:val="17"/>
          <w:color w:val="auto"/>
        </w:rPr>
        <w:t>Compliance with the Exchange Act</w:t>
      </w:r>
    </w:p>
    <w:p>
      <w:pPr>
        <w:spacing w:after="0" w:line="194" w:lineRule="exact"/>
        <w:rPr>
          <w:sz w:val="20"/>
          <w:szCs w:val="20"/>
          <w:color w:val="auto"/>
        </w:rPr>
      </w:pPr>
    </w:p>
    <w:p>
      <w:pPr>
        <w:jc w:val="both"/>
        <w:ind w:left="580" w:right="1399"/>
        <w:spacing w:after="0" w:line="252" w:lineRule="auto"/>
        <w:rPr>
          <w:sz w:val="20"/>
          <w:szCs w:val="20"/>
          <w:color w:val="auto"/>
        </w:rPr>
      </w:pPr>
      <w:r>
        <w:rPr>
          <w:rFonts w:ascii="Times New Roman" w:cs="Times New Roman" w:eastAsia="Times New Roman" w:hAnsi="Times New Roman"/>
          <w:sz w:val="17"/>
          <w:szCs w:val="17"/>
          <w:color w:val="auto"/>
        </w:rPr>
        <w:t>The Company will comply, to the extent applicable, with the requirements of Section 14(e) of the United States Securities Exchange Act of 1934 and any other securities laws or regulations in connection with the repurchase of Notes as a result of a Change of Control Triggering Event. To the extent that the provisions of any securities laws or regulations conflict with the Change of Control provisions of this Agreement, the Company will comply with the applicable securities laws and regulations and will not be deemed to have breached its obligations under the Change of Control provisions of this Agreement by virtue of such compliance.</w:t>
      </w:r>
    </w:p>
    <w:p>
      <w:pPr>
        <w:spacing w:after="0" w:line="1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color w:val="auto"/>
        </w:rPr>
        <w:t>22.7</w:t>
      </w:r>
      <w:r>
        <w:rPr>
          <w:sz w:val="20"/>
          <w:szCs w:val="20"/>
          <w:color w:val="auto"/>
        </w:rPr>
        <w:tab/>
      </w:r>
      <w:r>
        <w:rPr>
          <w:rFonts w:ascii="Times New Roman" w:cs="Times New Roman" w:eastAsia="Times New Roman" w:hAnsi="Times New Roman"/>
          <w:sz w:val="17"/>
          <w:szCs w:val="17"/>
          <w:color w:val="auto"/>
        </w:rPr>
        <w:t>Change of Control Definitions</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For the purposes of this clause, the defined terms not otherwise defined in any other clause of this</w:t>
      </w:r>
    </w:p>
    <w:p>
      <w:pPr>
        <w:spacing w:after="0" w:line="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Agreement have the following meaning:</w:t>
      </w:r>
    </w:p>
    <w:p>
      <w:pPr>
        <w:spacing w:after="0" w:line="172" w:lineRule="exact"/>
        <w:rPr>
          <w:sz w:val="20"/>
          <w:szCs w:val="20"/>
          <w:color w:val="auto"/>
        </w:rPr>
      </w:pPr>
    </w:p>
    <w:p>
      <w:pPr>
        <w:jc w:val="both"/>
        <w:ind w:left="1140" w:right="1399" w:hanging="567"/>
        <w:spacing w:after="0" w:line="253" w:lineRule="auto"/>
        <w:tabs>
          <w:tab w:leader="none" w:pos="11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Change of Control </w:t>
      </w:r>
      <w:r>
        <w:rPr>
          <w:rFonts w:ascii="Times New Roman" w:cs="Times New Roman" w:eastAsia="Times New Roman" w:hAnsi="Times New Roman"/>
          <w:sz w:val="17"/>
          <w:szCs w:val="17"/>
          <w:color w:val="auto"/>
        </w:rPr>
        <w:t>refers to (i) the acquisition by any person, or persons acting in concert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person or persons acting on behalf of any such person(s), at any time, directly or indirectly, of more than 50% of the Company's outstanding common stock, (ii) the approval by the Company's shareholders who hold more than 50% of the Company's outstanding common stock of a merger or consolidation with any other entity or (iii) the direct or indirect sale, lease, transfer, conveyance or other disposition of all or substantially all of the property or assets of the Company and its Subsidiaries taken as a whole to a person or group of persons.</w:t>
      </w:r>
    </w:p>
    <w:p>
      <w:pPr>
        <w:spacing w:after="0" w:line="150" w:lineRule="exact"/>
        <w:rPr>
          <w:rFonts w:ascii="Times New Roman" w:cs="Times New Roman" w:eastAsia="Times New Roman" w:hAnsi="Times New Roman"/>
          <w:sz w:val="17"/>
          <w:szCs w:val="17"/>
          <w:color w:val="auto"/>
        </w:rPr>
      </w:pPr>
    </w:p>
    <w:p>
      <w:pPr>
        <w:jc w:val="both"/>
        <w:ind w:left="1140" w:right="1419" w:hanging="567"/>
        <w:spacing w:after="0" w:line="266" w:lineRule="auto"/>
        <w:tabs>
          <w:tab w:leader="none" w:pos="11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Rating Agencies </w:t>
      </w:r>
      <w:r>
        <w:rPr>
          <w:rFonts w:ascii="Times New Roman" w:cs="Times New Roman" w:eastAsia="Times New Roman" w:hAnsi="Times New Roman"/>
          <w:sz w:val="17"/>
          <w:szCs w:val="17"/>
          <w:color w:val="auto"/>
        </w:rPr>
        <w:t>means Moody's and S&amp;P or, in the event Moody's or S&amp;P no longer assigns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rating to the Notes, any other Nationally Recognized Statistical Rating Organization that assigns a rating to the Notes in lieu of the ratings by Moody's or S&amp;P.</w:t>
      </w:r>
    </w:p>
    <w:p>
      <w:pPr>
        <w:spacing w:after="0" w:line="140" w:lineRule="exact"/>
        <w:rPr>
          <w:rFonts w:ascii="Times New Roman" w:cs="Times New Roman" w:eastAsia="Times New Roman" w:hAnsi="Times New Roman"/>
          <w:sz w:val="17"/>
          <w:szCs w:val="17"/>
          <w:color w:val="auto"/>
        </w:rPr>
      </w:pPr>
    </w:p>
    <w:p>
      <w:pPr>
        <w:ind w:left="1140" w:hanging="567"/>
        <w:spacing w:after="0"/>
        <w:tabs>
          <w:tab w:leader="none" w:pos="11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Rating Date </w:t>
      </w:r>
      <w:r>
        <w:rPr>
          <w:rFonts w:ascii="Times New Roman" w:cs="Times New Roman" w:eastAsia="Times New Roman" w:hAnsi="Times New Roman"/>
          <w:sz w:val="17"/>
          <w:szCs w:val="17"/>
          <w:color w:val="auto"/>
        </w:rPr>
        <w:t>means the date which is 90 days prior to the earlier of:</w:t>
      </w:r>
    </w:p>
    <w:p>
      <w:pPr>
        <w:spacing w:after="0" w:line="195" w:lineRule="exact"/>
        <w:rPr>
          <w:rFonts w:ascii="Times New Roman" w:cs="Times New Roman" w:eastAsia="Times New Roman" w:hAnsi="Times New Roman"/>
          <w:sz w:val="17"/>
          <w:szCs w:val="17"/>
          <w:color w:val="auto"/>
        </w:rPr>
      </w:pPr>
    </w:p>
    <w:p>
      <w:pPr>
        <w:ind w:left="1700" w:hanging="560"/>
        <w:spacing w:after="0"/>
        <w:tabs>
          <w:tab w:leader="none" w:pos="170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of Control, and</w:t>
      </w:r>
    </w:p>
    <w:p>
      <w:pPr>
        <w:spacing w:after="0" w:line="193" w:lineRule="exact"/>
        <w:rPr>
          <w:rFonts w:ascii="Times New Roman" w:cs="Times New Roman" w:eastAsia="Times New Roman" w:hAnsi="Times New Roman"/>
          <w:sz w:val="17"/>
          <w:szCs w:val="17"/>
          <w:color w:val="auto"/>
        </w:rPr>
      </w:pPr>
    </w:p>
    <w:p>
      <w:pPr>
        <w:ind w:left="1700" w:right="1399" w:hanging="560"/>
        <w:spacing w:after="0" w:line="283" w:lineRule="auto"/>
        <w:tabs>
          <w:tab w:leader="none" w:pos="170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notice of the occurrence of a Change of Control or of the intention of the Company to effect a Change of Control.</w:t>
      </w:r>
    </w:p>
    <w:p>
      <w:pPr>
        <w:spacing w:after="0" w:line="127" w:lineRule="exact"/>
        <w:rPr>
          <w:rFonts w:ascii="Times New Roman" w:cs="Times New Roman" w:eastAsia="Times New Roman" w:hAnsi="Times New Roman"/>
          <w:sz w:val="17"/>
          <w:szCs w:val="17"/>
          <w:color w:val="auto"/>
        </w:rPr>
      </w:pPr>
    </w:p>
    <w:p>
      <w:pPr>
        <w:jc w:val="both"/>
        <w:ind w:left="1140" w:right="1419" w:hanging="567"/>
        <w:spacing w:after="0" w:line="256" w:lineRule="auto"/>
        <w:tabs>
          <w:tab w:leader="none" w:pos="11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Rating Decline </w:t>
      </w:r>
      <w:r>
        <w:rPr>
          <w:rFonts w:ascii="Times New Roman" w:cs="Times New Roman" w:eastAsia="Times New Roman" w:hAnsi="Times New Roman"/>
          <w:sz w:val="17"/>
          <w:szCs w:val="17"/>
          <w:color w:val="auto"/>
        </w:rPr>
        <w:t>means the occurrence of the following on, or within 60 days after, the earlier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date of public notice of the occurrence of a Change of Control or of the intention of the Company to effect a Change of Control (which period shall be extended so long as the rating of the Notes is under publicly announced consideration for possible downgrade by any of the Rating Agencies):</w:t>
      </w:r>
    </w:p>
    <w:p>
      <w:pPr>
        <w:spacing w:after="0" w:line="19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497649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59"/>
          </w:cols>
          <w:pgMar w:left="1200" w:top="120" w:right="1440" w:bottom="1440" w:gutter="0" w:footer="0" w:header="0"/>
        </w:sectPr>
      </w:pPr>
    </w:p>
    <w:bookmarkStart w:id="20" w:name="page21"/>
    <w:bookmarkEnd w:id="20"/>
    <w:p>
      <w:pPr>
        <w:jc w:val="both"/>
        <w:ind w:left="1693" w:right="1399" w:hanging="560"/>
        <w:spacing w:after="0" w:line="264" w:lineRule="auto"/>
        <w:tabs>
          <w:tab w:leader="none" w:pos="1693" w:val="left"/>
        </w:tabs>
        <w:numPr>
          <w:ilvl w:val="2"/>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Notes are assigned an Investment Grade Rating by both Rating Agencies on the Rating Date, the rating of the Notes by one of the Rating Agencies shall be below an Investment Grade Rating; or</w:t>
      </w:r>
    </w:p>
    <w:p>
      <w:pPr>
        <w:spacing w:after="0" w:line="144" w:lineRule="exact"/>
        <w:rPr>
          <w:rFonts w:ascii="Times New Roman" w:cs="Times New Roman" w:eastAsia="Times New Roman" w:hAnsi="Times New Roman"/>
          <w:sz w:val="17"/>
          <w:szCs w:val="17"/>
          <w:color w:val="auto"/>
        </w:rPr>
      </w:pPr>
    </w:p>
    <w:p>
      <w:pPr>
        <w:jc w:val="both"/>
        <w:ind w:left="1693" w:right="1399" w:hanging="560"/>
        <w:spacing w:after="0" w:line="258" w:lineRule="auto"/>
        <w:tabs>
          <w:tab w:leader="none" w:pos="1693" w:val="left"/>
        </w:tabs>
        <w:numPr>
          <w:ilvl w:val="2"/>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Notes are rated below an Investment Grade Rating by at least one of the Rating Agencies on the Rating Date, the rating of the Notes by at least one of the Rating Agencies shall be decreased by one or more gradations (including gradations within rating categories as well as between rating categories).</w:t>
      </w:r>
    </w:p>
    <w:p>
      <w:pPr>
        <w:spacing w:after="0" w:line="148" w:lineRule="exact"/>
        <w:rPr>
          <w:rFonts w:ascii="Times New Roman" w:cs="Times New Roman" w:eastAsia="Times New Roman" w:hAnsi="Times New Roman"/>
          <w:sz w:val="17"/>
          <w:szCs w:val="17"/>
          <w:color w:val="auto"/>
        </w:rPr>
      </w:pPr>
    </w:p>
    <w:p>
      <w:pPr>
        <w:ind w:left="1133" w:right="1419" w:hanging="567"/>
        <w:spacing w:after="0" w:line="286" w:lineRule="auto"/>
        <w:tabs>
          <w:tab w:leader="none" w:pos="1133"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Investment Grade Rating </w:t>
      </w:r>
      <w:r>
        <w:rPr>
          <w:rFonts w:ascii="Times New Roman" w:cs="Times New Roman" w:eastAsia="Times New Roman" w:hAnsi="Times New Roman"/>
          <w:sz w:val="17"/>
          <w:szCs w:val="17"/>
          <w:color w:val="auto"/>
        </w:rPr>
        <w:t>means a rating equal to or higher than Baa3 (or the equivalent)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Moody’s and BBB – (or the equivalent) by S&amp;P.</w:t>
      </w:r>
    </w:p>
    <w:p>
      <w:pPr>
        <w:spacing w:after="0" w:line="124" w:lineRule="exact"/>
        <w:rPr>
          <w:rFonts w:ascii="Times New Roman" w:cs="Times New Roman" w:eastAsia="Times New Roman" w:hAnsi="Times New Roman"/>
          <w:sz w:val="17"/>
          <w:szCs w:val="17"/>
          <w:color w:val="auto"/>
        </w:rPr>
      </w:pPr>
    </w:p>
    <w:p>
      <w:pPr>
        <w:ind w:left="1133" w:right="1419" w:hanging="567"/>
        <w:spacing w:after="0" w:line="286" w:lineRule="auto"/>
        <w:tabs>
          <w:tab w:leader="none" w:pos="1133"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Moody's </w:t>
      </w:r>
      <w:r>
        <w:rPr>
          <w:rFonts w:ascii="Times New Roman" w:cs="Times New Roman" w:eastAsia="Times New Roman" w:hAnsi="Times New Roman"/>
          <w:sz w:val="17"/>
          <w:szCs w:val="17"/>
          <w:color w:val="auto"/>
        </w:rPr>
        <w:t>means Moody's Investors Service, Inc., or any of its successors or assigns that is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Nationally Recognized Statistical Rating Organization.</w:t>
      </w:r>
    </w:p>
    <w:p>
      <w:pPr>
        <w:spacing w:after="0" w:line="124" w:lineRule="exact"/>
        <w:rPr>
          <w:rFonts w:ascii="Times New Roman" w:cs="Times New Roman" w:eastAsia="Times New Roman" w:hAnsi="Times New Roman"/>
          <w:sz w:val="17"/>
          <w:szCs w:val="17"/>
          <w:color w:val="auto"/>
        </w:rPr>
      </w:pPr>
    </w:p>
    <w:p>
      <w:pPr>
        <w:ind w:left="1133" w:right="1419" w:hanging="567"/>
        <w:spacing w:after="0" w:line="286" w:lineRule="auto"/>
        <w:tabs>
          <w:tab w:leader="none" w:pos="1133"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Nationally Recognized Statistical Rating Organization </w:t>
      </w:r>
      <w:r>
        <w:rPr>
          <w:rFonts w:ascii="Times New Roman" w:cs="Times New Roman" w:eastAsia="Times New Roman" w:hAnsi="Times New Roman"/>
          <w:sz w:val="17"/>
          <w:szCs w:val="17"/>
          <w:color w:val="auto"/>
        </w:rPr>
        <w:t>means a nationally recognized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statistical rating organization within the meaning of Rule 436 under the Securities Act.</w:t>
      </w:r>
    </w:p>
    <w:p>
      <w:pPr>
        <w:spacing w:after="0" w:line="124" w:lineRule="exact"/>
        <w:rPr>
          <w:rFonts w:ascii="Times New Roman" w:cs="Times New Roman" w:eastAsia="Times New Roman" w:hAnsi="Times New Roman"/>
          <w:sz w:val="17"/>
          <w:szCs w:val="17"/>
          <w:color w:val="auto"/>
        </w:rPr>
      </w:pPr>
    </w:p>
    <w:p>
      <w:pPr>
        <w:ind w:left="1133" w:right="1419" w:hanging="567"/>
        <w:spacing w:after="0" w:line="286" w:lineRule="auto"/>
        <w:tabs>
          <w:tab w:leader="none" w:pos="1133"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S&amp;P </w:t>
      </w:r>
      <w:r>
        <w:rPr>
          <w:rFonts w:ascii="Times New Roman" w:cs="Times New Roman" w:eastAsia="Times New Roman" w:hAnsi="Times New Roman"/>
          <w:sz w:val="17"/>
          <w:szCs w:val="17"/>
          <w:color w:val="auto"/>
        </w:rPr>
        <w:t>means Standard &amp; Poor’s Investors Ratings Services or any of its successors or assigns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is a Nationally Recognized Statistical Rating Organization.</w:t>
      </w:r>
    </w:p>
    <w:p>
      <w:pPr>
        <w:spacing w:after="0" w:line="124" w:lineRule="exact"/>
        <w:rPr>
          <w:rFonts w:ascii="Times New Roman" w:cs="Times New Roman" w:eastAsia="Times New Roman" w:hAnsi="Times New Roman"/>
          <w:sz w:val="17"/>
          <w:szCs w:val="17"/>
          <w:color w:val="auto"/>
        </w:rPr>
      </w:pPr>
    </w:p>
    <w:p>
      <w:pPr>
        <w:ind w:left="573" w:hanging="573"/>
        <w:spacing w:after="0"/>
        <w:tabs>
          <w:tab w:leader="none" w:pos="573"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COUNTERPARTS</w:t>
      </w:r>
    </w:p>
    <w:p>
      <w:pPr>
        <w:spacing w:after="0" w:line="195" w:lineRule="exact"/>
        <w:rPr>
          <w:rFonts w:ascii="Times New Roman" w:cs="Times New Roman" w:eastAsia="Times New Roman" w:hAnsi="Times New Roman"/>
          <w:sz w:val="17"/>
          <w:szCs w:val="17"/>
          <w:b w:val="1"/>
          <w:bCs w:val="1"/>
          <w:color w:val="auto"/>
        </w:rPr>
      </w:pPr>
    </w:p>
    <w:p>
      <w:pPr>
        <w:jc w:val="both"/>
        <w:ind w:left="573" w:right="1399"/>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This Agreement may be executed by the parties hereto in any number of counterparts, and by each of the parties hereto in separate counterparts, and each such counterpart, when so executed and delivered, shall be deemed to be an original, but all such counterparts shall together constitute but one and the same instrument.</w:t>
      </w:r>
    </w:p>
    <w:p>
      <w:pPr>
        <w:spacing w:after="0" w:line="148" w:lineRule="exact"/>
        <w:rPr>
          <w:rFonts w:ascii="Times New Roman" w:cs="Times New Roman" w:eastAsia="Times New Roman" w:hAnsi="Times New Roman"/>
          <w:sz w:val="17"/>
          <w:szCs w:val="17"/>
          <w:b w:val="1"/>
          <w:bCs w:val="1"/>
          <w:color w:val="auto"/>
        </w:rPr>
      </w:pPr>
    </w:p>
    <w:p>
      <w:pPr>
        <w:ind w:left="573" w:hanging="573"/>
        <w:spacing w:after="0"/>
        <w:tabs>
          <w:tab w:leader="none" w:pos="573"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CONTRACTUAL RECOGNITION OF BAIL-IN POWERS</w:t>
      </w:r>
    </w:p>
    <w:p>
      <w:pPr>
        <w:spacing w:after="0" w:line="195" w:lineRule="exact"/>
        <w:rPr>
          <w:rFonts w:ascii="Times New Roman" w:cs="Times New Roman" w:eastAsia="Times New Roman" w:hAnsi="Times New Roman"/>
          <w:sz w:val="17"/>
          <w:szCs w:val="17"/>
          <w:color w:val="auto"/>
        </w:rPr>
      </w:pPr>
    </w:p>
    <w:p>
      <w:pPr>
        <w:jc w:val="both"/>
        <w:ind w:left="573" w:right="1399"/>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and to the exclusion of any other term of this Agreement or any other agreements, arrangements, or understandings between any parties, the Company (as a counterparty hereunder to a UK Bail-in Party) acknowledges and accepts that a UK Bail-in Liability arising under this Agreement may be subject to the exercise of UK Bail-in Powers by the relevant UK resolution authority, and acknowledges, accepts, and agrees to be bound by:</w:t>
      </w:r>
    </w:p>
    <w:p>
      <w:pPr>
        <w:spacing w:after="0" w:line="153" w:lineRule="exact"/>
        <w:rPr>
          <w:rFonts w:ascii="Times New Roman" w:cs="Times New Roman" w:eastAsia="Times New Roman" w:hAnsi="Times New Roman"/>
          <w:sz w:val="17"/>
          <w:szCs w:val="17"/>
          <w:color w:val="auto"/>
        </w:rPr>
      </w:pPr>
    </w:p>
    <w:p>
      <w:pPr>
        <w:jc w:val="both"/>
        <w:ind w:left="1133" w:right="1419" w:hanging="567"/>
        <w:spacing w:after="0" w:line="261" w:lineRule="auto"/>
        <w:tabs>
          <w:tab w:leader="none" w:pos="113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the exercise of UK Bail-in Powers by the relevant UK resolution authority in relation to any UK Bail-in Liability of any UK Bail-in Party to it under this agreement, that (without limitation) may include and result in any of the following, or some combination thereof:</w:t>
      </w:r>
    </w:p>
    <w:p>
      <w:pPr>
        <w:spacing w:after="0" w:line="353" w:lineRule="exact"/>
        <w:rPr>
          <w:rFonts w:ascii="Times New Roman" w:cs="Times New Roman" w:eastAsia="Times New Roman" w:hAnsi="Times New Roman"/>
          <w:sz w:val="17"/>
          <w:szCs w:val="17"/>
          <w:color w:val="auto"/>
        </w:rPr>
      </w:pPr>
    </w:p>
    <w:p>
      <w:pPr>
        <w:ind w:left="1693" w:right="1419" w:hanging="560"/>
        <w:spacing w:after="0" w:line="283" w:lineRule="auto"/>
        <w:tabs>
          <w:tab w:leader="none" w:pos="1693" w:val="left"/>
        </w:tabs>
        <w:numPr>
          <w:ilvl w:val="2"/>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reduction of all, or a portion, of the UK Bail-in Liability or outstanding amounts due thereon;</w:t>
      </w:r>
    </w:p>
    <w:p>
      <w:pPr>
        <w:spacing w:after="0" w:line="129" w:lineRule="exact"/>
        <w:rPr>
          <w:rFonts w:ascii="Times New Roman" w:cs="Times New Roman" w:eastAsia="Times New Roman" w:hAnsi="Times New Roman"/>
          <w:sz w:val="17"/>
          <w:szCs w:val="17"/>
          <w:color w:val="auto"/>
        </w:rPr>
      </w:pPr>
    </w:p>
    <w:p>
      <w:pPr>
        <w:jc w:val="both"/>
        <w:ind w:left="1693" w:right="1419" w:hanging="560"/>
        <w:spacing w:after="0" w:line="265" w:lineRule="auto"/>
        <w:tabs>
          <w:tab w:leader="none" w:pos="1693" w:val="left"/>
        </w:tabs>
        <w:numPr>
          <w:ilvl w:val="2"/>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of all, or a portion, of the UK Bail-in Liability into shares, other securities or other obligations of the UK Bail-in Party or another person, and the issue to or conferral on it of such shares, securities or obligations;</w:t>
      </w:r>
    </w:p>
    <w:p>
      <w:pPr>
        <w:spacing w:after="0" w:line="143" w:lineRule="exact"/>
        <w:rPr>
          <w:rFonts w:ascii="Times New Roman" w:cs="Times New Roman" w:eastAsia="Times New Roman" w:hAnsi="Times New Roman"/>
          <w:sz w:val="17"/>
          <w:szCs w:val="17"/>
          <w:color w:val="auto"/>
        </w:rPr>
      </w:pPr>
    </w:p>
    <w:p>
      <w:pPr>
        <w:ind w:left="1693" w:hanging="560"/>
        <w:spacing w:after="0"/>
        <w:tabs>
          <w:tab w:leader="none" w:pos="1693" w:val="left"/>
        </w:tabs>
        <w:numPr>
          <w:ilvl w:val="2"/>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cancellation of the UK Bail-in Liability; and/or</w:t>
      </w:r>
    </w:p>
    <w:p>
      <w:pPr>
        <w:spacing w:after="0" w:line="242" w:lineRule="exact"/>
        <w:rPr>
          <w:sz w:val="20"/>
          <w:szCs w:val="20"/>
          <w:color w:val="auto"/>
        </w:rPr>
      </w:pPr>
    </w:p>
    <w:p>
      <w:pPr>
        <w:ind w:left="3853"/>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497649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53"/>
          </w:cols>
          <w:pgMar w:left="1207" w:top="120" w:right="1440" w:bottom="1440" w:gutter="0" w:footer="0" w:header="0"/>
        </w:sectPr>
      </w:pPr>
    </w:p>
    <w:bookmarkStart w:id="21" w:name="page22"/>
    <w:bookmarkEnd w:id="21"/>
    <w:p>
      <w:pPr>
        <w:jc w:val="both"/>
        <w:ind w:left="1693" w:right="1399" w:hanging="560"/>
        <w:spacing w:after="0" w:line="264" w:lineRule="auto"/>
        <w:tabs>
          <w:tab w:leader="none" w:pos="1693"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amendment or alteration of any interest, if applicable, thereon, the maturity or the dates on which any payments are due, including by suspending payment for a temporary period; and</w:t>
      </w:r>
    </w:p>
    <w:p>
      <w:pPr>
        <w:spacing w:after="0" w:line="144" w:lineRule="exact"/>
        <w:rPr>
          <w:rFonts w:ascii="Times New Roman" w:cs="Times New Roman" w:eastAsia="Times New Roman" w:hAnsi="Times New Roman"/>
          <w:sz w:val="17"/>
          <w:szCs w:val="17"/>
          <w:color w:val="auto"/>
        </w:rPr>
      </w:pPr>
    </w:p>
    <w:p>
      <w:pPr>
        <w:jc w:val="both"/>
        <w:ind w:left="1133" w:right="1419" w:hanging="567"/>
        <w:spacing w:after="0" w:line="265" w:lineRule="auto"/>
        <w:tabs>
          <w:tab w:leader="none" w:pos="1133"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variation of the terms of this Agreement, as deemed necessary by the relevant UK resolution authority, to give effect to the exercise of UK Bail-in Powers by the relevant UK resolution authority.</w:t>
      </w:r>
    </w:p>
    <w:p>
      <w:pPr>
        <w:spacing w:after="0" w:line="143" w:lineRule="exact"/>
        <w:rPr>
          <w:sz w:val="20"/>
          <w:szCs w:val="20"/>
          <w:color w:val="auto"/>
        </w:rPr>
      </w:pPr>
    </w:p>
    <w:p>
      <w:pPr>
        <w:ind w:left="573"/>
        <w:spacing w:after="0"/>
        <w:rPr>
          <w:sz w:val="20"/>
          <w:szCs w:val="20"/>
          <w:color w:val="auto"/>
        </w:rPr>
      </w:pPr>
      <w:r>
        <w:rPr>
          <w:rFonts w:ascii="Times New Roman" w:cs="Times New Roman" w:eastAsia="Times New Roman" w:hAnsi="Times New Roman"/>
          <w:sz w:val="17"/>
          <w:szCs w:val="17"/>
          <w:color w:val="auto"/>
        </w:rPr>
        <w:t>Terms used in this Clause 24 shall have the following meanings:</w:t>
      </w:r>
    </w:p>
    <w:p>
      <w:pPr>
        <w:spacing w:after="0" w:line="192" w:lineRule="exact"/>
        <w:rPr>
          <w:sz w:val="20"/>
          <w:szCs w:val="20"/>
          <w:color w:val="auto"/>
        </w:rPr>
      </w:pPr>
    </w:p>
    <w:p>
      <w:pPr>
        <w:jc w:val="both"/>
        <w:ind w:left="1133" w:right="1399" w:hanging="567"/>
        <w:spacing w:after="0" w:line="259" w:lineRule="auto"/>
        <w:tabs>
          <w:tab w:leader="none" w:pos="1133"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UK Bail-in Legislation </w:t>
      </w:r>
      <w:r>
        <w:rPr>
          <w:rFonts w:ascii="Times New Roman" w:cs="Times New Roman" w:eastAsia="Times New Roman" w:hAnsi="Times New Roman"/>
          <w:sz w:val="17"/>
          <w:szCs w:val="17"/>
          <w:color w:val="auto"/>
        </w:rPr>
        <w:t>means Part I of the UK Banking Act 2009 and any other law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regulation applicable in the UK relating to the resolution of unsound or failing banks, investment firms or other financial institutions or their affiliates (otherwise than through liquidation, administration or other insolvency proceedings);</w:t>
      </w:r>
    </w:p>
    <w:p>
      <w:pPr>
        <w:spacing w:after="0" w:line="147" w:lineRule="exact"/>
        <w:rPr>
          <w:rFonts w:ascii="Times New Roman" w:cs="Times New Roman" w:eastAsia="Times New Roman" w:hAnsi="Times New Roman"/>
          <w:sz w:val="17"/>
          <w:szCs w:val="17"/>
          <w:color w:val="auto"/>
        </w:rPr>
      </w:pPr>
    </w:p>
    <w:p>
      <w:pPr>
        <w:ind w:left="1133" w:right="1419" w:hanging="567"/>
        <w:spacing w:after="0" w:line="286" w:lineRule="auto"/>
        <w:tabs>
          <w:tab w:leader="none" w:pos="1133"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UK Bail-in Liability </w:t>
      </w:r>
      <w:r>
        <w:rPr>
          <w:rFonts w:ascii="Times New Roman" w:cs="Times New Roman" w:eastAsia="Times New Roman" w:hAnsi="Times New Roman"/>
          <w:sz w:val="17"/>
          <w:szCs w:val="17"/>
          <w:color w:val="auto"/>
        </w:rPr>
        <w:t>means a liability in respect of which the UK Bail-in Powers may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exercised;</w:t>
      </w:r>
    </w:p>
    <w:p>
      <w:pPr>
        <w:spacing w:after="0" w:line="124" w:lineRule="exact"/>
        <w:rPr>
          <w:rFonts w:ascii="Times New Roman" w:cs="Times New Roman" w:eastAsia="Times New Roman" w:hAnsi="Times New Roman"/>
          <w:sz w:val="17"/>
          <w:szCs w:val="17"/>
          <w:color w:val="auto"/>
        </w:rPr>
      </w:pPr>
    </w:p>
    <w:p>
      <w:pPr>
        <w:ind w:left="1133" w:hanging="567"/>
        <w:spacing w:after="0"/>
        <w:tabs>
          <w:tab w:leader="none" w:pos="1133"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UK Bail-in Party </w:t>
      </w:r>
      <w:r>
        <w:rPr>
          <w:rFonts w:ascii="Times New Roman" w:cs="Times New Roman" w:eastAsia="Times New Roman" w:hAnsi="Times New Roman"/>
          <w:sz w:val="17"/>
          <w:szCs w:val="17"/>
          <w:color w:val="auto"/>
        </w:rPr>
        <w:t>means any Agent subject to UK Bail-in Powers; and</w:t>
      </w:r>
    </w:p>
    <w:p>
      <w:pPr>
        <w:spacing w:after="0" w:line="193" w:lineRule="exact"/>
        <w:rPr>
          <w:rFonts w:ascii="Times New Roman" w:cs="Times New Roman" w:eastAsia="Times New Roman" w:hAnsi="Times New Roman"/>
          <w:sz w:val="17"/>
          <w:szCs w:val="17"/>
          <w:color w:val="auto"/>
        </w:rPr>
      </w:pPr>
    </w:p>
    <w:p>
      <w:pPr>
        <w:jc w:val="both"/>
        <w:ind w:left="1133" w:right="1399" w:hanging="567"/>
        <w:spacing w:after="0" w:line="253" w:lineRule="auto"/>
        <w:tabs>
          <w:tab w:leader="none" w:pos="1133"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UK Bail-in Powers </w:t>
      </w:r>
      <w:r>
        <w:rPr>
          <w:rFonts w:ascii="Times New Roman" w:cs="Times New Roman" w:eastAsia="Times New Roman" w:hAnsi="Times New Roman"/>
          <w:sz w:val="17"/>
          <w:szCs w:val="17"/>
          <w:color w:val="auto"/>
        </w:rPr>
        <w:t>means the powers under the UK Bail-In Legislation to cancel, transfer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dilute shares issued by a person that is a bank or investment firm or affiliate of a bank or investment firm,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w:t>
      </w:r>
    </w:p>
    <w:p>
      <w:pPr>
        <w:spacing w:after="0" w:line="150" w:lineRule="exact"/>
        <w:rPr>
          <w:rFonts w:ascii="Times New Roman" w:cs="Times New Roman" w:eastAsia="Times New Roman" w:hAnsi="Times New Roman"/>
          <w:sz w:val="17"/>
          <w:szCs w:val="17"/>
          <w:color w:val="auto"/>
        </w:rPr>
      </w:pPr>
    </w:p>
    <w:p>
      <w:pPr>
        <w:ind w:left="573" w:hanging="573"/>
        <w:spacing w:after="0"/>
        <w:tabs>
          <w:tab w:leader="none" w:pos="573"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GOVERNING LAW</w:t>
      </w:r>
    </w:p>
    <w:p>
      <w:pPr>
        <w:spacing w:after="0" w:line="195" w:lineRule="exact"/>
        <w:rPr>
          <w:rFonts w:ascii="Times New Roman" w:cs="Times New Roman" w:eastAsia="Times New Roman" w:hAnsi="Times New Roman"/>
          <w:sz w:val="17"/>
          <w:szCs w:val="17"/>
          <w:b w:val="1"/>
          <w:bCs w:val="1"/>
          <w:color w:val="auto"/>
        </w:rPr>
      </w:pPr>
    </w:p>
    <w:p>
      <w:pPr>
        <w:ind w:left="573" w:right="1419"/>
        <w:spacing w:after="0" w:line="28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This Agreement is to be delivered and performed in, and shall be construed and enforced in accordance with, and the rights of the parties shall be governed by, the laws of the State of New York.</w:t>
      </w:r>
    </w:p>
    <w:p>
      <w:pPr>
        <w:spacing w:after="0" w:line="127" w:lineRule="exact"/>
        <w:rPr>
          <w:rFonts w:ascii="Times New Roman" w:cs="Times New Roman" w:eastAsia="Times New Roman" w:hAnsi="Times New Roman"/>
          <w:sz w:val="17"/>
          <w:szCs w:val="17"/>
          <w:b w:val="1"/>
          <w:bCs w:val="1"/>
          <w:color w:val="auto"/>
        </w:rPr>
      </w:pPr>
    </w:p>
    <w:p>
      <w:pPr>
        <w:ind w:left="573" w:hanging="573"/>
        <w:spacing w:after="0"/>
        <w:tabs>
          <w:tab w:leader="none" w:pos="573"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SUBMISSION TO NEW YORK JURISDICTION</w:t>
      </w:r>
    </w:p>
    <w:p>
      <w:pPr>
        <w:spacing w:after="0" w:line="195" w:lineRule="exact"/>
        <w:rPr>
          <w:rFonts w:ascii="Times New Roman" w:cs="Times New Roman" w:eastAsia="Times New Roman" w:hAnsi="Times New Roman"/>
          <w:sz w:val="17"/>
          <w:szCs w:val="17"/>
          <w:b w:val="1"/>
          <w:bCs w:val="1"/>
          <w:color w:val="auto"/>
        </w:rPr>
      </w:pPr>
    </w:p>
    <w:p>
      <w:pPr>
        <w:jc w:val="both"/>
        <w:ind w:left="573" w:right="1399"/>
        <w:spacing w:after="0" w:line="24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Agents and the Company hereby irrevocably submit to the nonexclusive jurisdiction of any New York State or United States Federal court sitting in New York City over any suit, action or proceeding arising out of or relating to this Agreement or the Notes. The Agents and the Company irrevocably waive, to the fullest extent permitted by law, any objection which they may have to the laying of the venue of any such suit, action or proceeding brought in such a court and any claim that any such suit, action or proceeding brought in such a court has been brought in an inconvenient forum. As long as any of the Notes remain outstanding, the Company and the Agents will at all times have an authorized agent in New York City, upon whom process may be served in any suit, action or proceeding arising out of or relating to this Agreement or any Notes. Service of process upon such agent and written notice of such service mailed or delivered to the Company shall to the extent permitted by law be deemed in every respect effective service of process upon the Company in any such suit, action or proceeding. The Company hereby appoints C T Corporation System, 111 Eighth Avenue, New York, New York 10011 as its agent for such purpose, and covenants and agrees that (a) service of process in any such suit, action or proceeding may be made upon it at the specified office of such agent (or such other address or at the office of any other authorized agent which the Company may designate by written notice to the Agents) and (b) prior to any termination of such agency for any reason, it will so appoint a successor thereto as agent hereunder. Each Agent hereby</w:t>
      </w:r>
    </w:p>
    <w:p>
      <w:pPr>
        <w:spacing w:after="0" w:line="200" w:lineRule="exact"/>
        <w:rPr>
          <w:sz w:val="20"/>
          <w:szCs w:val="20"/>
          <w:color w:val="auto"/>
        </w:rPr>
      </w:pPr>
    </w:p>
    <w:p>
      <w:pPr>
        <w:spacing w:after="0" w:line="216" w:lineRule="exact"/>
        <w:rPr>
          <w:sz w:val="20"/>
          <w:szCs w:val="20"/>
          <w:color w:val="auto"/>
        </w:rPr>
      </w:pPr>
    </w:p>
    <w:p>
      <w:pPr>
        <w:ind w:left="3853"/>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497649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53"/>
          </w:cols>
          <w:pgMar w:left="1207" w:top="120" w:right="1440" w:bottom="1440" w:gutter="0" w:footer="0" w:header="0"/>
        </w:sectPr>
      </w:pPr>
    </w:p>
    <w:bookmarkStart w:id="22" w:name="page23"/>
    <w:bookmarkEnd w:id="22"/>
    <w:p>
      <w:pPr>
        <w:jc w:val="both"/>
        <w:ind w:left="573" w:right="1419"/>
        <w:spacing w:after="0" w:line="253" w:lineRule="auto"/>
        <w:rPr>
          <w:sz w:val="20"/>
          <w:szCs w:val="20"/>
          <w:color w:val="auto"/>
        </w:rPr>
      </w:pPr>
      <w:r>
        <w:rPr>
          <w:rFonts w:ascii="Times New Roman" w:cs="Times New Roman" w:eastAsia="Times New Roman" w:hAnsi="Times New Roman"/>
          <w:sz w:val="17"/>
          <w:szCs w:val="17"/>
          <w:color w:val="auto"/>
        </w:rPr>
        <w:t>appoints Citibank, N.A., New York Branch, Agency &amp; Trust, 14th Floor, 388 Greenwich Street, New York, New York 10013 as its agent for such purpose, and covenants and agrees that (i) service of process in any such suit, action or proceeding may be made upon it at the specified office of such agent (or such other address or at the office of any other authorized agent which the Agents may designate by written notice to the Company) and (ii) prior to any termination of such agency for any reason, it will so appoint a successor thereto as agent hereunder.</w:t>
      </w:r>
    </w:p>
    <w:p>
      <w:pPr>
        <w:spacing w:after="0" w:line="153" w:lineRule="exact"/>
        <w:rPr>
          <w:sz w:val="20"/>
          <w:szCs w:val="20"/>
          <w:color w:val="auto"/>
        </w:rPr>
      </w:pPr>
    </w:p>
    <w:p>
      <w:pPr>
        <w:ind w:left="573" w:hanging="573"/>
        <w:spacing w:after="0"/>
        <w:tabs>
          <w:tab w:leader="none" w:pos="573"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MODIFICATION OF AGREEMENT AND NOTES</w:t>
      </w:r>
    </w:p>
    <w:p>
      <w:pPr>
        <w:spacing w:after="0" w:line="195" w:lineRule="exact"/>
        <w:rPr>
          <w:rFonts w:ascii="Times New Roman" w:cs="Times New Roman" w:eastAsia="Times New Roman" w:hAnsi="Times New Roman"/>
          <w:sz w:val="17"/>
          <w:szCs w:val="17"/>
          <w:b w:val="1"/>
          <w:bCs w:val="1"/>
          <w:color w:val="auto"/>
        </w:rPr>
      </w:pPr>
    </w:p>
    <w:p>
      <w:pPr>
        <w:jc w:val="both"/>
        <w:ind w:left="573" w:right="1399"/>
        <w:spacing w:after="0" w:line="25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This Agreement or the terms and conditions of the Notes may be amended by the Company and the Fiscal Agent, without the consent of the Noteholders, for the purposes of curing any ambiguity, or of curing, correcting or supplementing any defective provisions contained therein or for any other purpose which the Company and the Fiscal Agent may deem necessary or desirable and which will not be inconsistent with the Notes and which will not adversely affect the interests of the Noteholders, in the sole opinion of the Company. For the avoidance of doubt, the Company may change its legal name and such name change shall not require an amendment hereto or the consent of the Fiscal Agent or the Noteholders.</w:t>
      </w:r>
    </w:p>
    <w:p>
      <w:pPr>
        <w:spacing w:after="0" w:line="361" w:lineRule="exact"/>
        <w:rPr>
          <w:sz w:val="20"/>
          <w:szCs w:val="20"/>
          <w:color w:val="auto"/>
        </w:rPr>
      </w:pPr>
    </w:p>
    <w:p>
      <w:pPr>
        <w:ind w:left="573" w:hanging="573"/>
        <w:spacing w:after="0"/>
        <w:tabs>
          <w:tab w:leader="none" w:pos="573"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ENTIRE AGREEMENT</w:t>
      </w:r>
    </w:p>
    <w:p>
      <w:pPr>
        <w:spacing w:after="0" w:line="195" w:lineRule="exact"/>
        <w:rPr>
          <w:rFonts w:ascii="Times New Roman" w:cs="Times New Roman" w:eastAsia="Times New Roman" w:hAnsi="Times New Roman"/>
          <w:sz w:val="17"/>
          <w:szCs w:val="17"/>
          <w:b w:val="1"/>
          <w:bCs w:val="1"/>
          <w:color w:val="auto"/>
        </w:rPr>
      </w:pPr>
    </w:p>
    <w:p>
      <w:pPr>
        <w:jc w:val="both"/>
        <w:ind w:left="573" w:right="1399"/>
        <w:spacing w:after="0" w:line="25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This Agreement contains the whole agreement between the parties relating to the subject matter of this Agreement at the date of this Agreement to the exclusion of any terms implied by law which may be excluded by contract and supersedes any previous written or oral agreement between the parties in relation to the matters dealt with in this Agreement. Each party acknowledges that it has not been induced to enter into this Agreement by any representation, warranty or undertaking not expressly incorporated into it. So far as is permitted by law and except in the case of fraud, each party agrees and acknowledges that its only right and remedy in relation to any representation, warranty or undertaking made or given in connection with this Agreement shall be for breach of the terms of this Agreement to the exclusion of all other rights and remedies (including those in tort or arising under statute).</w:t>
      </w:r>
    </w:p>
    <w:p>
      <w:pPr>
        <w:spacing w:after="0" w:line="203" w:lineRule="exact"/>
        <w:rPr>
          <w:sz w:val="20"/>
          <w:szCs w:val="20"/>
          <w:color w:val="auto"/>
        </w:rPr>
      </w:pPr>
    </w:p>
    <w:p>
      <w:pPr>
        <w:ind w:left="3853"/>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497649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53"/>
          </w:cols>
          <w:pgMar w:left="1207" w:top="120" w:right="1440" w:bottom="1440" w:gutter="0" w:footer="0" w:header="0"/>
        </w:sectPr>
      </w:pPr>
    </w:p>
    <w:bookmarkStart w:id="23" w:name="page24"/>
    <w:bookmarkEnd w:id="23"/>
    <w:p>
      <w:pPr>
        <w:ind w:right="1419"/>
        <w:spacing w:after="0" w:line="287" w:lineRule="auto"/>
        <w:rPr>
          <w:sz w:val="20"/>
          <w:szCs w:val="20"/>
          <w:color w:val="auto"/>
        </w:rPr>
      </w:pPr>
      <w:r>
        <w:rPr>
          <w:rFonts w:ascii="Times New Roman" w:cs="Times New Roman" w:eastAsia="Times New Roman" w:hAnsi="Times New Roman"/>
          <w:sz w:val="17"/>
          <w:szCs w:val="17"/>
          <w:b w:val="1"/>
          <w:bCs w:val="1"/>
          <w:color w:val="auto"/>
        </w:rPr>
        <w:t xml:space="preserve">IN WITNESS </w:t>
      </w:r>
      <w:r>
        <w:rPr>
          <w:rFonts w:ascii="Times New Roman" w:cs="Times New Roman" w:eastAsia="Times New Roman" w:hAnsi="Times New Roman"/>
          <w:sz w:val="17"/>
          <w:szCs w:val="17"/>
          <w:color w:val="auto"/>
        </w:rPr>
        <w:t>whereof, the parties hereto have caused this Agreement to be executed on their behalf by their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officers thereunto duly authorized, all as of the day and year first above written.</w:t>
      </w:r>
    </w:p>
    <w:p>
      <w:pPr>
        <w:spacing w:after="0" w:line="17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497649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59"/>
          </w:cols>
          <w:pgMar w:left="1200" w:top="115" w:right="1440" w:bottom="1440" w:gutter="0" w:footer="0" w:header="0"/>
        </w:sectPr>
      </w:pPr>
    </w:p>
    <w:bookmarkStart w:id="24" w:name="page25"/>
    <w:bookmarkEnd w:id="24"/>
    <w:p>
      <w:pPr>
        <w:jc w:val="center"/>
        <w:ind w:right="1399"/>
        <w:spacing w:after="0"/>
        <w:rPr>
          <w:sz w:val="20"/>
          <w:szCs w:val="20"/>
          <w:color w:val="auto"/>
        </w:rPr>
      </w:pPr>
      <w:r>
        <w:rPr>
          <w:rFonts w:ascii="Times New Roman" w:cs="Times New Roman" w:eastAsia="Times New Roman" w:hAnsi="Times New Roman"/>
          <w:sz w:val="17"/>
          <w:szCs w:val="17"/>
          <w:color w:val="auto"/>
        </w:rPr>
        <w:t>Schedule 1</w:t>
      </w:r>
    </w:p>
    <w:p>
      <w:pPr>
        <w:spacing w:after="0" w:line="191" w:lineRule="exact"/>
        <w:rPr>
          <w:sz w:val="20"/>
          <w:szCs w:val="20"/>
          <w:color w:val="auto"/>
        </w:rPr>
      </w:pPr>
    </w:p>
    <w:p>
      <w:pPr>
        <w:jc w:val="center"/>
        <w:ind w:right="1399"/>
        <w:spacing w:after="0"/>
        <w:rPr>
          <w:sz w:val="20"/>
          <w:szCs w:val="20"/>
          <w:color w:val="auto"/>
        </w:rPr>
      </w:pPr>
      <w:r>
        <w:rPr>
          <w:rFonts w:ascii="Times New Roman" w:cs="Times New Roman" w:eastAsia="Times New Roman" w:hAnsi="Times New Roman"/>
          <w:sz w:val="17"/>
          <w:szCs w:val="17"/>
          <w:b w:val="1"/>
          <w:bCs w:val="1"/>
          <w:color w:val="auto"/>
        </w:rPr>
        <w:t>FORM OF NOTE</w:t>
      </w:r>
    </w:p>
    <w:p>
      <w:pPr>
        <w:spacing w:after="0" w:line="196" w:lineRule="exact"/>
        <w:rPr>
          <w:sz w:val="20"/>
          <w:szCs w:val="20"/>
          <w:color w:val="auto"/>
        </w:rPr>
      </w:pPr>
    </w:p>
    <w:p>
      <w:pPr>
        <w:jc w:val="both"/>
        <w:ind w:right="1399"/>
        <w:spacing w:after="0" w:line="250" w:lineRule="auto"/>
        <w:rPr>
          <w:sz w:val="20"/>
          <w:szCs w:val="20"/>
          <w:color w:val="auto"/>
        </w:rPr>
      </w:pPr>
      <w:r>
        <w:rPr>
          <w:rFonts w:ascii="Times New Roman" w:cs="Times New Roman" w:eastAsia="Times New Roman" w:hAnsi="Times New Roman"/>
          <w:sz w:val="17"/>
          <w:szCs w:val="17"/>
          <w:color w:val="auto"/>
        </w:rPr>
        <w:t>[Include if this is a Global Note: UNLESS THIS GLOBAL NOTE IS PRESENTED BY AN AUTHORIZED REPRESENTATIVE OF EUROCLEAR BANK SA/NV (</w:t>
      </w:r>
      <w:r>
        <w:rPr>
          <w:rFonts w:ascii="Times New Roman" w:cs="Times New Roman" w:eastAsia="Times New Roman" w:hAnsi="Times New Roman"/>
          <w:sz w:val="17"/>
          <w:szCs w:val="17"/>
          <w:b w:val="1"/>
          <w:bCs w:val="1"/>
          <w:color w:val="auto"/>
        </w:rPr>
        <w:t>EUROCLEAR</w:t>
      </w:r>
      <w:r>
        <w:rPr>
          <w:rFonts w:ascii="Times New Roman" w:cs="Times New Roman" w:eastAsia="Times New Roman" w:hAnsi="Times New Roman"/>
          <w:sz w:val="17"/>
          <w:szCs w:val="17"/>
          <w:color w:val="auto"/>
        </w:rPr>
        <w:t>), OR CLEARSTREAM BANKING, S.A. (</w:t>
      </w:r>
      <w:r>
        <w:rPr>
          <w:rFonts w:ascii="Times New Roman" w:cs="Times New Roman" w:eastAsia="Times New Roman" w:hAnsi="Times New Roman"/>
          <w:sz w:val="17"/>
          <w:szCs w:val="17"/>
          <w:b w:val="1"/>
          <w:bCs w:val="1"/>
          <w:color w:val="auto"/>
        </w:rPr>
        <w:t>CLEARSTREAM</w:t>
      </w:r>
      <w:r>
        <w:rPr>
          <w:rFonts w:ascii="Times New Roman" w:cs="Times New Roman" w:eastAsia="Times New Roman" w:hAnsi="Times New Roman"/>
          <w:sz w:val="17"/>
          <w:szCs w:val="17"/>
          <w:color w:val="auto"/>
        </w:rPr>
        <w:t>), TO THE COMPANY OR ITS AGENT FOR REGISTRATION OF TRANSFER, EXCHANGE OR PAYMENT, AND ANY NOTE ISSUED IS REGISTERED IN THE NAME OF ITS AUTHORIZED NOMINEE OR SUCH OTHER NAME AS IS REQUESTED BY AN AUTHORIZED REPRESENTATIVE OF EUROCLEAR OR CLEARSTREAM (AND ANY PAYMENT IS MADE TO ITS AUTHORIZED NOMINEE, OR TO SUCH OTHER ENTITY AS IS REQUESTED BY AN AUTHORIZED REPRESENTATIVE OF EUROCLEAR OR CLEARSTREAM), ANY TRANSFER, PLEDGE OR OTHER USE HEREOF FOR VALUE OR OTHERWISE BY OR TO ANY PERSON IS WRONGFUL INASMUCH AS THE REGISTERED OWNER HEREOF, ITS AUTHORIZED NOMINEE, HAS AN INTEREST HEREIN.</w:t>
      </w:r>
    </w:p>
    <w:p>
      <w:pPr>
        <w:spacing w:after="0" w:line="159" w:lineRule="exact"/>
        <w:rPr>
          <w:sz w:val="20"/>
          <w:szCs w:val="20"/>
          <w:color w:val="auto"/>
        </w:rPr>
      </w:pPr>
    </w:p>
    <w:p>
      <w:pPr>
        <w:jc w:val="both"/>
        <w:ind w:right="1399"/>
        <w:spacing w:after="0" w:line="255" w:lineRule="auto"/>
        <w:rPr>
          <w:sz w:val="20"/>
          <w:szCs w:val="20"/>
          <w:color w:val="auto"/>
        </w:rPr>
      </w:pPr>
      <w:r>
        <w:rPr>
          <w:rFonts w:ascii="Times New Roman" w:cs="Times New Roman" w:eastAsia="Times New Roman" w:hAnsi="Times New Roman"/>
          <w:sz w:val="17"/>
          <w:szCs w:val="17"/>
          <w:color w:val="auto"/>
        </w:rPr>
        <w:t>TRANSFERS OF THIS GLOBAL NOTE SHALL BE LIMITED TO TRANSFERS IN WHOLE, BUT NOT IN PART, TO NOMINEES OF EUROCLEAR OR CLEARSTREAM OR TO A SUCCESSOR THEREOF OR SUCH SUCCESSOR'S NOMINEE AND TRANSFERS OF PORTIONS OF THIS GLOBAL NOTE SHALL BE LIMITED TO TRANSFERS MADE IN ACCORDANCE WITH THE RESTRICTIONS SET FORTH IN THE FISCAL AND PAYING AGENCY AGREEMENT REFERRED TO ON THE REVERSE HEREOF.]</w:t>
      </w:r>
    </w:p>
    <w:p>
      <w:pPr>
        <w:spacing w:after="0" w:line="154" w:lineRule="exact"/>
        <w:rPr>
          <w:sz w:val="20"/>
          <w:szCs w:val="20"/>
          <w:color w:val="auto"/>
        </w:rPr>
      </w:pPr>
    </w:p>
    <w:p>
      <w:pPr>
        <w:jc w:val="both"/>
        <w:ind w:right="1399"/>
        <w:spacing w:after="0" w:line="254" w:lineRule="auto"/>
        <w:rPr>
          <w:sz w:val="20"/>
          <w:szCs w:val="20"/>
          <w:color w:val="auto"/>
        </w:rPr>
      </w:pPr>
      <w:r>
        <w:rPr>
          <w:rFonts w:ascii="Times New Roman" w:cs="Times New Roman" w:eastAsia="Times New Roman" w:hAnsi="Times New Roman"/>
          <w:sz w:val="17"/>
          <w:szCs w:val="17"/>
          <w:color w:val="auto"/>
        </w:rPr>
        <w:t xml:space="preserve">UNTIL 40 DAYS AFTER THE LATER OF THE DAY ON WHICH THE NOTES EVIDENCED HEREBY ARE FIRST OFFERED TO PERSONS OTHER THAN DISTRIBUTORS (AS DEFINED IN REGULATION S) AND THE DATE OF THE CLOSING OF THE OFFERING OF THE NOTES, AN OFFER OR SALE OF THE NOTES WITHIN THE UNITED STATES (AS DEFINED IN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MAY VIOLATE THE REGISTRATION REQUIREMENTS OF THE SECURITIES ACT.</w:t>
      </w:r>
    </w:p>
    <w:p>
      <w:pPr>
        <w:spacing w:after="0" w:line="358" w:lineRule="exact"/>
        <w:rPr>
          <w:sz w:val="20"/>
          <w:szCs w:val="20"/>
          <w:color w:val="auto"/>
        </w:rPr>
      </w:pPr>
    </w:p>
    <w:p>
      <w:pPr>
        <w:jc w:val="both"/>
        <w:ind w:right="1399"/>
        <w:spacing w:after="0" w:line="251" w:lineRule="auto"/>
        <w:rPr>
          <w:sz w:val="20"/>
          <w:szCs w:val="20"/>
          <w:color w:val="auto"/>
        </w:rPr>
      </w:pPr>
      <w:r>
        <w:rPr>
          <w:rFonts w:ascii="Times New Roman" w:cs="Times New Roman" w:eastAsia="Times New Roman" w:hAnsi="Times New Roman"/>
          <w:sz w:val="17"/>
          <w:szCs w:val="17"/>
          <w:color w:val="auto"/>
        </w:rPr>
        <w:t>NEITHER THE NOTES EVIDENCED HEREBY NOR ANY BENEFICIAL INTEREST OR PARTICIPATION HEREIN HAVE BEEN REGISTERED UNDER THE SECURITIES ACT OR OTHER SECURITIES LAWS OF ANY STATE OR OTHER JURISDICTION. NEITHER THE NOTES EVIDENCED HEREBY NOR ANY BENEFICIAL INTEREST OR PARTICIPATION HEREIN MAY BE OFFERED, SOLD, ASSIGNED, TRANSFERRED, PLEDGED, ENCUMBERED OR OTHERWISE DISPOSED OF WITHIN THE UNITED STATES OR TO, OR FOR THE ACCOUNT OR BENEFIT OF, U.S. PERSONS (AS DEFINED IN REGULATION S UNDER THE SECURITIES ACT) EXCEPT PURSUANT TO AN EXEMPTION FROM, OR IN A TRANSACTION NOT SUBJECT TO, THE REGISTRATION REQUIREMENTS OF THE SECURITIES ACT.</w:t>
      </w:r>
    </w:p>
    <w:p>
      <w:pPr>
        <w:spacing w:after="0" w:line="159" w:lineRule="exact"/>
        <w:rPr>
          <w:sz w:val="20"/>
          <w:szCs w:val="20"/>
          <w:color w:val="auto"/>
        </w:rPr>
      </w:pPr>
    </w:p>
    <w:p>
      <w:pPr>
        <w:jc w:val="both"/>
        <w:ind w:right="1419"/>
        <w:spacing w:after="0" w:line="270" w:lineRule="auto"/>
        <w:rPr>
          <w:sz w:val="20"/>
          <w:szCs w:val="20"/>
          <w:color w:val="auto"/>
        </w:rPr>
      </w:pPr>
      <w:r>
        <w:rPr>
          <w:rFonts w:ascii="Times New Roman" w:cs="Times New Roman" w:eastAsia="Times New Roman" w:hAnsi="Times New Roman"/>
          <w:sz w:val="15"/>
          <w:szCs w:val="15"/>
          <w:color w:val="auto"/>
        </w:rPr>
        <w:t>THE HOLDER OF THE NOTES EVIDENCED HEREBY BY ITS ACCEPTANCE HEREOF (1) REPRESENTS THAT IT IS NOT A U.S. PERSON OR LOCATED IN THE UNITED STATES AND IS ACQUIRING THE NOTES IN AN OFFSHORE TRANSACTION PURSUANT TO REGULATION S UNDER THE SECURITIES ACT (</w:t>
      </w:r>
      <w:r>
        <w:rPr>
          <w:rFonts w:ascii="Times New Roman" w:cs="Times New Roman" w:eastAsia="Times New Roman" w:hAnsi="Times New Roman"/>
          <w:sz w:val="15"/>
          <w:szCs w:val="15"/>
          <w:b w:val="1"/>
          <w:bCs w:val="1"/>
          <w:color w:val="auto"/>
        </w:rPr>
        <w:t>REGULATION S</w:t>
      </w:r>
      <w:r>
        <w:rPr>
          <w:rFonts w:ascii="Times New Roman" w:cs="Times New Roman" w:eastAsia="Times New Roman" w:hAnsi="Times New Roman"/>
          <w:sz w:val="15"/>
          <w:szCs w:val="15"/>
          <w:color w:val="auto"/>
        </w:rPr>
        <w:t>),</w:t>
      </w:r>
    </w:p>
    <w:p>
      <w:pPr>
        <w:spacing w:after="0" w:line="2" w:lineRule="exact"/>
        <w:rPr>
          <w:sz w:val="20"/>
          <w:szCs w:val="20"/>
          <w:color w:val="auto"/>
        </w:rPr>
      </w:pPr>
    </w:p>
    <w:p>
      <w:pPr>
        <w:jc w:val="both"/>
        <w:ind w:right="1399" w:firstLine="7"/>
        <w:spacing w:after="0" w:line="265" w:lineRule="auto"/>
        <w:tabs>
          <w:tab w:leader="none" w:pos="248"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AGREES ON ITS OWN BEHALF AND ON BEHALF OF ANY INVESTOR ACCOUNT FOR WHICH IT HAS PURCHASED NOTES THAT IT WILL NOT PRIOR TO (X) THE DATE WHICH IS 40 DAYS AFTER THE LATER OF THE ORIGINAL ISSUE DATE OF THE NOTES EVIDENCED HEREBY OR THE LAST DAY ON WHICH THE COMPANY OR ANY AFFILIATE OF THE COMPANY WERE THE OWNERS OF THE NOTES EVIDENCED HEREBY AND (Y) SUCH LATER DATE, IF ANY, AS MAY BE REQUIRED BY APPLICABLE LAW (THE </w:t>
      </w:r>
      <w:r>
        <w:rPr>
          <w:rFonts w:ascii="Times New Roman" w:cs="Times New Roman" w:eastAsia="Times New Roman" w:hAnsi="Times New Roman"/>
          <w:sz w:val="15"/>
          <w:szCs w:val="15"/>
          <w:b w:val="1"/>
          <w:bCs w:val="1"/>
          <w:color w:val="auto"/>
        </w:rPr>
        <w:t>RESALE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RESTRICTION TERMINATION DATE</w:t>
      </w:r>
      <w:r>
        <w:rPr>
          <w:rFonts w:ascii="Times New Roman" w:cs="Times New Roman" w:eastAsia="Times New Roman" w:hAnsi="Times New Roman"/>
          <w:sz w:val="15"/>
          <w:szCs w:val="15"/>
          <w:color w:val="auto"/>
        </w:rPr>
        <w:t>), OFFER, SELL OR OTHERWISE TRANSFER THE NOTES EVIDENCED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HEREBY OR BENEFICIAL INTEREST OR PARTICIPATION HEREIN EXCEPT (A) TO THE COMPANY, (B) PURSUANT TO A REGISTRATION STATEMENT WHICH HAS BEEN DECLARED EFFECTIVE UNDER THE SECURITIES ACT, (C) PURSUANT TO OFFERS AND SALES TO NON-U.S. PERSONS THAT OCCUR OUTSIDE THE UNITED STATES WITHIN THE MEANING OF REGULATION S OR (D) PURSUANT TO ANY OTHER</w:t>
      </w:r>
    </w:p>
    <w:p>
      <w:pPr>
        <w:spacing w:after="0" w:line="19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497649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59"/>
          </w:cols>
          <w:pgMar w:left="1200" w:top="120" w:right="1440" w:bottom="1440" w:gutter="0" w:footer="0" w:header="0"/>
        </w:sectPr>
      </w:pPr>
    </w:p>
    <w:bookmarkStart w:id="25" w:name="page26"/>
    <w:bookmarkEnd w:id="25"/>
    <w:p>
      <w:pPr>
        <w:jc w:val="both"/>
        <w:ind w:right="1399"/>
        <w:spacing w:after="0" w:line="248" w:lineRule="auto"/>
        <w:rPr>
          <w:sz w:val="20"/>
          <w:szCs w:val="20"/>
          <w:color w:val="auto"/>
        </w:rPr>
      </w:pPr>
      <w:r>
        <w:rPr>
          <w:rFonts w:ascii="Times New Roman" w:cs="Times New Roman" w:eastAsia="Times New Roman" w:hAnsi="Times New Roman"/>
          <w:sz w:val="16"/>
          <w:szCs w:val="16"/>
          <w:color w:val="auto"/>
        </w:rPr>
        <w:t xml:space="preserve">AVAILABLE EXEMPTION FROM THE REGISTRATION REQUIREMENTS OF THE SECURITIES ACT, AND (3) AGREES THAT IT WILL GIVE TO EACH PERSON TO WHOM THE NOTES EVIDENCED HEREBY OR ANY BENEFICIAL INTEREST OR PARTICIPATION HEREIN IS TRANSFERRED A NOTICE SUBSTANTIALLY TO THE EFFECT OF THIS LEGEND; PROVIDED THAT THE COMPANY, THE FISCAL AGENT, THE REGISTRAR AND THE TRANSFER AGENT SHALL HAVE THE RIGHT PRIOR TO ANY SUCH OFFER, SALE OR TRANSFER PURSUANT TO SUBCLAUSE (C) PRIOR TO THE END OF THE 40-DAY DISTRIBUTION COMPLIANCE PERIOD WITHIN THE MEANING OF REGULATION S OR PURSUANT TO SUBCLAUSE (D) PRIOR TO THE RESALE RESTRICTION TERMINATION DATE TO REQUIRE THAT AN OPINION OF COUNSEL, CERTIFICATIONS AND/OR OTHER INFORMATION SATISFACTORY TO THE COMPANY, THE FISCAL AGENT, THE REGISTRAR AND THE TRANSFER AGENT IS COMPLETED AND DELIVERED BY THE TRANSFEROR. THIS LEGEND WILL BE REMOVED UPON THE REQUEST OF THE HOLDER AFTER THE RESALE RESTRICTION TERMINATION DATE. AS USED HEREIN, THE TERMS </w:t>
      </w:r>
      <w:r>
        <w:rPr>
          <w:rFonts w:ascii="Times New Roman" w:cs="Times New Roman" w:eastAsia="Times New Roman" w:hAnsi="Times New Roman"/>
          <w:sz w:val="16"/>
          <w:szCs w:val="16"/>
          <w:b w:val="1"/>
          <w:bCs w:val="1"/>
          <w:color w:val="auto"/>
        </w:rPr>
        <w:t>OFFSHORE TRANSACTION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UNITED STATES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U.S. PERSON</w:t>
      </w:r>
      <w:r>
        <w:rPr>
          <w:rFonts w:ascii="Times New Roman" w:cs="Times New Roman" w:eastAsia="Times New Roman" w:hAnsi="Times New Roman"/>
          <w:sz w:val="16"/>
          <w:szCs w:val="16"/>
          <w:color w:val="auto"/>
        </w:rPr>
        <w:t xml:space="preserve"> HAVE THE MEANINGS GIVEN TO THEM BY REGULATION S.</w:t>
      </w:r>
    </w:p>
    <w:p>
      <w:pPr>
        <w:spacing w:after="0" w:line="168" w:lineRule="exact"/>
        <w:rPr>
          <w:sz w:val="20"/>
          <w:szCs w:val="20"/>
          <w:color w:val="auto"/>
        </w:rPr>
      </w:pPr>
    </w:p>
    <w:p>
      <w:pPr>
        <w:jc w:val="both"/>
        <w:ind w:right="1419"/>
        <w:spacing w:after="0" w:line="258" w:lineRule="auto"/>
        <w:rPr>
          <w:sz w:val="20"/>
          <w:szCs w:val="20"/>
          <w:color w:val="auto"/>
        </w:rPr>
      </w:pPr>
      <w:r>
        <w:rPr>
          <w:rFonts w:ascii="Times New Roman" w:cs="Times New Roman" w:eastAsia="Times New Roman" w:hAnsi="Times New Roman"/>
          <w:sz w:val="17"/>
          <w:szCs w:val="17"/>
          <w:color w:val="auto"/>
        </w:rPr>
        <w:t>THE NOTES MAY NOT BE OFFERED OR SOLD WITHIN THE UNITED STATES OR TO, OR FOR THE ACCOUNT OR BENEFIT OF, U.S. PERSONS (I) AS PART OF THEIR DISTRIBUTION AT ANY TIME OR</w:t>
      </w:r>
    </w:p>
    <w:p>
      <w:pPr>
        <w:spacing w:after="0" w:line="1" w:lineRule="exact"/>
        <w:rPr>
          <w:sz w:val="20"/>
          <w:szCs w:val="20"/>
          <w:color w:val="auto"/>
        </w:rPr>
      </w:pPr>
    </w:p>
    <w:p>
      <w:pPr>
        <w:jc w:val="both"/>
        <w:ind w:right="1419" w:firstLine="7"/>
        <w:spacing w:after="0" w:line="252" w:lineRule="auto"/>
        <w:tabs>
          <w:tab w:leader="none" w:pos="28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UNTIL 40 DAYS AFTER THE LATER OF THE DATE OF THE COMMENCEMENT OF THE OFFERING AND THE DATE OF ORIGINAL ISSUANCE, EXCEPT IN EITHER CASE IN ACCORDANCE WITH REGULATION S UNDER THE SECURITIES ACT.</w:t>
      </w:r>
    </w:p>
    <w:p>
      <w:pPr>
        <w:spacing w:after="0" w:line="155" w:lineRule="exact"/>
        <w:rPr>
          <w:sz w:val="20"/>
          <w:szCs w:val="20"/>
          <w:color w:val="auto"/>
        </w:rPr>
      </w:pPr>
    </w:p>
    <w:p>
      <w:pPr>
        <w:jc w:val="both"/>
        <w:ind w:right="1419"/>
        <w:spacing w:after="0" w:line="258" w:lineRule="auto"/>
        <w:rPr>
          <w:sz w:val="20"/>
          <w:szCs w:val="20"/>
          <w:color w:val="auto"/>
        </w:rPr>
      </w:pPr>
      <w:r>
        <w:rPr>
          <w:rFonts w:ascii="Times New Roman" w:cs="Times New Roman" w:eastAsia="Times New Roman" w:hAnsi="Times New Roman"/>
          <w:sz w:val="17"/>
          <w:szCs w:val="17"/>
          <w:color w:val="auto"/>
        </w:rPr>
        <w:t>[Include if this is a Definitive Note: 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19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497649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59"/>
          </w:cols>
          <w:pgMar w:left="1200" w:top="123" w:right="1440" w:bottom="1440" w:gutter="0" w:footer="0" w:header="0"/>
        </w:sectPr>
      </w:pPr>
    </w:p>
    <w:bookmarkStart w:id="26" w:name="page27"/>
    <w:bookmarkEnd w:id="26"/>
    <w:p>
      <w:pPr>
        <w:jc w:val="center"/>
        <w:ind w:right="1399"/>
        <w:spacing w:after="0"/>
        <w:rPr>
          <w:sz w:val="20"/>
          <w:szCs w:val="20"/>
          <w:color w:val="auto"/>
        </w:rPr>
      </w:pPr>
      <w:r>
        <w:rPr>
          <w:rFonts w:ascii="Times New Roman" w:cs="Times New Roman" w:eastAsia="Times New Roman" w:hAnsi="Times New Roman"/>
          <w:sz w:val="17"/>
          <w:szCs w:val="17"/>
          <w:b w:val="1"/>
          <w:bCs w:val="1"/>
          <w:color w:val="auto"/>
        </w:rPr>
        <w:t>MANPOWERGROUP INC.</w:t>
      </w:r>
    </w:p>
    <w:p>
      <w:pPr>
        <w:spacing w:after="0" w:line="195" w:lineRule="exact"/>
        <w:rPr>
          <w:sz w:val="20"/>
          <w:szCs w:val="20"/>
          <w:color w:val="auto"/>
        </w:rPr>
      </w:pPr>
    </w:p>
    <w:p>
      <w:pPr>
        <w:jc w:val="center"/>
        <w:ind w:right="1399"/>
        <w:spacing w:after="0"/>
        <w:rPr>
          <w:sz w:val="20"/>
          <w:szCs w:val="20"/>
          <w:color w:val="auto"/>
        </w:rPr>
      </w:pPr>
      <w:r>
        <w:rPr>
          <w:rFonts w:ascii="Times New Roman" w:cs="Times New Roman" w:eastAsia="Times New Roman" w:hAnsi="Times New Roman"/>
          <w:sz w:val="17"/>
          <w:szCs w:val="17"/>
          <w:b w:val="1"/>
          <w:bCs w:val="1"/>
          <w:color w:val="auto"/>
        </w:rPr>
        <w:t>[GLOBAL NOTE]</w:t>
      </w:r>
    </w:p>
    <w:p>
      <w:pPr>
        <w:spacing w:after="0" w:line="19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b w:val="1"/>
          <w:bCs w:val="1"/>
          <w:color w:val="auto"/>
        </w:rPr>
        <w:t>3.500% NOTES DUE 30 JUNE 2027</w:t>
      </w:r>
    </w:p>
    <w:p>
      <w:pPr>
        <w:spacing w:after="0" w:line="196" w:lineRule="exact"/>
        <w:rPr>
          <w:sz w:val="20"/>
          <w:szCs w:val="20"/>
          <w:color w:val="auto"/>
        </w:rPr>
      </w:pPr>
    </w:p>
    <w:p>
      <w:pPr>
        <w:jc w:val="right"/>
        <w:ind w:right="1399"/>
        <w:spacing w:after="0"/>
        <w:rPr>
          <w:sz w:val="20"/>
          <w:szCs w:val="20"/>
          <w:color w:val="auto"/>
        </w:rPr>
      </w:pPr>
      <w:r>
        <w:rPr>
          <w:rFonts w:ascii="Times New Roman" w:cs="Times New Roman" w:eastAsia="Times New Roman" w:hAnsi="Times New Roman"/>
          <w:sz w:val="17"/>
          <w:szCs w:val="17"/>
          <w:color w:val="auto"/>
        </w:rPr>
        <w:t>Common Code No. [l]</w:t>
      </w:r>
    </w:p>
    <w:p>
      <w:pPr>
        <w:spacing w:after="0" w:line="25" w:lineRule="exact"/>
        <w:rPr>
          <w:sz w:val="20"/>
          <w:szCs w:val="20"/>
          <w:color w:val="auto"/>
        </w:rPr>
      </w:pPr>
    </w:p>
    <w:p>
      <w:pPr>
        <w:jc w:val="right"/>
        <w:ind w:right="1399"/>
        <w:spacing w:after="0"/>
        <w:rPr>
          <w:sz w:val="20"/>
          <w:szCs w:val="20"/>
          <w:color w:val="auto"/>
        </w:rPr>
      </w:pPr>
      <w:r>
        <w:rPr>
          <w:rFonts w:ascii="Times New Roman" w:cs="Times New Roman" w:eastAsia="Times New Roman" w:hAnsi="Times New Roman"/>
          <w:sz w:val="17"/>
          <w:szCs w:val="17"/>
          <w:color w:val="auto"/>
        </w:rPr>
        <w:t>ISIN No. [l]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No.[l]</w:t>
      </w:r>
    </w:p>
    <w:p>
      <w:pPr>
        <w:spacing w:after="0" w:line="192" w:lineRule="exact"/>
        <w:rPr>
          <w:sz w:val="20"/>
          <w:szCs w:val="20"/>
          <w:color w:val="auto"/>
        </w:rPr>
      </w:pPr>
    </w:p>
    <w:p>
      <w:pPr>
        <w:jc w:val="both"/>
        <w:ind w:right="1419"/>
        <w:spacing w:after="0" w:line="266" w:lineRule="auto"/>
        <w:rPr>
          <w:sz w:val="20"/>
          <w:szCs w:val="20"/>
          <w:color w:val="auto"/>
        </w:rPr>
      </w:pPr>
      <w:r>
        <w:rPr>
          <w:rFonts w:ascii="Times New Roman" w:cs="Times New Roman" w:eastAsia="Times New Roman" w:hAnsi="Times New Roman"/>
          <w:sz w:val="17"/>
          <w:szCs w:val="17"/>
          <w:color w:val="auto"/>
        </w:rPr>
        <w:t xml:space="preserve">MANPOWERGROUP INC., a Corporation organized under the laws of the State of Wisconsin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for value received, hereby promises to pay to [Citivic Nominees Limited], or its registered assigns, the principal sum of €[l] on June 30, 2027.</w:t>
      </w:r>
    </w:p>
    <w:p>
      <w:pPr>
        <w:sectPr>
          <w:pgSz w:w="11900" w:h="16838" w:orient="portrait"/>
          <w:cols w:equalWidth="0" w:num="1">
            <w:col w:w="9259"/>
          </w:cols>
          <w:pgMar w:left="1200" w:top="115" w:right="1440" w:bottom="1440" w:gutter="0" w:footer="0" w:header="0"/>
        </w:sectPr>
      </w:pP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Payment Date:</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w:t>
      </w:r>
    </w:p>
    <w:p>
      <w:pPr>
        <w:spacing w:after="0" w:line="192" w:lineRule="exact"/>
        <w:rPr>
          <w:sz w:val="20"/>
          <w:szCs w:val="20"/>
          <w:color w:val="auto"/>
        </w:rPr>
      </w:pPr>
    </w:p>
    <w:p>
      <w:pPr>
        <w:sectPr>
          <w:pgSz w:w="11900" w:h="16838" w:orient="portrait"/>
          <w:cols w:equalWidth="0" w:num="2">
            <w:col w:w="1600" w:space="660"/>
            <w:col w:w="6999"/>
          </w:cols>
          <w:pgMar w:left="1200" w:top="115"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Include if this is a Global Note:</w:t>
      </w:r>
      <w:r>
        <w:rPr>
          <w:rFonts w:ascii="Times New Roman" w:cs="Times New Roman" w:eastAsia="Times New Roman" w:hAnsi="Times New Roman"/>
          <w:sz w:val="17"/>
          <w:szCs w:val="17"/>
          <w:color w:val="auto"/>
        </w:rPr>
        <w:t xml:space="preserve"> One ICSD Business Day prior to the Interest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Payment Date][</w:t>
      </w:r>
      <w:r>
        <w:rPr>
          <w:rFonts w:ascii="Times New Roman" w:cs="Times New Roman" w:eastAsia="Times New Roman" w:hAnsi="Times New Roman"/>
          <w:sz w:val="17"/>
          <w:szCs w:val="17"/>
          <w:i w:val="1"/>
          <w:iCs w:val="1"/>
          <w:color w:val="auto"/>
        </w:rPr>
        <w:t>Include if this is a Definitive Note:</w:t>
      </w:r>
      <w:r>
        <w:rPr>
          <w:rFonts w:ascii="Times New Roman" w:cs="Times New Roman" w:eastAsia="Times New Roman" w:hAnsi="Times New Roman"/>
          <w:sz w:val="17"/>
          <w:szCs w:val="17"/>
          <w:color w:val="auto"/>
        </w:rPr>
        <w:t xml:space="preserve"> [l] [l]].</w:t>
      </w:r>
    </w:p>
    <w:p>
      <w:pPr>
        <w:spacing w:after="0" w:line="172" w:lineRule="exact"/>
        <w:rPr>
          <w:sz w:val="20"/>
          <w:szCs w:val="20"/>
          <w:color w:val="auto"/>
        </w:rPr>
      </w:pPr>
    </w:p>
    <w:p>
      <w:pPr>
        <w:sectPr>
          <w:pgSz w:w="11900" w:h="16838" w:orient="portrait"/>
          <w:cols w:equalWidth="0" w:num="2">
            <w:col w:w="1540" w:space="720"/>
            <w:col w:w="6999"/>
          </w:cols>
          <w:pgMar w:left="1200" w:top="115" w:right="1440" w:bottom="1440" w:gutter="0" w:footer="0" w:header="0"/>
          <w:type w:val="continuous"/>
        </w:sectPr>
      </w:pPr>
    </w:p>
    <w:p>
      <w:pPr>
        <w:ind w:right="1419"/>
        <w:spacing w:after="0" w:line="28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Include if this is a Global Note: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ICSD Business Day</w:t>
      </w:r>
      <w:r>
        <w:rPr>
          <w:rFonts w:ascii="Times New Roman" w:cs="Times New Roman" w:eastAsia="Times New Roman" w:hAnsi="Times New Roman"/>
          <w:sz w:val="17"/>
          <w:szCs w:val="17"/>
          <w:color w:val="auto"/>
        </w:rPr>
        <w:t xml:space="preserve"> means any day which is a Monday to Friday inclusive except December 25 and January 1.]</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 provisions of this Note are set forth on the other side of this Note.</w:t>
      </w:r>
    </w:p>
    <w:p>
      <w:pPr>
        <w:spacing w:after="0" w:line="24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497649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59"/>
          </w:cols>
          <w:pgMar w:left="1200" w:top="115" w:right="1440"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7"/>
          <w:szCs w:val="17"/>
          <w:color w:val="auto"/>
        </w:rPr>
        <w:t>IN WITNESS WHEREOF, the Company has caused this instrument to be duly executed.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MANPOWERGROUP INC.,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Authorized Officer</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ATTEST:</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Secretary</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Signature Page to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497649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59"/>
          </w:cols>
          <w:pgMar w:left="1200" w:top="120" w:right="1440" w:bottom="1440" w:gutter="0" w:footer="0" w:header="0"/>
        </w:sectPr>
      </w:pPr>
    </w:p>
    <w:bookmarkStart w:id="28" w:name="page29"/>
    <w:bookmarkEnd w:id="28"/>
    <w:p>
      <w:pPr>
        <w:jc w:val="center"/>
        <w:ind w:right="1399"/>
        <w:spacing w:after="0"/>
        <w:rPr>
          <w:sz w:val="20"/>
          <w:szCs w:val="20"/>
          <w:color w:val="auto"/>
        </w:rPr>
      </w:pPr>
      <w:r>
        <w:rPr>
          <w:rFonts w:ascii="Times New Roman" w:cs="Times New Roman" w:eastAsia="Times New Roman" w:hAnsi="Times New Roman"/>
          <w:sz w:val="17"/>
          <w:szCs w:val="17"/>
          <w:b w:val="1"/>
          <w:bCs w:val="1"/>
          <w:color w:val="auto"/>
        </w:rPr>
        <w:t>CERTIFICATE OF AUTHENTICATION</w:t>
      </w:r>
    </w:p>
    <w:p>
      <w:pPr>
        <w:spacing w:after="0" w:line="197" w:lineRule="exact"/>
        <w:rPr>
          <w:sz w:val="20"/>
          <w:szCs w:val="20"/>
          <w:color w:val="auto"/>
        </w:rPr>
      </w:pPr>
    </w:p>
    <w:p>
      <w:pPr>
        <w:ind w:right="1419"/>
        <w:spacing w:after="0" w:line="283" w:lineRule="auto"/>
        <w:rPr>
          <w:sz w:val="20"/>
          <w:szCs w:val="20"/>
          <w:color w:val="auto"/>
        </w:rPr>
      </w:pPr>
      <w:r>
        <w:rPr>
          <w:rFonts w:ascii="Times New Roman" w:cs="Times New Roman" w:eastAsia="Times New Roman" w:hAnsi="Times New Roman"/>
          <w:sz w:val="17"/>
          <w:szCs w:val="17"/>
          <w:color w:val="auto"/>
        </w:rPr>
        <w:t>This is [a Definitive Note][the Global Note] described in the within-mentioned Fiscal and Paying Agency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CITIBANK, N.A., London Branch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Fiscal Agent,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Authorized Officer</w:t>
      </w:r>
    </w:p>
    <w:p>
      <w:pPr>
        <w:spacing w:after="0" w:line="24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497649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59"/>
          </w:cols>
          <w:pgMar w:left="1200" w:top="115" w:right="1440" w:bottom="1440" w:gutter="0" w:footer="0" w:header="0"/>
        </w:sectPr>
      </w:pPr>
    </w:p>
    <w:bookmarkStart w:id="29" w:name="page30"/>
    <w:bookmarkEnd w:id="29"/>
    <w:p>
      <w:pPr>
        <w:ind w:left="2173"/>
        <w:spacing w:after="0"/>
        <w:rPr>
          <w:sz w:val="20"/>
          <w:szCs w:val="20"/>
          <w:color w:val="auto"/>
        </w:rPr>
      </w:pPr>
      <w:r>
        <w:rPr>
          <w:rFonts w:ascii="Times New Roman" w:cs="Times New Roman" w:eastAsia="Times New Roman" w:hAnsi="Times New Roman"/>
          <w:sz w:val="17"/>
          <w:szCs w:val="17"/>
          <w:b w:val="1"/>
          <w:bCs w:val="1"/>
          <w:color w:val="auto"/>
        </w:rPr>
        <w:t>TERMS AND CONDITIONS OF THE NOTES</w:t>
      </w:r>
    </w:p>
    <w:p>
      <w:pPr>
        <w:spacing w:after="0" w:line="195" w:lineRule="exact"/>
        <w:rPr>
          <w:sz w:val="20"/>
          <w:szCs w:val="20"/>
          <w:color w:val="auto"/>
        </w:rPr>
      </w:pPr>
    </w:p>
    <w:p>
      <w:pPr>
        <w:ind w:left="573" w:hanging="573"/>
        <w:spacing w:after="0"/>
        <w:tabs>
          <w:tab w:leader="none" w:pos="573"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GENERAL</w:t>
      </w:r>
    </w:p>
    <w:p>
      <w:pPr>
        <w:spacing w:after="0" w:line="196" w:lineRule="exact"/>
        <w:rPr>
          <w:sz w:val="20"/>
          <w:szCs w:val="20"/>
          <w:color w:val="auto"/>
        </w:rPr>
      </w:pPr>
    </w:p>
    <w:p>
      <w:pPr>
        <w:jc w:val="both"/>
        <w:ind w:left="573" w:right="1399" w:hanging="565"/>
        <w:spacing w:after="0" w:line="249" w:lineRule="auto"/>
        <w:tabs>
          <w:tab w:leader="none" w:pos="553" w:val="left"/>
        </w:tabs>
        <w:rPr>
          <w:sz w:val="20"/>
          <w:szCs w:val="20"/>
          <w:color w:val="auto"/>
        </w:rPr>
      </w:pPr>
      <w:r>
        <w:rPr>
          <w:rFonts w:ascii="Times New Roman" w:cs="Times New Roman" w:eastAsia="Times New Roman" w:hAnsi="Times New Roman"/>
          <w:sz w:val="17"/>
          <w:szCs w:val="17"/>
          <w:color w:val="auto"/>
        </w:rPr>
        <w:t>1.1</w:t>
      </w:r>
      <w:r>
        <w:rPr>
          <w:sz w:val="20"/>
          <w:szCs w:val="20"/>
          <w:color w:val="auto"/>
        </w:rPr>
        <w:tab/>
      </w:r>
      <w:r>
        <w:rPr>
          <w:rFonts w:ascii="Times New Roman" w:cs="Times New Roman" w:eastAsia="Times New Roman" w:hAnsi="Times New Roman"/>
          <w:sz w:val="17"/>
          <w:szCs w:val="17"/>
          <w:color w:val="auto"/>
        </w:rPr>
        <w:t xml:space="preserve">This Note is one of a duly authorized issue of debt securities of the Company, designated as its 3.500% Notes due 30 June 2027 limited to the aggregate principal amount of €400,000,000 (except as otherwise provided below) and issued or to be issued pursuant to a Fiscal and Paying Agency Agreement (the </w:t>
      </w:r>
      <w:r>
        <w:rPr>
          <w:rFonts w:ascii="Times New Roman" w:cs="Times New Roman" w:eastAsia="Times New Roman" w:hAnsi="Times New Roman"/>
          <w:sz w:val="17"/>
          <w:szCs w:val="17"/>
          <w:b w:val="1"/>
          <w:bCs w:val="1"/>
          <w:color w:val="auto"/>
        </w:rPr>
        <w:t>Fiscal and Paying Agency Agreement</w:t>
      </w:r>
      <w:r>
        <w:rPr>
          <w:rFonts w:ascii="Times New Roman" w:cs="Times New Roman" w:eastAsia="Times New Roman" w:hAnsi="Times New Roman"/>
          <w:sz w:val="17"/>
          <w:szCs w:val="17"/>
          <w:color w:val="auto"/>
        </w:rPr>
        <w:t>) dated as of June 30, 2022 between the Company and Citibank,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N.A., London Branch, as fiscal and principal paying agent (the </w:t>
      </w:r>
      <w:r>
        <w:rPr>
          <w:rFonts w:ascii="Times New Roman" w:cs="Times New Roman" w:eastAsia="Times New Roman" w:hAnsi="Times New Roman"/>
          <w:sz w:val="17"/>
          <w:szCs w:val="17"/>
          <w:b w:val="1"/>
          <w:bCs w:val="1"/>
          <w:color w:val="auto"/>
        </w:rPr>
        <w:t>Fiscal Agent</w:t>
      </w:r>
      <w:r>
        <w:rPr>
          <w:rFonts w:ascii="Times New Roman" w:cs="Times New Roman" w:eastAsia="Times New Roman" w:hAnsi="Times New Roman"/>
          <w:sz w:val="17"/>
          <w:szCs w:val="17"/>
          <w:color w:val="auto"/>
        </w:rPr>
        <w:t xml:space="preserve">, and together with such other paying agents as may be appointed under the Fiscal and Paying Agency Agreement from time to time, the </w:t>
      </w:r>
      <w:r>
        <w:rPr>
          <w:rFonts w:ascii="Times New Roman" w:cs="Times New Roman" w:eastAsia="Times New Roman" w:hAnsi="Times New Roman"/>
          <w:sz w:val="17"/>
          <w:szCs w:val="17"/>
          <w:b w:val="1"/>
          <w:bCs w:val="1"/>
          <w:color w:val="auto"/>
        </w:rPr>
        <w:t>Paying Agents</w:t>
      </w:r>
      <w:r>
        <w:rPr>
          <w:rFonts w:ascii="Times New Roman" w:cs="Times New Roman" w:eastAsia="Times New Roman" w:hAnsi="Times New Roman"/>
          <w:sz w:val="17"/>
          <w:szCs w:val="17"/>
          <w:color w:val="auto"/>
        </w:rPr>
        <w:t xml:space="preserve">, which terms shall include their respective successors and assigns as such Fiscal Agent or Paying Agent, as the case may be), which also acts as registrar and transfer agent. The holders of the Notes (the </w:t>
      </w:r>
      <w:r>
        <w:rPr>
          <w:rFonts w:ascii="Times New Roman" w:cs="Times New Roman" w:eastAsia="Times New Roman" w:hAnsi="Times New Roman"/>
          <w:sz w:val="17"/>
          <w:szCs w:val="17"/>
          <w:b w:val="1"/>
          <w:bCs w:val="1"/>
          <w:color w:val="auto"/>
        </w:rPr>
        <w:t>Noteholders</w:t>
      </w:r>
      <w:r>
        <w:rPr>
          <w:rFonts w:ascii="Times New Roman" w:cs="Times New Roman" w:eastAsia="Times New Roman" w:hAnsi="Times New Roman"/>
          <w:sz w:val="17"/>
          <w:szCs w:val="17"/>
          <w:color w:val="auto"/>
        </w:rPr>
        <w:t>) will be entitled to the benefits of, be bound by, and be deemed to have notice of, all of the provisions of the Fiscal and Paying Agency Agreement. A copy of the Fiscal and Paying Agency Agreement is on file and may be inspected at the offices of the Paying Agent referred to below. Unless otherwise stated, terms used but not defined herein shall have the meaning assigned to them in the Fiscal and Paying Agency Agreement.</w:t>
      </w:r>
    </w:p>
    <w:p>
      <w:pPr>
        <w:spacing w:after="0" w:line="159" w:lineRule="exact"/>
        <w:rPr>
          <w:sz w:val="20"/>
          <w:szCs w:val="20"/>
          <w:color w:val="auto"/>
        </w:rPr>
      </w:pPr>
    </w:p>
    <w:p>
      <w:pPr>
        <w:jc w:val="both"/>
        <w:ind w:left="573" w:right="1399" w:hanging="565"/>
        <w:spacing w:after="0" w:line="286" w:lineRule="auto"/>
        <w:tabs>
          <w:tab w:leader="none" w:pos="553" w:val="left"/>
        </w:tabs>
        <w:rPr>
          <w:sz w:val="20"/>
          <w:szCs w:val="20"/>
          <w:color w:val="auto"/>
        </w:rPr>
      </w:pPr>
      <w:r>
        <w:rPr>
          <w:rFonts w:ascii="Times New Roman" w:cs="Times New Roman" w:eastAsia="Times New Roman" w:hAnsi="Times New Roman"/>
          <w:sz w:val="17"/>
          <w:szCs w:val="17"/>
          <w:color w:val="auto"/>
        </w:rPr>
        <w:t>1.2</w:t>
      </w:r>
      <w:r>
        <w:rPr>
          <w:sz w:val="20"/>
          <w:szCs w:val="20"/>
          <w:color w:val="auto"/>
        </w:rPr>
        <w:tab/>
      </w:r>
      <w:r>
        <w:rPr>
          <w:rFonts w:ascii="Times New Roman" w:cs="Times New Roman" w:eastAsia="Times New Roman" w:hAnsi="Times New Roman"/>
          <w:sz w:val="17"/>
          <w:szCs w:val="17"/>
          <w:color w:val="auto"/>
        </w:rPr>
        <w:t xml:space="preserve">The Notes are direct unsecured obligations of the Company and rank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all other unsecured and unsubordinated indebtedness of the Company.</w:t>
      </w:r>
    </w:p>
    <w:p>
      <w:pPr>
        <w:spacing w:after="0" w:line="126" w:lineRule="exact"/>
        <w:rPr>
          <w:sz w:val="20"/>
          <w:szCs w:val="20"/>
          <w:color w:val="auto"/>
        </w:rPr>
      </w:pPr>
    </w:p>
    <w:p>
      <w:pPr>
        <w:jc w:val="both"/>
        <w:ind w:left="573" w:right="1399" w:hanging="565"/>
        <w:spacing w:after="0" w:line="283" w:lineRule="auto"/>
        <w:tabs>
          <w:tab w:leader="none" w:pos="553" w:val="left"/>
        </w:tabs>
        <w:rPr>
          <w:sz w:val="20"/>
          <w:szCs w:val="20"/>
          <w:color w:val="auto"/>
        </w:rPr>
      </w:pPr>
      <w:r>
        <w:rPr>
          <w:rFonts w:ascii="Times New Roman" w:cs="Times New Roman" w:eastAsia="Times New Roman" w:hAnsi="Times New Roman"/>
          <w:sz w:val="17"/>
          <w:szCs w:val="17"/>
          <w:color w:val="auto"/>
        </w:rPr>
        <w:t>1.3</w:t>
      </w:r>
      <w:r>
        <w:rPr>
          <w:sz w:val="20"/>
          <w:szCs w:val="20"/>
          <w:color w:val="auto"/>
        </w:rPr>
        <w:tab/>
      </w:r>
      <w:r>
        <w:rPr>
          <w:rFonts w:ascii="Times New Roman" w:cs="Times New Roman" w:eastAsia="Times New Roman" w:hAnsi="Times New Roman"/>
          <w:sz w:val="17"/>
          <w:szCs w:val="17"/>
          <w:color w:val="auto"/>
        </w:rPr>
        <w:t>THE NOTES ARE NOT DEPOSITS INSURED BY THE FEDERAL DEPOSIT INSURANCE CORPORATION OR ANY OTHER GOVERNMENTAL AGENCY.</w:t>
      </w:r>
    </w:p>
    <w:p>
      <w:pPr>
        <w:spacing w:after="0" w:line="127" w:lineRule="exact"/>
        <w:rPr>
          <w:sz w:val="20"/>
          <w:szCs w:val="20"/>
          <w:color w:val="auto"/>
        </w:rPr>
      </w:pPr>
    </w:p>
    <w:p>
      <w:pPr>
        <w:ind w:left="573" w:hanging="573"/>
        <w:spacing w:after="0"/>
        <w:tabs>
          <w:tab w:leader="none" w:pos="573"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DENOMINATIONS; TRANSFER; EXCHANGE</w:t>
      </w:r>
    </w:p>
    <w:p>
      <w:pPr>
        <w:spacing w:after="0" w:line="196" w:lineRule="exact"/>
        <w:rPr>
          <w:sz w:val="20"/>
          <w:szCs w:val="20"/>
          <w:color w:val="auto"/>
        </w:rPr>
      </w:pPr>
    </w:p>
    <w:p>
      <w:pPr>
        <w:jc w:val="both"/>
        <w:ind w:left="573" w:right="1399" w:hanging="565"/>
        <w:spacing w:after="0" w:line="250" w:lineRule="auto"/>
        <w:tabs>
          <w:tab w:leader="none" w:pos="553" w:val="left"/>
        </w:tabs>
        <w:rPr>
          <w:sz w:val="20"/>
          <w:szCs w:val="20"/>
          <w:color w:val="auto"/>
        </w:rPr>
      </w:pP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7"/>
          <w:szCs w:val="17"/>
          <w:color w:val="auto"/>
        </w:rPr>
        <w:t>The Notes are in registered form without interest coupons in minimum denominations of €100,000 principal amount and integral multiples of €1,000 in excess thereof. A Noteholder may transfer or exchange the Notes in accordance with the Fiscal and Paying Agency Agreement. In connection with any such transfer or exchange, the Fiscal and Paying Agency Agreement will require the transferring or exchanging Noteholder to, among other things, furnish appropriate endorsements and transfer documents, furnish information regarding the account of the transferee at Euroclear or Clearstream, where appropriate, furnish certain certificates and opinions, and pay any taxes, duties and governmental charges in connection with such transfer or exchange. Any such transfer or exchange will be made without charge to the Noteholder, other than any taxes, duties and governmental charges payable in connection with such transfer.</w:t>
      </w:r>
    </w:p>
    <w:p>
      <w:pPr>
        <w:spacing w:after="0" w:line="159" w:lineRule="exact"/>
        <w:rPr>
          <w:sz w:val="20"/>
          <w:szCs w:val="20"/>
          <w:color w:val="auto"/>
        </w:rPr>
      </w:pPr>
    </w:p>
    <w:p>
      <w:pPr>
        <w:jc w:val="both"/>
        <w:ind w:left="573" w:right="1399" w:hanging="565"/>
        <w:spacing w:after="0" w:line="254" w:lineRule="auto"/>
        <w:tabs>
          <w:tab w:leader="none" w:pos="553" w:val="left"/>
        </w:tabs>
        <w:rPr>
          <w:sz w:val="20"/>
          <w:szCs w:val="20"/>
          <w:color w:val="auto"/>
        </w:rPr>
      </w:pPr>
      <w:r>
        <w:rPr>
          <w:rFonts w:ascii="Times New Roman" w:cs="Times New Roman" w:eastAsia="Times New Roman" w:hAnsi="Times New Roman"/>
          <w:sz w:val="17"/>
          <w:szCs w:val="17"/>
          <w:color w:val="auto"/>
        </w:rPr>
        <w:t>2.2</w:t>
      </w:r>
      <w:r>
        <w:rPr>
          <w:sz w:val="20"/>
          <w:szCs w:val="20"/>
          <w:color w:val="auto"/>
        </w:rPr>
        <w:tab/>
      </w:r>
      <w:r>
        <w:rPr>
          <w:rFonts w:ascii="Times New Roman" w:cs="Times New Roman" w:eastAsia="Times New Roman" w:hAnsi="Times New Roman"/>
          <w:sz w:val="17"/>
          <w:szCs w:val="17"/>
          <w:color w:val="auto"/>
        </w:rPr>
        <w:t>Notwithstanding the foregoing, the Company is not required to register the transfer or exchange of any Notes: (a) for a period of 15 calendar days prior to any date fixed for the redemption of the Notes; (b) for a period of 15 calendar days prior to the record date with respect to any interest payment date; or</w:t>
      </w:r>
    </w:p>
    <w:p>
      <w:pPr>
        <w:spacing w:after="0" w:line="1" w:lineRule="exact"/>
        <w:rPr>
          <w:sz w:val="20"/>
          <w:szCs w:val="20"/>
          <w:color w:val="auto"/>
        </w:rPr>
      </w:pPr>
    </w:p>
    <w:p>
      <w:pPr>
        <w:ind w:left="573" w:right="1399"/>
        <w:spacing w:after="0" w:line="259" w:lineRule="auto"/>
        <w:rPr>
          <w:sz w:val="20"/>
          <w:szCs w:val="20"/>
          <w:color w:val="auto"/>
        </w:rPr>
      </w:pPr>
      <w:r>
        <w:rPr>
          <w:rFonts w:ascii="Times New Roman" w:cs="Times New Roman" w:eastAsia="Times New Roman" w:hAnsi="Times New Roman"/>
          <w:sz w:val="17"/>
          <w:szCs w:val="17"/>
          <w:color w:val="auto"/>
        </w:rPr>
        <w:t>(c) which the Noteholder has tendered (and not withdrawn) for repurchase in connection with a Change of Control Triggering Event.</w:t>
      </w:r>
    </w:p>
    <w:p>
      <w:pPr>
        <w:spacing w:after="0" w:line="146" w:lineRule="exact"/>
        <w:rPr>
          <w:sz w:val="20"/>
          <w:szCs w:val="20"/>
          <w:color w:val="auto"/>
        </w:rPr>
      </w:pPr>
    </w:p>
    <w:p>
      <w:pPr>
        <w:ind w:left="573" w:hanging="573"/>
        <w:spacing w:after="0"/>
        <w:tabs>
          <w:tab w:leader="none" w:pos="573"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PERSONS DEEMED OWNERS</w:t>
      </w:r>
    </w:p>
    <w:p>
      <w:pPr>
        <w:spacing w:after="0" w:line="195" w:lineRule="exact"/>
        <w:rPr>
          <w:rFonts w:ascii="Times New Roman" w:cs="Times New Roman" w:eastAsia="Times New Roman" w:hAnsi="Times New Roman"/>
          <w:sz w:val="17"/>
          <w:szCs w:val="17"/>
          <w:b w:val="1"/>
          <w:bCs w:val="1"/>
          <w:color w:val="auto"/>
        </w:rPr>
      </w:pPr>
    </w:p>
    <w:p>
      <w:pPr>
        <w:ind w:left="573"/>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registered Noteholder of this Note will be treated as the owner of it for all purposes.</w:t>
      </w:r>
    </w:p>
    <w:p>
      <w:pPr>
        <w:spacing w:after="0" w:line="191" w:lineRule="exact"/>
        <w:rPr>
          <w:rFonts w:ascii="Times New Roman" w:cs="Times New Roman" w:eastAsia="Times New Roman" w:hAnsi="Times New Roman"/>
          <w:sz w:val="17"/>
          <w:szCs w:val="17"/>
          <w:b w:val="1"/>
          <w:bCs w:val="1"/>
          <w:color w:val="auto"/>
        </w:rPr>
      </w:pPr>
    </w:p>
    <w:p>
      <w:pPr>
        <w:ind w:left="573" w:hanging="573"/>
        <w:spacing w:after="0"/>
        <w:tabs>
          <w:tab w:leader="none" w:pos="573"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METHOD OF PAYMENT</w:t>
      </w:r>
    </w:p>
    <w:p>
      <w:pPr>
        <w:spacing w:after="0" w:line="195" w:lineRule="exact"/>
        <w:rPr>
          <w:rFonts w:ascii="Times New Roman" w:cs="Times New Roman" w:eastAsia="Times New Roman" w:hAnsi="Times New Roman"/>
          <w:sz w:val="17"/>
          <w:szCs w:val="17"/>
          <w:b w:val="1"/>
          <w:bCs w:val="1"/>
          <w:color w:val="auto"/>
        </w:rPr>
      </w:pPr>
    </w:p>
    <w:p>
      <w:pPr>
        <w:jc w:val="both"/>
        <w:ind w:left="573" w:right="1399"/>
        <w:spacing w:after="0" w:line="27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Noteholders must surrender Notes to a Paying Agent to collect principal payments. The Company will pay principal and interest in Euros or such other lawful currency of the participating Member States in the</w:t>
      </w:r>
    </w:p>
    <w:p>
      <w:pPr>
        <w:spacing w:after="0" w:line="394" w:lineRule="exact"/>
        <w:rPr>
          <w:sz w:val="20"/>
          <w:szCs w:val="20"/>
          <w:color w:val="auto"/>
        </w:rPr>
      </w:pPr>
    </w:p>
    <w:p>
      <w:pPr>
        <w:ind w:left="3873"/>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497649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53"/>
          </w:cols>
          <w:pgMar w:left="1207" w:top="115" w:right="1440" w:bottom="1440" w:gutter="0" w:footer="0" w:header="0"/>
        </w:sectPr>
      </w:pPr>
    </w:p>
    <w:bookmarkStart w:id="30" w:name="page31"/>
    <w:bookmarkEnd w:id="30"/>
    <w:p>
      <w:pPr>
        <w:jc w:val="both"/>
        <w:ind w:left="573" w:right="1399"/>
        <w:spacing w:after="0" w:line="250" w:lineRule="auto"/>
        <w:rPr>
          <w:sz w:val="20"/>
          <w:szCs w:val="20"/>
          <w:color w:val="auto"/>
        </w:rPr>
      </w:pPr>
      <w:r>
        <w:rPr>
          <w:rFonts w:ascii="Times New Roman" w:cs="Times New Roman" w:eastAsia="Times New Roman" w:hAnsi="Times New Roman"/>
          <w:sz w:val="17"/>
          <w:szCs w:val="17"/>
          <w:color w:val="auto"/>
        </w:rPr>
        <w:t xml:space="preserve">Third Stage of European Economic and Monetary Union of the Treaty on the Functioning of the European Union that at the time of payment is legal tender for payment of public and private debts. Payments in respect of the Notes represented by the Global Note (including principal, premium and interest) will be made by wire transfer of immediately available funds to the accounts specified by Euroclear or Clearstream. The Company will make all payments in respect of a Definitive Note (including principal, premium and interest) by mailing a check to the registered address of each Noteholder thereof; </w:t>
      </w:r>
      <w:r>
        <w:rPr>
          <w:rFonts w:ascii="Times New Roman" w:cs="Times New Roman" w:eastAsia="Times New Roman" w:hAnsi="Times New Roman"/>
          <w:sz w:val="17"/>
          <w:szCs w:val="17"/>
          <w:b w:val="1"/>
          <w:b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however</w:t>
      </w:r>
      <w:r>
        <w:rPr>
          <w:rFonts w:ascii="Times New Roman" w:cs="Times New Roman" w:eastAsia="Times New Roman" w:hAnsi="Times New Roman"/>
          <w:sz w:val="17"/>
          <w:szCs w:val="17"/>
          <w:color w:val="auto"/>
        </w:rPr>
        <w:t>, that payments on a Definitive Note will be made by wire transfer if such Noteholder elects payment by wire transfer by giving written notice to the Fiscal Agent or the Paying Agent to such effect designating such account no later than 30 days immediately preceding the relevant due date for payment (or such other date as the Fiscal Agent may accept in its discretion).</w:t>
      </w:r>
    </w:p>
    <w:p>
      <w:pPr>
        <w:spacing w:after="0" w:line="158" w:lineRule="exact"/>
        <w:rPr>
          <w:sz w:val="20"/>
          <w:szCs w:val="20"/>
          <w:color w:val="auto"/>
        </w:rPr>
      </w:pPr>
    </w:p>
    <w:p>
      <w:pPr>
        <w:jc w:val="both"/>
        <w:ind w:left="573" w:right="1419"/>
        <w:spacing w:after="0" w:line="253" w:lineRule="auto"/>
        <w:rPr>
          <w:sz w:val="20"/>
          <w:szCs w:val="20"/>
          <w:color w:val="auto"/>
        </w:rPr>
      </w:pPr>
      <w:r>
        <w:rPr>
          <w:rFonts w:ascii="Times New Roman" w:cs="Times New Roman" w:eastAsia="Times New Roman" w:hAnsi="Times New Roman"/>
          <w:sz w:val="17"/>
          <w:szCs w:val="17"/>
          <w:color w:val="auto"/>
        </w:rPr>
        <w:t xml:space="preserve">Payments will, without prejudice to the provisions of Clause 8 of the terms and conditions of the Notes be subject in all cases to (i) any applicable fiscal or other laws and regulations, and (ii) any withholding or deduction required pursuant to an agreement described in Section 1471(b) of the of the U.S. Internal Revenue Code of 1986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or otherwise imposed pursuant to Sections 1471 through 1474 of the Code, any regulations or agreements thereunder, official interpretations thereof, or any law implementing an intergovernmental approach thereto.</w:t>
      </w:r>
    </w:p>
    <w:p>
      <w:pPr>
        <w:spacing w:after="0" w:line="154" w:lineRule="exact"/>
        <w:rPr>
          <w:sz w:val="20"/>
          <w:szCs w:val="20"/>
          <w:color w:val="auto"/>
        </w:rPr>
      </w:pPr>
    </w:p>
    <w:p>
      <w:pPr>
        <w:ind w:left="573" w:hanging="573"/>
        <w:spacing w:after="0"/>
        <w:tabs>
          <w:tab w:leader="none" w:pos="573"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PAYING AGENT, TRANSFER AGENT AND REGISTRAR</w:t>
      </w:r>
    </w:p>
    <w:p>
      <w:pPr>
        <w:spacing w:after="0" w:line="195" w:lineRule="exact"/>
        <w:rPr>
          <w:rFonts w:ascii="Times New Roman" w:cs="Times New Roman" w:eastAsia="Times New Roman" w:hAnsi="Times New Roman"/>
          <w:sz w:val="17"/>
          <w:szCs w:val="17"/>
          <w:b w:val="1"/>
          <w:bCs w:val="1"/>
          <w:color w:val="auto"/>
        </w:rPr>
      </w:pPr>
    </w:p>
    <w:p>
      <w:pPr>
        <w:jc w:val="both"/>
        <w:ind w:left="573" w:right="1419"/>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Initially, Citibank, N.A., London Branch will act as principal Paying Agent, Transfer Agent and Registrar. The Company may appoint and change any Paying Agent, Transfer Agent or Registrar without notice. The Company or any of its Subsidiaries may act as Paying Agent (other than with respect to Global Notes) or Registrar.</w:t>
      </w:r>
    </w:p>
    <w:p>
      <w:pPr>
        <w:spacing w:after="0" w:line="148" w:lineRule="exact"/>
        <w:rPr>
          <w:rFonts w:ascii="Times New Roman" w:cs="Times New Roman" w:eastAsia="Times New Roman" w:hAnsi="Times New Roman"/>
          <w:sz w:val="17"/>
          <w:szCs w:val="17"/>
          <w:b w:val="1"/>
          <w:bCs w:val="1"/>
          <w:color w:val="auto"/>
        </w:rPr>
      </w:pPr>
    </w:p>
    <w:p>
      <w:pPr>
        <w:ind w:left="573" w:hanging="573"/>
        <w:spacing w:after="0"/>
        <w:tabs>
          <w:tab w:leader="none" w:pos="573"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UNCLAIMED MONEY</w:t>
      </w:r>
    </w:p>
    <w:p>
      <w:pPr>
        <w:spacing w:after="0" w:line="195" w:lineRule="exact"/>
        <w:rPr>
          <w:rFonts w:ascii="Times New Roman" w:cs="Times New Roman" w:eastAsia="Times New Roman" w:hAnsi="Times New Roman"/>
          <w:sz w:val="17"/>
          <w:szCs w:val="17"/>
          <w:b w:val="1"/>
          <w:bCs w:val="1"/>
          <w:color w:val="auto"/>
        </w:rPr>
      </w:pPr>
    </w:p>
    <w:p>
      <w:pPr>
        <w:jc w:val="both"/>
        <w:ind w:left="573" w:right="1419"/>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money for the payment of principal or interest remains unclaimed for two years, the Fiscal Agent or Paying Agents shall pay the money back to the Company at its written request unless an applicable abandoned property law designates another person. After any such payment, Noteholders entitled to the money must look to the Company for payment as general creditors and the Fiscal Agent and the Paying Agents shall have no further liability with respect to such moneys.</w:t>
      </w:r>
    </w:p>
    <w:p>
      <w:pPr>
        <w:spacing w:after="0" w:line="151" w:lineRule="exact"/>
        <w:rPr>
          <w:rFonts w:ascii="Times New Roman" w:cs="Times New Roman" w:eastAsia="Times New Roman" w:hAnsi="Times New Roman"/>
          <w:sz w:val="17"/>
          <w:szCs w:val="17"/>
          <w:b w:val="1"/>
          <w:bCs w:val="1"/>
          <w:color w:val="auto"/>
        </w:rPr>
      </w:pPr>
    </w:p>
    <w:p>
      <w:pPr>
        <w:ind w:left="573" w:hanging="573"/>
        <w:spacing w:after="0"/>
        <w:tabs>
          <w:tab w:leader="none" w:pos="573"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INTEREST</w:t>
      </w:r>
    </w:p>
    <w:p>
      <w:pPr>
        <w:spacing w:after="0" w:line="193" w:lineRule="exact"/>
        <w:rPr>
          <w:rFonts w:ascii="Times New Roman" w:cs="Times New Roman" w:eastAsia="Times New Roman" w:hAnsi="Times New Roman"/>
          <w:sz w:val="17"/>
          <w:szCs w:val="17"/>
          <w:b w:val="1"/>
          <w:bCs w:val="1"/>
          <w:color w:val="auto"/>
        </w:rPr>
      </w:pPr>
    </w:p>
    <w:p>
      <w:pPr>
        <w:jc w:val="both"/>
        <w:ind w:left="573" w:right="1419"/>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The Notes will bear interest from June 30, 2022 (the </w:t>
      </w:r>
      <w:r>
        <w:rPr>
          <w:rFonts w:ascii="Times New Roman" w:cs="Times New Roman" w:eastAsia="Times New Roman" w:hAnsi="Times New Roman"/>
          <w:sz w:val="17"/>
          <w:szCs w:val="17"/>
          <w:b w:val="1"/>
          <w:bCs w:val="1"/>
          <w:color w:val="auto"/>
        </w:rPr>
        <w:t>Issue Date</w:t>
      </w:r>
      <w:r>
        <w:rPr>
          <w:rFonts w:ascii="Times New Roman" w:cs="Times New Roman" w:eastAsia="Times New Roman" w:hAnsi="Times New Roman"/>
          <w:sz w:val="17"/>
          <w:szCs w:val="17"/>
          <w:color w:val="auto"/>
        </w:rPr>
        <w:t xml:space="preserve">) until maturity, unless previously redeemed. Interest on the Notes will be payable annually in arrears on June 30 each year, commencing June 30, 2023. Whenever it is necessary to compute any amount of interest in respect of the Notes for a period of less than a full year, such interest shall be calculated on the basis of (a) the actual number of days in the period from and including the date from which interest begins to accrue (the </w:t>
      </w:r>
      <w:r>
        <w:rPr>
          <w:rFonts w:ascii="Times New Roman" w:cs="Times New Roman" w:eastAsia="Times New Roman" w:hAnsi="Times New Roman"/>
          <w:sz w:val="17"/>
          <w:szCs w:val="17"/>
          <w:b w:val="1"/>
          <w:bCs w:val="1"/>
          <w:color w:val="auto"/>
        </w:rPr>
        <w:t>Accrual Date</w:t>
      </w:r>
      <w:r>
        <w:rPr>
          <w:rFonts w:ascii="Times New Roman" w:cs="Times New Roman" w:eastAsia="Times New Roman" w:hAnsi="Times New Roman"/>
          <w:sz w:val="17"/>
          <w:szCs w:val="17"/>
          <w:color w:val="auto"/>
        </w:rPr>
        <w:t>) to but excluding the date on which it falls due divided by (b) the actual number of days from and including the Accrual Date to but excluding the next following Interest Payment Date.</w:t>
      </w:r>
    </w:p>
    <w:p>
      <w:pPr>
        <w:spacing w:after="0" w:line="150" w:lineRule="exact"/>
        <w:rPr>
          <w:rFonts w:ascii="Times New Roman" w:cs="Times New Roman" w:eastAsia="Times New Roman" w:hAnsi="Times New Roman"/>
          <w:sz w:val="17"/>
          <w:szCs w:val="17"/>
          <w:b w:val="1"/>
          <w:bCs w:val="1"/>
          <w:color w:val="auto"/>
        </w:rPr>
      </w:pPr>
    </w:p>
    <w:p>
      <w:pPr>
        <w:ind w:left="573" w:hanging="573"/>
        <w:spacing w:after="0"/>
        <w:tabs>
          <w:tab w:leader="none" w:pos="573"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ADDITIONAL AMOUNTS</w:t>
      </w:r>
    </w:p>
    <w:p>
      <w:pPr>
        <w:spacing w:after="0" w:line="196" w:lineRule="exact"/>
        <w:rPr>
          <w:sz w:val="20"/>
          <w:szCs w:val="20"/>
          <w:color w:val="auto"/>
        </w:rPr>
      </w:pPr>
    </w:p>
    <w:p>
      <w:pPr>
        <w:jc w:val="both"/>
        <w:ind w:left="573" w:right="1399" w:hanging="565"/>
        <w:spacing w:after="0" w:line="252" w:lineRule="auto"/>
        <w:tabs>
          <w:tab w:leader="none" w:pos="553" w:val="left"/>
        </w:tabs>
        <w:rPr>
          <w:sz w:val="20"/>
          <w:szCs w:val="20"/>
          <w:color w:val="auto"/>
        </w:rPr>
      </w:pPr>
      <w:r>
        <w:rPr>
          <w:rFonts w:ascii="Times New Roman" w:cs="Times New Roman" w:eastAsia="Times New Roman" w:hAnsi="Times New Roman"/>
          <w:sz w:val="17"/>
          <w:szCs w:val="17"/>
          <w:color w:val="auto"/>
        </w:rPr>
        <w:t>8.1</w:t>
      </w:r>
      <w:r>
        <w:rPr>
          <w:sz w:val="20"/>
          <w:szCs w:val="20"/>
          <w:color w:val="auto"/>
        </w:rPr>
        <w:tab/>
      </w:r>
      <w:r>
        <w:rPr>
          <w:rFonts w:ascii="Times New Roman" w:cs="Times New Roman" w:eastAsia="Times New Roman" w:hAnsi="Times New Roman"/>
          <w:sz w:val="17"/>
          <w:szCs w:val="17"/>
          <w:color w:val="auto"/>
        </w:rPr>
        <w:t>All payments of principal and interest on the Notes will be made without deduction or withholding for or on account of any present or future tax, assessment or other governmental charge, of whatever nature, imposed or levied by or within the United States or by or within any political subdivision or taxing authority thereof or therein, except as required by law. The Company will, subject to the exceptions and limitations set forth below, pay as additional interest (</w:t>
      </w:r>
      <w:r>
        <w:rPr>
          <w:rFonts w:ascii="Times New Roman" w:cs="Times New Roman" w:eastAsia="Times New Roman" w:hAnsi="Times New Roman"/>
          <w:sz w:val="17"/>
          <w:szCs w:val="17"/>
          <w:b w:val="1"/>
          <w:bCs w:val="1"/>
          <w:color w:val="auto"/>
        </w:rPr>
        <w:t>Additional Amounts</w:t>
      </w:r>
      <w:r>
        <w:rPr>
          <w:rFonts w:ascii="Times New Roman" w:cs="Times New Roman" w:eastAsia="Times New Roman" w:hAnsi="Times New Roman"/>
          <w:sz w:val="17"/>
          <w:szCs w:val="17"/>
          <w:color w:val="auto"/>
        </w:rPr>
        <w:t>) to the Noteholder of any Note who is a United States Alien (as defined below) such amounts as may be necessary so that every net</w:t>
      </w:r>
    </w:p>
    <w:p>
      <w:pPr>
        <w:spacing w:after="0" w:line="200" w:lineRule="exact"/>
        <w:rPr>
          <w:sz w:val="20"/>
          <w:szCs w:val="20"/>
          <w:color w:val="auto"/>
        </w:rPr>
      </w:pPr>
    </w:p>
    <w:p>
      <w:pPr>
        <w:spacing w:after="0" w:line="210" w:lineRule="exact"/>
        <w:rPr>
          <w:sz w:val="20"/>
          <w:szCs w:val="20"/>
          <w:color w:val="auto"/>
        </w:rPr>
      </w:pPr>
    </w:p>
    <w:p>
      <w:pPr>
        <w:ind w:left="3873"/>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497649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53"/>
          </w:cols>
          <w:pgMar w:left="1207" w:top="120" w:right="1440" w:bottom="1440" w:gutter="0" w:footer="0" w:header="0"/>
        </w:sectPr>
      </w:pPr>
    </w:p>
    <w:bookmarkStart w:id="31" w:name="page32"/>
    <w:bookmarkEnd w:id="31"/>
    <w:p>
      <w:pPr>
        <w:jc w:val="both"/>
        <w:ind w:left="340" w:right="1399"/>
        <w:spacing w:after="0" w:line="253" w:lineRule="auto"/>
        <w:rPr>
          <w:sz w:val="20"/>
          <w:szCs w:val="20"/>
          <w:color w:val="auto"/>
        </w:rPr>
      </w:pPr>
      <w:r>
        <w:rPr>
          <w:rFonts w:ascii="Times New Roman" w:cs="Times New Roman" w:eastAsia="Times New Roman" w:hAnsi="Times New Roman"/>
          <w:sz w:val="17"/>
          <w:szCs w:val="17"/>
          <w:color w:val="auto"/>
        </w:rPr>
        <w:t>payment by the Company or any of its Paying Agents on such Note, after deduction or withholding for or on account of any present or future tax, assessment or other governmental charge imposed upon such Noteholder by the United States (as defined below) (or any political subdivision or taxing authority thereof or therein), will not be less than the amount provided for in such Note to be then due and payable. However, the Company will not be required to make any payment of Additional Amounts for or on account of:</w:t>
      </w:r>
    </w:p>
    <w:p>
      <w:pPr>
        <w:spacing w:after="0" w:line="155" w:lineRule="exact"/>
        <w:rPr>
          <w:sz w:val="20"/>
          <w:szCs w:val="20"/>
          <w:color w:val="auto"/>
        </w:rPr>
      </w:pPr>
    </w:p>
    <w:p>
      <w:pPr>
        <w:ind w:left="900" w:hanging="567"/>
        <w:spacing w:after="0"/>
        <w:tabs>
          <w:tab w:leader="none" w:pos="9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tax, assessment or other governmental charge that would not have been so imposed but for</w:t>
      </w:r>
    </w:p>
    <w:p>
      <w:pPr>
        <w:spacing w:after="0" w:line="25" w:lineRule="exact"/>
        <w:rPr>
          <w:rFonts w:ascii="Times New Roman" w:cs="Times New Roman" w:eastAsia="Times New Roman" w:hAnsi="Times New Roman"/>
          <w:sz w:val="17"/>
          <w:szCs w:val="17"/>
          <w:color w:val="auto"/>
        </w:rPr>
      </w:pPr>
    </w:p>
    <w:p>
      <w:pPr>
        <w:jc w:val="both"/>
        <w:ind w:left="900" w:right="1399"/>
        <w:spacing w:after="0" w:line="247" w:lineRule="auto"/>
        <w:tabs>
          <w:tab w:leader="none" w:pos="1128"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existence of any present or former connection between such Noteholder (or between a fiduciary, settlor or, beneficiary of, or a person holding a power over, such Noteholder, if such Noteholder is an estate or a trust, or a member or shareholder of such Noteholder, if such Noteholder is a partnership or a corporation) and the United States, including, without limitation, such Noteholder (or such fiduciary, settlor, beneficiary of, person holding a power, member or shareholder), being or having been a citizen or resident or treated as a resident thereof, or being or having been engaged in a trade or business within the United States or present therein or having, or having had, a permanent establishment therein, or (ii) the presentation by or on behalf of the Noteholder of a Note for payment more than 15 days after the date on which such payment became due and payable or on which payment thereof was duly provided for, whichever occurs later;</w:t>
      </w:r>
    </w:p>
    <w:p>
      <w:pPr>
        <w:spacing w:after="0" w:line="162" w:lineRule="exact"/>
        <w:rPr>
          <w:rFonts w:ascii="Times New Roman" w:cs="Times New Roman" w:eastAsia="Times New Roman" w:hAnsi="Times New Roman"/>
          <w:sz w:val="17"/>
          <w:szCs w:val="17"/>
          <w:color w:val="auto"/>
        </w:rPr>
      </w:pPr>
    </w:p>
    <w:p>
      <w:pPr>
        <w:ind w:left="900" w:right="1419" w:hanging="567"/>
        <w:spacing w:after="0" w:line="283" w:lineRule="auto"/>
        <w:tabs>
          <w:tab w:leader="none" w:pos="9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tax, assessment or other governmental charge that is payable otherwise than by deduction or by withholding from a payment on a Note;</w:t>
      </w:r>
    </w:p>
    <w:p>
      <w:pPr>
        <w:spacing w:after="0" w:line="129" w:lineRule="exact"/>
        <w:rPr>
          <w:rFonts w:ascii="Times New Roman" w:cs="Times New Roman" w:eastAsia="Times New Roman" w:hAnsi="Times New Roman"/>
          <w:sz w:val="17"/>
          <w:szCs w:val="17"/>
          <w:color w:val="auto"/>
        </w:rPr>
      </w:pPr>
    </w:p>
    <w:p>
      <w:pPr>
        <w:jc w:val="both"/>
        <w:ind w:left="900" w:right="1399" w:hanging="567"/>
        <w:spacing w:after="0" w:line="265" w:lineRule="auto"/>
        <w:tabs>
          <w:tab w:leader="none" w:pos="9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tax, assessment or other governmental charge required to be deducted or withheld by any Paying Agent from any payments on a Note if such payment can be made without such deduction or withholding by any other Paying Agent;</w:t>
      </w:r>
    </w:p>
    <w:p>
      <w:pPr>
        <w:spacing w:after="0" w:line="143" w:lineRule="exact"/>
        <w:rPr>
          <w:rFonts w:ascii="Times New Roman" w:cs="Times New Roman" w:eastAsia="Times New Roman" w:hAnsi="Times New Roman"/>
          <w:sz w:val="17"/>
          <w:szCs w:val="17"/>
          <w:color w:val="auto"/>
        </w:rPr>
      </w:pPr>
    </w:p>
    <w:p>
      <w:pPr>
        <w:jc w:val="both"/>
        <w:ind w:left="900" w:right="1399" w:hanging="567"/>
        <w:spacing w:after="0" w:line="253" w:lineRule="auto"/>
        <w:tabs>
          <w:tab w:leader="none" w:pos="9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tax, assessment or other governmental charge that would not have been imposed but for the failure to comply with any applicable certification, information, documentation or other reporting requirement concerning the nationality, residence, identity or connection with the United States of the Noteholder or beneficial owner of a Note if, without regard to any tax treaty, such compliance is required by statute or regulation of the United States as a precondition to relief or exemption from such tax, assessment or other governmental charge;</w:t>
      </w:r>
    </w:p>
    <w:p>
      <w:pPr>
        <w:spacing w:after="0" w:line="156" w:lineRule="exact"/>
        <w:rPr>
          <w:rFonts w:ascii="Times New Roman" w:cs="Times New Roman" w:eastAsia="Times New Roman" w:hAnsi="Times New Roman"/>
          <w:sz w:val="17"/>
          <w:szCs w:val="17"/>
          <w:color w:val="auto"/>
        </w:rPr>
      </w:pPr>
    </w:p>
    <w:p>
      <w:pPr>
        <w:ind w:left="900" w:hanging="567"/>
        <w:spacing w:after="0"/>
        <w:tabs>
          <w:tab w:leader="none" w:pos="9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tax, assessment or other governmental charge imposed by reason of the Noteholder</w:t>
      </w:r>
    </w:p>
    <w:p>
      <w:pPr>
        <w:spacing w:after="0" w:line="25" w:lineRule="exact"/>
        <w:rPr>
          <w:rFonts w:ascii="Times New Roman" w:cs="Times New Roman" w:eastAsia="Times New Roman" w:hAnsi="Times New Roman"/>
          <w:sz w:val="17"/>
          <w:szCs w:val="17"/>
          <w:color w:val="auto"/>
        </w:rPr>
      </w:pPr>
    </w:p>
    <w:p>
      <w:pPr>
        <w:jc w:val="both"/>
        <w:ind w:left="900" w:right="1419"/>
        <w:spacing w:after="0" w:line="250" w:lineRule="auto"/>
        <w:tabs>
          <w:tab w:leader="none" w:pos="1107"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owning or having owned, directly or indirectly, actually or constructively, 10% or more of the total combined voting power of all classes of stock of the Company entitled to vote or (ii) being a controlled foreign corporation with respect to the United States that is related to the Company by actual or constructive stock ownership; or</w:t>
      </w:r>
    </w:p>
    <w:p>
      <w:pPr>
        <w:spacing w:after="0" w:line="156" w:lineRule="exact"/>
        <w:rPr>
          <w:rFonts w:ascii="Times New Roman" w:cs="Times New Roman" w:eastAsia="Times New Roman" w:hAnsi="Times New Roman"/>
          <w:sz w:val="17"/>
          <w:szCs w:val="17"/>
          <w:color w:val="auto"/>
        </w:rPr>
      </w:pPr>
    </w:p>
    <w:p>
      <w:pPr>
        <w:jc w:val="both"/>
        <w:ind w:left="900" w:right="1399" w:hanging="567"/>
        <w:spacing w:after="0" w:line="258" w:lineRule="auto"/>
        <w:tabs>
          <w:tab w:leader="none" w:pos="9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assessment or other governmental charge imposed under Section 1471(b) of the Code or otherwise imposed pursuant to Sections 1471 through 1474 of the Code, any regulations or agreements thereunder, official interpretations thereof, or any law implementing an intergovernmental approach thereto,</w:t>
      </w:r>
    </w:p>
    <w:p>
      <w:pPr>
        <w:spacing w:after="0" w:line="151" w:lineRule="exact"/>
        <w:rPr>
          <w:sz w:val="20"/>
          <w:szCs w:val="20"/>
          <w:color w:val="auto"/>
        </w:rPr>
      </w:pPr>
    </w:p>
    <w:p>
      <w:pPr>
        <w:jc w:val="both"/>
        <w:ind w:left="340" w:right="1419"/>
        <w:spacing w:after="0" w:line="255" w:lineRule="auto"/>
        <w:rPr>
          <w:sz w:val="20"/>
          <w:szCs w:val="20"/>
          <w:color w:val="auto"/>
        </w:rPr>
      </w:pPr>
      <w:r>
        <w:rPr>
          <w:rFonts w:ascii="Times New Roman" w:cs="Times New Roman" w:eastAsia="Times New Roman" w:hAnsi="Times New Roman"/>
          <w:sz w:val="17"/>
          <w:szCs w:val="17"/>
          <w:color w:val="auto"/>
        </w:rPr>
        <w:t>nor shall such Additional Amounts be paid with respect to any payment on a Note to a Noteholder that is a fiduciary or partnership or other than the sole beneficial owner of such payment to the extent a beneficiary or settlor with respect to such fiduciary or a member of such partnership or a beneficial owner would not have been entitled to the Additional Amounts had such beneficiary, settlor, member or beneficial owner been the Noteholder of such Note.</w:t>
      </w:r>
    </w:p>
    <w:p>
      <w:pPr>
        <w:spacing w:after="0" w:line="20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90170</wp:posOffset>
            </wp:positionV>
            <wp:extent cx="497649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32" w:name="page33"/>
    <w:bookmarkEnd w:id="32"/>
    <w:p>
      <w:pPr>
        <w:jc w:val="both"/>
        <w:ind w:left="573" w:right="1419" w:hanging="565"/>
        <w:spacing w:after="0" w:line="253" w:lineRule="auto"/>
        <w:tabs>
          <w:tab w:leader="none" w:pos="553" w:val="left"/>
        </w:tabs>
        <w:rPr>
          <w:sz w:val="20"/>
          <w:szCs w:val="20"/>
          <w:color w:val="auto"/>
        </w:rPr>
      </w:pPr>
      <w:r>
        <w:rPr>
          <w:rFonts w:ascii="Times New Roman" w:cs="Times New Roman" w:eastAsia="Times New Roman" w:hAnsi="Times New Roman"/>
          <w:sz w:val="17"/>
          <w:szCs w:val="17"/>
          <w:color w:val="auto"/>
        </w:rPr>
        <w:t>8.2</w:t>
      </w:r>
      <w:r>
        <w:rPr>
          <w:sz w:val="20"/>
          <w:szCs w:val="20"/>
          <w:color w:val="auto"/>
        </w:rPr>
        <w:tab/>
      </w:r>
      <w:r>
        <w:rPr>
          <w:rFonts w:ascii="Times New Roman" w:cs="Times New Roman" w:eastAsia="Times New Roman" w:hAnsi="Times New Roman"/>
          <w:sz w:val="17"/>
          <w:szCs w:val="17"/>
          <w:color w:val="auto"/>
        </w:rPr>
        <w:t xml:space="preserve">The term </w:t>
      </w:r>
      <w:r>
        <w:rPr>
          <w:rFonts w:ascii="Times New Roman" w:cs="Times New Roman" w:eastAsia="Times New Roman" w:hAnsi="Times New Roman"/>
          <w:sz w:val="17"/>
          <w:szCs w:val="17"/>
          <w:b w:val="1"/>
          <w:bCs w:val="1"/>
          <w:color w:val="auto"/>
        </w:rPr>
        <w:t>United States</w:t>
      </w:r>
      <w:r>
        <w:rPr>
          <w:rFonts w:ascii="Times New Roman" w:cs="Times New Roman" w:eastAsia="Times New Roman" w:hAnsi="Times New Roman"/>
          <w:sz w:val="17"/>
          <w:szCs w:val="17"/>
          <w:color w:val="auto"/>
        </w:rPr>
        <w:t xml:space="preserve"> means the United States of America (including the States and the District of Columbia), its territories, its possessions and other areas subject to its jurisdiction. The term </w:t>
      </w:r>
      <w:r>
        <w:rPr>
          <w:rFonts w:ascii="Times New Roman" w:cs="Times New Roman" w:eastAsia="Times New Roman" w:hAnsi="Times New Roman"/>
          <w:sz w:val="17"/>
          <w:szCs w:val="17"/>
          <w:b w:val="1"/>
          <w:bCs w:val="1"/>
          <w:color w:val="auto"/>
        </w:rPr>
        <w:t>United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States Alien </w:t>
      </w:r>
      <w:r>
        <w:rPr>
          <w:rFonts w:ascii="Times New Roman" w:cs="Times New Roman" w:eastAsia="Times New Roman" w:hAnsi="Times New Roman"/>
          <w:sz w:val="17"/>
          <w:szCs w:val="17"/>
          <w:color w:val="auto"/>
        </w:rPr>
        <w:t>means any person who, for United States Federal income tax purposes is a foreign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a non-resident alien individual, a non-resident alien fiduciary of a foreign estate or trust, or a foreign partnership one or more of the members of which is, for United States Federal income tax purposes, a foreign corporation, a non-resident alien individual, or a non-resident alien fiduciary of a foreign estate or trust.</w:t>
      </w:r>
    </w:p>
    <w:p>
      <w:pPr>
        <w:spacing w:after="0" w:line="152" w:lineRule="exact"/>
        <w:rPr>
          <w:sz w:val="20"/>
          <w:szCs w:val="20"/>
          <w:color w:val="auto"/>
        </w:rPr>
      </w:pPr>
    </w:p>
    <w:p>
      <w:pPr>
        <w:ind w:left="573" w:hanging="573"/>
        <w:spacing w:after="0"/>
        <w:tabs>
          <w:tab w:leader="none" w:pos="573"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REDEMPTION</w:t>
      </w:r>
    </w:p>
    <w:p>
      <w:pPr>
        <w:spacing w:after="0" w:line="196" w:lineRule="exact"/>
        <w:rPr>
          <w:sz w:val="20"/>
          <w:szCs w:val="20"/>
          <w:color w:val="auto"/>
        </w:rPr>
      </w:pPr>
    </w:p>
    <w:p>
      <w:pPr>
        <w:jc w:val="both"/>
        <w:ind w:left="573" w:right="1419" w:hanging="565"/>
        <w:spacing w:after="0" w:line="283" w:lineRule="auto"/>
        <w:tabs>
          <w:tab w:leader="none" w:pos="553" w:val="left"/>
        </w:tabs>
        <w:rPr>
          <w:sz w:val="20"/>
          <w:szCs w:val="20"/>
          <w:color w:val="auto"/>
        </w:rPr>
      </w:pPr>
      <w:r>
        <w:rPr>
          <w:rFonts w:ascii="Times New Roman" w:cs="Times New Roman" w:eastAsia="Times New Roman" w:hAnsi="Times New Roman"/>
          <w:sz w:val="17"/>
          <w:szCs w:val="17"/>
          <w:color w:val="auto"/>
        </w:rPr>
        <w:t>9.1</w:t>
      </w:r>
      <w:r>
        <w:rPr>
          <w:sz w:val="20"/>
          <w:szCs w:val="20"/>
          <w:color w:val="auto"/>
        </w:rPr>
        <w:tab/>
      </w:r>
      <w:r>
        <w:rPr>
          <w:rFonts w:ascii="Times New Roman" w:cs="Times New Roman" w:eastAsia="Times New Roman" w:hAnsi="Times New Roman"/>
          <w:sz w:val="17"/>
          <w:szCs w:val="17"/>
          <w:color w:val="auto"/>
        </w:rPr>
        <w:t>The Notes will mature at par on June 30, 2027. Except as provided below and in the Fiscal and Paying Agency Agreement, the Notes may not be redeemed prior to maturity.</w:t>
      </w:r>
    </w:p>
    <w:p>
      <w:pPr>
        <w:spacing w:after="0" w:line="129" w:lineRule="exact"/>
        <w:rPr>
          <w:sz w:val="20"/>
          <w:szCs w:val="20"/>
          <w:color w:val="auto"/>
        </w:rPr>
      </w:pPr>
    </w:p>
    <w:p>
      <w:pPr>
        <w:jc w:val="both"/>
        <w:ind w:left="573" w:right="1419" w:hanging="565"/>
        <w:spacing w:after="0" w:line="251" w:lineRule="auto"/>
        <w:tabs>
          <w:tab w:leader="none" w:pos="553" w:val="left"/>
        </w:tabs>
        <w:rPr>
          <w:sz w:val="20"/>
          <w:szCs w:val="20"/>
          <w:color w:val="auto"/>
        </w:rPr>
      </w:pPr>
      <w:r>
        <w:rPr>
          <w:rFonts w:ascii="Times New Roman" w:cs="Times New Roman" w:eastAsia="Times New Roman" w:hAnsi="Times New Roman"/>
          <w:sz w:val="17"/>
          <w:szCs w:val="17"/>
          <w:color w:val="auto"/>
        </w:rPr>
        <w:t>9.2</w:t>
      </w:r>
      <w:r>
        <w:rPr>
          <w:sz w:val="20"/>
          <w:szCs w:val="20"/>
          <w:color w:val="auto"/>
        </w:rPr>
        <w:tab/>
      </w:r>
      <w:r>
        <w:rPr>
          <w:rFonts w:ascii="Times New Roman" w:cs="Times New Roman" w:eastAsia="Times New Roman" w:hAnsi="Times New Roman"/>
          <w:sz w:val="17"/>
          <w:szCs w:val="17"/>
          <w:color w:val="auto"/>
        </w:rPr>
        <w:t>The Notes will be redeemable at the Company's option, in whole or in part, at any time prior to March 30, 2027 (three months prior to the maturity date of the Notes) at a redemption price equal to the greater of (a) 100% of the principal amount of such Notes or (b) as determined by the Quotation Agent (as defined below), the sum of the present values of the remaining scheduled payments of principal and interest thereon up to March 30, 2027 (not including any portion of such payments of interest accrued as of the date of redemption) discounted to the redemption date on an annual basis at the Reference Dealer Rate (as defined below), plus 0.40%, plus in each case, accrued interest thereon to the date of redemption.</w:t>
      </w:r>
    </w:p>
    <w:p>
      <w:pPr>
        <w:spacing w:after="0" w:line="363" w:lineRule="exact"/>
        <w:rPr>
          <w:sz w:val="20"/>
          <w:szCs w:val="20"/>
          <w:color w:val="auto"/>
        </w:rPr>
      </w:pPr>
    </w:p>
    <w:p>
      <w:pPr>
        <w:jc w:val="both"/>
        <w:ind w:left="573" w:right="1399"/>
        <w:spacing w:after="0" w:line="258" w:lineRule="auto"/>
        <w:rPr>
          <w:sz w:val="20"/>
          <w:szCs w:val="20"/>
          <w:color w:val="auto"/>
        </w:rPr>
      </w:pPr>
      <w:r>
        <w:rPr>
          <w:rFonts w:ascii="Times New Roman" w:cs="Times New Roman" w:eastAsia="Times New Roman" w:hAnsi="Times New Roman"/>
          <w:sz w:val="17"/>
          <w:szCs w:val="17"/>
          <w:color w:val="auto"/>
        </w:rPr>
        <w:t>In addition, the Notes will be redeemable at the Company’s option, in whole or in part, at any time on or after March 30, 2027 (three months prior to the maturity date of the Notes) at a redemption price equal to 100% of the principal amount of such Notes, plus accrued and unpaid interest thereon at the date of redemption.</w:t>
      </w:r>
    </w:p>
    <w:p>
      <w:pPr>
        <w:spacing w:after="0" w:line="149" w:lineRule="exact"/>
        <w:rPr>
          <w:sz w:val="20"/>
          <w:szCs w:val="20"/>
          <w:color w:val="auto"/>
        </w:rPr>
      </w:pPr>
    </w:p>
    <w:p>
      <w:pPr>
        <w:jc w:val="both"/>
        <w:ind w:left="573" w:right="1419"/>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Business day </w:t>
      </w:r>
      <w:r>
        <w:rPr>
          <w:rFonts w:ascii="Times New Roman" w:cs="Times New Roman" w:eastAsia="Times New Roman" w:hAnsi="Times New Roman"/>
          <w:sz w:val="17"/>
          <w:szCs w:val="17"/>
          <w:color w:val="auto"/>
        </w:rPr>
        <w:t>means, in relation to any place, a day on which commercial banks and foreign exchange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markets settle payments in that place.</w:t>
      </w:r>
    </w:p>
    <w:p>
      <w:pPr>
        <w:spacing w:after="0" w:line="124" w:lineRule="exact"/>
        <w:rPr>
          <w:sz w:val="20"/>
          <w:szCs w:val="20"/>
          <w:color w:val="auto"/>
        </w:rPr>
      </w:pPr>
    </w:p>
    <w:p>
      <w:pPr>
        <w:ind w:left="573"/>
        <w:spacing w:after="0"/>
        <w:rPr>
          <w:sz w:val="20"/>
          <w:szCs w:val="20"/>
          <w:color w:val="auto"/>
        </w:rPr>
      </w:pPr>
      <w:r>
        <w:rPr>
          <w:rFonts w:ascii="Times New Roman" w:cs="Times New Roman" w:eastAsia="Times New Roman" w:hAnsi="Times New Roman"/>
          <w:sz w:val="17"/>
          <w:szCs w:val="17"/>
          <w:b w:val="1"/>
          <w:bCs w:val="1"/>
          <w:color w:val="auto"/>
        </w:rPr>
        <w:t xml:space="preserve">Quotation Agent </w:t>
      </w:r>
      <w:r>
        <w:rPr>
          <w:rFonts w:ascii="Times New Roman" w:cs="Times New Roman" w:eastAsia="Times New Roman" w:hAnsi="Times New Roman"/>
          <w:sz w:val="17"/>
          <w:szCs w:val="17"/>
          <w:color w:val="auto"/>
        </w:rPr>
        <w:t>means such Reference Dealer as selected by the Issuer at the relevant time.</w:t>
      </w:r>
    </w:p>
    <w:p>
      <w:pPr>
        <w:spacing w:after="0" w:line="194" w:lineRule="exact"/>
        <w:rPr>
          <w:sz w:val="20"/>
          <w:szCs w:val="20"/>
          <w:color w:val="auto"/>
        </w:rPr>
      </w:pPr>
    </w:p>
    <w:p>
      <w:pPr>
        <w:jc w:val="both"/>
        <w:ind w:left="573" w:right="1399"/>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Reference Dealer </w:t>
      </w:r>
      <w:r>
        <w:rPr>
          <w:rFonts w:ascii="Times New Roman" w:cs="Times New Roman" w:eastAsia="Times New Roman" w:hAnsi="Times New Roman"/>
          <w:sz w:val="17"/>
          <w:szCs w:val="17"/>
          <w:color w:val="auto"/>
        </w:rPr>
        <w:t>means each of Goldman Sachs International and J.P. Morgan Securities plc and/or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their respective successors.</w:t>
      </w:r>
    </w:p>
    <w:p>
      <w:pPr>
        <w:spacing w:after="0" w:line="124" w:lineRule="exact"/>
        <w:rPr>
          <w:sz w:val="20"/>
          <w:szCs w:val="20"/>
          <w:color w:val="auto"/>
        </w:rPr>
      </w:pPr>
    </w:p>
    <w:p>
      <w:pPr>
        <w:jc w:val="both"/>
        <w:ind w:left="573" w:right="1399"/>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Reference Dealer Rate </w:t>
      </w:r>
      <w:r>
        <w:rPr>
          <w:rFonts w:ascii="Times New Roman" w:cs="Times New Roman" w:eastAsia="Times New Roman" w:hAnsi="Times New Roman"/>
          <w:sz w:val="17"/>
          <w:szCs w:val="17"/>
          <w:color w:val="auto"/>
        </w:rPr>
        <w:t>means, with respect to any redemption date, the average of the two quotations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average midmarket annual yield to maturity on an Actual/Actual (ICMA) basis of the OBL 0.000% due 16 April 2027 (ISIN: DE0001141851) or, if that security is no longer outstanding, a similar government security selected in the reasonable judgment of each Reference Dealer as having an actual or interpolated maturity comparable with the remaining term of the Notes, that would be utilised, at the time of selection and in accordance with customary financial practice, in pricing new issues of corporate debt securities denominated in euros, at 11.00 a.m. (London time) on the third business day in London preceding such redemption date quoted in writing to the Quotation Agent by the Reference Dealers.</w:t>
      </w:r>
    </w:p>
    <w:p>
      <w:pPr>
        <w:spacing w:after="0" w:line="154" w:lineRule="exact"/>
        <w:rPr>
          <w:sz w:val="20"/>
          <w:szCs w:val="20"/>
          <w:color w:val="auto"/>
        </w:rPr>
      </w:pPr>
    </w:p>
    <w:p>
      <w:pPr>
        <w:jc w:val="both"/>
        <w:ind w:left="573" w:right="1399" w:hanging="565"/>
        <w:spacing w:after="0" w:line="251" w:lineRule="auto"/>
        <w:tabs>
          <w:tab w:leader="none" w:pos="553" w:val="left"/>
        </w:tabs>
        <w:rPr>
          <w:sz w:val="20"/>
          <w:szCs w:val="20"/>
          <w:color w:val="auto"/>
        </w:rPr>
      </w:pPr>
      <w:r>
        <w:rPr>
          <w:rFonts w:ascii="Times New Roman" w:cs="Times New Roman" w:eastAsia="Times New Roman" w:hAnsi="Times New Roman"/>
          <w:sz w:val="17"/>
          <w:szCs w:val="17"/>
          <w:color w:val="auto"/>
        </w:rPr>
        <w:t>9.3</w:t>
      </w:r>
      <w:r>
        <w:rPr>
          <w:sz w:val="20"/>
          <w:szCs w:val="20"/>
          <w:color w:val="auto"/>
        </w:rPr>
        <w:tab/>
      </w:r>
      <w:r>
        <w:rPr>
          <w:rFonts w:ascii="Times New Roman" w:cs="Times New Roman" w:eastAsia="Times New Roman" w:hAnsi="Times New Roman"/>
          <w:sz w:val="17"/>
          <w:szCs w:val="17"/>
          <w:color w:val="auto"/>
        </w:rPr>
        <w:t>Notice of any redemption will be given to the Noteholders at least 10 days but not more than 60 days before the redemption date. Any such notice of redemption may, at the Company’s discretion, be subject to one or more conditions precedent, in which case such notice shall state that, in the Company's discretion, the redemption date may be delayed until such time as any or all such conditions shall be satisfied (or waived by the Company in its sole discretion), or such redemption may not occur and such notice may be rescinded in the event that any or all such conditions shall not have been satisfied (or waived by the Company in its sole discretion) by the redemption date, or by the redemption date so delayed.</w:t>
      </w:r>
    </w:p>
    <w:p>
      <w:pPr>
        <w:spacing w:after="0" w:line="206" w:lineRule="exact"/>
        <w:rPr>
          <w:sz w:val="20"/>
          <w:szCs w:val="20"/>
          <w:color w:val="auto"/>
        </w:rPr>
      </w:pPr>
    </w:p>
    <w:p>
      <w:pPr>
        <w:ind w:left="3873"/>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497649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53"/>
          </w:cols>
          <w:pgMar w:left="1207" w:top="115" w:right="1440" w:bottom="1440" w:gutter="0" w:footer="0" w:header="0"/>
        </w:sectPr>
      </w:pPr>
    </w:p>
    <w:bookmarkStart w:id="33" w:name="page34"/>
    <w:bookmarkEnd w:id="33"/>
    <w:p>
      <w:pPr>
        <w:jc w:val="both"/>
        <w:ind w:left="340" w:right="1419" w:hanging="565"/>
        <w:spacing w:after="0" w:line="283" w:lineRule="auto"/>
        <w:tabs>
          <w:tab w:leader="none" w:pos="320" w:val="left"/>
        </w:tabs>
        <w:rPr>
          <w:sz w:val="20"/>
          <w:szCs w:val="20"/>
          <w:color w:val="auto"/>
        </w:rPr>
      </w:pPr>
      <w:r>
        <w:rPr>
          <w:rFonts w:ascii="Times New Roman" w:cs="Times New Roman" w:eastAsia="Times New Roman" w:hAnsi="Times New Roman"/>
          <w:sz w:val="17"/>
          <w:szCs w:val="17"/>
          <w:color w:val="auto"/>
        </w:rPr>
        <w:t>9.4</w:t>
      </w:r>
      <w:r>
        <w:rPr>
          <w:sz w:val="20"/>
          <w:szCs w:val="20"/>
          <w:color w:val="auto"/>
        </w:rPr>
        <w:tab/>
      </w:r>
      <w:r>
        <w:rPr>
          <w:rFonts w:ascii="Times New Roman" w:cs="Times New Roman" w:eastAsia="Times New Roman" w:hAnsi="Times New Roman"/>
          <w:sz w:val="17"/>
          <w:szCs w:val="17"/>
          <w:color w:val="auto"/>
        </w:rPr>
        <w:t>Unless the Company defaults in payment of the redemption price, on and after the redemption date, interest will cease to accrue on the Notes called for redemption.</w:t>
      </w:r>
    </w:p>
    <w:p>
      <w:pPr>
        <w:spacing w:after="0" w:line="128" w:lineRule="exact"/>
        <w:rPr>
          <w:sz w:val="20"/>
          <w:szCs w:val="20"/>
          <w:color w:val="auto"/>
        </w:rPr>
      </w:pPr>
    </w:p>
    <w:p>
      <w:pPr>
        <w:jc w:val="both"/>
        <w:ind w:left="340" w:right="1399" w:hanging="565"/>
        <w:spacing w:after="0" w:line="249" w:lineRule="auto"/>
        <w:tabs>
          <w:tab w:leader="none" w:pos="320" w:val="left"/>
        </w:tabs>
        <w:rPr>
          <w:sz w:val="20"/>
          <w:szCs w:val="20"/>
          <w:color w:val="auto"/>
        </w:rPr>
      </w:pPr>
      <w:r>
        <w:rPr>
          <w:rFonts w:ascii="Times New Roman" w:cs="Times New Roman" w:eastAsia="Times New Roman" w:hAnsi="Times New Roman"/>
          <w:sz w:val="17"/>
          <w:szCs w:val="17"/>
          <w:color w:val="auto"/>
        </w:rPr>
        <w:t>9.5</w:t>
      </w:r>
      <w:r>
        <w:rPr>
          <w:sz w:val="20"/>
          <w:szCs w:val="20"/>
          <w:color w:val="auto"/>
        </w:rPr>
        <w:tab/>
      </w:r>
      <w:r>
        <w:rPr>
          <w:rFonts w:ascii="Times New Roman" w:cs="Times New Roman" w:eastAsia="Times New Roman" w:hAnsi="Times New Roman"/>
          <w:sz w:val="17"/>
          <w:szCs w:val="17"/>
          <w:color w:val="auto"/>
        </w:rPr>
        <w:t xml:space="preserve">If, in the written opinion of independent counsel chosen by the Company, there is a substantial probability that the Company has or will become obligated to pay additional interest on the Notes as described under </w:t>
      </w:r>
      <w:r>
        <w:rPr>
          <w:rFonts w:ascii="Times New Roman" w:cs="Times New Roman" w:eastAsia="Times New Roman" w:hAnsi="Times New Roman"/>
          <w:sz w:val="17"/>
          <w:szCs w:val="17"/>
          <w:b w:val="1"/>
          <w:bCs w:val="1"/>
          <w:color w:val="auto"/>
        </w:rPr>
        <w:t>Additional Amounts</w:t>
      </w:r>
      <w:r>
        <w:rPr>
          <w:rFonts w:ascii="Times New Roman" w:cs="Times New Roman" w:eastAsia="Times New Roman" w:hAnsi="Times New Roman"/>
          <w:sz w:val="17"/>
          <w:szCs w:val="17"/>
          <w:color w:val="auto"/>
        </w:rPr>
        <w:t xml:space="preserve"> above, as a result of any Trigger Event (as defined below) occurring on or after the Issue Date, then the Company may, at its option, upon not less than 30 nor more than 60 days' prior notice to the Noteholders for the time being of the Notes redeem the Notes in whole, but not in part, at a redemption price equal to 100% of the principal amount thereof plus accrued interest, if any, to the date fixed for redemption, provided that no such notice of redemption shall be given earlier than 90 days prior to the earliest date on which the Company would be obligated to pay such additional interest were a payment in respect of the Notes due on such date and, at the time such notification of redemption is given, such obligation to pay such additional interest remains in effect. Prior to the publication of any notice of redemption pursuant to this paragraph, the Company shall deliver to the Fiscal Agent (i) a certificate stating that the Company is entitled to effect such redemption and that the conditions precedent to the right of the Company to so redeem have occurred and (ii) an opinion of independent counsel chosen by the Company to the effect that there is a substantial probability that the Company has or will become obligated to pay additional interest on the Notes.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 xml:space="preserve">Trigger Event </w:t>
      </w:r>
      <w:r>
        <w:rPr>
          <w:rFonts w:ascii="Times New Roman" w:cs="Times New Roman" w:eastAsia="Times New Roman" w:hAnsi="Times New Roman"/>
          <w:sz w:val="17"/>
          <w:szCs w:val="17"/>
          <w:color w:val="auto"/>
        </w:rPr>
        <w:t>means any of the following events:</w:t>
      </w:r>
    </w:p>
    <w:p>
      <w:pPr>
        <w:spacing w:after="0" w:line="196" w:lineRule="exact"/>
        <w:rPr>
          <w:sz w:val="20"/>
          <w:szCs w:val="20"/>
          <w:color w:val="auto"/>
        </w:rPr>
      </w:pPr>
    </w:p>
    <w:p>
      <w:pPr>
        <w:jc w:val="both"/>
        <w:ind w:left="900" w:right="1419" w:hanging="567"/>
        <w:spacing w:after="0" w:line="258" w:lineRule="auto"/>
        <w:tabs>
          <w:tab w:leader="none" w:pos="9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in, or amendment to, the laws (or any regulations or rulings promulgated thereunder) of the United States or any political subdivision or taxing authority thereof or therein, or any change in official position regarding the application or interpretation of such laws, regulations or rulings,</w:t>
      </w:r>
    </w:p>
    <w:p>
      <w:pPr>
        <w:spacing w:after="0" w:line="150" w:lineRule="exact"/>
        <w:rPr>
          <w:rFonts w:ascii="Times New Roman" w:cs="Times New Roman" w:eastAsia="Times New Roman" w:hAnsi="Times New Roman"/>
          <w:sz w:val="17"/>
          <w:szCs w:val="17"/>
          <w:color w:val="auto"/>
        </w:rPr>
      </w:pPr>
    </w:p>
    <w:p>
      <w:pPr>
        <w:jc w:val="both"/>
        <w:ind w:left="900" w:right="1399" w:hanging="567"/>
        <w:spacing w:after="0" w:line="265" w:lineRule="auto"/>
        <w:tabs>
          <w:tab w:leader="none" w:pos="9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taken by a taxing authority of the United States or any political subdivision thereof or therein affecting taxation, which action is generally applied or is taken with respect to the Company,</w:t>
      </w:r>
    </w:p>
    <w:p>
      <w:pPr>
        <w:spacing w:after="0" w:line="143" w:lineRule="exact"/>
        <w:rPr>
          <w:rFonts w:ascii="Times New Roman" w:cs="Times New Roman" w:eastAsia="Times New Roman" w:hAnsi="Times New Roman"/>
          <w:sz w:val="17"/>
          <w:szCs w:val="17"/>
          <w:color w:val="auto"/>
        </w:rPr>
      </w:pPr>
    </w:p>
    <w:p>
      <w:pPr>
        <w:jc w:val="both"/>
        <w:ind w:left="900" w:right="1399" w:hanging="567"/>
        <w:spacing w:after="0" w:line="265" w:lineRule="auto"/>
        <w:tabs>
          <w:tab w:leader="none" w:pos="9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decision rendered by a court of competent jurisdiction in the United States or any political subdivision thereof or therein, whether or not such decision was rendered with respect to the Company,</w:t>
      </w:r>
    </w:p>
    <w:p>
      <w:pPr>
        <w:spacing w:after="0" w:line="143" w:lineRule="exact"/>
        <w:rPr>
          <w:rFonts w:ascii="Times New Roman" w:cs="Times New Roman" w:eastAsia="Times New Roman" w:hAnsi="Times New Roman"/>
          <w:sz w:val="17"/>
          <w:szCs w:val="17"/>
          <w:color w:val="auto"/>
        </w:rPr>
      </w:pPr>
    </w:p>
    <w:p>
      <w:pPr>
        <w:jc w:val="both"/>
        <w:ind w:left="900" w:right="1399" w:hanging="567"/>
        <w:spacing w:after="0" w:line="273" w:lineRule="auto"/>
        <w:tabs>
          <w:tab w:leader="none" w:pos="9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private letter ruling or technical advice memorandum issued by the National Office of the United States Internal Revenue Service on substantially the same facts as those affecting the Company, or</w:t>
      </w:r>
    </w:p>
    <w:p>
      <w:pPr>
        <w:spacing w:after="0" w:line="346" w:lineRule="exact"/>
        <w:rPr>
          <w:rFonts w:ascii="Times New Roman" w:cs="Times New Roman" w:eastAsia="Times New Roman" w:hAnsi="Times New Roman"/>
          <w:sz w:val="17"/>
          <w:szCs w:val="17"/>
          <w:color w:val="auto"/>
        </w:rPr>
      </w:pPr>
    </w:p>
    <w:p>
      <w:pPr>
        <w:jc w:val="both"/>
        <w:ind w:left="900" w:right="1419" w:hanging="567"/>
        <w:spacing w:after="0" w:line="258" w:lineRule="auto"/>
        <w:tabs>
          <w:tab w:leader="none" w:pos="9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amendment, application, interpretation or execution of the laws of the United States (or any regulations or rulings promulgated thereunder) shall have been officially proposed, and the Company determines that such obligation cannot be avoided by the use of reasonable measures then available to the Company.</w:t>
      </w:r>
    </w:p>
    <w:p>
      <w:pPr>
        <w:spacing w:after="0" w:line="151" w:lineRule="exact"/>
        <w:rPr>
          <w:sz w:val="20"/>
          <w:szCs w:val="20"/>
          <w:color w:val="auto"/>
        </w:rPr>
      </w:pPr>
    </w:p>
    <w:p>
      <w:pPr>
        <w:jc w:val="both"/>
        <w:ind w:left="340" w:right="1399" w:hanging="565"/>
        <w:spacing w:after="0" w:line="253" w:lineRule="auto"/>
        <w:tabs>
          <w:tab w:leader="none" w:pos="320" w:val="left"/>
        </w:tabs>
        <w:rPr>
          <w:sz w:val="20"/>
          <w:szCs w:val="20"/>
          <w:color w:val="auto"/>
        </w:rPr>
      </w:pPr>
      <w:r>
        <w:rPr>
          <w:rFonts w:ascii="Times New Roman" w:cs="Times New Roman" w:eastAsia="Times New Roman" w:hAnsi="Times New Roman"/>
          <w:sz w:val="17"/>
          <w:szCs w:val="17"/>
          <w:color w:val="auto"/>
        </w:rPr>
        <w:t>9.6</w:t>
      </w:r>
      <w:r>
        <w:rPr>
          <w:sz w:val="20"/>
          <w:szCs w:val="20"/>
          <w:color w:val="auto"/>
        </w:rPr>
        <w:tab/>
      </w:r>
      <w:r>
        <w:rPr>
          <w:rFonts w:ascii="Times New Roman" w:cs="Times New Roman" w:eastAsia="Times New Roman" w:hAnsi="Times New Roman"/>
          <w:sz w:val="17"/>
          <w:szCs w:val="17"/>
          <w:color w:val="auto"/>
        </w:rPr>
        <w:t>Notice of redemption of the Notes shall be given not less than 30 or more than 60 days prior to the date fixed for redemption, all as provided in the Fiscal and Paying Agency Agreement. Notice having been given, the Notes shall (except as otherwise provided in Clause 9.5 above) become due and payable on the date fixed for redemption and (upon presentation and surrender thereof) will be paid at the redemption price, together with Additional Amounts, if any, and accrued interest to the date fixed for redemption at the place or places of payment and in the manner specified herein.</w:t>
      </w:r>
    </w:p>
    <w:p>
      <w:pPr>
        <w:spacing w:after="0" w:line="20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90170</wp:posOffset>
            </wp:positionV>
            <wp:extent cx="497649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340" w:right="1399" w:hanging="565"/>
        <w:spacing w:after="0" w:line="255" w:lineRule="auto"/>
        <w:tabs>
          <w:tab w:leader="none" w:pos="320" w:val="left"/>
        </w:tabs>
        <w:rPr>
          <w:sz w:val="20"/>
          <w:szCs w:val="20"/>
          <w:color w:val="auto"/>
        </w:rPr>
      </w:pPr>
      <w:r>
        <w:rPr>
          <w:rFonts w:ascii="Times New Roman" w:cs="Times New Roman" w:eastAsia="Times New Roman" w:hAnsi="Times New Roman"/>
          <w:sz w:val="17"/>
          <w:szCs w:val="17"/>
          <w:color w:val="auto"/>
        </w:rPr>
        <w:t>9.7</w:t>
      </w:r>
      <w:r>
        <w:rPr>
          <w:sz w:val="20"/>
          <w:szCs w:val="20"/>
          <w:color w:val="auto"/>
        </w:rPr>
        <w:tab/>
      </w:r>
      <w:r>
        <w:rPr>
          <w:rFonts w:ascii="Times New Roman" w:cs="Times New Roman" w:eastAsia="Times New Roman" w:hAnsi="Times New Roman"/>
          <w:sz w:val="17"/>
          <w:szCs w:val="17"/>
          <w:color w:val="auto"/>
        </w:rPr>
        <w:t>The Company may at any time purchase Notes in the open market or otherwise at any price. Any purchase by tender offer shall be made available to all Noteholders alike. The Notes so purchased, while held by or on behalf of the Company, shall not entitle the Noteholder to vote at any meetings of the Noteholders and shall not be deemed to be outstanding for the purposes of calculating quorums at meetings of the Noteholders or for the purposes of the provisions of Clause 14 below.</w:t>
      </w:r>
    </w:p>
    <w:p>
      <w:pPr>
        <w:spacing w:after="0" w:line="154" w:lineRule="exact"/>
        <w:rPr>
          <w:sz w:val="20"/>
          <w:szCs w:val="20"/>
          <w:color w:val="auto"/>
        </w:rPr>
      </w:pPr>
    </w:p>
    <w:p>
      <w:pPr>
        <w:jc w:val="both"/>
        <w:ind w:left="340" w:right="1419" w:hanging="565"/>
        <w:spacing w:after="0" w:line="283" w:lineRule="auto"/>
        <w:tabs>
          <w:tab w:leader="none" w:pos="320" w:val="left"/>
        </w:tabs>
        <w:rPr>
          <w:sz w:val="20"/>
          <w:szCs w:val="20"/>
          <w:color w:val="auto"/>
        </w:rPr>
      </w:pPr>
      <w:r>
        <w:rPr>
          <w:rFonts w:ascii="Times New Roman" w:cs="Times New Roman" w:eastAsia="Times New Roman" w:hAnsi="Times New Roman"/>
          <w:sz w:val="17"/>
          <w:szCs w:val="17"/>
          <w:color w:val="auto"/>
        </w:rPr>
        <w:t>9.8</w:t>
      </w:r>
      <w:r>
        <w:rPr>
          <w:sz w:val="20"/>
          <w:szCs w:val="20"/>
          <w:color w:val="auto"/>
        </w:rPr>
        <w:tab/>
      </w:r>
      <w:r>
        <w:rPr>
          <w:rFonts w:ascii="Times New Roman" w:cs="Times New Roman" w:eastAsia="Times New Roman" w:hAnsi="Times New Roman"/>
          <w:sz w:val="17"/>
          <w:szCs w:val="17"/>
          <w:color w:val="auto"/>
        </w:rPr>
        <w:t>All Notes redeemed or purchased by the Company (other than any Notes purchased in the ordinary course of business of dealing in securities) will be canceled and may not be re-issued or resold.</w:t>
      </w:r>
    </w:p>
    <w:p>
      <w:pPr>
        <w:sectPr>
          <w:pgSz w:w="11900" w:h="16838" w:orient="portrait"/>
          <w:cols w:equalWidth="0" w:num="1">
            <w:col w:w="9019"/>
          </w:cols>
          <w:pgMar w:left="1440" w:top="120" w:right="1440" w:bottom="0" w:gutter="0" w:footer="0" w:header="0"/>
        </w:sectPr>
      </w:pPr>
    </w:p>
    <w:bookmarkStart w:id="34" w:name="page35"/>
    <w:bookmarkEnd w:id="34"/>
    <w:p>
      <w:pPr>
        <w:ind w:left="573" w:hanging="573"/>
        <w:spacing w:after="0"/>
        <w:tabs>
          <w:tab w:leader="none" w:pos="573"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EVENTS OF DEFAULT</w:t>
      </w:r>
    </w:p>
    <w:p>
      <w:pPr>
        <w:spacing w:after="0" w:line="197" w:lineRule="exact"/>
        <w:rPr>
          <w:sz w:val="20"/>
          <w:szCs w:val="20"/>
          <w:color w:val="auto"/>
        </w:rPr>
      </w:pPr>
    </w:p>
    <w:p>
      <w:pPr>
        <w:ind w:left="573" w:right="1419" w:hanging="565"/>
        <w:spacing w:after="0" w:line="283" w:lineRule="auto"/>
        <w:tabs>
          <w:tab w:leader="none" w:pos="553" w:val="left"/>
        </w:tabs>
        <w:rPr>
          <w:sz w:val="20"/>
          <w:szCs w:val="20"/>
          <w:color w:val="auto"/>
        </w:rPr>
      </w:pPr>
      <w:r>
        <w:rPr>
          <w:rFonts w:ascii="Times New Roman" w:cs="Times New Roman" w:eastAsia="Times New Roman" w:hAnsi="Times New Roman"/>
          <w:sz w:val="17"/>
          <w:szCs w:val="17"/>
          <w:color w:val="auto"/>
        </w:rPr>
        <w:t>10.1</w:t>
      </w:r>
      <w:r>
        <w:rPr>
          <w:sz w:val="20"/>
          <w:szCs w:val="20"/>
          <w:color w:val="auto"/>
        </w:rPr>
        <w:tab/>
      </w:r>
      <w:r>
        <w:rPr>
          <w:rFonts w:ascii="Times New Roman" w:cs="Times New Roman" w:eastAsia="Times New Roman" w:hAnsi="Times New Roman"/>
          <w:sz w:val="17"/>
          <w:szCs w:val="17"/>
          <w:color w:val="auto"/>
        </w:rPr>
        <w:t xml:space="preserve">The occurrence of any of the following events shall constitute an event of default (herein referred to as an </w:t>
      </w:r>
      <w:r>
        <w:rPr>
          <w:rFonts w:ascii="Times New Roman" w:cs="Times New Roman" w:eastAsia="Times New Roman" w:hAnsi="Times New Roman"/>
          <w:sz w:val="17"/>
          <w:szCs w:val="17"/>
          <w:b w:val="1"/>
          <w:bCs w:val="1"/>
          <w:color w:val="auto"/>
        </w:rPr>
        <w:t>Event of Default</w:t>
      </w:r>
      <w:r>
        <w:rPr>
          <w:rFonts w:ascii="Times New Roman" w:cs="Times New Roman" w:eastAsia="Times New Roman" w:hAnsi="Times New Roman"/>
          <w:sz w:val="17"/>
          <w:szCs w:val="17"/>
          <w:color w:val="auto"/>
        </w:rPr>
        <w:t>) hereunder with respect to the Notes:</w:t>
      </w:r>
    </w:p>
    <w:p>
      <w:pPr>
        <w:spacing w:after="0" w:line="129" w:lineRule="exact"/>
        <w:rPr>
          <w:sz w:val="20"/>
          <w:szCs w:val="20"/>
          <w:color w:val="auto"/>
        </w:rPr>
      </w:pPr>
    </w:p>
    <w:p>
      <w:pPr>
        <w:ind w:left="1133" w:right="1419" w:hanging="567"/>
        <w:spacing w:after="0" w:line="283" w:lineRule="auto"/>
        <w:tabs>
          <w:tab w:leader="none" w:pos="1133"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the due and punctual payment of the principal of any Note as and when the same shall become due and payable; or</w:t>
      </w:r>
    </w:p>
    <w:p>
      <w:pPr>
        <w:spacing w:after="0" w:line="129" w:lineRule="exact"/>
        <w:rPr>
          <w:rFonts w:ascii="Times New Roman" w:cs="Times New Roman" w:eastAsia="Times New Roman" w:hAnsi="Times New Roman"/>
          <w:sz w:val="17"/>
          <w:szCs w:val="17"/>
          <w:color w:val="auto"/>
        </w:rPr>
      </w:pPr>
    </w:p>
    <w:p>
      <w:pPr>
        <w:ind w:left="1133" w:right="1419" w:hanging="567"/>
        <w:spacing w:after="0" w:line="283" w:lineRule="auto"/>
        <w:tabs>
          <w:tab w:leader="none" w:pos="1133"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the payment of any interest or any Additional Amounts as and when the same shall become due and payable, which continues for a period of 30 days; or</w:t>
      </w:r>
    </w:p>
    <w:p>
      <w:pPr>
        <w:spacing w:after="0" w:line="129" w:lineRule="exact"/>
        <w:rPr>
          <w:rFonts w:ascii="Times New Roman" w:cs="Times New Roman" w:eastAsia="Times New Roman" w:hAnsi="Times New Roman"/>
          <w:sz w:val="17"/>
          <w:szCs w:val="17"/>
          <w:color w:val="auto"/>
        </w:rPr>
      </w:pPr>
    </w:p>
    <w:p>
      <w:pPr>
        <w:jc w:val="both"/>
        <w:ind w:left="1133" w:right="1399" w:hanging="567"/>
        <w:spacing w:after="0" w:line="252" w:lineRule="auto"/>
        <w:tabs>
          <w:tab w:leader="none" w:pos="1133"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on the part of the Company in the performance or observation of any other term, covenant or agreement on its part in the Notes or in the Fiscal and Paying Agency Agreement, which continues for a period of 30 days after the date on which written notice, by registered or certified mail, of such failure requiring the Company to remedy the same shall have been received by the Company from the Noteholders of at least 25% in aggregate principal amount of the Notes then outstanding, specifying such failure and requiring the same to be remedied and stating that such is a "notice of default" hereunder; or</w:t>
      </w:r>
    </w:p>
    <w:p>
      <w:pPr>
        <w:spacing w:after="0" w:line="156" w:lineRule="exact"/>
        <w:rPr>
          <w:rFonts w:ascii="Times New Roman" w:cs="Times New Roman" w:eastAsia="Times New Roman" w:hAnsi="Times New Roman"/>
          <w:sz w:val="17"/>
          <w:szCs w:val="17"/>
          <w:color w:val="auto"/>
        </w:rPr>
      </w:pPr>
    </w:p>
    <w:p>
      <w:pPr>
        <w:jc w:val="both"/>
        <w:ind w:left="1133" w:right="1419" w:hanging="567"/>
        <w:spacing w:after="0" w:line="258" w:lineRule="auto"/>
        <w:tabs>
          <w:tab w:leader="none" w:pos="1133"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fails to fulfill within 30 days from its due date, as extended by any applicable grace or cure period, any payment obligation under any existing Debt (as defined in Clause 11 below) except if the aggregate amount of all such Debt would not exceed 10% of Consolidated Net Assets (as defined in Clause 11 below) of the Company; or</w:t>
      </w:r>
    </w:p>
    <w:p>
      <w:pPr>
        <w:spacing w:after="0" w:line="150" w:lineRule="exact"/>
        <w:rPr>
          <w:rFonts w:ascii="Times New Roman" w:cs="Times New Roman" w:eastAsia="Times New Roman" w:hAnsi="Times New Roman"/>
          <w:sz w:val="17"/>
          <w:szCs w:val="17"/>
          <w:color w:val="auto"/>
        </w:rPr>
      </w:pPr>
    </w:p>
    <w:p>
      <w:pPr>
        <w:jc w:val="both"/>
        <w:ind w:left="1133" w:right="1399" w:hanging="567"/>
        <w:spacing w:after="0" w:line="253" w:lineRule="auto"/>
        <w:tabs>
          <w:tab w:leader="none" w:pos="1133"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decree or order of a court or agency or supervisory authority having jurisdiction in the premises for the appointment of a conservator or receiver or liquidator in any insolvency proceedings, readjustment of debt, marshaling of assets and liabilities or similar proceedings of the Company or of all or substantially all of its property, or for the winding-up or liquidation of its affairs, shall have been entered, and such decree or order shall have remained in force undischarged or unstayed for a period of 60 days; or</w:t>
      </w:r>
    </w:p>
    <w:p>
      <w:pPr>
        <w:spacing w:after="0" w:line="156" w:lineRule="exact"/>
        <w:rPr>
          <w:rFonts w:ascii="Times New Roman" w:cs="Times New Roman" w:eastAsia="Times New Roman" w:hAnsi="Times New Roman"/>
          <w:sz w:val="17"/>
          <w:szCs w:val="17"/>
          <w:color w:val="auto"/>
        </w:rPr>
      </w:pPr>
    </w:p>
    <w:p>
      <w:pPr>
        <w:jc w:val="both"/>
        <w:ind w:left="1133" w:right="1399" w:hanging="567"/>
        <w:spacing w:after="0" w:line="265" w:lineRule="auto"/>
        <w:tabs>
          <w:tab w:leader="none" w:pos="1133"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consented to the appointment of a conservator or receiver or liquidator, in any insolvency, readjustment of debt, marshaling of assets and liabilities or similar proceedings of the Company or of all or substantially all of its property; or</w:t>
      </w:r>
    </w:p>
    <w:p>
      <w:pPr>
        <w:spacing w:after="0" w:line="143" w:lineRule="exact"/>
        <w:rPr>
          <w:rFonts w:ascii="Times New Roman" w:cs="Times New Roman" w:eastAsia="Times New Roman" w:hAnsi="Times New Roman"/>
          <w:sz w:val="17"/>
          <w:szCs w:val="17"/>
          <w:color w:val="auto"/>
        </w:rPr>
      </w:pPr>
    </w:p>
    <w:p>
      <w:pPr>
        <w:ind w:left="1133" w:right="1419" w:hanging="567"/>
        <w:spacing w:after="0" w:line="283" w:lineRule="auto"/>
        <w:tabs>
          <w:tab w:leader="none" w:pos="1133"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filed a petition to take advantage of any applicable insolvency or reorganization statute or voluntarily generally suspended payment of its obligations; or</w:t>
      </w:r>
    </w:p>
    <w:p>
      <w:pPr>
        <w:spacing w:after="0" w:line="129" w:lineRule="exact"/>
        <w:rPr>
          <w:rFonts w:ascii="Times New Roman" w:cs="Times New Roman" w:eastAsia="Times New Roman" w:hAnsi="Times New Roman"/>
          <w:sz w:val="17"/>
          <w:szCs w:val="17"/>
          <w:color w:val="auto"/>
        </w:rPr>
      </w:pPr>
    </w:p>
    <w:p>
      <w:pPr>
        <w:ind w:left="1133" w:right="1419" w:hanging="567"/>
        <w:spacing w:after="0" w:line="283" w:lineRule="auto"/>
        <w:tabs>
          <w:tab w:leader="none" w:pos="1133"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provide a notice to Noteholders in the event of a Change in Control Triggering Event or failure to make the Change of Control Payment.</w:t>
      </w:r>
    </w:p>
    <w:p>
      <w:pPr>
        <w:spacing w:after="0" w:line="177" w:lineRule="exact"/>
        <w:rPr>
          <w:sz w:val="20"/>
          <w:szCs w:val="20"/>
          <w:color w:val="auto"/>
        </w:rPr>
      </w:pPr>
    </w:p>
    <w:p>
      <w:pPr>
        <w:ind w:left="3873"/>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497649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573" w:right="1399" w:hanging="565"/>
        <w:spacing w:after="0" w:line="248" w:lineRule="auto"/>
        <w:tabs>
          <w:tab w:leader="none" w:pos="553" w:val="left"/>
        </w:tabs>
        <w:rPr>
          <w:sz w:val="20"/>
          <w:szCs w:val="20"/>
          <w:color w:val="auto"/>
        </w:rPr>
      </w:pPr>
      <w:r>
        <w:rPr>
          <w:rFonts w:ascii="Times New Roman" w:cs="Times New Roman" w:eastAsia="Times New Roman" w:hAnsi="Times New Roman"/>
          <w:sz w:val="17"/>
          <w:szCs w:val="17"/>
          <w:color w:val="auto"/>
        </w:rPr>
        <w:t>10.2</w:t>
      </w:r>
      <w:r>
        <w:rPr>
          <w:sz w:val="20"/>
          <w:szCs w:val="20"/>
          <w:color w:val="auto"/>
        </w:rPr>
        <w:tab/>
      </w:r>
      <w:r>
        <w:rPr>
          <w:rFonts w:ascii="Times New Roman" w:cs="Times New Roman" w:eastAsia="Times New Roman" w:hAnsi="Times New Roman"/>
          <w:sz w:val="17"/>
          <w:szCs w:val="17"/>
          <w:color w:val="auto"/>
        </w:rPr>
        <w:t>In case one or more of the Events of Default specified above shall have occurred and be continuing with respect to the Notes, any Noteholder, by written notice to the Company and the Fiscal Agent, may identify the applicable Event or Events of Default, declare the principal of its Note or Notes, together with accrued interest and additional amounts, if any, to be due and payable immediately, whereupon such amounts shall become due and payable immediately, unless prior to the receipt of such notice by the Company all such Events of Default have been cured. In case a Noteholder shall have proceeded to enforce any right as set forth herein and such proceedings shall have been discontinued or abandoned for any reason or shall have been determined adversely to such Noteholder, then and in every such case the Company and such Noteholder shall be restored to their respective several positions and rights hereunder, and all rights, remedies and powers of the Company and such Noteholder shall continue as though no such proceeding had been taken. Upon any such declaration being made, interest shall continue to accrue on the Note or Notes affected by such declaration until the Notes shall be paid in full or until the seventh day after the date upon which notice is duly given to the applicable Noteholders in accordance with the provisions of Clause 17 below that the principal amount of such Notes together with accrued interest and additional amounts thereon have been duly paid in full to the Fiscal Agent (provided that sufficient funds have actually been received and are available for such purpose), whichever is earlier.</w:t>
      </w:r>
    </w:p>
    <w:p>
      <w:pPr>
        <w:sectPr>
          <w:pgSz w:w="11900" w:h="16838" w:orient="portrait"/>
          <w:cols w:equalWidth="0" w:num="1">
            <w:col w:w="9253"/>
          </w:cols>
          <w:pgMar w:left="1207" w:top="115" w:right="1440" w:bottom="23" w:gutter="0" w:footer="0" w:header="0"/>
        </w:sectPr>
      </w:pPr>
    </w:p>
    <w:bookmarkStart w:id="35" w:name="page36"/>
    <w:bookmarkEnd w:id="35"/>
    <w:p>
      <w:pPr>
        <w:jc w:val="both"/>
        <w:ind w:left="573" w:right="1399" w:hanging="565"/>
        <w:spacing w:after="0" w:line="255" w:lineRule="auto"/>
        <w:tabs>
          <w:tab w:leader="none" w:pos="553" w:val="left"/>
        </w:tabs>
        <w:rPr>
          <w:sz w:val="20"/>
          <w:szCs w:val="20"/>
          <w:color w:val="auto"/>
        </w:rPr>
      </w:pPr>
      <w:r>
        <w:rPr>
          <w:rFonts w:ascii="Times New Roman" w:cs="Times New Roman" w:eastAsia="Times New Roman" w:hAnsi="Times New Roman"/>
          <w:sz w:val="17"/>
          <w:szCs w:val="17"/>
          <w:color w:val="auto"/>
        </w:rPr>
        <w:t>10.3</w:t>
      </w:r>
      <w:r>
        <w:rPr>
          <w:sz w:val="20"/>
          <w:szCs w:val="20"/>
          <w:color w:val="auto"/>
        </w:rPr>
        <w:tab/>
      </w:r>
      <w:r>
        <w:rPr>
          <w:rFonts w:ascii="Times New Roman" w:cs="Times New Roman" w:eastAsia="Times New Roman" w:hAnsi="Times New Roman"/>
          <w:sz w:val="17"/>
          <w:szCs w:val="17"/>
          <w:color w:val="auto"/>
        </w:rPr>
        <w:t>The Noteholder of this Note shall be entitled to file such proof of claim, amendment of proof of claim, claim, petition or other document as may be necessary or advisable in order to have the claims of such Noteholder allowed in any insolvency proceedings, receivership, conservatorship, reorganization, readjustment of debt, marshaling of assets and liabilities, liquidation, winding-up or other similar proceedings of the Company as a whole or affecting its property.</w:t>
      </w:r>
    </w:p>
    <w:p>
      <w:pPr>
        <w:spacing w:after="0" w:line="151" w:lineRule="exact"/>
        <w:rPr>
          <w:sz w:val="20"/>
          <w:szCs w:val="20"/>
          <w:color w:val="auto"/>
        </w:rPr>
      </w:pPr>
    </w:p>
    <w:p>
      <w:pPr>
        <w:ind w:left="573" w:hanging="573"/>
        <w:spacing w:after="0"/>
        <w:tabs>
          <w:tab w:leader="none" w:pos="573"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COVENANTS OF THE COMPANY</w:t>
      </w:r>
    </w:p>
    <w:p>
      <w:pPr>
        <w:spacing w:after="0" w:line="196" w:lineRule="exact"/>
        <w:rPr>
          <w:sz w:val="20"/>
          <w:szCs w:val="20"/>
          <w:color w:val="auto"/>
        </w:rPr>
      </w:pPr>
    </w:p>
    <w:p>
      <w:pPr>
        <w:jc w:val="both"/>
        <w:ind w:left="573" w:right="1399" w:hanging="565"/>
        <w:spacing w:after="0" w:line="248" w:lineRule="auto"/>
        <w:tabs>
          <w:tab w:leader="none" w:pos="553" w:val="left"/>
        </w:tabs>
        <w:rPr>
          <w:sz w:val="20"/>
          <w:szCs w:val="20"/>
          <w:color w:val="auto"/>
        </w:rPr>
      </w:pPr>
      <w:r>
        <w:rPr>
          <w:rFonts w:ascii="Times New Roman" w:cs="Times New Roman" w:eastAsia="Times New Roman" w:hAnsi="Times New Roman"/>
          <w:sz w:val="17"/>
          <w:szCs w:val="17"/>
          <w:color w:val="auto"/>
        </w:rPr>
        <w:t>11.1</w:t>
      </w:r>
      <w:r>
        <w:rPr>
          <w:sz w:val="20"/>
          <w:szCs w:val="20"/>
          <w:color w:val="auto"/>
        </w:rPr>
        <w:tab/>
      </w:r>
      <w:r>
        <w:rPr>
          <w:rFonts w:ascii="Times New Roman" w:cs="Times New Roman" w:eastAsia="Times New Roman" w:hAnsi="Times New Roman"/>
          <w:sz w:val="17"/>
          <w:szCs w:val="17"/>
          <w:color w:val="auto"/>
        </w:rPr>
        <w:t>Except as permitted under the Amended and Restated Five-Year Credit Agreement dated as of May 27, 2022, among the Company, as Borrower, and the initial lenders therein and JPMorgan Chase Bank, N.A., as Administrative Agent, as may be further amended, restated, modified, renewed, refunded, replaced or refinanced in whole or in part, on an unsecured basis, from time to time, the Company will not pledge, mortgage, encumber or otherwise grant, or permit any of its Subsidiaries to pledge, mortgage, encumber or otherwise grant, a security interest in any properties or assets owned by the Company or any of its Subsidiaries to secure Debt without securing the Notes equally and ratably with all Debt secured by such security interest, unless, after giving effect thereto, the aggregate amount of all such other Debt would not exceed 10% of Consolidated Net Assets of the Company (</w:t>
      </w:r>
      <w:r>
        <w:rPr>
          <w:rFonts w:ascii="Times New Roman" w:cs="Times New Roman" w:eastAsia="Times New Roman" w:hAnsi="Times New Roman"/>
          <w:sz w:val="17"/>
          <w:szCs w:val="17"/>
          <w:b w:val="1"/>
          <w:bCs w:val="1"/>
          <w:color w:val="auto"/>
        </w:rPr>
        <w:t>Excluded Debt</w:t>
      </w:r>
      <w:r>
        <w:rPr>
          <w:rFonts w:ascii="Times New Roman" w:cs="Times New Roman" w:eastAsia="Times New Roman" w:hAnsi="Times New Roman"/>
          <w:sz w:val="17"/>
          <w:szCs w:val="17"/>
          <w:color w:val="auto"/>
        </w:rPr>
        <w:t xml:space="preserve">). The term </w:t>
      </w:r>
      <w:r>
        <w:rPr>
          <w:rFonts w:ascii="Times New Roman" w:cs="Times New Roman" w:eastAsia="Times New Roman" w:hAnsi="Times New Roman"/>
          <w:sz w:val="17"/>
          <w:szCs w:val="17"/>
          <w:b w:val="1"/>
          <w:bCs w:val="1"/>
          <w:color w:val="auto"/>
        </w:rPr>
        <w:t>Debt</w:t>
      </w:r>
      <w:r>
        <w:rPr>
          <w:rFonts w:ascii="Times New Roman" w:cs="Times New Roman" w:eastAsia="Times New Roman" w:hAnsi="Times New Roman"/>
          <w:sz w:val="17"/>
          <w:szCs w:val="17"/>
          <w:color w:val="auto"/>
        </w:rPr>
        <w:t xml:space="preserve"> means indebtedness for money borrowed or evidenced by bonds, notes, debentures or other debt securities and which is reflected as a liability on the consolidated balance sheet, at the date of issuance, of the Company and its Subsidiaries in accordance with generally accepted accounting principles as in effect in the United States on the date hereof. The term </w:t>
      </w:r>
      <w:r>
        <w:rPr>
          <w:rFonts w:ascii="Times New Roman" w:cs="Times New Roman" w:eastAsia="Times New Roman" w:hAnsi="Times New Roman"/>
          <w:sz w:val="17"/>
          <w:szCs w:val="17"/>
          <w:b w:val="1"/>
          <w:bCs w:val="1"/>
          <w:color w:val="auto"/>
        </w:rPr>
        <w:t>Consolidated Net Assets</w:t>
      </w:r>
      <w:r>
        <w:rPr>
          <w:rFonts w:ascii="Times New Roman" w:cs="Times New Roman" w:eastAsia="Times New Roman" w:hAnsi="Times New Roman"/>
          <w:sz w:val="17"/>
          <w:szCs w:val="17"/>
          <w:color w:val="auto"/>
        </w:rPr>
        <w:t xml:space="preserve"> means the total assets appearing on the most recently prepared consolidated balance sheet of the Company and its Subsidiaries as at the end of the fiscal quarter of the Company, prepared in accordance with generally accepted accounting principles in the United States, less all current liabilities (due within one year) as shown on such balance sheet.</w:t>
      </w:r>
    </w:p>
    <w:p>
      <w:pPr>
        <w:spacing w:after="0" w:line="368" w:lineRule="exact"/>
        <w:rPr>
          <w:sz w:val="20"/>
          <w:szCs w:val="20"/>
          <w:color w:val="auto"/>
        </w:rPr>
      </w:pPr>
    </w:p>
    <w:p>
      <w:pPr>
        <w:jc w:val="both"/>
        <w:ind w:left="573" w:right="1399" w:hanging="565"/>
        <w:spacing w:after="0" w:line="250" w:lineRule="auto"/>
        <w:tabs>
          <w:tab w:leader="none" w:pos="553" w:val="left"/>
        </w:tabs>
        <w:rPr>
          <w:sz w:val="20"/>
          <w:szCs w:val="20"/>
          <w:color w:val="auto"/>
        </w:rPr>
      </w:pPr>
      <w:r>
        <w:rPr>
          <w:rFonts w:ascii="Times New Roman" w:cs="Times New Roman" w:eastAsia="Times New Roman" w:hAnsi="Times New Roman"/>
          <w:sz w:val="17"/>
          <w:szCs w:val="17"/>
          <w:color w:val="auto"/>
        </w:rPr>
        <w:t>11.2</w:t>
      </w:r>
      <w:r>
        <w:rPr>
          <w:sz w:val="20"/>
          <w:szCs w:val="20"/>
          <w:color w:val="auto"/>
        </w:rPr>
        <w:tab/>
      </w:r>
      <w:r>
        <w:rPr>
          <w:rFonts w:ascii="Times New Roman" w:cs="Times New Roman" w:eastAsia="Times New Roman" w:hAnsi="Times New Roman"/>
          <w:sz w:val="17"/>
          <w:szCs w:val="17"/>
          <w:color w:val="auto"/>
        </w:rPr>
        <w:t xml:space="preserve">Sale and leaseback transactions by the Company or any Subsidiary of any Principal Property (as defined below) (except for temporary leases for a term of not more than three years and except for leases between the Company and a Subsidiary or between Subsidiaries) are prohibited unless (a) the Company or such Subsidiary would be entitled to issue, assume or guarantee Debt secured by the property involved at least equal in amount to the Attributable Debt (as defined below) in respect of such transaction without equally and ratably securing the Notes (provided that such Attributable Debt shall thereupon be deemed to be Debt subject to the provisions of the preceding paragraph) or (b) an amount in cash equal to such Attributable Debt is applied to the retirement (other than any mandatory retirement) of long-term non-subordinated Debt of the Company or long-term Debt of a Subsidiary. </w:t>
      </w:r>
      <w:r>
        <w:rPr>
          <w:rFonts w:ascii="Times New Roman" w:cs="Times New Roman" w:eastAsia="Times New Roman" w:hAnsi="Times New Roman"/>
          <w:sz w:val="17"/>
          <w:szCs w:val="17"/>
          <w:b w:val="1"/>
          <w:bCs w:val="1"/>
          <w:color w:val="auto"/>
        </w:rPr>
        <w:t xml:space="preserve">Attributable Debt </w:t>
      </w:r>
      <w:r>
        <w:rPr>
          <w:rFonts w:ascii="Times New Roman" w:cs="Times New Roman" w:eastAsia="Times New Roman" w:hAnsi="Times New Roman"/>
          <w:sz w:val="17"/>
          <w:szCs w:val="17"/>
          <w:color w:val="auto"/>
        </w:rPr>
        <w:t>means the present value</w:t>
      </w:r>
    </w:p>
    <w:p>
      <w:pPr>
        <w:spacing w:after="0" w:line="200" w:lineRule="exact"/>
        <w:rPr>
          <w:sz w:val="20"/>
          <w:szCs w:val="20"/>
          <w:color w:val="auto"/>
        </w:rPr>
      </w:pPr>
    </w:p>
    <w:p>
      <w:pPr>
        <w:spacing w:after="0" w:line="211" w:lineRule="exact"/>
        <w:rPr>
          <w:sz w:val="20"/>
          <w:szCs w:val="20"/>
          <w:color w:val="auto"/>
        </w:rPr>
      </w:pPr>
    </w:p>
    <w:p>
      <w:pPr>
        <w:ind w:left="3873"/>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497649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53"/>
          </w:cols>
          <w:pgMar w:left="1207" w:top="120" w:right="1440" w:bottom="1440" w:gutter="0" w:footer="0" w:header="0"/>
        </w:sectPr>
      </w:pPr>
    </w:p>
    <w:bookmarkStart w:id="36" w:name="page37"/>
    <w:bookmarkEnd w:id="36"/>
    <w:p>
      <w:pPr>
        <w:spacing w:after="0" w:line="4" w:lineRule="exact"/>
        <w:rPr>
          <w:sz w:val="20"/>
          <w:szCs w:val="20"/>
          <w:color w:val="auto"/>
        </w:rPr>
      </w:pPr>
    </w:p>
    <w:p>
      <w:pPr>
        <w:ind w:left="573" w:right="1419"/>
        <w:spacing w:after="0" w:line="282" w:lineRule="auto"/>
        <w:rPr>
          <w:sz w:val="20"/>
          <w:szCs w:val="20"/>
          <w:color w:val="auto"/>
        </w:rPr>
      </w:pPr>
      <w:r>
        <w:rPr>
          <w:rFonts w:ascii="Times New Roman" w:cs="Times New Roman" w:eastAsia="Times New Roman" w:hAnsi="Times New Roman"/>
          <w:sz w:val="17"/>
          <w:szCs w:val="17"/>
          <w:color w:val="auto"/>
        </w:rPr>
        <w:t>(discounted at an appropriate rate) of the obligation of a lessee for rental payments during the remaining term of any lease.</w:t>
      </w:r>
    </w:p>
    <w:p>
      <w:pPr>
        <w:spacing w:after="0" w:line="128" w:lineRule="exact"/>
        <w:rPr>
          <w:sz w:val="20"/>
          <w:szCs w:val="20"/>
          <w:color w:val="auto"/>
        </w:rPr>
      </w:pPr>
    </w:p>
    <w:p>
      <w:pPr>
        <w:jc w:val="both"/>
        <w:ind w:left="573" w:right="1399" w:hanging="565"/>
        <w:spacing w:after="0" w:line="250" w:lineRule="auto"/>
        <w:tabs>
          <w:tab w:leader="none" w:pos="553" w:val="left"/>
        </w:tabs>
        <w:rPr>
          <w:sz w:val="20"/>
          <w:szCs w:val="20"/>
          <w:color w:val="auto"/>
        </w:rPr>
      </w:pPr>
      <w:r>
        <w:rPr>
          <w:rFonts w:ascii="Times New Roman" w:cs="Times New Roman" w:eastAsia="Times New Roman" w:hAnsi="Times New Roman"/>
          <w:sz w:val="17"/>
          <w:szCs w:val="17"/>
          <w:color w:val="auto"/>
        </w:rPr>
        <w:t>11.3</w:t>
      </w:r>
      <w:r>
        <w:rPr>
          <w:sz w:val="20"/>
          <w:szCs w:val="20"/>
          <w:color w:val="auto"/>
        </w:rPr>
        <w:tab/>
      </w:r>
      <w:r>
        <w:rPr>
          <w:rFonts w:ascii="Times New Roman" w:cs="Times New Roman" w:eastAsia="Times New Roman" w:hAnsi="Times New Roman"/>
          <w:sz w:val="17"/>
          <w:szCs w:val="17"/>
          <w:color w:val="auto"/>
        </w:rPr>
        <w:t xml:space="preserve">The term </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xml:space="preserve"> means any corporation, association, or other business entity which is consolidated in the Company's accounts and any corporation, association, or other business entity of which at least a majority of the outstanding stock or ownership units having voting power under ordinary circumstances to elect a majority of the board of directors, managers or trustees or equivalents thereof of said corporation, association, or other business entity shall at the time be owned by the Company or by the Company and one or more Subsidiaries or by one or more Subsidiaries. The term </w:t>
      </w:r>
      <w:r>
        <w:rPr>
          <w:rFonts w:ascii="Times New Roman" w:cs="Times New Roman" w:eastAsia="Times New Roman" w:hAnsi="Times New Roman"/>
          <w:sz w:val="17"/>
          <w:szCs w:val="17"/>
          <w:b w:val="1"/>
          <w:bCs w:val="1"/>
          <w:color w:val="auto"/>
        </w:rPr>
        <w:t>Principal Property</w:t>
      </w:r>
      <w:r>
        <w:rPr>
          <w:rFonts w:ascii="Times New Roman" w:cs="Times New Roman" w:eastAsia="Times New Roman" w:hAnsi="Times New Roman"/>
          <w:sz w:val="17"/>
          <w:szCs w:val="17"/>
          <w:color w:val="auto"/>
        </w:rPr>
        <w:t xml:space="preserve"> means any office or facility which is owned by the Company or any Subsidiary, unless the Board of Directors of the Company (or any duly authorized committee thereof) by resolution declares that such office or facility, together with all other office and facilities previously so declared, is not of material importance to the total business conducted by the Company and its Subsidiaries as an entirety.</w:t>
      </w:r>
    </w:p>
    <w:p>
      <w:pPr>
        <w:spacing w:after="0" w:line="159" w:lineRule="exact"/>
        <w:rPr>
          <w:sz w:val="20"/>
          <w:szCs w:val="20"/>
          <w:color w:val="auto"/>
        </w:rPr>
      </w:pPr>
    </w:p>
    <w:p>
      <w:pPr>
        <w:ind w:left="573" w:hanging="573"/>
        <w:spacing w:after="0"/>
        <w:tabs>
          <w:tab w:leader="none" w:pos="573"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CHANGE OF CONTROL</w:t>
      </w:r>
    </w:p>
    <w:p>
      <w:pPr>
        <w:spacing w:after="0" w:line="195" w:lineRule="exact"/>
        <w:rPr>
          <w:rFonts w:ascii="Times New Roman" w:cs="Times New Roman" w:eastAsia="Times New Roman" w:hAnsi="Times New Roman"/>
          <w:sz w:val="17"/>
          <w:szCs w:val="17"/>
          <w:b w:val="1"/>
          <w:bCs w:val="1"/>
          <w:color w:val="auto"/>
        </w:rPr>
      </w:pPr>
    </w:p>
    <w:p>
      <w:pPr>
        <w:jc w:val="both"/>
        <w:ind w:left="573" w:right="1399"/>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Upon the occurrence of a Change of Control Triggering Event, the Company will offer to repurchase all outstanding Notes at a purchase price in cash equal to 101% of the aggregate principal amount of the Notes repurchased plus accrued and unpaid interest on the Notes repurchased to the date of purchase (subject to the right of the Noteholders of record on the relevant record date to receive interest due on the relevant interest payment date) as provided in, and subject to the terms of, the Fiscal and Paying Agency Agreement.</w:t>
      </w:r>
    </w:p>
    <w:p>
      <w:pPr>
        <w:spacing w:after="0" w:line="154" w:lineRule="exact"/>
        <w:rPr>
          <w:rFonts w:ascii="Times New Roman" w:cs="Times New Roman" w:eastAsia="Times New Roman" w:hAnsi="Times New Roman"/>
          <w:sz w:val="17"/>
          <w:szCs w:val="17"/>
          <w:b w:val="1"/>
          <w:bCs w:val="1"/>
          <w:color w:val="auto"/>
        </w:rPr>
      </w:pPr>
    </w:p>
    <w:p>
      <w:pPr>
        <w:ind w:left="573" w:hanging="573"/>
        <w:spacing w:after="0"/>
        <w:tabs>
          <w:tab w:leader="none" w:pos="573"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REPLACEMENT, EXCHANGE AND TRANSFER OF NOTES</w:t>
      </w:r>
    </w:p>
    <w:p>
      <w:pPr>
        <w:spacing w:after="0" w:line="195" w:lineRule="exact"/>
        <w:rPr>
          <w:rFonts w:ascii="Times New Roman" w:cs="Times New Roman" w:eastAsia="Times New Roman" w:hAnsi="Times New Roman"/>
          <w:sz w:val="17"/>
          <w:szCs w:val="17"/>
          <w:b w:val="1"/>
          <w:bCs w:val="1"/>
          <w:color w:val="auto"/>
        </w:rPr>
      </w:pPr>
    </w:p>
    <w:p>
      <w:pPr>
        <w:jc w:val="both"/>
        <w:ind w:left="573" w:right="1399"/>
        <w:spacing w:after="0" w:line="24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any Note shall become mutilated, defaced or be apparently destroyed, lost or stolen, the Company in its discretion may execute, and, upon the written request of the Company, the Fiscal Agent shall authenticate and deliver, all at the expense of the Noteholder, a new Note bearing a number not contemporaneously outstanding, in exchange and substitution for the mutilated or defaced Note (and upon surrender thereof, or in lieu of and in substitution for the apparently destroyed, lost or stolen Note). In every case the applicant for a substitute Note shall furnish to the Company and to the Fiscal Agent such security or indemnity as may be required by them to indemnify and defend and to hold each of them and any agent of the Company or the Fiscal Agent harmless and, in every case of destruction, loss or theft evidence to their satisfaction of the apparent destruction, loss or theft of such Note and of the ownership thereof. Upon the issuance of any substitute Note, the Company may require the payment of a sum sufficient to cover any tax or other governmental or insurance charge that may be imposed in relation thereto and any other expenses (including the fees and expenses of the Fiscal Agent) connected therewith. Mutilated or defaced Notes must be surrendered before a replacement will be issued.</w:t>
      </w:r>
    </w:p>
    <w:p>
      <w:pPr>
        <w:spacing w:after="0" w:line="158" w:lineRule="exact"/>
        <w:rPr>
          <w:rFonts w:ascii="Times New Roman" w:cs="Times New Roman" w:eastAsia="Times New Roman" w:hAnsi="Times New Roman"/>
          <w:sz w:val="17"/>
          <w:szCs w:val="17"/>
          <w:b w:val="1"/>
          <w:bCs w:val="1"/>
          <w:color w:val="auto"/>
        </w:rPr>
      </w:pPr>
    </w:p>
    <w:p>
      <w:pPr>
        <w:ind w:left="573" w:hanging="573"/>
        <w:spacing w:after="0"/>
        <w:tabs>
          <w:tab w:leader="none" w:pos="573"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MODIFICATIONS AND AMENDMENTS; WAIVER</w:t>
      </w:r>
    </w:p>
    <w:p>
      <w:pPr>
        <w:spacing w:after="0" w:line="196" w:lineRule="exact"/>
        <w:rPr>
          <w:sz w:val="20"/>
          <w:szCs w:val="20"/>
          <w:color w:val="auto"/>
        </w:rPr>
      </w:pPr>
    </w:p>
    <w:p>
      <w:pPr>
        <w:jc w:val="both"/>
        <w:ind w:left="573" w:right="1419" w:hanging="565"/>
        <w:spacing w:after="0" w:line="253" w:lineRule="auto"/>
        <w:tabs>
          <w:tab w:leader="none" w:pos="553" w:val="left"/>
        </w:tabs>
        <w:rPr>
          <w:sz w:val="20"/>
          <w:szCs w:val="20"/>
          <w:color w:val="auto"/>
        </w:rPr>
      </w:pPr>
      <w:r>
        <w:rPr>
          <w:rFonts w:ascii="Times New Roman" w:cs="Times New Roman" w:eastAsia="Times New Roman" w:hAnsi="Times New Roman"/>
          <w:sz w:val="17"/>
          <w:szCs w:val="17"/>
          <w:color w:val="auto"/>
        </w:rPr>
        <w:t>14.1</w:t>
      </w:r>
      <w:r>
        <w:rPr>
          <w:sz w:val="20"/>
          <w:szCs w:val="20"/>
          <w:color w:val="auto"/>
        </w:rPr>
        <w:tab/>
      </w:r>
      <w:r>
        <w:rPr>
          <w:rFonts w:ascii="Times New Roman" w:cs="Times New Roman" w:eastAsia="Times New Roman" w:hAnsi="Times New Roman"/>
          <w:sz w:val="17"/>
          <w:szCs w:val="17"/>
          <w:color w:val="auto"/>
        </w:rPr>
        <w:t>The Fiscal and Paying Agency Agreement or the terms and conditions of the Notes may be amended by the Company and the Fiscal Agent, without the consent of the Noteholder of any Note, for the purposes of curing any ambiguity, or of curing, correcting or supplementing any defective provisions contained therein or herein or for any other purpose which the Company and the Fiscal Agent may deem necessary or desirable and which will not be inconsistent with the Notes and which will not adversely affect the interests of the Noteholders, in the sole opinion of the Company.</w:t>
      </w:r>
    </w:p>
    <w:p>
      <w:pPr>
        <w:spacing w:after="0" w:line="156" w:lineRule="exact"/>
        <w:rPr>
          <w:sz w:val="20"/>
          <w:szCs w:val="20"/>
          <w:color w:val="auto"/>
        </w:rPr>
      </w:pPr>
    </w:p>
    <w:p>
      <w:pPr>
        <w:jc w:val="both"/>
        <w:ind w:left="573" w:right="1419" w:hanging="565"/>
        <w:spacing w:after="0" w:line="265" w:lineRule="auto"/>
        <w:tabs>
          <w:tab w:leader="none" w:pos="553" w:val="left"/>
        </w:tabs>
        <w:rPr>
          <w:sz w:val="20"/>
          <w:szCs w:val="20"/>
          <w:color w:val="auto"/>
        </w:rPr>
      </w:pPr>
      <w:r>
        <w:rPr>
          <w:rFonts w:ascii="Times New Roman" w:cs="Times New Roman" w:eastAsia="Times New Roman" w:hAnsi="Times New Roman"/>
          <w:sz w:val="17"/>
          <w:szCs w:val="17"/>
          <w:color w:val="auto"/>
        </w:rPr>
        <w:t>14.2</w:t>
      </w:r>
      <w:r>
        <w:rPr>
          <w:sz w:val="20"/>
          <w:szCs w:val="20"/>
          <w:color w:val="auto"/>
        </w:rPr>
        <w:tab/>
      </w:r>
      <w:r>
        <w:rPr>
          <w:rFonts w:ascii="Times New Roman" w:cs="Times New Roman" w:eastAsia="Times New Roman" w:hAnsi="Times New Roman"/>
          <w:sz w:val="17"/>
          <w:szCs w:val="17"/>
          <w:color w:val="auto"/>
        </w:rPr>
        <w:t>The terms of Schedule 2 of the Fiscal and Paying Agency Agreement for meetings (including by way of conference call or by use of a videoconference platform) or actions of Noteholders, including the modification of any provisions of the Notes, are incorporated herein.</w:t>
      </w:r>
    </w:p>
    <w:p>
      <w:pPr>
        <w:spacing w:after="0" w:line="191" w:lineRule="exact"/>
        <w:rPr>
          <w:sz w:val="20"/>
          <w:szCs w:val="20"/>
          <w:color w:val="auto"/>
        </w:rPr>
      </w:pPr>
    </w:p>
    <w:p>
      <w:pPr>
        <w:ind w:left="3873"/>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497649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573" w:right="1419" w:hanging="565"/>
        <w:spacing w:after="0" w:line="258" w:lineRule="auto"/>
        <w:tabs>
          <w:tab w:leader="none" w:pos="553" w:val="left"/>
        </w:tabs>
        <w:rPr>
          <w:sz w:val="20"/>
          <w:szCs w:val="20"/>
          <w:color w:val="auto"/>
        </w:rPr>
      </w:pPr>
      <w:r>
        <w:rPr>
          <w:rFonts w:ascii="Times New Roman" w:cs="Times New Roman" w:eastAsia="Times New Roman" w:hAnsi="Times New Roman"/>
          <w:sz w:val="17"/>
          <w:szCs w:val="17"/>
          <w:color w:val="auto"/>
        </w:rPr>
        <w:t>14.3</w:t>
      </w:r>
      <w:r>
        <w:rPr>
          <w:sz w:val="20"/>
          <w:szCs w:val="20"/>
          <w:color w:val="auto"/>
        </w:rPr>
        <w:tab/>
      </w:r>
      <w:r>
        <w:rPr>
          <w:rFonts w:ascii="Times New Roman" w:cs="Times New Roman" w:eastAsia="Times New Roman" w:hAnsi="Times New Roman"/>
          <w:sz w:val="17"/>
          <w:szCs w:val="17"/>
          <w:color w:val="auto"/>
        </w:rPr>
        <w:t>No provision of this Note shall alter or impair the obligation of the Company, which is absolute and unconditional, to pay the principal of and interest on this Note at the places, at the respective times, at the rate and in the coin or currency herein prescribed, subject only to the provisions for the modifications set forth in Schedule 2 of the Fiscal and Paying Agency Agreement.</w:t>
      </w:r>
    </w:p>
    <w:p>
      <w:pPr>
        <w:spacing w:after="0" w:line="149" w:lineRule="exact"/>
        <w:rPr>
          <w:sz w:val="20"/>
          <w:szCs w:val="20"/>
          <w:color w:val="auto"/>
        </w:rPr>
      </w:pPr>
    </w:p>
    <w:p>
      <w:pPr>
        <w:ind w:left="573" w:hanging="573"/>
        <w:spacing w:after="0"/>
        <w:tabs>
          <w:tab w:leader="none" w:pos="573"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NON-BUSINESS DAY</w:t>
      </w:r>
    </w:p>
    <w:p>
      <w:pPr>
        <w:spacing w:after="0" w:line="195" w:lineRule="exact"/>
        <w:rPr>
          <w:rFonts w:ascii="Times New Roman" w:cs="Times New Roman" w:eastAsia="Times New Roman" w:hAnsi="Times New Roman"/>
          <w:sz w:val="17"/>
          <w:szCs w:val="17"/>
          <w:b w:val="1"/>
          <w:bCs w:val="1"/>
          <w:color w:val="auto"/>
        </w:rPr>
      </w:pPr>
    </w:p>
    <w:p>
      <w:pPr>
        <w:jc w:val="both"/>
        <w:ind w:left="573" w:right="1419"/>
        <w:spacing w:after="0" w:line="28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date for payment on any Note is not a business day, then the Noteholder thereof shall not be entitled to payment of the amount due until the next following business day nor to any further interest or</w:t>
      </w:r>
    </w:p>
    <w:p>
      <w:pPr>
        <w:sectPr>
          <w:pgSz w:w="11900" w:h="16843" w:orient="portrait"/>
          <w:cols w:equalWidth="0" w:num="1">
            <w:col w:w="9253"/>
          </w:cols>
          <w:pgMar w:left="1207" w:top="120" w:right="1440" w:bottom="0" w:gutter="0" w:footer="0" w:header="0"/>
        </w:sectPr>
      </w:pPr>
    </w:p>
    <w:bookmarkStart w:id="37" w:name="page38"/>
    <w:bookmarkEnd w:id="37"/>
    <w:p>
      <w:pPr>
        <w:jc w:val="both"/>
        <w:ind w:left="573" w:right="1419"/>
        <w:spacing w:after="0" w:line="256" w:lineRule="auto"/>
        <w:rPr>
          <w:sz w:val="20"/>
          <w:szCs w:val="20"/>
          <w:color w:val="auto"/>
        </w:rPr>
      </w:pPr>
      <w:r>
        <w:rPr>
          <w:rFonts w:ascii="Times New Roman" w:cs="Times New Roman" w:eastAsia="Times New Roman" w:hAnsi="Times New Roman"/>
          <w:sz w:val="17"/>
          <w:szCs w:val="17"/>
          <w:color w:val="auto"/>
        </w:rPr>
        <w:t xml:space="preserve">other payment in respect of such delay. For these purposes, </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xml:space="preserve"> means, in respect of any place of presentation, any day on which banks are open for presentation and payment of bearer debt securities and for dealings in foreign currencies in such place of presentation and, in the case of payment by transfer to a euro account, on which the Trans-European Automated Real-Time Gross Settlement Express Transfer (TARGET2) System, or any successor system thereof, is operating.</w:t>
      </w:r>
    </w:p>
    <w:p>
      <w:pPr>
        <w:spacing w:after="0" w:line="151" w:lineRule="exact"/>
        <w:rPr>
          <w:sz w:val="20"/>
          <w:szCs w:val="20"/>
          <w:color w:val="auto"/>
        </w:rPr>
      </w:pPr>
    </w:p>
    <w:p>
      <w:pPr>
        <w:ind w:left="573" w:hanging="573"/>
        <w:spacing w:after="0"/>
        <w:tabs>
          <w:tab w:leader="none" w:pos="573"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FISCAL AGENT</w:t>
      </w:r>
    </w:p>
    <w:p>
      <w:pPr>
        <w:spacing w:after="0" w:line="195" w:lineRule="exact"/>
        <w:rPr>
          <w:rFonts w:ascii="Times New Roman" w:cs="Times New Roman" w:eastAsia="Times New Roman" w:hAnsi="Times New Roman"/>
          <w:sz w:val="17"/>
          <w:szCs w:val="17"/>
          <w:b w:val="1"/>
          <w:bCs w:val="1"/>
          <w:color w:val="auto"/>
        </w:rPr>
      </w:pPr>
    </w:p>
    <w:p>
      <w:pPr>
        <w:jc w:val="both"/>
        <w:ind w:left="573" w:right="1399"/>
        <w:spacing w:after="0" w:line="25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acting under the Fiscal and Paying Agency Agreement and in connection with the Notes, the Fiscal Agent is acting solely as agent of the Company and does not assume any obligation towards or relationship of agency or trust for or with the Noteholders, except that any funds held by the Fiscal Agent for payment of principal of or interest on, or Additional Amounts with respect to, any Note shall be held by it and applied as set forth herein, but need not be segregated from other funds held by it, except as required by law. For a description of the duties and the immunities and rights of the Fiscal Agent under the Fiscal and Paying Agency Agreement, reference is made to the Fiscal and Paying Agency Agreement, and the obligations of the Fiscal Agent to the Noteholders of the Notes are subject to such immunities and rights.</w:t>
      </w:r>
    </w:p>
    <w:p>
      <w:pPr>
        <w:spacing w:after="0" w:line="152" w:lineRule="exact"/>
        <w:rPr>
          <w:rFonts w:ascii="Times New Roman" w:cs="Times New Roman" w:eastAsia="Times New Roman" w:hAnsi="Times New Roman"/>
          <w:sz w:val="17"/>
          <w:szCs w:val="17"/>
          <w:b w:val="1"/>
          <w:bCs w:val="1"/>
          <w:color w:val="auto"/>
        </w:rPr>
      </w:pPr>
    </w:p>
    <w:p>
      <w:pPr>
        <w:ind w:left="573" w:hanging="573"/>
        <w:spacing w:after="0"/>
        <w:tabs>
          <w:tab w:leader="none" w:pos="573"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NOTICES</w:t>
      </w:r>
    </w:p>
    <w:p>
      <w:pPr>
        <w:spacing w:after="0" w:line="196" w:lineRule="exact"/>
        <w:rPr>
          <w:sz w:val="20"/>
          <w:szCs w:val="20"/>
          <w:color w:val="auto"/>
        </w:rPr>
      </w:pPr>
    </w:p>
    <w:p>
      <w:pPr>
        <w:jc w:val="both"/>
        <w:ind w:left="573" w:right="1399" w:hanging="565"/>
        <w:spacing w:after="0" w:line="251" w:lineRule="auto"/>
        <w:tabs>
          <w:tab w:leader="none" w:pos="553" w:val="left"/>
        </w:tabs>
        <w:rPr>
          <w:sz w:val="20"/>
          <w:szCs w:val="20"/>
          <w:color w:val="auto"/>
        </w:rPr>
      </w:pPr>
      <w:r>
        <w:rPr>
          <w:rFonts w:ascii="Times New Roman" w:cs="Times New Roman" w:eastAsia="Times New Roman" w:hAnsi="Times New Roman"/>
          <w:sz w:val="17"/>
          <w:szCs w:val="17"/>
          <w:color w:val="auto"/>
        </w:rPr>
        <w:t>17.1</w:t>
      </w:r>
      <w:r>
        <w:rPr>
          <w:sz w:val="20"/>
          <w:szCs w:val="20"/>
          <w:color w:val="auto"/>
        </w:rPr>
        <w:tab/>
      </w:r>
      <w:r>
        <w:rPr>
          <w:rFonts w:ascii="Times New Roman" w:cs="Times New Roman" w:eastAsia="Times New Roman" w:hAnsi="Times New Roman"/>
          <w:sz w:val="17"/>
          <w:szCs w:val="17"/>
          <w:color w:val="auto"/>
        </w:rPr>
        <w:t>While any Notes are represented by one or more Global Notes, all notices to Noteholders shall be delivered to Euroclear and Clearstream, as applicable, for communication to entitled account Noteholders. So long as the Notes are listed on the Official List of Euronext Dublin and its rules so require, all notices to Noteholders will also be published by the Company by delivery to the Companies Announcement Office in Dublin. If publication as provided above is not practicable, notice will be given in such other manner, and shall be deemed to have been given on such date, as the Company may approve. In the case of Definitive Notes, notices will be mailed to Noteholders by first-class mail or other equivalent means at their respective addresses as they appear on the records of the Registrar.</w:t>
      </w:r>
    </w:p>
    <w:p>
      <w:pPr>
        <w:spacing w:after="0" w:line="158" w:lineRule="exact"/>
        <w:rPr>
          <w:sz w:val="20"/>
          <w:szCs w:val="20"/>
          <w:color w:val="auto"/>
        </w:rPr>
      </w:pPr>
    </w:p>
    <w:p>
      <w:pPr>
        <w:jc w:val="both"/>
        <w:ind w:left="573" w:right="1399" w:hanging="565"/>
        <w:spacing w:after="0" w:line="283" w:lineRule="auto"/>
        <w:tabs>
          <w:tab w:leader="none" w:pos="553" w:val="left"/>
        </w:tabs>
        <w:rPr>
          <w:sz w:val="20"/>
          <w:szCs w:val="20"/>
          <w:color w:val="auto"/>
        </w:rPr>
      </w:pPr>
      <w:r>
        <w:rPr>
          <w:rFonts w:ascii="Times New Roman" w:cs="Times New Roman" w:eastAsia="Times New Roman" w:hAnsi="Times New Roman"/>
          <w:sz w:val="17"/>
          <w:szCs w:val="17"/>
          <w:color w:val="auto"/>
        </w:rPr>
        <w:t>17.2</w:t>
      </w:r>
      <w:r>
        <w:rPr>
          <w:sz w:val="20"/>
          <w:szCs w:val="20"/>
          <w:color w:val="auto"/>
        </w:rPr>
        <w:tab/>
      </w:r>
      <w:r>
        <w:rPr>
          <w:rFonts w:ascii="Times New Roman" w:cs="Times New Roman" w:eastAsia="Times New Roman" w:hAnsi="Times New Roman"/>
          <w:sz w:val="17"/>
          <w:szCs w:val="17"/>
          <w:color w:val="auto"/>
        </w:rPr>
        <w:t>If and so long as the Notes are listed on any other securities exchange, notices will also be given in accordance with any applicable requirements of such securities exchange.</w:t>
      </w:r>
    </w:p>
    <w:p>
      <w:pPr>
        <w:spacing w:after="0" w:line="129" w:lineRule="exact"/>
        <w:rPr>
          <w:sz w:val="20"/>
          <w:szCs w:val="20"/>
          <w:color w:val="auto"/>
        </w:rPr>
      </w:pPr>
    </w:p>
    <w:p>
      <w:pPr>
        <w:jc w:val="both"/>
        <w:ind w:left="573" w:right="1419" w:hanging="565"/>
        <w:spacing w:after="0" w:line="254" w:lineRule="auto"/>
        <w:tabs>
          <w:tab w:leader="none" w:pos="553" w:val="left"/>
        </w:tabs>
        <w:rPr>
          <w:sz w:val="20"/>
          <w:szCs w:val="20"/>
          <w:color w:val="auto"/>
        </w:rPr>
      </w:pPr>
      <w:r>
        <w:rPr>
          <w:rFonts w:ascii="Times New Roman" w:cs="Times New Roman" w:eastAsia="Times New Roman" w:hAnsi="Times New Roman"/>
          <w:sz w:val="17"/>
          <w:szCs w:val="17"/>
          <w:color w:val="auto"/>
        </w:rPr>
        <w:t>17.3</w:t>
      </w:r>
      <w:r>
        <w:rPr>
          <w:sz w:val="20"/>
          <w:szCs w:val="20"/>
          <w:color w:val="auto"/>
        </w:rPr>
        <w:tab/>
      </w:r>
      <w:r>
        <w:rPr>
          <w:rFonts w:ascii="Times New Roman" w:cs="Times New Roman" w:eastAsia="Times New Roman" w:hAnsi="Times New Roman"/>
          <w:sz w:val="17"/>
          <w:szCs w:val="17"/>
          <w:color w:val="auto"/>
        </w:rPr>
        <w:t>Notices given by publication will be deemed given on the first date on which publication is made. Notices delivered to Euroclear and Clearstream will be deemed given on the date when delivered. Notices given by first-class mail or other equivalent means will be deemed given seven days after mailing whether or not the addressee receives any such notice. Failure to mail a notice or communication to a Noteholder or any defect in it shall not affect its sufficiency with respect to other Noteholders.</w:t>
      </w:r>
    </w:p>
    <w:p>
      <w:pPr>
        <w:spacing w:after="0" w:line="356" w:lineRule="exact"/>
        <w:rPr>
          <w:sz w:val="20"/>
          <w:szCs w:val="20"/>
          <w:color w:val="auto"/>
        </w:rPr>
      </w:pPr>
    </w:p>
    <w:p>
      <w:pPr>
        <w:ind w:left="573" w:hanging="573"/>
        <w:spacing w:after="0"/>
        <w:tabs>
          <w:tab w:leader="none" w:pos="573"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FURTHER ISSUES OF NOTES</w:t>
      </w:r>
    </w:p>
    <w:p>
      <w:pPr>
        <w:spacing w:after="0" w:line="195" w:lineRule="exact"/>
        <w:rPr>
          <w:rFonts w:ascii="Times New Roman" w:cs="Times New Roman" w:eastAsia="Times New Roman" w:hAnsi="Times New Roman"/>
          <w:sz w:val="17"/>
          <w:szCs w:val="17"/>
          <w:b w:val="1"/>
          <w:bCs w:val="1"/>
          <w:color w:val="auto"/>
        </w:rPr>
      </w:pPr>
    </w:p>
    <w:p>
      <w:pPr>
        <w:jc w:val="both"/>
        <w:ind w:left="573" w:right="1419"/>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may from time to time without the consent of the Noteholders create and issue further securities having the same terms and conditions as the Notes in all respects (or in all respects except for the first payment or interest thereon) and so that such further issue shall be consolidated and form a single</w:t>
      </w:r>
    </w:p>
    <w:p>
      <w:pPr>
        <w:spacing w:after="0" w:line="200" w:lineRule="exact"/>
        <w:rPr>
          <w:sz w:val="20"/>
          <w:szCs w:val="20"/>
          <w:color w:val="auto"/>
        </w:rPr>
      </w:pPr>
    </w:p>
    <w:p>
      <w:pPr>
        <w:spacing w:after="0" w:line="202" w:lineRule="exact"/>
        <w:rPr>
          <w:sz w:val="20"/>
          <w:szCs w:val="20"/>
          <w:color w:val="auto"/>
        </w:rPr>
      </w:pPr>
    </w:p>
    <w:p>
      <w:pPr>
        <w:ind w:left="3873"/>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497649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53"/>
          </w:cols>
          <w:pgMar w:left="1207" w:top="115" w:right="1440" w:bottom="1440" w:gutter="0" w:footer="0" w:header="0"/>
        </w:sectPr>
      </w:pPr>
    </w:p>
    <w:bookmarkStart w:id="38" w:name="page39"/>
    <w:bookmarkEnd w:id="38"/>
    <w:p>
      <w:pPr>
        <w:jc w:val="both"/>
        <w:ind w:left="573" w:right="1399"/>
        <w:spacing w:after="0" w:line="252" w:lineRule="auto"/>
        <w:rPr>
          <w:sz w:val="20"/>
          <w:szCs w:val="20"/>
          <w:color w:val="auto"/>
        </w:rPr>
      </w:pPr>
      <w:r>
        <w:rPr>
          <w:rFonts w:ascii="Times New Roman" w:cs="Times New Roman" w:eastAsia="Times New Roman" w:hAnsi="Times New Roman"/>
          <w:sz w:val="17"/>
          <w:szCs w:val="17"/>
          <w:color w:val="auto"/>
        </w:rPr>
        <w:t>series with the outstanding securities of any series (including the Notes) or upon such terms as the Company may determine at the time of their issue, provided that the Company will not issue any additional Notes unless such additional Notes do not cause holders of Notes to become subject to any United States reporting obligation or any United States withholding tax which holders of Notes would otherwise not have been subject to had the Company not issued the further Notes. References herein to the Notes include (unless the context otherwise requires) any other securities issued pursuant to this clause and forming a single series with the Notes.</w:t>
      </w:r>
    </w:p>
    <w:p>
      <w:pPr>
        <w:spacing w:after="0" w:line="154" w:lineRule="exact"/>
        <w:rPr>
          <w:sz w:val="20"/>
          <w:szCs w:val="20"/>
          <w:color w:val="auto"/>
        </w:rPr>
      </w:pPr>
    </w:p>
    <w:p>
      <w:pPr>
        <w:ind w:left="573" w:hanging="573"/>
        <w:spacing w:after="0"/>
        <w:tabs>
          <w:tab w:leader="none" w:pos="573"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GOVERNING LAW</w:t>
      </w:r>
    </w:p>
    <w:p>
      <w:pPr>
        <w:spacing w:after="0" w:line="195" w:lineRule="exact"/>
        <w:rPr>
          <w:rFonts w:ascii="Times New Roman" w:cs="Times New Roman" w:eastAsia="Times New Roman" w:hAnsi="Times New Roman"/>
          <w:sz w:val="17"/>
          <w:szCs w:val="17"/>
          <w:b w:val="1"/>
          <w:bCs w:val="1"/>
          <w:color w:val="auto"/>
        </w:rPr>
      </w:pPr>
    </w:p>
    <w:p>
      <w:pPr>
        <w:ind w:left="573" w:right="1419"/>
        <w:spacing w:after="0" w:line="28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Notes shall be construed in accordance with and governed by the laws of the State of New York, United States of America.</w:t>
      </w:r>
    </w:p>
    <w:p>
      <w:pPr>
        <w:spacing w:after="0" w:line="127" w:lineRule="exact"/>
        <w:rPr>
          <w:rFonts w:ascii="Times New Roman" w:cs="Times New Roman" w:eastAsia="Times New Roman" w:hAnsi="Times New Roman"/>
          <w:sz w:val="17"/>
          <w:szCs w:val="17"/>
          <w:b w:val="1"/>
          <w:bCs w:val="1"/>
          <w:color w:val="auto"/>
        </w:rPr>
      </w:pPr>
    </w:p>
    <w:p>
      <w:pPr>
        <w:ind w:left="573" w:hanging="573"/>
        <w:spacing w:after="0"/>
        <w:tabs>
          <w:tab w:leader="none" w:pos="573"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AUTHENTICATION</w:t>
      </w:r>
    </w:p>
    <w:p>
      <w:pPr>
        <w:spacing w:after="0" w:line="195" w:lineRule="exact"/>
        <w:rPr>
          <w:rFonts w:ascii="Times New Roman" w:cs="Times New Roman" w:eastAsia="Times New Roman" w:hAnsi="Times New Roman"/>
          <w:sz w:val="17"/>
          <w:szCs w:val="17"/>
          <w:b w:val="1"/>
          <w:bCs w:val="1"/>
          <w:color w:val="auto"/>
        </w:rPr>
      </w:pPr>
    </w:p>
    <w:p>
      <w:pPr>
        <w:ind w:left="573" w:right="1399"/>
        <w:spacing w:after="0" w:line="28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Note attached thereto shall become valid or obligatory until the certificate of authentication thereon shall have been duly signed by the Fiscal Agent acting under the Fiscal and Paying Agency Agreement.</w:t>
      </w:r>
    </w:p>
    <w:p>
      <w:pPr>
        <w:spacing w:after="0" w:line="127" w:lineRule="exact"/>
        <w:rPr>
          <w:rFonts w:ascii="Times New Roman" w:cs="Times New Roman" w:eastAsia="Times New Roman" w:hAnsi="Times New Roman"/>
          <w:sz w:val="17"/>
          <w:szCs w:val="17"/>
          <w:b w:val="1"/>
          <w:bCs w:val="1"/>
          <w:color w:val="auto"/>
        </w:rPr>
      </w:pPr>
    </w:p>
    <w:p>
      <w:pPr>
        <w:ind w:left="573" w:hanging="573"/>
        <w:spacing w:after="0"/>
        <w:tabs>
          <w:tab w:leader="none" w:pos="573"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WARRANTY OF THE COMPANY</w:t>
      </w:r>
    </w:p>
    <w:p>
      <w:pPr>
        <w:spacing w:after="0" w:line="195" w:lineRule="exact"/>
        <w:rPr>
          <w:rFonts w:ascii="Times New Roman" w:cs="Times New Roman" w:eastAsia="Times New Roman" w:hAnsi="Times New Roman"/>
          <w:sz w:val="17"/>
          <w:szCs w:val="17"/>
          <w:b w:val="1"/>
          <w:bCs w:val="1"/>
          <w:color w:val="auto"/>
        </w:rPr>
      </w:pPr>
    </w:p>
    <w:p>
      <w:pPr>
        <w:jc w:val="both"/>
        <w:ind w:left="573" w:right="1399"/>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Subject to Clause 20, the Company hereby certifies and warrants that all acts, conditions and things required to be done and performed and to have happened precedent to the creation and issuance of the Notes and to constitute the same legal, valid and binding obligations of the Company enforceable in accordance with their terms, have been done and performed and have happened in compliance with all applicable laws.</w:t>
      </w:r>
    </w:p>
    <w:p>
      <w:pPr>
        <w:spacing w:after="0" w:line="151" w:lineRule="exact"/>
        <w:rPr>
          <w:rFonts w:ascii="Times New Roman" w:cs="Times New Roman" w:eastAsia="Times New Roman" w:hAnsi="Times New Roman"/>
          <w:sz w:val="17"/>
          <w:szCs w:val="17"/>
          <w:b w:val="1"/>
          <w:bCs w:val="1"/>
          <w:color w:val="auto"/>
        </w:rPr>
      </w:pPr>
    </w:p>
    <w:p>
      <w:pPr>
        <w:ind w:left="573" w:hanging="573"/>
        <w:spacing w:after="0"/>
        <w:tabs>
          <w:tab w:leader="none" w:pos="573"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ISINS AND COMMON CODES</w:t>
      </w:r>
    </w:p>
    <w:p>
      <w:pPr>
        <w:spacing w:after="0" w:line="195" w:lineRule="exact"/>
        <w:rPr>
          <w:rFonts w:ascii="Times New Roman" w:cs="Times New Roman" w:eastAsia="Times New Roman" w:hAnsi="Times New Roman"/>
          <w:sz w:val="17"/>
          <w:szCs w:val="17"/>
          <w:b w:val="1"/>
          <w:bCs w:val="1"/>
          <w:color w:val="auto"/>
        </w:rPr>
      </w:pPr>
    </w:p>
    <w:p>
      <w:pPr>
        <w:jc w:val="both"/>
        <w:ind w:left="573" w:right="1399"/>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has caused ISINs and Common Codes to be printed on the Notes and has directed the Fiscal Agent to use ISINs and Common Codes in notices of redemption as a convenience to Noteholders. No representation is made as to the correctness of such numbers either as printed on the Notes or as contained in any notice of redemption or repurchase, and reliance may be placed only on the other identification numbers printed on the Notes. The Company shall promptly notify the Fiscal Agent of any change in the ISINs or Common Codes.</w:t>
      </w:r>
    </w:p>
    <w:p>
      <w:pPr>
        <w:spacing w:after="0" w:line="154" w:lineRule="exact"/>
        <w:rPr>
          <w:rFonts w:ascii="Times New Roman" w:cs="Times New Roman" w:eastAsia="Times New Roman" w:hAnsi="Times New Roman"/>
          <w:sz w:val="17"/>
          <w:szCs w:val="17"/>
          <w:b w:val="1"/>
          <w:bCs w:val="1"/>
          <w:color w:val="auto"/>
        </w:rPr>
      </w:pPr>
    </w:p>
    <w:p>
      <w:pPr>
        <w:ind w:left="573" w:hanging="573"/>
        <w:spacing w:after="0"/>
        <w:tabs>
          <w:tab w:leader="none" w:pos="573"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DESCRIPTIVE HEADINGS</w:t>
      </w:r>
    </w:p>
    <w:p>
      <w:pPr>
        <w:spacing w:after="0" w:line="195" w:lineRule="exact"/>
        <w:rPr>
          <w:rFonts w:ascii="Times New Roman" w:cs="Times New Roman" w:eastAsia="Times New Roman" w:hAnsi="Times New Roman"/>
          <w:sz w:val="17"/>
          <w:szCs w:val="17"/>
          <w:b w:val="1"/>
          <w:bCs w:val="1"/>
          <w:color w:val="auto"/>
        </w:rPr>
      </w:pPr>
    </w:p>
    <w:p>
      <w:pPr>
        <w:ind w:left="573" w:right="1399"/>
        <w:spacing w:after="0" w:line="28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descriptive headings appearing in these Terms and Conditions are for convenience of reference only and shall not alter, limit or define the provisions hereof.</w:t>
      </w:r>
    </w:p>
    <w:p>
      <w:pPr>
        <w:spacing w:after="0" w:line="127" w:lineRule="exact"/>
        <w:rPr>
          <w:rFonts w:ascii="Times New Roman" w:cs="Times New Roman" w:eastAsia="Times New Roman" w:hAnsi="Times New Roman"/>
          <w:sz w:val="17"/>
          <w:szCs w:val="17"/>
          <w:b w:val="1"/>
          <w:bCs w:val="1"/>
          <w:color w:val="auto"/>
        </w:rPr>
      </w:pPr>
    </w:p>
    <w:p>
      <w:pPr>
        <w:ind w:left="573" w:hanging="573"/>
        <w:spacing w:after="0"/>
        <w:tabs>
          <w:tab w:leader="none" w:pos="573"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PRESCRIPTION</w:t>
      </w:r>
    </w:p>
    <w:p>
      <w:pPr>
        <w:spacing w:after="0" w:line="195" w:lineRule="exact"/>
        <w:rPr>
          <w:rFonts w:ascii="Times New Roman" w:cs="Times New Roman" w:eastAsia="Times New Roman" w:hAnsi="Times New Roman"/>
          <w:sz w:val="17"/>
          <w:szCs w:val="17"/>
          <w:b w:val="1"/>
          <w:bCs w:val="1"/>
          <w:color w:val="auto"/>
        </w:rPr>
      </w:pPr>
    </w:p>
    <w:p>
      <w:pPr>
        <w:jc w:val="both"/>
        <w:ind w:left="573" w:right="1399"/>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Claims against the Company for the payment of principal or premium, if any, on the Notes will be prescribed ten years after the applicable due date for payment thereof. Claims against the Company for the payment of interest will be prescribed five years after the applicable due date for the payment of interest.</w:t>
      </w:r>
    </w:p>
    <w:p>
      <w:pPr>
        <w:spacing w:after="0" w:line="200" w:lineRule="exact"/>
        <w:rPr>
          <w:sz w:val="20"/>
          <w:szCs w:val="20"/>
          <w:color w:val="auto"/>
        </w:rPr>
      </w:pPr>
    </w:p>
    <w:p>
      <w:pPr>
        <w:spacing w:after="0" w:line="202" w:lineRule="exact"/>
        <w:rPr>
          <w:sz w:val="20"/>
          <w:szCs w:val="20"/>
          <w:color w:val="auto"/>
        </w:rPr>
      </w:pPr>
    </w:p>
    <w:p>
      <w:pPr>
        <w:ind w:left="3873"/>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497649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53"/>
          </w:cols>
          <w:pgMar w:left="1207" w:top="120" w:right="1440" w:bottom="1440" w:gutter="0" w:footer="0" w:header="0"/>
        </w:sectPr>
      </w:pPr>
    </w:p>
    <w:bookmarkStart w:id="39" w:name="page40"/>
    <w:bookmarkEnd w:id="39"/>
    <w:p>
      <w:pPr>
        <w:jc w:val="center"/>
        <w:ind w:right="1639"/>
        <w:spacing w:after="0"/>
        <w:rPr>
          <w:sz w:val="20"/>
          <w:szCs w:val="20"/>
          <w:color w:val="auto"/>
        </w:rPr>
      </w:pPr>
      <w:r>
        <w:rPr>
          <w:rFonts w:ascii="Times New Roman" w:cs="Times New Roman" w:eastAsia="Times New Roman" w:hAnsi="Times New Roman"/>
          <w:sz w:val="17"/>
          <w:szCs w:val="17"/>
          <w:b w:val="1"/>
          <w:bCs w:val="1"/>
          <w:color w:val="auto"/>
        </w:rPr>
        <w:t>FISCAL AGENT, REGISTRAR, TRANSFER AGENT AND</w:t>
      </w:r>
    </w:p>
    <w:p>
      <w:pPr>
        <w:spacing w:after="0" w:line="28" w:lineRule="exact"/>
        <w:rPr>
          <w:sz w:val="20"/>
          <w:szCs w:val="20"/>
          <w:color w:val="auto"/>
        </w:rPr>
      </w:pPr>
    </w:p>
    <w:p>
      <w:pPr>
        <w:jc w:val="center"/>
        <w:ind w:right="1639"/>
        <w:spacing w:after="0"/>
        <w:rPr>
          <w:sz w:val="20"/>
          <w:szCs w:val="20"/>
          <w:color w:val="auto"/>
        </w:rPr>
      </w:pPr>
      <w:r>
        <w:rPr>
          <w:rFonts w:ascii="Times New Roman" w:cs="Times New Roman" w:eastAsia="Times New Roman" w:hAnsi="Times New Roman"/>
          <w:sz w:val="17"/>
          <w:szCs w:val="17"/>
          <w:b w:val="1"/>
          <w:bCs w:val="1"/>
          <w:color w:val="auto"/>
        </w:rPr>
        <w:t>PRINCIPAL PAYING AGENT</w:t>
      </w:r>
    </w:p>
    <w:p>
      <w:pPr>
        <w:spacing w:after="0" w:line="5" w:lineRule="exact"/>
        <w:rPr>
          <w:sz w:val="20"/>
          <w:szCs w:val="20"/>
          <w:color w:val="auto"/>
        </w:rPr>
      </w:pPr>
    </w:p>
    <w:p>
      <w:pPr>
        <w:jc w:val="center"/>
        <w:ind w:right="1639"/>
        <w:spacing w:after="0"/>
        <w:rPr>
          <w:sz w:val="20"/>
          <w:szCs w:val="20"/>
          <w:color w:val="auto"/>
        </w:rPr>
      </w:pPr>
      <w:r>
        <w:rPr>
          <w:rFonts w:ascii="Times New Roman" w:cs="Times New Roman" w:eastAsia="Times New Roman" w:hAnsi="Times New Roman"/>
          <w:sz w:val="17"/>
          <w:szCs w:val="17"/>
          <w:b w:val="1"/>
          <w:bCs w:val="1"/>
          <w:color w:val="auto"/>
        </w:rPr>
        <w:t>Citibank, N.A., London Branch</w:t>
      </w:r>
    </w:p>
    <w:p>
      <w:pPr>
        <w:spacing w:after="0" w:line="5" w:lineRule="exact"/>
        <w:rPr>
          <w:sz w:val="20"/>
          <w:szCs w:val="20"/>
          <w:color w:val="auto"/>
        </w:rPr>
      </w:pPr>
    </w:p>
    <w:p>
      <w:pPr>
        <w:jc w:val="center"/>
        <w:ind w:right="1639"/>
        <w:spacing w:after="0"/>
        <w:rPr>
          <w:sz w:val="20"/>
          <w:szCs w:val="20"/>
          <w:color w:val="auto"/>
        </w:rPr>
      </w:pPr>
      <w:r>
        <w:rPr>
          <w:rFonts w:ascii="Times New Roman" w:cs="Times New Roman" w:eastAsia="Times New Roman" w:hAnsi="Times New Roman"/>
          <w:sz w:val="17"/>
          <w:szCs w:val="17"/>
          <w:color w:val="auto"/>
        </w:rPr>
        <w:t>Citigroup Centre</w:t>
      </w:r>
    </w:p>
    <w:p>
      <w:pPr>
        <w:spacing w:after="0" w:line="5" w:lineRule="exact"/>
        <w:rPr>
          <w:sz w:val="20"/>
          <w:szCs w:val="20"/>
          <w:color w:val="auto"/>
        </w:rPr>
      </w:pPr>
    </w:p>
    <w:p>
      <w:pPr>
        <w:jc w:val="center"/>
        <w:ind w:right="1639"/>
        <w:spacing w:after="0"/>
        <w:rPr>
          <w:sz w:val="20"/>
          <w:szCs w:val="20"/>
          <w:color w:val="auto"/>
        </w:rPr>
      </w:pPr>
      <w:r>
        <w:rPr>
          <w:rFonts w:ascii="Times New Roman" w:cs="Times New Roman" w:eastAsia="Times New Roman" w:hAnsi="Times New Roman"/>
          <w:sz w:val="17"/>
          <w:szCs w:val="17"/>
          <w:color w:val="auto"/>
        </w:rPr>
        <w:t>25 Canada Square</w:t>
      </w:r>
    </w:p>
    <w:p>
      <w:pPr>
        <w:spacing w:after="0" w:line="5" w:lineRule="exact"/>
        <w:rPr>
          <w:sz w:val="20"/>
          <w:szCs w:val="20"/>
          <w:color w:val="auto"/>
        </w:rPr>
      </w:pPr>
    </w:p>
    <w:p>
      <w:pPr>
        <w:jc w:val="center"/>
        <w:ind w:right="1639"/>
        <w:spacing w:after="0"/>
        <w:rPr>
          <w:sz w:val="20"/>
          <w:szCs w:val="20"/>
          <w:color w:val="auto"/>
        </w:rPr>
      </w:pPr>
      <w:r>
        <w:rPr>
          <w:rFonts w:ascii="Times New Roman" w:cs="Times New Roman" w:eastAsia="Times New Roman" w:hAnsi="Times New Roman"/>
          <w:sz w:val="17"/>
          <w:szCs w:val="17"/>
          <w:color w:val="auto"/>
        </w:rPr>
        <w:t>Canary Wharf</w:t>
      </w:r>
    </w:p>
    <w:p>
      <w:pPr>
        <w:spacing w:after="0" w:line="5" w:lineRule="exact"/>
        <w:rPr>
          <w:sz w:val="20"/>
          <w:szCs w:val="20"/>
          <w:color w:val="auto"/>
        </w:rPr>
      </w:pPr>
    </w:p>
    <w:p>
      <w:pPr>
        <w:jc w:val="center"/>
        <w:ind w:right="1639"/>
        <w:spacing w:after="0"/>
        <w:rPr>
          <w:sz w:val="20"/>
          <w:szCs w:val="20"/>
          <w:color w:val="auto"/>
        </w:rPr>
      </w:pPr>
      <w:r>
        <w:rPr>
          <w:rFonts w:ascii="Times New Roman" w:cs="Times New Roman" w:eastAsia="Times New Roman" w:hAnsi="Times New Roman"/>
          <w:sz w:val="17"/>
          <w:szCs w:val="17"/>
          <w:color w:val="auto"/>
        </w:rPr>
        <w:t>London E14 5LB</w:t>
      </w:r>
    </w:p>
    <w:p>
      <w:pPr>
        <w:spacing w:after="0" w:line="5" w:lineRule="exact"/>
        <w:rPr>
          <w:sz w:val="20"/>
          <w:szCs w:val="20"/>
          <w:color w:val="auto"/>
        </w:rPr>
      </w:pPr>
    </w:p>
    <w:p>
      <w:pPr>
        <w:jc w:val="center"/>
        <w:ind w:right="1639"/>
        <w:spacing w:after="0"/>
        <w:rPr>
          <w:sz w:val="20"/>
          <w:szCs w:val="20"/>
          <w:color w:val="auto"/>
        </w:rPr>
      </w:pPr>
      <w:r>
        <w:rPr>
          <w:rFonts w:ascii="Times New Roman" w:cs="Times New Roman" w:eastAsia="Times New Roman" w:hAnsi="Times New Roman"/>
          <w:sz w:val="17"/>
          <w:szCs w:val="17"/>
          <w:color w:val="auto"/>
        </w:rPr>
        <w:t>United Kingdom</w:t>
      </w:r>
    </w:p>
    <w:p>
      <w:pPr>
        <w:spacing w:after="0" w:line="22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90170</wp:posOffset>
            </wp:positionV>
            <wp:extent cx="497649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40" w:name="page41"/>
    <w:bookmarkEnd w:id="40"/>
    <w:p>
      <w:pPr>
        <w:ind w:left="3060"/>
        <w:spacing w:after="0"/>
        <w:rPr>
          <w:sz w:val="20"/>
          <w:szCs w:val="20"/>
          <w:color w:val="auto"/>
        </w:rPr>
      </w:pPr>
      <w:r>
        <w:rPr>
          <w:rFonts w:ascii="Times New Roman" w:cs="Times New Roman" w:eastAsia="Times New Roman" w:hAnsi="Times New Roman"/>
          <w:sz w:val="17"/>
          <w:szCs w:val="17"/>
          <w:b w:val="1"/>
          <w:bCs w:val="1"/>
          <w:color w:val="auto"/>
        </w:rPr>
        <w:t>ASSIGNMENT FORM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assign this Note, fill in the form below: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or we assign and transfer this Note to</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(Print or type assignee's name, address and zip code)</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(Insert assignee's soc. sec. or tax I.D. No.)</w:t>
      </w:r>
    </w:p>
    <w:p>
      <w:pPr>
        <w:spacing w:after="0" w:line="194" w:lineRule="exact"/>
        <w:rPr>
          <w:sz w:val="20"/>
          <w:szCs w:val="20"/>
          <w:color w:val="auto"/>
        </w:rPr>
      </w:pPr>
    </w:p>
    <w:p>
      <w:pPr>
        <w:ind w:right="1399"/>
        <w:spacing w:after="0" w:line="283" w:lineRule="auto"/>
        <w:rPr>
          <w:sz w:val="20"/>
          <w:szCs w:val="20"/>
          <w:color w:val="auto"/>
        </w:rPr>
      </w:pPr>
      <w:r>
        <w:rPr>
          <w:rFonts w:ascii="Times New Roman" w:cs="Times New Roman" w:eastAsia="Times New Roman" w:hAnsi="Times New Roman"/>
          <w:sz w:val="17"/>
          <w:szCs w:val="17"/>
          <w:color w:val="auto"/>
        </w:rPr>
        <w:t>and irrevocably appoint [ ] agent 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496125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612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16510</wp:posOffset>
            </wp:positionV>
            <wp:extent cx="468376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8376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263525</wp:posOffset>
            </wp:positionV>
            <wp:extent cx="496125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61255" cy="762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 exactly as your name appears on the other side of this Note.</w:t>
      </w:r>
    </w:p>
    <w:p>
      <w:pPr>
        <w:spacing w:after="0" w:line="24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497649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59"/>
          </w:cols>
          <w:pgMar w:left="1200" w:top="115" w:right="1440" w:bottom="1440" w:gutter="0" w:footer="0" w:header="0"/>
        </w:sectPr>
      </w:pPr>
    </w:p>
    <w:bookmarkStart w:id="41" w:name="page42"/>
    <w:bookmarkEnd w:id="41"/>
    <w:p>
      <w:pPr>
        <w:jc w:val="center"/>
        <w:ind w:right="1399"/>
        <w:spacing w:after="0"/>
        <w:rPr>
          <w:sz w:val="20"/>
          <w:szCs w:val="20"/>
          <w:color w:val="auto"/>
        </w:rPr>
      </w:pPr>
      <w:r>
        <w:rPr>
          <w:rFonts w:ascii="Times New Roman" w:cs="Times New Roman" w:eastAsia="Times New Roman" w:hAnsi="Times New Roman"/>
          <w:sz w:val="17"/>
          <w:szCs w:val="17"/>
          <w:b w:val="1"/>
          <w:bCs w:val="1"/>
          <w:color w:val="auto"/>
        </w:rPr>
        <w:t>CERTIFICATE TO BE DELIVERED UPON EXCHANGE OR REGISTRATION OF NOTES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certificate relates to € ____________ principal amount of Notes held in (check applicable space)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 book-entry or ___________ definitive form by the undersigned.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undersigned (check one box below):</w:t>
      </w:r>
    </w:p>
    <w:p>
      <w:pPr>
        <w:spacing w:after="0" w:line="194" w:lineRule="exact"/>
        <w:rPr>
          <w:sz w:val="20"/>
          <w:szCs w:val="20"/>
          <w:color w:val="auto"/>
        </w:rPr>
      </w:pPr>
    </w:p>
    <w:p>
      <w:pPr>
        <w:jc w:val="both"/>
        <w:ind w:left="580" w:right="1399" w:hanging="573"/>
        <w:spacing w:after="0" w:line="258" w:lineRule="auto"/>
        <w:tabs>
          <w:tab w:leader="none" w:pos="580" w:val="left"/>
        </w:tabs>
        <w:numPr>
          <w:ilvl w:val="0"/>
          <w:numId w:val="4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has requested the Fiscal Agent by written order to deliver in exchange for its beneficial interest in the Global Note held by the Depositary a Note or Notes in definitive, registered form of authorized denominations and an aggregate principal amount equal to its beneficial interest in such Global Note (or the portion thereof indicated above); or</w:t>
      </w:r>
    </w:p>
    <w:p>
      <w:pPr>
        <w:spacing w:after="0" w:line="150" w:lineRule="exact"/>
        <w:rPr>
          <w:rFonts w:ascii="MS PGothic" w:cs="MS PGothic" w:eastAsia="MS PGothic" w:hAnsi="MS PGothic"/>
          <w:sz w:val="17"/>
          <w:szCs w:val="17"/>
          <w:color w:val="auto"/>
        </w:rPr>
      </w:pPr>
    </w:p>
    <w:p>
      <w:pPr>
        <w:ind w:left="580" w:hanging="573"/>
        <w:spacing w:after="0"/>
        <w:tabs>
          <w:tab w:leader="none" w:pos="580" w:val="left"/>
        </w:tabs>
        <w:numPr>
          <w:ilvl w:val="0"/>
          <w:numId w:val="4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has requested the Fiscal Agent by written order to exchange or register the transfer of a Note or Notes.</w:t>
      </w:r>
    </w:p>
    <w:p>
      <w:pPr>
        <w:spacing w:after="0" w:line="194" w:lineRule="exact"/>
        <w:rPr>
          <w:sz w:val="20"/>
          <w:szCs w:val="20"/>
          <w:color w:val="auto"/>
        </w:rPr>
      </w:pPr>
    </w:p>
    <w:p>
      <w:pPr>
        <w:jc w:val="both"/>
        <w:ind w:right="1399"/>
        <w:spacing w:after="0" w:line="258" w:lineRule="auto"/>
        <w:rPr>
          <w:sz w:val="20"/>
          <w:szCs w:val="20"/>
          <w:color w:val="auto"/>
        </w:rPr>
      </w:pPr>
      <w:r>
        <w:rPr>
          <w:rFonts w:ascii="Times New Roman" w:cs="Times New Roman" w:eastAsia="Times New Roman" w:hAnsi="Times New Roman"/>
          <w:sz w:val="17"/>
          <w:szCs w:val="17"/>
          <w:color w:val="auto"/>
        </w:rPr>
        <w:t>In connection with any transfer of any of the Notes evidenced by this certificate occurring prior to the date which is 40 days after the later of the date of original issuance of such Notes and the last date, if any, on which such Notes were owned by the Company or any affiliate of the Company or such later date as may be required by applicable law, the undersigned confirms that such Notes are being transferred in accordance with its terms: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ONE BOX BELOW</w:t>
      </w:r>
    </w:p>
    <w:p>
      <w:pPr>
        <w:spacing w:after="0" w:line="179" w:lineRule="exact"/>
        <w:rPr>
          <w:sz w:val="20"/>
          <w:szCs w:val="20"/>
          <w:color w:val="auto"/>
        </w:rPr>
      </w:pPr>
    </w:p>
    <w:p>
      <w:pPr>
        <w:ind w:left="580" w:hanging="573"/>
        <w:spacing w:after="0" w:line="196" w:lineRule="exact"/>
        <w:tabs>
          <w:tab w:leader="none" w:pos="580" w:val="left"/>
        </w:tabs>
        <w:numPr>
          <w:ilvl w:val="0"/>
          <w:numId w:val="50"/>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 the Company; or</w:t>
      </w:r>
    </w:p>
    <w:p>
      <w:pPr>
        <w:spacing w:after="0" w:line="193" w:lineRule="exact"/>
        <w:rPr>
          <w:rFonts w:ascii="Times New Roman" w:cs="Times New Roman" w:eastAsia="Times New Roman" w:hAnsi="Times New Roman"/>
          <w:sz w:val="17"/>
          <w:szCs w:val="17"/>
          <w:color w:val="auto"/>
        </w:rPr>
      </w:pPr>
    </w:p>
    <w:p>
      <w:pPr>
        <w:ind w:left="580" w:hanging="573"/>
        <w:spacing w:after="0" w:line="196" w:lineRule="exact"/>
        <w:tabs>
          <w:tab w:leader="none" w:pos="580" w:val="left"/>
        </w:tabs>
        <w:numPr>
          <w:ilvl w:val="0"/>
          <w:numId w:val="50"/>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 the Registrar for registration in the name of the Holder, without transfer; or</w:t>
      </w:r>
    </w:p>
    <w:p>
      <w:pPr>
        <w:spacing w:after="0" w:line="193" w:lineRule="exact"/>
        <w:rPr>
          <w:rFonts w:ascii="Times New Roman" w:cs="Times New Roman" w:eastAsia="Times New Roman" w:hAnsi="Times New Roman"/>
          <w:sz w:val="17"/>
          <w:szCs w:val="17"/>
          <w:color w:val="auto"/>
        </w:rPr>
      </w:pPr>
    </w:p>
    <w:p>
      <w:pPr>
        <w:ind w:left="580" w:hanging="573"/>
        <w:spacing w:after="0" w:line="196" w:lineRule="exact"/>
        <w:tabs>
          <w:tab w:leader="none" w:pos="580" w:val="left"/>
        </w:tabs>
        <w:numPr>
          <w:ilvl w:val="0"/>
          <w:numId w:val="50"/>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pursuant to an effective registration statement under the Securities Act of 1933; or</w:t>
      </w:r>
    </w:p>
    <w:p>
      <w:pPr>
        <w:spacing w:after="0" w:line="193" w:lineRule="exact"/>
        <w:rPr>
          <w:rFonts w:ascii="Times New Roman" w:cs="Times New Roman" w:eastAsia="Times New Roman" w:hAnsi="Times New Roman"/>
          <w:sz w:val="17"/>
          <w:szCs w:val="17"/>
          <w:color w:val="auto"/>
        </w:rPr>
      </w:pPr>
    </w:p>
    <w:p>
      <w:pPr>
        <w:ind w:left="1140" w:right="1419" w:hanging="1133"/>
        <w:spacing w:after="0" w:line="220" w:lineRule="exact"/>
        <w:tabs>
          <w:tab w:leader="none" w:pos="1140" w:val="left"/>
        </w:tabs>
        <w:numPr>
          <w:ilvl w:val="0"/>
          <w:numId w:val="50"/>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pursuant to offers and sales to non-U.S. person that occur outside the United States within the meaning of Regulation S under the Securities Act of 1933; or</w:t>
      </w:r>
    </w:p>
    <w:p>
      <w:pPr>
        <w:spacing w:after="0" w:line="150" w:lineRule="exact"/>
        <w:rPr>
          <w:rFonts w:ascii="Times New Roman" w:cs="Times New Roman" w:eastAsia="Times New Roman" w:hAnsi="Times New Roman"/>
          <w:sz w:val="17"/>
          <w:szCs w:val="17"/>
          <w:color w:val="auto"/>
        </w:rPr>
      </w:pPr>
    </w:p>
    <w:p>
      <w:pPr>
        <w:ind w:left="580" w:hanging="573"/>
        <w:spacing w:after="0" w:line="196" w:lineRule="exact"/>
        <w:tabs>
          <w:tab w:leader="none" w:pos="580" w:val="left"/>
        </w:tabs>
        <w:numPr>
          <w:ilvl w:val="0"/>
          <w:numId w:val="50"/>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pursuant to another exemption from registration under the Securities Act of 1933.</w:t>
      </w:r>
    </w:p>
    <w:p>
      <w:pPr>
        <w:spacing w:after="0" w:line="209" w:lineRule="exact"/>
        <w:rPr>
          <w:sz w:val="20"/>
          <w:szCs w:val="20"/>
          <w:color w:val="auto"/>
        </w:rPr>
      </w:pPr>
    </w:p>
    <w:p>
      <w:pPr>
        <w:jc w:val="both"/>
        <w:ind w:right="1399"/>
        <w:spacing w:after="0" w:line="253" w:lineRule="auto"/>
        <w:rPr>
          <w:sz w:val="20"/>
          <w:szCs w:val="20"/>
          <w:color w:val="auto"/>
        </w:rPr>
      </w:pPr>
      <w:r>
        <w:rPr>
          <w:rFonts w:ascii="Times New Roman" w:cs="Times New Roman" w:eastAsia="Times New Roman" w:hAnsi="Times New Roman"/>
          <w:sz w:val="17"/>
          <w:szCs w:val="17"/>
          <w:color w:val="auto"/>
        </w:rPr>
        <w:t xml:space="preserve">Unless one of the boxes is checked, the Fiscal Agent and the Registrar will refuse to register any of the Notes evidenced by this certificate in the name of any person other than the registered Noteholder thereof; </w:t>
      </w:r>
      <w:r>
        <w:rPr>
          <w:rFonts w:ascii="Times New Roman" w:cs="Times New Roman" w:eastAsia="Times New Roman" w:hAnsi="Times New Roman"/>
          <w:sz w:val="17"/>
          <w:szCs w:val="17"/>
          <w:b w:val="1"/>
          <w:b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however</w:t>
      </w:r>
      <w:r>
        <w:rPr>
          <w:rFonts w:ascii="Times New Roman" w:cs="Times New Roman" w:eastAsia="Times New Roman" w:hAnsi="Times New Roman"/>
          <w:sz w:val="17"/>
          <w:szCs w:val="17"/>
          <w:color w:val="auto"/>
        </w:rPr>
        <w:t>, that if box (4) or (5) is checked, the Fiscal Agent may require, prior to registering any such transfer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Notes, such legal opinions, certifications and other information as the Fiscal Agent, Registrar or Company has reasonably requested to confirm that such transfer is being made pursuant to an exemption from, or in a transaction not subject to, the registration requirements of the Securities Act of 1933.</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Your Signature</w:t>
      </w: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Signature Guarantee</w:t>
      </w:r>
      <w:r>
        <w:rPr>
          <w:rFonts w:ascii="Times New Roman" w:cs="Times New Roman" w:eastAsia="Times New Roman" w:hAnsi="Times New Roman"/>
          <w:sz w:val="17"/>
          <w:szCs w:val="17"/>
          <w:b w:val="1"/>
          <w:bCs w:val="1"/>
          <w:color w:val="auto"/>
        </w:rPr>
        <w:t>:</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w:t>
      </w:r>
    </w:p>
    <w:p>
      <w:pPr>
        <w:spacing w:after="0" w:line="19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color w:val="auto"/>
        </w:rPr>
        <w:t>Signature of Signature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497649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59"/>
          </w:cols>
          <w:pgMar w:left="1200" w:top="116" w:right="1440" w:bottom="1440" w:gutter="0" w:footer="0" w:header="0"/>
        </w:sectPr>
      </w:pPr>
    </w:p>
    <w:bookmarkStart w:id="42" w:name="page43"/>
    <w:bookmarkEnd w:id="42"/>
    <w:p>
      <w:pPr>
        <w:jc w:val="center"/>
        <w:ind w:right="1419"/>
        <w:spacing w:after="0"/>
        <w:rPr>
          <w:sz w:val="20"/>
          <w:szCs w:val="20"/>
          <w:color w:val="auto"/>
        </w:rPr>
      </w:pPr>
      <w:r>
        <w:rPr>
          <w:rFonts w:ascii="Times New Roman" w:cs="Times New Roman" w:eastAsia="Times New Roman" w:hAnsi="Times New Roman"/>
          <w:sz w:val="17"/>
          <w:szCs w:val="17"/>
          <w:color w:val="auto"/>
        </w:rPr>
        <w:t>Schedule 2</w:t>
      </w:r>
    </w:p>
    <w:p>
      <w:pPr>
        <w:spacing w:after="0" w:line="191"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7"/>
          <w:szCs w:val="17"/>
          <w:b w:val="1"/>
          <w:bCs w:val="1"/>
          <w:color w:val="auto"/>
        </w:rPr>
        <w:t>PROVISIONS FOR MEETINGS OF THE NOTEHOLDERS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497649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39"/>
          </w:cols>
          <w:pgMar w:left="1220" w:top="120"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540" w:type="dxa"/>
            <w:vAlign w:val="bottom"/>
          </w:tcPr>
          <w:p>
            <w:pPr>
              <w:ind w:left="2920"/>
              <w:spacing w:after="0"/>
              <w:rPr>
                <w:sz w:val="20"/>
                <w:szCs w:val="20"/>
                <w:color w:val="auto"/>
              </w:rPr>
            </w:pPr>
            <w:r>
              <w:rPr>
                <w:rFonts w:ascii="Times New Roman" w:cs="Times New Roman" w:eastAsia="Times New Roman" w:hAnsi="Times New Roman"/>
                <w:sz w:val="17"/>
                <w:szCs w:val="17"/>
                <w:b w:val="1"/>
                <w:bCs w:val="1"/>
                <w:color w:val="auto"/>
              </w:rPr>
              <w:t>CONTENTS</w:t>
            </w:r>
          </w:p>
        </w:tc>
        <w:tc>
          <w:tcPr>
            <w:tcW w:w="1760" w:type="dxa"/>
            <w:vAlign w:val="bottom"/>
          </w:tcPr>
          <w:p>
            <w:pPr>
              <w:spacing w:after="0"/>
              <w:rPr>
                <w:sz w:val="19"/>
                <w:szCs w:val="19"/>
                <w:color w:val="auto"/>
              </w:rPr>
            </w:pPr>
          </w:p>
        </w:tc>
      </w:tr>
      <w:tr>
        <w:trPr>
          <w:trHeight w:val="389"/>
        </w:trPr>
        <w:tc>
          <w:tcPr>
            <w:tcW w:w="5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Clause</w:t>
            </w:r>
          </w:p>
        </w:tc>
        <w:tc>
          <w:tcPr>
            <w:tcW w:w="5540" w:type="dxa"/>
            <w:vAlign w:val="bottom"/>
          </w:tcPr>
          <w:p>
            <w:pPr>
              <w:spacing w:after="0"/>
              <w:rPr>
                <w:sz w:val="24"/>
                <w:szCs w:val="24"/>
                <w:color w:val="auto"/>
              </w:rPr>
            </w:pPr>
          </w:p>
        </w:tc>
        <w:tc>
          <w:tcPr>
            <w:tcW w:w="1760" w:type="dxa"/>
            <w:vAlign w:val="bottom"/>
          </w:tcPr>
          <w:p>
            <w:pPr>
              <w:jc w:val="right"/>
              <w:ind w:right="186"/>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373"/>
        </w:trPr>
        <w:tc>
          <w:tcPr>
            <w:tcW w:w="5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w:t>
            </w:r>
          </w:p>
        </w:tc>
        <w:tc>
          <w:tcPr>
            <w:tcW w:w="55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Definitions</w:t>
            </w:r>
          </w:p>
        </w:tc>
        <w:tc>
          <w:tcPr>
            <w:tcW w:w="1760" w:type="dxa"/>
            <w:vAlign w:val="bottom"/>
          </w:tcPr>
          <w:p>
            <w:pPr>
              <w:jc w:val="right"/>
              <w:ind w:right="166"/>
              <w:spacing w:after="0"/>
              <w:rPr>
                <w:sz w:val="20"/>
                <w:szCs w:val="20"/>
                <w:color w:val="auto"/>
              </w:rPr>
            </w:pPr>
            <w:r>
              <w:rPr>
                <w:rFonts w:ascii="Times New Roman" w:cs="Times New Roman" w:eastAsia="Times New Roman" w:hAnsi="Times New Roman"/>
                <w:sz w:val="19"/>
                <w:szCs w:val="19"/>
                <w:color w:val="auto"/>
              </w:rPr>
              <w:t>38</w:t>
            </w:r>
          </w:p>
        </w:tc>
      </w:tr>
      <w:tr>
        <w:trPr>
          <w:trHeight w:val="212"/>
        </w:trPr>
        <w:tc>
          <w:tcPr>
            <w:tcW w:w="54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2.</w:t>
            </w:r>
          </w:p>
        </w:tc>
        <w:tc>
          <w:tcPr>
            <w:tcW w:w="5540" w:type="dxa"/>
            <w:vAlign w:val="bottom"/>
          </w:tcPr>
          <w:p>
            <w:pPr>
              <w:ind w:left="40"/>
              <w:spacing w:after="0" w:line="213" w:lineRule="exact"/>
              <w:rPr>
                <w:sz w:val="20"/>
                <w:szCs w:val="20"/>
                <w:color w:val="auto"/>
              </w:rPr>
            </w:pPr>
            <w:r>
              <w:rPr>
                <w:rFonts w:ascii="Times New Roman" w:cs="Times New Roman" w:eastAsia="Times New Roman" w:hAnsi="Times New Roman"/>
                <w:sz w:val="19"/>
                <w:szCs w:val="19"/>
                <w:color w:val="auto"/>
              </w:rPr>
              <w:t>Issue of Voting Certificates and Block Voting Instructions</w:t>
            </w:r>
          </w:p>
        </w:tc>
        <w:tc>
          <w:tcPr>
            <w:tcW w:w="1760" w:type="dxa"/>
            <w:vAlign w:val="bottom"/>
          </w:tcPr>
          <w:p>
            <w:pPr>
              <w:jc w:val="right"/>
              <w:ind w:right="166"/>
              <w:spacing w:after="0" w:line="213" w:lineRule="exact"/>
              <w:rPr>
                <w:sz w:val="20"/>
                <w:szCs w:val="20"/>
                <w:color w:val="auto"/>
              </w:rPr>
            </w:pPr>
            <w:r>
              <w:rPr>
                <w:rFonts w:ascii="Times New Roman" w:cs="Times New Roman" w:eastAsia="Times New Roman" w:hAnsi="Times New Roman"/>
                <w:sz w:val="19"/>
                <w:szCs w:val="19"/>
                <w:color w:val="auto"/>
              </w:rPr>
              <w:t>40</w:t>
            </w:r>
          </w:p>
        </w:tc>
      </w:tr>
      <w:tr>
        <w:trPr>
          <w:trHeight w:val="212"/>
        </w:trPr>
        <w:tc>
          <w:tcPr>
            <w:tcW w:w="54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3.</w:t>
            </w:r>
          </w:p>
        </w:tc>
        <w:tc>
          <w:tcPr>
            <w:tcW w:w="5540" w:type="dxa"/>
            <w:vAlign w:val="bottom"/>
          </w:tcPr>
          <w:p>
            <w:pPr>
              <w:ind w:left="40"/>
              <w:spacing w:after="0" w:line="213" w:lineRule="exact"/>
              <w:rPr>
                <w:sz w:val="20"/>
                <w:szCs w:val="20"/>
                <w:color w:val="auto"/>
              </w:rPr>
            </w:pPr>
            <w:r>
              <w:rPr>
                <w:rFonts w:ascii="Times New Roman" w:cs="Times New Roman" w:eastAsia="Times New Roman" w:hAnsi="Times New Roman"/>
                <w:sz w:val="19"/>
                <w:szCs w:val="19"/>
                <w:color w:val="auto"/>
              </w:rPr>
              <w:t>References to Blocking/Release of Notes</w:t>
            </w:r>
          </w:p>
        </w:tc>
        <w:tc>
          <w:tcPr>
            <w:tcW w:w="1760" w:type="dxa"/>
            <w:vAlign w:val="bottom"/>
          </w:tcPr>
          <w:p>
            <w:pPr>
              <w:jc w:val="right"/>
              <w:ind w:right="166"/>
              <w:spacing w:after="0" w:line="213" w:lineRule="exact"/>
              <w:rPr>
                <w:sz w:val="20"/>
                <w:szCs w:val="20"/>
                <w:color w:val="auto"/>
              </w:rPr>
            </w:pPr>
            <w:r>
              <w:rPr>
                <w:rFonts w:ascii="Times New Roman" w:cs="Times New Roman" w:eastAsia="Times New Roman" w:hAnsi="Times New Roman"/>
                <w:sz w:val="19"/>
                <w:szCs w:val="19"/>
                <w:color w:val="auto"/>
              </w:rPr>
              <w:t>40</w:t>
            </w:r>
          </w:p>
        </w:tc>
      </w:tr>
      <w:tr>
        <w:trPr>
          <w:trHeight w:val="212"/>
        </w:trPr>
        <w:tc>
          <w:tcPr>
            <w:tcW w:w="54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4.</w:t>
            </w:r>
          </w:p>
        </w:tc>
        <w:tc>
          <w:tcPr>
            <w:tcW w:w="5540" w:type="dxa"/>
            <w:vAlign w:val="bottom"/>
          </w:tcPr>
          <w:p>
            <w:pPr>
              <w:ind w:left="40"/>
              <w:spacing w:after="0" w:line="213" w:lineRule="exact"/>
              <w:rPr>
                <w:sz w:val="20"/>
                <w:szCs w:val="20"/>
                <w:color w:val="auto"/>
              </w:rPr>
            </w:pPr>
            <w:r>
              <w:rPr>
                <w:rFonts w:ascii="Times New Roman" w:cs="Times New Roman" w:eastAsia="Times New Roman" w:hAnsi="Times New Roman"/>
                <w:sz w:val="19"/>
                <w:szCs w:val="19"/>
                <w:color w:val="auto"/>
              </w:rPr>
              <w:t>Validity of Block Voting Instructions and Forms of Proxy</w:t>
            </w:r>
          </w:p>
        </w:tc>
        <w:tc>
          <w:tcPr>
            <w:tcW w:w="1760" w:type="dxa"/>
            <w:vAlign w:val="bottom"/>
          </w:tcPr>
          <w:p>
            <w:pPr>
              <w:jc w:val="right"/>
              <w:ind w:right="166"/>
              <w:spacing w:after="0" w:line="213" w:lineRule="exact"/>
              <w:rPr>
                <w:sz w:val="20"/>
                <w:szCs w:val="20"/>
                <w:color w:val="auto"/>
              </w:rPr>
            </w:pPr>
            <w:r>
              <w:rPr>
                <w:rFonts w:ascii="Times New Roman" w:cs="Times New Roman" w:eastAsia="Times New Roman" w:hAnsi="Times New Roman"/>
                <w:sz w:val="19"/>
                <w:szCs w:val="19"/>
                <w:color w:val="auto"/>
              </w:rPr>
              <w:t>40</w:t>
            </w:r>
          </w:p>
        </w:tc>
      </w:tr>
      <w:tr>
        <w:trPr>
          <w:trHeight w:val="212"/>
        </w:trPr>
        <w:tc>
          <w:tcPr>
            <w:tcW w:w="54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5.</w:t>
            </w:r>
          </w:p>
        </w:tc>
        <w:tc>
          <w:tcPr>
            <w:tcW w:w="5540" w:type="dxa"/>
            <w:vAlign w:val="bottom"/>
          </w:tcPr>
          <w:p>
            <w:pPr>
              <w:ind w:left="40"/>
              <w:spacing w:after="0" w:line="213" w:lineRule="exact"/>
              <w:rPr>
                <w:sz w:val="20"/>
                <w:szCs w:val="20"/>
                <w:color w:val="auto"/>
              </w:rPr>
            </w:pPr>
            <w:r>
              <w:rPr>
                <w:rFonts w:ascii="Times New Roman" w:cs="Times New Roman" w:eastAsia="Times New Roman" w:hAnsi="Times New Roman"/>
                <w:sz w:val="19"/>
                <w:szCs w:val="19"/>
                <w:color w:val="auto"/>
              </w:rPr>
              <w:t>Record Date</w:t>
            </w:r>
          </w:p>
        </w:tc>
        <w:tc>
          <w:tcPr>
            <w:tcW w:w="1760" w:type="dxa"/>
            <w:vAlign w:val="bottom"/>
          </w:tcPr>
          <w:p>
            <w:pPr>
              <w:jc w:val="right"/>
              <w:ind w:right="166"/>
              <w:spacing w:after="0" w:line="213" w:lineRule="exact"/>
              <w:rPr>
                <w:sz w:val="20"/>
                <w:szCs w:val="20"/>
                <w:color w:val="auto"/>
              </w:rPr>
            </w:pPr>
            <w:r>
              <w:rPr>
                <w:rFonts w:ascii="Times New Roman" w:cs="Times New Roman" w:eastAsia="Times New Roman" w:hAnsi="Times New Roman"/>
                <w:sz w:val="19"/>
                <w:szCs w:val="19"/>
                <w:color w:val="auto"/>
              </w:rPr>
              <w:t>40</w:t>
            </w:r>
          </w:p>
        </w:tc>
      </w:tr>
      <w:tr>
        <w:trPr>
          <w:trHeight w:val="212"/>
        </w:trPr>
        <w:tc>
          <w:tcPr>
            <w:tcW w:w="54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6.</w:t>
            </w:r>
          </w:p>
        </w:tc>
        <w:tc>
          <w:tcPr>
            <w:tcW w:w="5540" w:type="dxa"/>
            <w:vAlign w:val="bottom"/>
          </w:tcPr>
          <w:p>
            <w:pPr>
              <w:ind w:left="40"/>
              <w:spacing w:after="0" w:line="213" w:lineRule="exact"/>
              <w:rPr>
                <w:sz w:val="20"/>
                <w:szCs w:val="20"/>
                <w:color w:val="auto"/>
              </w:rPr>
            </w:pPr>
            <w:r>
              <w:rPr>
                <w:rFonts w:ascii="Times New Roman" w:cs="Times New Roman" w:eastAsia="Times New Roman" w:hAnsi="Times New Roman"/>
                <w:sz w:val="19"/>
                <w:szCs w:val="19"/>
                <w:color w:val="auto"/>
              </w:rPr>
              <w:t>Convening of Meeting</w:t>
            </w:r>
          </w:p>
        </w:tc>
        <w:tc>
          <w:tcPr>
            <w:tcW w:w="1760" w:type="dxa"/>
            <w:vAlign w:val="bottom"/>
          </w:tcPr>
          <w:p>
            <w:pPr>
              <w:jc w:val="right"/>
              <w:ind w:right="166"/>
              <w:spacing w:after="0" w:line="213" w:lineRule="exact"/>
              <w:rPr>
                <w:sz w:val="20"/>
                <w:szCs w:val="20"/>
                <w:color w:val="auto"/>
              </w:rPr>
            </w:pPr>
            <w:r>
              <w:rPr>
                <w:rFonts w:ascii="Times New Roman" w:cs="Times New Roman" w:eastAsia="Times New Roman" w:hAnsi="Times New Roman"/>
                <w:sz w:val="19"/>
                <w:szCs w:val="19"/>
                <w:color w:val="auto"/>
              </w:rPr>
              <w:t>40</w:t>
            </w:r>
          </w:p>
        </w:tc>
      </w:tr>
      <w:tr>
        <w:trPr>
          <w:trHeight w:val="212"/>
        </w:trPr>
        <w:tc>
          <w:tcPr>
            <w:tcW w:w="54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7.</w:t>
            </w:r>
          </w:p>
        </w:tc>
        <w:tc>
          <w:tcPr>
            <w:tcW w:w="5540" w:type="dxa"/>
            <w:vAlign w:val="bottom"/>
          </w:tcPr>
          <w:p>
            <w:pPr>
              <w:ind w:left="40"/>
              <w:spacing w:after="0" w:line="213" w:lineRule="exact"/>
              <w:rPr>
                <w:sz w:val="20"/>
                <w:szCs w:val="20"/>
                <w:color w:val="auto"/>
              </w:rPr>
            </w:pPr>
            <w:r>
              <w:rPr>
                <w:rFonts w:ascii="Times New Roman" w:cs="Times New Roman" w:eastAsia="Times New Roman" w:hAnsi="Times New Roman"/>
                <w:sz w:val="19"/>
                <w:szCs w:val="19"/>
                <w:color w:val="auto"/>
              </w:rPr>
              <w:t>Notice</w:t>
            </w:r>
          </w:p>
        </w:tc>
        <w:tc>
          <w:tcPr>
            <w:tcW w:w="1760" w:type="dxa"/>
            <w:vAlign w:val="bottom"/>
          </w:tcPr>
          <w:p>
            <w:pPr>
              <w:jc w:val="right"/>
              <w:ind w:right="166"/>
              <w:spacing w:after="0" w:line="213" w:lineRule="exact"/>
              <w:rPr>
                <w:sz w:val="20"/>
                <w:szCs w:val="20"/>
                <w:color w:val="auto"/>
              </w:rPr>
            </w:pPr>
            <w:r>
              <w:rPr>
                <w:rFonts w:ascii="Times New Roman" w:cs="Times New Roman" w:eastAsia="Times New Roman" w:hAnsi="Times New Roman"/>
                <w:sz w:val="19"/>
                <w:szCs w:val="19"/>
                <w:color w:val="auto"/>
              </w:rPr>
              <w:t>41</w:t>
            </w:r>
          </w:p>
        </w:tc>
      </w:tr>
      <w:tr>
        <w:trPr>
          <w:trHeight w:val="212"/>
        </w:trPr>
        <w:tc>
          <w:tcPr>
            <w:tcW w:w="54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8.</w:t>
            </w:r>
          </w:p>
        </w:tc>
        <w:tc>
          <w:tcPr>
            <w:tcW w:w="5540" w:type="dxa"/>
            <w:vAlign w:val="bottom"/>
          </w:tcPr>
          <w:p>
            <w:pPr>
              <w:ind w:left="40"/>
              <w:spacing w:after="0" w:line="213" w:lineRule="exact"/>
              <w:rPr>
                <w:sz w:val="20"/>
                <w:szCs w:val="20"/>
                <w:color w:val="auto"/>
              </w:rPr>
            </w:pPr>
            <w:r>
              <w:rPr>
                <w:rFonts w:ascii="Times New Roman" w:cs="Times New Roman" w:eastAsia="Times New Roman" w:hAnsi="Times New Roman"/>
                <w:sz w:val="19"/>
                <w:szCs w:val="19"/>
                <w:color w:val="auto"/>
              </w:rPr>
              <w:t>Chairman</w:t>
            </w:r>
          </w:p>
        </w:tc>
        <w:tc>
          <w:tcPr>
            <w:tcW w:w="1760" w:type="dxa"/>
            <w:vAlign w:val="bottom"/>
          </w:tcPr>
          <w:p>
            <w:pPr>
              <w:jc w:val="right"/>
              <w:ind w:right="166"/>
              <w:spacing w:after="0" w:line="213" w:lineRule="exact"/>
              <w:rPr>
                <w:sz w:val="20"/>
                <w:szCs w:val="20"/>
                <w:color w:val="auto"/>
              </w:rPr>
            </w:pPr>
            <w:r>
              <w:rPr>
                <w:rFonts w:ascii="Times New Roman" w:cs="Times New Roman" w:eastAsia="Times New Roman" w:hAnsi="Times New Roman"/>
                <w:sz w:val="19"/>
                <w:szCs w:val="19"/>
                <w:color w:val="auto"/>
              </w:rPr>
              <w:t>41</w:t>
            </w:r>
          </w:p>
        </w:tc>
      </w:tr>
      <w:tr>
        <w:trPr>
          <w:trHeight w:val="212"/>
        </w:trPr>
        <w:tc>
          <w:tcPr>
            <w:tcW w:w="54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9.</w:t>
            </w:r>
          </w:p>
        </w:tc>
        <w:tc>
          <w:tcPr>
            <w:tcW w:w="5540" w:type="dxa"/>
            <w:vAlign w:val="bottom"/>
          </w:tcPr>
          <w:p>
            <w:pPr>
              <w:ind w:left="40"/>
              <w:spacing w:after="0" w:line="213" w:lineRule="exact"/>
              <w:rPr>
                <w:sz w:val="20"/>
                <w:szCs w:val="20"/>
                <w:color w:val="auto"/>
              </w:rPr>
            </w:pPr>
            <w:r>
              <w:rPr>
                <w:rFonts w:ascii="Times New Roman" w:cs="Times New Roman" w:eastAsia="Times New Roman" w:hAnsi="Times New Roman"/>
                <w:sz w:val="19"/>
                <w:szCs w:val="19"/>
                <w:color w:val="auto"/>
              </w:rPr>
              <w:t>Quorum</w:t>
            </w:r>
          </w:p>
        </w:tc>
        <w:tc>
          <w:tcPr>
            <w:tcW w:w="1760" w:type="dxa"/>
            <w:vAlign w:val="bottom"/>
          </w:tcPr>
          <w:p>
            <w:pPr>
              <w:jc w:val="right"/>
              <w:ind w:right="166"/>
              <w:spacing w:after="0" w:line="213" w:lineRule="exact"/>
              <w:rPr>
                <w:sz w:val="20"/>
                <w:szCs w:val="20"/>
                <w:color w:val="auto"/>
              </w:rPr>
            </w:pPr>
            <w:r>
              <w:rPr>
                <w:rFonts w:ascii="Times New Roman" w:cs="Times New Roman" w:eastAsia="Times New Roman" w:hAnsi="Times New Roman"/>
                <w:sz w:val="19"/>
                <w:szCs w:val="19"/>
                <w:color w:val="auto"/>
              </w:rPr>
              <w:t>41</w:t>
            </w:r>
          </w:p>
        </w:tc>
      </w:tr>
      <w:tr>
        <w:trPr>
          <w:trHeight w:val="212"/>
        </w:trPr>
        <w:tc>
          <w:tcPr>
            <w:tcW w:w="54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10.</w:t>
            </w:r>
          </w:p>
        </w:tc>
        <w:tc>
          <w:tcPr>
            <w:tcW w:w="5540" w:type="dxa"/>
            <w:vAlign w:val="bottom"/>
          </w:tcPr>
          <w:p>
            <w:pPr>
              <w:ind w:left="40"/>
              <w:spacing w:after="0" w:line="213" w:lineRule="exact"/>
              <w:rPr>
                <w:sz w:val="20"/>
                <w:szCs w:val="20"/>
                <w:color w:val="auto"/>
              </w:rPr>
            </w:pPr>
            <w:r>
              <w:rPr>
                <w:rFonts w:ascii="Times New Roman" w:cs="Times New Roman" w:eastAsia="Times New Roman" w:hAnsi="Times New Roman"/>
                <w:sz w:val="19"/>
                <w:szCs w:val="19"/>
                <w:color w:val="auto"/>
              </w:rPr>
              <w:t>Adjournment for Want of Quorum</w:t>
            </w:r>
          </w:p>
        </w:tc>
        <w:tc>
          <w:tcPr>
            <w:tcW w:w="1760" w:type="dxa"/>
            <w:vAlign w:val="bottom"/>
          </w:tcPr>
          <w:p>
            <w:pPr>
              <w:jc w:val="right"/>
              <w:ind w:right="166"/>
              <w:spacing w:after="0" w:line="213" w:lineRule="exact"/>
              <w:rPr>
                <w:sz w:val="20"/>
                <w:szCs w:val="20"/>
                <w:color w:val="auto"/>
              </w:rPr>
            </w:pPr>
            <w:r>
              <w:rPr>
                <w:rFonts w:ascii="Times New Roman" w:cs="Times New Roman" w:eastAsia="Times New Roman" w:hAnsi="Times New Roman"/>
                <w:sz w:val="19"/>
                <w:szCs w:val="19"/>
                <w:color w:val="auto"/>
              </w:rPr>
              <w:t>41</w:t>
            </w:r>
          </w:p>
        </w:tc>
      </w:tr>
      <w:tr>
        <w:trPr>
          <w:trHeight w:val="212"/>
        </w:trPr>
        <w:tc>
          <w:tcPr>
            <w:tcW w:w="54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11.</w:t>
            </w:r>
          </w:p>
        </w:tc>
        <w:tc>
          <w:tcPr>
            <w:tcW w:w="5540" w:type="dxa"/>
            <w:vAlign w:val="bottom"/>
          </w:tcPr>
          <w:p>
            <w:pPr>
              <w:ind w:left="40"/>
              <w:spacing w:after="0" w:line="213" w:lineRule="exact"/>
              <w:rPr>
                <w:sz w:val="20"/>
                <w:szCs w:val="20"/>
                <w:color w:val="auto"/>
              </w:rPr>
            </w:pPr>
            <w:r>
              <w:rPr>
                <w:rFonts w:ascii="Times New Roman" w:cs="Times New Roman" w:eastAsia="Times New Roman" w:hAnsi="Times New Roman"/>
                <w:sz w:val="19"/>
                <w:szCs w:val="19"/>
                <w:color w:val="auto"/>
              </w:rPr>
              <w:t>Adjourned Meeting</w:t>
            </w:r>
          </w:p>
        </w:tc>
        <w:tc>
          <w:tcPr>
            <w:tcW w:w="1760" w:type="dxa"/>
            <w:vAlign w:val="bottom"/>
          </w:tcPr>
          <w:p>
            <w:pPr>
              <w:jc w:val="right"/>
              <w:ind w:right="166"/>
              <w:spacing w:after="0" w:line="213" w:lineRule="exact"/>
              <w:rPr>
                <w:sz w:val="20"/>
                <w:szCs w:val="20"/>
                <w:color w:val="auto"/>
              </w:rPr>
            </w:pPr>
            <w:r>
              <w:rPr>
                <w:rFonts w:ascii="Times New Roman" w:cs="Times New Roman" w:eastAsia="Times New Roman" w:hAnsi="Times New Roman"/>
                <w:sz w:val="19"/>
                <w:szCs w:val="19"/>
                <w:color w:val="auto"/>
              </w:rPr>
              <w:t>41</w:t>
            </w:r>
          </w:p>
        </w:tc>
      </w:tr>
      <w:tr>
        <w:trPr>
          <w:trHeight w:val="212"/>
        </w:trPr>
        <w:tc>
          <w:tcPr>
            <w:tcW w:w="54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12.</w:t>
            </w:r>
          </w:p>
        </w:tc>
        <w:tc>
          <w:tcPr>
            <w:tcW w:w="5540" w:type="dxa"/>
            <w:vAlign w:val="bottom"/>
          </w:tcPr>
          <w:p>
            <w:pPr>
              <w:ind w:left="40"/>
              <w:spacing w:after="0" w:line="213" w:lineRule="exact"/>
              <w:rPr>
                <w:sz w:val="20"/>
                <w:szCs w:val="20"/>
                <w:color w:val="auto"/>
              </w:rPr>
            </w:pPr>
            <w:r>
              <w:rPr>
                <w:rFonts w:ascii="Times New Roman" w:cs="Times New Roman" w:eastAsia="Times New Roman" w:hAnsi="Times New Roman"/>
                <w:sz w:val="19"/>
                <w:szCs w:val="19"/>
                <w:color w:val="auto"/>
              </w:rPr>
              <w:t>Notice following Adjournment</w:t>
            </w:r>
          </w:p>
        </w:tc>
        <w:tc>
          <w:tcPr>
            <w:tcW w:w="1760" w:type="dxa"/>
            <w:vAlign w:val="bottom"/>
          </w:tcPr>
          <w:p>
            <w:pPr>
              <w:jc w:val="right"/>
              <w:ind w:right="166"/>
              <w:spacing w:after="0" w:line="213" w:lineRule="exact"/>
              <w:rPr>
                <w:sz w:val="20"/>
                <w:szCs w:val="20"/>
                <w:color w:val="auto"/>
              </w:rPr>
            </w:pPr>
            <w:r>
              <w:rPr>
                <w:rFonts w:ascii="Times New Roman" w:cs="Times New Roman" w:eastAsia="Times New Roman" w:hAnsi="Times New Roman"/>
                <w:sz w:val="19"/>
                <w:szCs w:val="19"/>
                <w:color w:val="auto"/>
              </w:rPr>
              <w:t>42</w:t>
            </w:r>
          </w:p>
        </w:tc>
      </w:tr>
      <w:tr>
        <w:trPr>
          <w:trHeight w:val="212"/>
        </w:trPr>
        <w:tc>
          <w:tcPr>
            <w:tcW w:w="54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13.</w:t>
            </w:r>
          </w:p>
        </w:tc>
        <w:tc>
          <w:tcPr>
            <w:tcW w:w="5540" w:type="dxa"/>
            <w:vAlign w:val="bottom"/>
          </w:tcPr>
          <w:p>
            <w:pPr>
              <w:ind w:left="40"/>
              <w:spacing w:after="0" w:line="213" w:lineRule="exact"/>
              <w:rPr>
                <w:sz w:val="20"/>
                <w:szCs w:val="20"/>
                <w:color w:val="auto"/>
              </w:rPr>
            </w:pPr>
            <w:r>
              <w:rPr>
                <w:rFonts w:ascii="Times New Roman" w:cs="Times New Roman" w:eastAsia="Times New Roman" w:hAnsi="Times New Roman"/>
                <w:sz w:val="19"/>
                <w:szCs w:val="19"/>
                <w:color w:val="auto"/>
              </w:rPr>
              <w:t>Participation</w:t>
            </w:r>
          </w:p>
        </w:tc>
        <w:tc>
          <w:tcPr>
            <w:tcW w:w="1760" w:type="dxa"/>
            <w:vAlign w:val="bottom"/>
          </w:tcPr>
          <w:p>
            <w:pPr>
              <w:jc w:val="right"/>
              <w:ind w:right="166"/>
              <w:spacing w:after="0" w:line="213" w:lineRule="exact"/>
              <w:rPr>
                <w:sz w:val="20"/>
                <w:szCs w:val="20"/>
                <w:color w:val="auto"/>
              </w:rPr>
            </w:pPr>
            <w:r>
              <w:rPr>
                <w:rFonts w:ascii="Times New Roman" w:cs="Times New Roman" w:eastAsia="Times New Roman" w:hAnsi="Times New Roman"/>
                <w:sz w:val="19"/>
                <w:szCs w:val="19"/>
                <w:color w:val="auto"/>
              </w:rPr>
              <w:t>42</w:t>
            </w:r>
          </w:p>
        </w:tc>
      </w:tr>
      <w:tr>
        <w:trPr>
          <w:trHeight w:val="212"/>
        </w:trPr>
        <w:tc>
          <w:tcPr>
            <w:tcW w:w="54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14.</w:t>
            </w:r>
          </w:p>
        </w:tc>
        <w:tc>
          <w:tcPr>
            <w:tcW w:w="5540" w:type="dxa"/>
            <w:vAlign w:val="bottom"/>
          </w:tcPr>
          <w:p>
            <w:pPr>
              <w:ind w:left="40"/>
              <w:spacing w:after="0" w:line="213" w:lineRule="exact"/>
              <w:rPr>
                <w:sz w:val="20"/>
                <w:szCs w:val="20"/>
                <w:color w:val="auto"/>
              </w:rPr>
            </w:pPr>
            <w:r>
              <w:rPr>
                <w:rFonts w:ascii="Times New Roman" w:cs="Times New Roman" w:eastAsia="Times New Roman" w:hAnsi="Times New Roman"/>
                <w:sz w:val="19"/>
                <w:szCs w:val="19"/>
                <w:color w:val="auto"/>
              </w:rPr>
              <w:t>Show of Hands</w:t>
            </w:r>
          </w:p>
        </w:tc>
        <w:tc>
          <w:tcPr>
            <w:tcW w:w="1760" w:type="dxa"/>
            <w:vAlign w:val="bottom"/>
          </w:tcPr>
          <w:p>
            <w:pPr>
              <w:jc w:val="right"/>
              <w:ind w:right="166"/>
              <w:spacing w:after="0" w:line="213" w:lineRule="exact"/>
              <w:rPr>
                <w:sz w:val="20"/>
                <w:szCs w:val="20"/>
                <w:color w:val="auto"/>
              </w:rPr>
            </w:pPr>
            <w:r>
              <w:rPr>
                <w:rFonts w:ascii="Times New Roman" w:cs="Times New Roman" w:eastAsia="Times New Roman" w:hAnsi="Times New Roman"/>
                <w:sz w:val="19"/>
                <w:szCs w:val="19"/>
                <w:color w:val="auto"/>
              </w:rPr>
              <w:t>42</w:t>
            </w:r>
          </w:p>
        </w:tc>
      </w:tr>
      <w:tr>
        <w:trPr>
          <w:trHeight w:val="212"/>
        </w:trPr>
        <w:tc>
          <w:tcPr>
            <w:tcW w:w="54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15.</w:t>
            </w:r>
          </w:p>
        </w:tc>
        <w:tc>
          <w:tcPr>
            <w:tcW w:w="5540" w:type="dxa"/>
            <w:vAlign w:val="bottom"/>
          </w:tcPr>
          <w:p>
            <w:pPr>
              <w:ind w:left="40"/>
              <w:spacing w:after="0" w:line="213" w:lineRule="exact"/>
              <w:rPr>
                <w:sz w:val="20"/>
                <w:szCs w:val="20"/>
                <w:color w:val="auto"/>
              </w:rPr>
            </w:pPr>
            <w:r>
              <w:rPr>
                <w:rFonts w:ascii="Times New Roman" w:cs="Times New Roman" w:eastAsia="Times New Roman" w:hAnsi="Times New Roman"/>
                <w:sz w:val="19"/>
                <w:szCs w:val="19"/>
                <w:color w:val="auto"/>
              </w:rPr>
              <w:t>Poll</w:t>
            </w:r>
          </w:p>
        </w:tc>
        <w:tc>
          <w:tcPr>
            <w:tcW w:w="1760" w:type="dxa"/>
            <w:vAlign w:val="bottom"/>
          </w:tcPr>
          <w:p>
            <w:pPr>
              <w:jc w:val="right"/>
              <w:ind w:right="166"/>
              <w:spacing w:after="0" w:line="213" w:lineRule="exact"/>
              <w:rPr>
                <w:sz w:val="20"/>
                <w:szCs w:val="20"/>
                <w:color w:val="auto"/>
              </w:rPr>
            </w:pPr>
            <w:r>
              <w:rPr>
                <w:rFonts w:ascii="Times New Roman" w:cs="Times New Roman" w:eastAsia="Times New Roman" w:hAnsi="Times New Roman"/>
                <w:sz w:val="19"/>
                <w:szCs w:val="19"/>
                <w:color w:val="auto"/>
              </w:rPr>
              <w:t>42</w:t>
            </w:r>
          </w:p>
        </w:tc>
      </w:tr>
      <w:tr>
        <w:trPr>
          <w:trHeight w:val="212"/>
        </w:trPr>
        <w:tc>
          <w:tcPr>
            <w:tcW w:w="54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16.</w:t>
            </w:r>
          </w:p>
        </w:tc>
        <w:tc>
          <w:tcPr>
            <w:tcW w:w="5540" w:type="dxa"/>
            <w:vAlign w:val="bottom"/>
          </w:tcPr>
          <w:p>
            <w:pPr>
              <w:ind w:left="40"/>
              <w:spacing w:after="0" w:line="213" w:lineRule="exact"/>
              <w:rPr>
                <w:sz w:val="20"/>
                <w:szCs w:val="20"/>
                <w:color w:val="auto"/>
              </w:rPr>
            </w:pPr>
            <w:r>
              <w:rPr>
                <w:rFonts w:ascii="Times New Roman" w:cs="Times New Roman" w:eastAsia="Times New Roman" w:hAnsi="Times New Roman"/>
                <w:sz w:val="19"/>
                <w:szCs w:val="19"/>
                <w:color w:val="auto"/>
              </w:rPr>
              <w:t>Votes</w:t>
            </w:r>
          </w:p>
        </w:tc>
        <w:tc>
          <w:tcPr>
            <w:tcW w:w="1760" w:type="dxa"/>
            <w:vAlign w:val="bottom"/>
          </w:tcPr>
          <w:p>
            <w:pPr>
              <w:jc w:val="right"/>
              <w:ind w:right="166"/>
              <w:spacing w:after="0" w:line="213" w:lineRule="exact"/>
              <w:rPr>
                <w:sz w:val="20"/>
                <w:szCs w:val="20"/>
                <w:color w:val="auto"/>
              </w:rPr>
            </w:pPr>
            <w:r>
              <w:rPr>
                <w:rFonts w:ascii="Times New Roman" w:cs="Times New Roman" w:eastAsia="Times New Roman" w:hAnsi="Times New Roman"/>
                <w:sz w:val="19"/>
                <w:szCs w:val="19"/>
                <w:color w:val="auto"/>
              </w:rPr>
              <w:t>42</w:t>
            </w:r>
          </w:p>
        </w:tc>
      </w:tr>
      <w:tr>
        <w:trPr>
          <w:trHeight w:val="212"/>
        </w:trPr>
        <w:tc>
          <w:tcPr>
            <w:tcW w:w="54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17.</w:t>
            </w:r>
          </w:p>
        </w:tc>
        <w:tc>
          <w:tcPr>
            <w:tcW w:w="5540" w:type="dxa"/>
            <w:vAlign w:val="bottom"/>
          </w:tcPr>
          <w:p>
            <w:pPr>
              <w:ind w:left="40"/>
              <w:spacing w:after="0" w:line="213" w:lineRule="exact"/>
              <w:rPr>
                <w:sz w:val="20"/>
                <w:szCs w:val="20"/>
                <w:color w:val="auto"/>
              </w:rPr>
            </w:pPr>
            <w:r>
              <w:rPr>
                <w:rFonts w:ascii="Times New Roman" w:cs="Times New Roman" w:eastAsia="Times New Roman" w:hAnsi="Times New Roman"/>
                <w:sz w:val="19"/>
                <w:szCs w:val="19"/>
                <w:color w:val="auto"/>
              </w:rPr>
              <w:t>Validity of Votes by Proxies</w:t>
            </w:r>
          </w:p>
        </w:tc>
        <w:tc>
          <w:tcPr>
            <w:tcW w:w="1760" w:type="dxa"/>
            <w:vAlign w:val="bottom"/>
          </w:tcPr>
          <w:p>
            <w:pPr>
              <w:jc w:val="right"/>
              <w:ind w:right="166"/>
              <w:spacing w:after="0" w:line="213" w:lineRule="exact"/>
              <w:rPr>
                <w:sz w:val="20"/>
                <w:szCs w:val="20"/>
                <w:color w:val="auto"/>
              </w:rPr>
            </w:pPr>
            <w:r>
              <w:rPr>
                <w:rFonts w:ascii="Times New Roman" w:cs="Times New Roman" w:eastAsia="Times New Roman" w:hAnsi="Times New Roman"/>
                <w:sz w:val="19"/>
                <w:szCs w:val="19"/>
                <w:color w:val="auto"/>
              </w:rPr>
              <w:t>43</w:t>
            </w:r>
          </w:p>
        </w:tc>
      </w:tr>
      <w:tr>
        <w:trPr>
          <w:trHeight w:val="212"/>
        </w:trPr>
        <w:tc>
          <w:tcPr>
            <w:tcW w:w="54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18.</w:t>
            </w:r>
          </w:p>
        </w:tc>
        <w:tc>
          <w:tcPr>
            <w:tcW w:w="5540" w:type="dxa"/>
            <w:vAlign w:val="bottom"/>
          </w:tcPr>
          <w:p>
            <w:pPr>
              <w:ind w:left="40"/>
              <w:spacing w:after="0" w:line="213" w:lineRule="exact"/>
              <w:rPr>
                <w:sz w:val="20"/>
                <w:szCs w:val="20"/>
                <w:color w:val="auto"/>
              </w:rPr>
            </w:pPr>
            <w:r>
              <w:rPr>
                <w:rFonts w:ascii="Times New Roman" w:cs="Times New Roman" w:eastAsia="Times New Roman" w:hAnsi="Times New Roman"/>
                <w:sz w:val="19"/>
                <w:szCs w:val="19"/>
                <w:color w:val="auto"/>
              </w:rPr>
              <w:t>Powers</w:t>
            </w:r>
          </w:p>
        </w:tc>
        <w:tc>
          <w:tcPr>
            <w:tcW w:w="1760" w:type="dxa"/>
            <w:vAlign w:val="bottom"/>
          </w:tcPr>
          <w:p>
            <w:pPr>
              <w:jc w:val="right"/>
              <w:ind w:right="166"/>
              <w:spacing w:after="0" w:line="213" w:lineRule="exact"/>
              <w:rPr>
                <w:sz w:val="20"/>
                <w:szCs w:val="20"/>
                <w:color w:val="auto"/>
              </w:rPr>
            </w:pPr>
            <w:r>
              <w:rPr>
                <w:rFonts w:ascii="Times New Roman" w:cs="Times New Roman" w:eastAsia="Times New Roman" w:hAnsi="Times New Roman"/>
                <w:sz w:val="19"/>
                <w:szCs w:val="19"/>
                <w:color w:val="auto"/>
              </w:rPr>
              <w:t>43</w:t>
            </w:r>
          </w:p>
        </w:tc>
      </w:tr>
      <w:tr>
        <w:trPr>
          <w:trHeight w:val="212"/>
        </w:trPr>
        <w:tc>
          <w:tcPr>
            <w:tcW w:w="54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19.</w:t>
            </w:r>
          </w:p>
        </w:tc>
        <w:tc>
          <w:tcPr>
            <w:tcW w:w="5540" w:type="dxa"/>
            <w:vAlign w:val="bottom"/>
          </w:tcPr>
          <w:p>
            <w:pPr>
              <w:ind w:left="40"/>
              <w:spacing w:after="0" w:line="213" w:lineRule="exact"/>
              <w:rPr>
                <w:sz w:val="20"/>
                <w:szCs w:val="20"/>
                <w:color w:val="auto"/>
              </w:rPr>
            </w:pPr>
            <w:r>
              <w:rPr>
                <w:rFonts w:ascii="Times New Roman" w:cs="Times New Roman" w:eastAsia="Times New Roman" w:hAnsi="Times New Roman"/>
                <w:sz w:val="19"/>
                <w:szCs w:val="19"/>
                <w:color w:val="auto"/>
              </w:rPr>
              <w:t>Extraordinary Resolution Binds all Holders</w:t>
            </w:r>
          </w:p>
        </w:tc>
        <w:tc>
          <w:tcPr>
            <w:tcW w:w="1760" w:type="dxa"/>
            <w:vAlign w:val="bottom"/>
          </w:tcPr>
          <w:p>
            <w:pPr>
              <w:jc w:val="right"/>
              <w:ind w:right="166"/>
              <w:spacing w:after="0" w:line="213" w:lineRule="exact"/>
              <w:rPr>
                <w:sz w:val="20"/>
                <w:szCs w:val="20"/>
                <w:color w:val="auto"/>
              </w:rPr>
            </w:pPr>
            <w:r>
              <w:rPr>
                <w:rFonts w:ascii="Times New Roman" w:cs="Times New Roman" w:eastAsia="Times New Roman" w:hAnsi="Times New Roman"/>
                <w:sz w:val="19"/>
                <w:szCs w:val="19"/>
                <w:color w:val="auto"/>
              </w:rPr>
              <w:t>44</w:t>
            </w:r>
          </w:p>
        </w:tc>
      </w:tr>
      <w:tr>
        <w:trPr>
          <w:trHeight w:val="212"/>
        </w:trPr>
        <w:tc>
          <w:tcPr>
            <w:tcW w:w="540" w:type="dxa"/>
            <w:vAlign w:val="bottom"/>
            <w:gridSpan w:val="2"/>
          </w:tcPr>
          <w:p>
            <w:pPr>
              <w:spacing w:after="0" w:line="213" w:lineRule="exact"/>
              <w:rPr>
                <w:sz w:val="20"/>
                <w:szCs w:val="20"/>
                <w:color w:val="auto"/>
              </w:rPr>
            </w:pPr>
            <w:r>
              <w:rPr>
                <w:rFonts w:ascii="Times New Roman" w:cs="Times New Roman" w:eastAsia="Times New Roman" w:hAnsi="Times New Roman"/>
                <w:sz w:val="19"/>
                <w:szCs w:val="19"/>
                <w:color w:val="auto"/>
              </w:rPr>
              <w:t>20.</w:t>
            </w:r>
          </w:p>
        </w:tc>
        <w:tc>
          <w:tcPr>
            <w:tcW w:w="5540" w:type="dxa"/>
            <w:vAlign w:val="bottom"/>
          </w:tcPr>
          <w:p>
            <w:pPr>
              <w:ind w:left="40"/>
              <w:spacing w:after="0" w:line="213" w:lineRule="exact"/>
              <w:rPr>
                <w:sz w:val="20"/>
                <w:szCs w:val="20"/>
                <w:color w:val="auto"/>
              </w:rPr>
            </w:pPr>
            <w:r>
              <w:rPr>
                <w:rFonts w:ascii="Times New Roman" w:cs="Times New Roman" w:eastAsia="Times New Roman" w:hAnsi="Times New Roman"/>
                <w:sz w:val="19"/>
                <w:szCs w:val="19"/>
                <w:color w:val="auto"/>
              </w:rPr>
              <w:t>Minutes</w:t>
            </w:r>
          </w:p>
        </w:tc>
        <w:tc>
          <w:tcPr>
            <w:tcW w:w="1760" w:type="dxa"/>
            <w:vAlign w:val="bottom"/>
          </w:tcPr>
          <w:p>
            <w:pPr>
              <w:jc w:val="right"/>
              <w:ind w:right="166"/>
              <w:spacing w:after="0" w:line="213" w:lineRule="exact"/>
              <w:rPr>
                <w:sz w:val="20"/>
                <w:szCs w:val="20"/>
                <w:color w:val="auto"/>
              </w:rPr>
            </w:pPr>
            <w:r>
              <w:rPr>
                <w:rFonts w:ascii="Times New Roman" w:cs="Times New Roman" w:eastAsia="Times New Roman" w:hAnsi="Times New Roman"/>
                <w:sz w:val="19"/>
                <w:szCs w:val="19"/>
                <w:color w:val="auto"/>
              </w:rPr>
              <w:t>44</w:t>
            </w:r>
          </w:p>
        </w:tc>
      </w:tr>
      <w:tr>
        <w:trPr>
          <w:trHeight w:val="244"/>
        </w:trPr>
        <w:tc>
          <w:tcPr>
            <w:tcW w:w="5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21.</w:t>
            </w:r>
          </w:p>
        </w:tc>
        <w:tc>
          <w:tcPr>
            <w:tcW w:w="55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Written Resolution</w:t>
            </w:r>
          </w:p>
        </w:tc>
        <w:tc>
          <w:tcPr>
            <w:tcW w:w="1760" w:type="dxa"/>
            <w:vAlign w:val="bottom"/>
          </w:tcPr>
          <w:p>
            <w:pPr>
              <w:jc w:val="right"/>
              <w:ind w:right="166"/>
              <w:spacing w:after="0"/>
              <w:rPr>
                <w:sz w:val="20"/>
                <w:szCs w:val="20"/>
                <w:color w:val="auto"/>
              </w:rPr>
            </w:pPr>
            <w:r>
              <w:rPr>
                <w:rFonts w:ascii="Times New Roman" w:cs="Times New Roman" w:eastAsia="Times New Roman" w:hAnsi="Times New Roman"/>
                <w:sz w:val="19"/>
                <w:szCs w:val="19"/>
                <w:color w:val="auto"/>
              </w:rPr>
              <w:t>44</w:t>
            </w: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540" w:type="dxa"/>
            <w:vAlign w:val="bottom"/>
          </w:tcPr>
          <w:p>
            <w:pPr>
              <w:ind w:left="3340"/>
              <w:spacing w:after="0"/>
              <w:rPr>
                <w:sz w:val="20"/>
                <w:szCs w:val="20"/>
                <w:color w:val="auto"/>
              </w:rPr>
            </w:pPr>
            <w:r>
              <w:rPr>
                <w:rFonts w:ascii="Times New Roman" w:cs="Times New Roman" w:eastAsia="Times New Roman" w:hAnsi="Times New Roman"/>
                <w:sz w:val="13"/>
                <w:szCs w:val="13"/>
                <w:color w:val="auto"/>
              </w:rPr>
              <w:t>37</w:t>
            </w:r>
          </w:p>
        </w:tc>
        <w:tc>
          <w:tcPr>
            <w:tcW w:w="1760" w:type="dxa"/>
            <w:vAlign w:val="bottom"/>
          </w:tcPr>
          <w:p>
            <w:pPr>
              <w:spacing w:after="0"/>
              <w:rPr>
                <w:sz w:val="24"/>
                <w:szCs w:val="24"/>
                <w:color w:val="auto"/>
              </w:rPr>
            </w:pPr>
          </w:p>
        </w:tc>
      </w:tr>
      <w:tr>
        <w:trPr>
          <w:trHeight w:val="154"/>
        </w:trPr>
        <w:tc>
          <w:tcPr>
            <w:tcW w:w="20" w:type="dxa"/>
            <w:vAlign w:val="bottom"/>
          </w:tcPr>
          <w:p>
            <w:pPr>
              <w:spacing w:after="0"/>
              <w:rPr>
                <w:sz w:val="13"/>
                <w:szCs w:val="13"/>
                <w:color w:val="auto"/>
              </w:rPr>
            </w:pPr>
          </w:p>
        </w:tc>
        <w:tc>
          <w:tcPr>
            <w:tcW w:w="520" w:type="dxa"/>
            <w:vAlign w:val="bottom"/>
            <w:tcBorders>
              <w:bottom w:val="single" w:sz="8" w:color="909090"/>
            </w:tcBorders>
          </w:tcPr>
          <w:p>
            <w:pPr>
              <w:spacing w:after="0"/>
              <w:rPr>
                <w:sz w:val="13"/>
                <w:szCs w:val="13"/>
                <w:color w:val="auto"/>
              </w:rPr>
            </w:pPr>
          </w:p>
        </w:tc>
        <w:tc>
          <w:tcPr>
            <w:tcW w:w="5540" w:type="dxa"/>
            <w:vAlign w:val="bottom"/>
            <w:tcBorders>
              <w:bottom w:val="single" w:sz="8" w:color="909090"/>
            </w:tcBorders>
          </w:tcPr>
          <w:p>
            <w:pPr>
              <w:spacing w:after="0"/>
              <w:rPr>
                <w:sz w:val="13"/>
                <w:szCs w:val="13"/>
                <w:color w:val="auto"/>
              </w:rPr>
            </w:pPr>
          </w:p>
        </w:tc>
        <w:tc>
          <w:tcPr>
            <w:tcW w:w="1760" w:type="dxa"/>
            <w:vAlign w:val="bottom"/>
            <w:tcBorders>
              <w:bottom w:val="single" w:sz="8" w:color="909090"/>
            </w:tcBorders>
          </w:tcPr>
          <w:p>
            <w:pPr>
              <w:spacing w:after="0"/>
              <w:rPr>
                <w:sz w:val="13"/>
                <w:szCs w:val="13"/>
                <w:color w:val="auto"/>
              </w:rPr>
            </w:pPr>
          </w:p>
        </w:tc>
      </w:tr>
    </w:tbl>
    <w:p>
      <w:pPr>
        <w:sectPr>
          <w:pgSz w:w="11900" w:h="16838" w:orient="portrait"/>
          <w:cols w:equalWidth="0" w:num="1">
            <w:col w:w="9259"/>
          </w:cols>
          <w:pgMar w:left="1200" w:top="115" w:right="1440" w:bottom="1440" w:gutter="0" w:footer="0" w:header="0"/>
        </w:sectPr>
      </w:pPr>
    </w:p>
    <w:bookmarkStart w:id="44" w:name="page45"/>
    <w:bookmarkEnd w:id="44"/>
    <w:p>
      <w:pPr>
        <w:ind w:left="1653"/>
        <w:spacing w:after="0"/>
        <w:rPr>
          <w:sz w:val="20"/>
          <w:szCs w:val="20"/>
          <w:color w:val="auto"/>
        </w:rPr>
      </w:pPr>
      <w:r>
        <w:rPr>
          <w:rFonts w:ascii="Times New Roman" w:cs="Times New Roman" w:eastAsia="Times New Roman" w:hAnsi="Times New Roman"/>
          <w:sz w:val="17"/>
          <w:szCs w:val="17"/>
          <w:b w:val="1"/>
          <w:bCs w:val="1"/>
          <w:color w:val="auto"/>
        </w:rPr>
        <w:t>PROVISIONS FOR MEETINGS OF THE NOTEHOLDERS</w:t>
      </w:r>
    </w:p>
    <w:p>
      <w:pPr>
        <w:spacing w:after="0" w:line="195" w:lineRule="exact"/>
        <w:rPr>
          <w:sz w:val="20"/>
          <w:szCs w:val="20"/>
          <w:color w:val="auto"/>
        </w:rPr>
      </w:pPr>
    </w:p>
    <w:p>
      <w:pPr>
        <w:ind w:left="573" w:hanging="573"/>
        <w:spacing w:after="0"/>
        <w:tabs>
          <w:tab w:leader="none" w:pos="573"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DEFINITIONS</w:t>
      </w:r>
    </w:p>
    <w:p>
      <w:pPr>
        <w:spacing w:after="0" w:line="195" w:lineRule="exact"/>
        <w:rPr>
          <w:rFonts w:ascii="Times New Roman" w:cs="Times New Roman" w:eastAsia="Times New Roman" w:hAnsi="Times New Roman"/>
          <w:sz w:val="17"/>
          <w:szCs w:val="17"/>
          <w:b w:val="1"/>
          <w:bCs w:val="1"/>
          <w:color w:val="auto"/>
        </w:rPr>
      </w:pPr>
    </w:p>
    <w:p>
      <w:pPr>
        <w:ind w:left="573" w:right="1419"/>
        <w:spacing w:after="0" w:line="28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this Agreement and terms and conditions of the Notes, the following expressions have the following meanings:</w:t>
      </w:r>
    </w:p>
    <w:p>
      <w:pPr>
        <w:spacing w:after="0" w:line="127" w:lineRule="exact"/>
        <w:rPr>
          <w:rFonts w:ascii="Times New Roman" w:cs="Times New Roman" w:eastAsia="Times New Roman" w:hAnsi="Times New Roman"/>
          <w:sz w:val="17"/>
          <w:szCs w:val="17"/>
          <w:b w:val="1"/>
          <w:bCs w:val="1"/>
          <w:color w:val="auto"/>
        </w:rPr>
      </w:pPr>
    </w:p>
    <w:p>
      <w:pPr>
        <w:ind w:left="573" w:right="1419"/>
        <w:spacing w:after="0" w:line="28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Block Voting Instruction </w:t>
      </w:r>
      <w:r>
        <w:rPr>
          <w:rFonts w:ascii="Times New Roman" w:cs="Times New Roman" w:eastAsia="Times New Roman" w:hAnsi="Times New Roman"/>
          <w:sz w:val="17"/>
          <w:szCs w:val="17"/>
          <w:color w:val="auto"/>
        </w:rPr>
        <w:t>means, in relation to any Meeting, a document in the English language issued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the Registrar:</w:t>
      </w:r>
    </w:p>
    <w:p>
      <w:pPr>
        <w:spacing w:after="0" w:line="124" w:lineRule="exact"/>
        <w:rPr>
          <w:rFonts w:ascii="Times New Roman" w:cs="Times New Roman" w:eastAsia="Times New Roman" w:hAnsi="Times New Roman"/>
          <w:sz w:val="17"/>
          <w:szCs w:val="17"/>
          <w:b w:val="1"/>
          <w:bCs w:val="1"/>
          <w:color w:val="auto"/>
        </w:rPr>
      </w:pPr>
    </w:p>
    <w:p>
      <w:pPr>
        <w:jc w:val="both"/>
        <w:ind w:left="1133" w:right="1399" w:hanging="567"/>
        <w:spacing w:after="0" w:line="251" w:lineRule="auto"/>
        <w:tabs>
          <w:tab w:leader="none" w:pos="1133"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certifying (i) that certain specified Notes (the </w:t>
      </w:r>
      <w:r>
        <w:rPr>
          <w:rFonts w:ascii="Times New Roman" w:cs="Times New Roman" w:eastAsia="Times New Roman" w:hAnsi="Times New Roman"/>
          <w:sz w:val="17"/>
          <w:szCs w:val="17"/>
          <w:b w:val="1"/>
          <w:bCs w:val="1"/>
          <w:color w:val="auto"/>
        </w:rPr>
        <w:t>Blocked Notes</w:t>
      </w:r>
      <w:r>
        <w:rPr>
          <w:rFonts w:ascii="Times New Roman" w:cs="Times New Roman" w:eastAsia="Times New Roman" w:hAnsi="Times New Roman"/>
          <w:sz w:val="17"/>
          <w:szCs w:val="17"/>
          <w:color w:val="auto"/>
        </w:rPr>
        <w:t>) have been blocked in an account with a clearing system and will not be released until the conclusion of the Meeting and that the holder of each Blocked Note or a duly authorized person on its behalf has instructed the Registrar that the votes attributable to such Blocked Note are to be cast in a particular way on each resolution to be put to the Meeting; and/or (ii) that each registered holder of certain specified Notes (</w:t>
      </w:r>
      <w:r>
        <w:rPr>
          <w:rFonts w:ascii="Times New Roman" w:cs="Times New Roman" w:eastAsia="Times New Roman" w:hAnsi="Times New Roman"/>
          <w:sz w:val="17"/>
          <w:szCs w:val="17"/>
          <w:b w:val="1"/>
          <w:bCs w:val="1"/>
          <w:color w:val="auto"/>
        </w:rPr>
        <w:t>Relevant Notes</w:t>
      </w:r>
      <w:r>
        <w:rPr>
          <w:rFonts w:ascii="Times New Roman" w:cs="Times New Roman" w:eastAsia="Times New Roman" w:hAnsi="Times New Roman"/>
          <w:sz w:val="17"/>
          <w:szCs w:val="17"/>
          <w:color w:val="auto"/>
        </w:rPr>
        <w:t>) has instructed the Registrar that the votes attributable to each Relevant Note held by it are to be cast in a particular way on each resolution to be put to the Meeting and, in each case, that, during the period of 48 hours before the time fixed for the Meeting, such instructions may not be amended or revoked;</w:t>
      </w:r>
    </w:p>
    <w:p>
      <w:pPr>
        <w:spacing w:after="0" w:line="156" w:lineRule="exact"/>
        <w:rPr>
          <w:rFonts w:ascii="Times New Roman" w:cs="Times New Roman" w:eastAsia="Times New Roman" w:hAnsi="Times New Roman"/>
          <w:sz w:val="17"/>
          <w:szCs w:val="17"/>
          <w:color w:val="auto"/>
        </w:rPr>
      </w:pPr>
    </w:p>
    <w:p>
      <w:pPr>
        <w:jc w:val="both"/>
        <w:ind w:left="1133" w:right="1419" w:hanging="567"/>
        <w:spacing w:after="0" w:line="265" w:lineRule="auto"/>
        <w:tabs>
          <w:tab w:leader="none" w:pos="1133"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listing the total principal amount of the Blocked Notes and the Relevant Notes, distinguishing for each resolution between those in respect of which instructions have been given to vote for, or against, the resolution; and</w:t>
      </w:r>
    </w:p>
    <w:p>
      <w:pPr>
        <w:spacing w:after="0" w:line="143" w:lineRule="exact"/>
        <w:rPr>
          <w:rFonts w:ascii="Times New Roman" w:cs="Times New Roman" w:eastAsia="Times New Roman" w:hAnsi="Times New Roman"/>
          <w:sz w:val="17"/>
          <w:szCs w:val="17"/>
          <w:color w:val="auto"/>
        </w:rPr>
      </w:pPr>
    </w:p>
    <w:p>
      <w:pPr>
        <w:ind w:left="1133" w:right="1399" w:hanging="567"/>
        <w:spacing w:after="0" w:line="283" w:lineRule="auto"/>
        <w:tabs>
          <w:tab w:leader="none" w:pos="1133"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authorizing a named individual or individuals to vote in respect of the Blocked Notes and the Relevant Notes in accordance with such instructions;</w:t>
      </w:r>
    </w:p>
    <w:p>
      <w:pPr>
        <w:spacing w:after="0" w:line="127" w:lineRule="exact"/>
        <w:rPr>
          <w:sz w:val="20"/>
          <w:szCs w:val="20"/>
          <w:color w:val="auto"/>
        </w:rPr>
      </w:pPr>
    </w:p>
    <w:p>
      <w:pPr>
        <w:jc w:val="both"/>
        <w:ind w:left="573" w:right="1399"/>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Chair </w:t>
      </w:r>
      <w:r>
        <w:rPr>
          <w:rFonts w:ascii="Times New Roman" w:cs="Times New Roman" w:eastAsia="Times New Roman" w:hAnsi="Times New Roman"/>
          <w:sz w:val="17"/>
          <w:szCs w:val="17"/>
          <w:color w:val="auto"/>
        </w:rPr>
        <w:t>means, in relation to any Meeting, the individual who takes the chair in accordance with Clause 8</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hereof;</w:t>
      </w:r>
    </w:p>
    <w:p>
      <w:pPr>
        <w:spacing w:after="0" w:line="124" w:lineRule="exact"/>
        <w:rPr>
          <w:sz w:val="20"/>
          <w:szCs w:val="20"/>
          <w:color w:val="auto"/>
        </w:rPr>
      </w:pPr>
    </w:p>
    <w:p>
      <w:pPr>
        <w:jc w:val="both"/>
        <w:ind w:left="573" w:right="1419"/>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Extraordinary Resolution </w:t>
      </w:r>
      <w:r>
        <w:rPr>
          <w:rFonts w:ascii="Times New Roman" w:cs="Times New Roman" w:eastAsia="Times New Roman" w:hAnsi="Times New Roman"/>
          <w:sz w:val="17"/>
          <w:szCs w:val="17"/>
          <w:color w:val="auto"/>
        </w:rPr>
        <w:t>means a resolution passed at a Meeting duly convened and held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accordance with these provisions by a majority of not less than three quarters of the votes cast;</w:t>
      </w:r>
    </w:p>
    <w:p>
      <w:pPr>
        <w:spacing w:after="0" w:line="124" w:lineRule="exact"/>
        <w:rPr>
          <w:sz w:val="20"/>
          <w:szCs w:val="20"/>
          <w:color w:val="auto"/>
        </w:rPr>
      </w:pPr>
    </w:p>
    <w:p>
      <w:pPr>
        <w:jc w:val="both"/>
        <w:ind w:left="573" w:right="1419"/>
        <w:spacing w:after="0" w:line="256" w:lineRule="auto"/>
        <w:rPr>
          <w:sz w:val="20"/>
          <w:szCs w:val="20"/>
          <w:color w:val="auto"/>
        </w:rPr>
      </w:pPr>
      <w:r>
        <w:rPr>
          <w:rFonts w:ascii="Times New Roman" w:cs="Times New Roman" w:eastAsia="Times New Roman" w:hAnsi="Times New Roman"/>
          <w:sz w:val="17"/>
          <w:szCs w:val="17"/>
          <w:b w:val="1"/>
          <w:bCs w:val="1"/>
          <w:color w:val="auto"/>
        </w:rPr>
        <w:t xml:space="preserve">Form of Proxy </w:t>
      </w:r>
      <w:r>
        <w:rPr>
          <w:rFonts w:ascii="Times New Roman" w:cs="Times New Roman" w:eastAsia="Times New Roman" w:hAnsi="Times New Roman"/>
          <w:sz w:val="17"/>
          <w:szCs w:val="17"/>
          <w:color w:val="auto"/>
        </w:rPr>
        <w:t>means, in relation to any Meeting, a document in the English language available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Registrar signed by a Noteholder or, in the case of a corporation, executed under its seal or signed on its behalf by a duly authorized officer and delivered to the Registrar no later than 48 hours before the time fixed for such meeting, appointing a named individual or individuals to vote in respect of the Notes held by such Noteholder.</w:t>
      </w:r>
    </w:p>
    <w:p>
      <w:pPr>
        <w:spacing w:after="0" w:line="149" w:lineRule="exact"/>
        <w:rPr>
          <w:sz w:val="20"/>
          <w:szCs w:val="20"/>
          <w:color w:val="auto"/>
        </w:rPr>
      </w:pPr>
    </w:p>
    <w:p>
      <w:pPr>
        <w:jc w:val="both"/>
        <w:ind w:left="573" w:right="1419"/>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Meeting </w:t>
      </w:r>
      <w:r>
        <w:rPr>
          <w:rFonts w:ascii="Times New Roman" w:cs="Times New Roman" w:eastAsia="Times New Roman" w:hAnsi="Times New Roman"/>
          <w:sz w:val="17"/>
          <w:szCs w:val="17"/>
          <w:color w:val="auto"/>
        </w:rPr>
        <w:t>means a meeting of Noteholders (whether originally convened or resumed following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adjournment);</w:t>
      </w:r>
    </w:p>
    <w:p>
      <w:pPr>
        <w:spacing w:after="0" w:line="124" w:lineRule="exact"/>
        <w:rPr>
          <w:sz w:val="20"/>
          <w:szCs w:val="20"/>
          <w:color w:val="auto"/>
        </w:rPr>
      </w:pPr>
    </w:p>
    <w:p>
      <w:pPr>
        <w:jc w:val="both"/>
        <w:ind w:left="573" w:right="1419"/>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Proxy </w:t>
      </w:r>
      <w:r>
        <w:rPr>
          <w:rFonts w:ascii="Times New Roman" w:cs="Times New Roman" w:eastAsia="Times New Roman" w:hAnsi="Times New Roman"/>
          <w:sz w:val="17"/>
          <w:szCs w:val="17"/>
          <w:color w:val="auto"/>
        </w:rPr>
        <w:t>means, in relation to any Meeting, a person appointed to vote under a Block Voting Instruction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Form of Proxy other than:</w:t>
      </w:r>
    </w:p>
    <w:p>
      <w:pPr>
        <w:spacing w:after="0" w:line="126" w:lineRule="exact"/>
        <w:rPr>
          <w:sz w:val="20"/>
          <w:szCs w:val="20"/>
          <w:color w:val="auto"/>
        </w:rPr>
      </w:pPr>
    </w:p>
    <w:p>
      <w:pPr>
        <w:jc w:val="both"/>
        <w:ind w:left="1133" w:right="1399" w:hanging="567"/>
        <w:spacing w:after="0" w:line="265" w:lineRule="auto"/>
        <w:tabs>
          <w:tab w:leader="none" w:pos="1133"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such person whose appointment has been revoked and in relation to whom the Registrar has been notified in writing of such revocation by the time which is 48 hours before the time fixed for such Meeting; and</w:t>
      </w:r>
    </w:p>
    <w:p>
      <w:pPr>
        <w:spacing w:after="0" w:line="143" w:lineRule="exact"/>
        <w:rPr>
          <w:rFonts w:ascii="Times New Roman" w:cs="Times New Roman" w:eastAsia="Times New Roman" w:hAnsi="Times New Roman"/>
          <w:sz w:val="17"/>
          <w:szCs w:val="17"/>
          <w:color w:val="auto"/>
        </w:rPr>
      </w:pPr>
    </w:p>
    <w:p>
      <w:pPr>
        <w:ind w:left="1133" w:right="1419" w:hanging="567"/>
        <w:spacing w:after="0" w:line="283" w:lineRule="auto"/>
        <w:tabs>
          <w:tab w:leader="none" w:pos="1133"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such person appointed to vote at a Meeting which has been adjourned for want of a quorum and who has not been re-appointed to vote at the Meeting when it is resumed;</w:t>
      </w:r>
    </w:p>
    <w:p>
      <w:pPr>
        <w:spacing w:after="0" w:line="177" w:lineRule="exact"/>
        <w:rPr>
          <w:sz w:val="20"/>
          <w:szCs w:val="20"/>
          <w:color w:val="auto"/>
        </w:rPr>
      </w:pPr>
    </w:p>
    <w:p>
      <w:pPr>
        <w:ind w:left="3873"/>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497649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53"/>
          </w:cols>
          <w:pgMar w:left="1207" w:top="115" w:right="1440" w:bottom="1440" w:gutter="0" w:footer="0" w:header="0"/>
        </w:sectPr>
      </w:pPr>
    </w:p>
    <w:bookmarkStart w:id="45" w:name="page46"/>
    <w:bookmarkEnd w:id="45"/>
    <w:p>
      <w:pPr>
        <w:ind w:left="340"/>
        <w:spacing w:after="0"/>
        <w:rPr>
          <w:sz w:val="20"/>
          <w:szCs w:val="20"/>
          <w:color w:val="auto"/>
        </w:rPr>
      </w:pPr>
      <w:r>
        <w:rPr>
          <w:rFonts w:ascii="Times New Roman" w:cs="Times New Roman" w:eastAsia="Times New Roman" w:hAnsi="Times New Roman"/>
          <w:sz w:val="17"/>
          <w:szCs w:val="17"/>
          <w:b w:val="1"/>
          <w:bCs w:val="1"/>
          <w:color w:val="auto"/>
        </w:rPr>
        <w:t xml:space="preserve">Relevant Fraction </w:t>
      </w:r>
      <w:r>
        <w:rPr>
          <w:rFonts w:ascii="Times New Roman" w:cs="Times New Roman" w:eastAsia="Times New Roman" w:hAnsi="Times New Roman"/>
          <w:sz w:val="17"/>
          <w:szCs w:val="17"/>
          <w:color w:val="auto"/>
        </w:rPr>
        <w:t>means:</w:t>
      </w:r>
    </w:p>
    <w:p>
      <w:pPr>
        <w:spacing w:after="0" w:line="197" w:lineRule="exact"/>
        <w:rPr>
          <w:sz w:val="20"/>
          <w:szCs w:val="20"/>
          <w:color w:val="auto"/>
        </w:rPr>
      </w:pPr>
    </w:p>
    <w:p>
      <w:pPr>
        <w:ind w:left="900" w:hanging="567"/>
        <w:spacing w:after="0"/>
        <w:tabs>
          <w:tab w:leader="none" w:pos="9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all business other than voting on an Extraordinary Resolution, one tenth;</w:t>
      </w:r>
    </w:p>
    <w:p>
      <w:pPr>
        <w:spacing w:after="0" w:line="193" w:lineRule="exact"/>
        <w:rPr>
          <w:rFonts w:ascii="Times New Roman" w:cs="Times New Roman" w:eastAsia="Times New Roman" w:hAnsi="Times New Roman"/>
          <w:sz w:val="17"/>
          <w:szCs w:val="17"/>
          <w:color w:val="auto"/>
        </w:rPr>
      </w:pPr>
    </w:p>
    <w:p>
      <w:pPr>
        <w:ind w:left="900" w:right="1399" w:hanging="567"/>
        <w:spacing w:after="0" w:line="283" w:lineRule="auto"/>
        <w:tabs>
          <w:tab w:leader="none" w:pos="9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voting on any Extraordinary Resolution other than one relating to a Reserved Matter, one vote more than half; and</w:t>
      </w:r>
    </w:p>
    <w:p>
      <w:pPr>
        <w:spacing w:after="0" w:line="129" w:lineRule="exact"/>
        <w:rPr>
          <w:rFonts w:ascii="Times New Roman" w:cs="Times New Roman" w:eastAsia="Times New Roman" w:hAnsi="Times New Roman"/>
          <w:sz w:val="17"/>
          <w:szCs w:val="17"/>
          <w:color w:val="auto"/>
        </w:rPr>
      </w:pPr>
    </w:p>
    <w:p>
      <w:pPr>
        <w:ind w:left="900" w:hanging="567"/>
        <w:spacing w:after="0"/>
        <w:tabs>
          <w:tab w:leader="none" w:pos="9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voting on any Extraordinary Resolution relating to a Reserved Matter, three quarters;</w:t>
      </w:r>
    </w:p>
    <w:p>
      <w:pPr>
        <w:spacing w:after="0" w:line="192" w:lineRule="exact"/>
        <w:rPr>
          <w:sz w:val="20"/>
          <w:szCs w:val="20"/>
          <w:color w:val="auto"/>
        </w:rPr>
      </w:pPr>
    </w:p>
    <w:p>
      <w:pPr>
        <w:ind w:left="340" w:right="1419"/>
        <w:spacing w:after="0" w:line="286" w:lineRule="auto"/>
        <w:rPr>
          <w:sz w:val="20"/>
          <w:szCs w:val="20"/>
          <w:color w:val="auto"/>
        </w:rPr>
      </w:pPr>
      <w:r>
        <w:rPr>
          <w:rFonts w:ascii="Times New Roman" w:cs="Times New Roman" w:eastAsia="Times New Roman" w:hAnsi="Times New Roman"/>
          <w:sz w:val="17"/>
          <w:szCs w:val="17"/>
          <w:b w:val="1"/>
          <w:b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however</w:t>
      </w:r>
      <w:r>
        <w:rPr>
          <w:rFonts w:ascii="Times New Roman" w:cs="Times New Roman" w:eastAsia="Times New Roman" w:hAnsi="Times New Roman"/>
          <w:sz w:val="17"/>
          <w:szCs w:val="17"/>
          <w:color w:val="auto"/>
        </w:rPr>
        <w:t>, that, in the case of a Meeting which has resumed after adjournment for want of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quorum it means:</w:t>
      </w:r>
    </w:p>
    <w:p>
      <w:pPr>
        <w:spacing w:after="0" w:line="126" w:lineRule="exact"/>
        <w:rPr>
          <w:sz w:val="20"/>
          <w:szCs w:val="20"/>
          <w:color w:val="auto"/>
        </w:rPr>
      </w:pPr>
    </w:p>
    <w:p>
      <w:pPr>
        <w:jc w:val="both"/>
        <w:ind w:left="900" w:right="1419" w:hanging="567"/>
        <w:spacing w:after="0" w:line="265" w:lineRule="auto"/>
        <w:tabs>
          <w:tab w:leader="none" w:pos="9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all business other than voting on an Extraordinary Resolution relating to a Reserved Matter, the fraction of the aggregate principal amount of the outstanding Notes represented or held by the Voters actually present at the Meeting; and</w:t>
      </w:r>
    </w:p>
    <w:p>
      <w:pPr>
        <w:spacing w:after="0" w:line="143" w:lineRule="exact"/>
        <w:rPr>
          <w:rFonts w:ascii="Times New Roman" w:cs="Times New Roman" w:eastAsia="Times New Roman" w:hAnsi="Times New Roman"/>
          <w:sz w:val="17"/>
          <w:szCs w:val="17"/>
          <w:color w:val="auto"/>
        </w:rPr>
      </w:pPr>
    </w:p>
    <w:p>
      <w:pPr>
        <w:ind w:left="900" w:hanging="567"/>
        <w:spacing w:after="0"/>
        <w:tabs>
          <w:tab w:leader="none" w:pos="9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voting on any Extraordinary Resolution relating to a Reserved Matter, one quarter;</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 xml:space="preserve">Reserved Matter </w:t>
      </w:r>
      <w:r>
        <w:rPr>
          <w:rFonts w:ascii="Times New Roman" w:cs="Times New Roman" w:eastAsia="Times New Roman" w:hAnsi="Times New Roman"/>
          <w:sz w:val="17"/>
          <w:szCs w:val="17"/>
          <w:color w:val="auto"/>
        </w:rPr>
        <w:t>means any proposal:</w:t>
      </w:r>
    </w:p>
    <w:p>
      <w:pPr>
        <w:spacing w:after="0" w:line="196" w:lineRule="exact"/>
        <w:rPr>
          <w:sz w:val="20"/>
          <w:szCs w:val="20"/>
          <w:color w:val="auto"/>
        </w:rPr>
      </w:pPr>
    </w:p>
    <w:p>
      <w:pPr>
        <w:jc w:val="both"/>
        <w:ind w:left="900" w:right="1419" w:hanging="567"/>
        <w:spacing w:after="0" w:line="258" w:lineRule="auto"/>
        <w:tabs>
          <w:tab w:leader="none" w:pos="9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change any date fixed for payment of principal or interest in respect of the Notes, to reduce the amount of principal or interest payable on any date in respect of the Notes or to alter the method of calculating the amount of any payment in respect of the Notes on redemption or maturity or the date for any such payment;</w:t>
      </w:r>
    </w:p>
    <w:p>
      <w:pPr>
        <w:spacing w:after="0" w:line="150" w:lineRule="exact"/>
        <w:rPr>
          <w:rFonts w:ascii="Times New Roman" w:cs="Times New Roman" w:eastAsia="Times New Roman" w:hAnsi="Times New Roman"/>
          <w:sz w:val="17"/>
          <w:szCs w:val="17"/>
          <w:color w:val="auto"/>
        </w:rPr>
      </w:pPr>
    </w:p>
    <w:p>
      <w:pPr>
        <w:jc w:val="both"/>
        <w:ind w:left="900" w:right="1399" w:hanging="567"/>
        <w:spacing w:after="0" w:line="261" w:lineRule="auto"/>
        <w:tabs>
          <w:tab w:leader="none" w:pos="9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effect the exchange or substitution of the Notes for, or the conversion of the Notes into, shares, bonds or other obligations or securities of the Company or any other person or body corporate formed or to be formed, including, without limitation, pursuant to a Change of Control;</w:t>
      </w:r>
    </w:p>
    <w:p>
      <w:pPr>
        <w:spacing w:after="0" w:line="353" w:lineRule="exact"/>
        <w:rPr>
          <w:rFonts w:ascii="Times New Roman" w:cs="Times New Roman" w:eastAsia="Times New Roman" w:hAnsi="Times New Roman"/>
          <w:sz w:val="17"/>
          <w:szCs w:val="17"/>
          <w:color w:val="auto"/>
        </w:rPr>
      </w:pPr>
    </w:p>
    <w:p>
      <w:pPr>
        <w:ind w:left="900" w:hanging="567"/>
        <w:spacing w:after="0"/>
        <w:tabs>
          <w:tab w:leader="none" w:pos="9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change the currency in which amounts due in respect of the Notes are payable;</w:t>
      </w:r>
    </w:p>
    <w:p>
      <w:pPr>
        <w:spacing w:after="0" w:line="193" w:lineRule="exact"/>
        <w:rPr>
          <w:rFonts w:ascii="Times New Roman" w:cs="Times New Roman" w:eastAsia="Times New Roman" w:hAnsi="Times New Roman"/>
          <w:sz w:val="17"/>
          <w:szCs w:val="17"/>
          <w:color w:val="auto"/>
        </w:rPr>
      </w:pPr>
    </w:p>
    <w:p>
      <w:pPr>
        <w:ind w:left="900" w:right="1419" w:hanging="567"/>
        <w:spacing w:after="0" w:line="283" w:lineRule="auto"/>
        <w:tabs>
          <w:tab w:leader="none" w:pos="9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change the quorum required at any Meeting or the majority required to pass an Extraordinary Resolution; or</w:t>
      </w:r>
    </w:p>
    <w:p>
      <w:pPr>
        <w:spacing w:after="0" w:line="129" w:lineRule="exact"/>
        <w:rPr>
          <w:rFonts w:ascii="Times New Roman" w:cs="Times New Roman" w:eastAsia="Times New Roman" w:hAnsi="Times New Roman"/>
          <w:sz w:val="17"/>
          <w:szCs w:val="17"/>
          <w:color w:val="auto"/>
        </w:rPr>
      </w:pPr>
    </w:p>
    <w:p>
      <w:pPr>
        <w:ind w:left="900" w:hanging="567"/>
        <w:spacing w:after="0"/>
        <w:tabs>
          <w:tab w:leader="none" w:pos="9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amend this definition;</w:t>
      </w:r>
    </w:p>
    <w:p>
      <w:pPr>
        <w:spacing w:after="0" w:line="192" w:lineRule="exact"/>
        <w:rPr>
          <w:sz w:val="20"/>
          <w:szCs w:val="20"/>
          <w:color w:val="auto"/>
        </w:rPr>
      </w:pPr>
    </w:p>
    <w:p>
      <w:pPr>
        <w:jc w:val="both"/>
        <w:ind w:left="340" w:right="1399"/>
        <w:spacing w:after="0" w:line="256" w:lineRule="auto"/>
        <w:rPr>
          <w:sz w:val="20"/>
          <w:szCs w:val="20"/>
          <w:color w:val="auto"/>
        </w:rPr>
      </w:pPr>
      <w:r>
        <w:rPr>
          <w:rFonts w:ascii="Times New Roman" w:cs="Times New Roman" w:eastAsia="Times New Roman" w:hAnsi="Times New Roman"/>
          <w:sz w:val="17"/>
          <w:szCs w:val="17"/>
          <w:b w:val="1"/>
          <w:bCs w:val="1"/>
          <w:color w:val="auto"/>
        </w:rPr>
        <w:t xml:space="preserve">Voter </w:t>
      </w:r>
      <w:r>
        <w:rPr>
          <w:rFonts w:ascii="Times New Roman" w:cs="Times New Roman" w:eastAsia="Times New Roman" w:hAnsi="Times New Roman"/>
          <w:sz w:val="17"/>
          <w:szCs w:val="17"/>
          <w:color w:val="auto"/>
        </w:rPr>
        <w:t>means, in relation to any Meeting (a) a Proxy or (b) (subject to Clause 5 (Record Date) below)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Noteholder; </w:t>
      </w:r>
      <w:r>
        <w:rPr>
          <w:rFonts w:ascii="Times New Roman" w:cs="Times New Roman" w:eastAsia="Times New Roman" w:hAnsi="Times New Roman"/>
          <w:sz w:val="17"/>
          <w:szCs w:val="17"/>
          <w:b w:val="1"/>
          <w:b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however</w:t>
      </w:r>
      <w:r>
        <w:rPr>
          <w:rFonts w:ascii="Times New Roman" w:cs="Times New Roman" w:eastAsia="Times New Roman" w:hAnsi="Times New Roman"/>
          <w:sz w:val="17"/>
          <w:szCs w:val="17"/>
          <w:color w:val="auto"/>
        </w:rPr>
        <w:t>, that, (subject to Clause 5 (Record Date) below) any Noteholder which has appointed a Proxy under a Block Voting Instruction or Form of Proxy shall not be a "Voter" except to the extent that such appointment has been revoked and the Registrar notified in writing of such revocation at least 48 hours before the time fixed for such Meeting;</w:t>
      </w:r>
    </w:p>
    <w:p>
      <w:pPr>
        <w:spacing w:after="0" w:line="149" w:lineRule="exact"/>
        <w:rPr>
          <w:sz w:val="20"/>
          <w:szCs w:val="20"/>
          <w:color w:val="auto"/>
        </w:rPr>
      </w:pPr>
    </w:p>
    <w:p>
      <w:pPr>
        <w:jc w:val="both"/>
        <w:ind w:left="340" w:right="1419"/>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Written Resolution </w:t>
      </w:r>
      <w:r>
        <w:rPr>
          <w:rFonts w:ascii="Times New Roman" w:cs="Times New Roman" w:eastAsia="Times New Roman" w:hAnsi="Times New Roman"/>
          <w:sz w:val="17"/>
          <w:szCs w:val="17"/>
          <w:color w:val="auto"/>
        </w:rPr>
        <w:t>means a resolution in writing signed by or on behalf of all holders of Notes who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time being are entitled to receive notice of a Meeting in accordance with the provisions of this Schedule, whether contained in one document or several documents in the same form, each signed by or on behalf of one or more such holders of the Notes;</w:t>
      </w:r>
    </w:p>
    <w:p>
      <w:pPr>
        <w:spacing w:after="0" w:line="148" w:lineRule="exact"/>
        <w:rPr>
          <w:sz w:val="20"/>
          <w:szCs w:val="20"/>
          <w:color w:val="auto"/>
        </w:rPr>
      </w:pPr>
    </w:p>
    <w:p>
      <w:pPr>
        <w:jc w:val="both"/>
        <w:ind w:left="340" w:right="1399"/>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24 hours </w:t>
      </w:r>
      <w:r>
        <w:rPr>
          <w:rFonts w:ascii="Times New Roman" w:cs="Times New Roman" w:eastAsia="Times New Roman" w:hAnsi="Times New Roman"/>
          <w:sz w:val="17"/>
          <w:szCs w:val="17"/>
          <w:color w:val="auto"/>
        </w:rPr>
        <w:t>means a period of 24 hours including all or part of a day upon which banks are open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business in both the places where the relevant Meeting is to be held and in each of the places where each Paying Agent has its office as specified in Clause 18 of the Fiscal and Paying Agency Agreement (disregarding for this purpose the day upon which such Meeting is to be held) and such period shall be extended by one</w:t>
      </w:r>
    </w:p>
    <w:p>
      <w:pPr>
        <w:spacing w:after="0" w:line="200" w:lineRule="exact"/>
        <w:rPr>
          <w:sz w:val="20"/>
          <w:szCs w:val="20"/>
          <w:color w:val="auto"/>
        </w:rPr>
      </w:pPr>
    </w:p>
    <w:p>
      <w:pPr>
        <w:spacing w:after="0" w:line="20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90170</wp:posOffset>
            </wp:positionV>
            <wp:extent cx="497649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46" w:name="page47"/>
    <w:bookmarkEnd w:id="46"/>
    <w:p>
      <w:pPr>
        <w:ind w:left="1693" w:right="1399"/>
        <w:spacing w:after="0" w:line="283" w:lineRule="auto"/>
        <w:rPr>
          <w:sz w:val="20"/>
          <w:szCs w:val="20"/>
          <w:color w:val="auto"/>
        </w:rPr>
      </w:pPr>
      <w:r>
        <w:rPr>
          <w:rFonts w:ascii="Times New Roman" w:cs="Times New Roman" w:eastAsia="Times New Roman" w:hAnsi="Times New Roman"/>
          <w:sz w:val="17"/>
          <w:szCs w:val="17"/>
          <w:color w:val="auto"/>
        </w:rPr>
        <w:t>period or, to the extent necessary, more periods of 24 hours until there is included as aforesaid all or part of a day upon which banks are open for business as aforesaid; and</w:t>
      </w:r>
    </w:p>
    <w:p>
      <w:pPr>
        <w:spacing w:after="0" w:line="126" w:lineRule="exact"/>
        <w:rPr>
          <w:sz w:val="20"/>
          <w:szCs w:val="20"/>
          <w:color w:val="auto"/>
        </w:rPr>
      </w:pPr>
    </w:p>
    <w:p>
      <w:pPr>
        <w:ind w:left="573"/>
        <w:spacing w:after="0"/>
        <w:rPr>
          <w:sz w:val="20"/>
          <w:szCs w:val="20"/>
          <w:color w:val="auto"/>
        </w:rPr>
      </w:pPr>
      <w:r>
        <w:rPr>
          <w:rFonts w:ascii="Times New Roman" w:cs="Times New Roman" w:eastAsia="Times New Roman" w:hAnsi="Times New Roman"/>
          <w:sz w:val="17"/>
          <w:szCs w:val="17"/>
          <w:b w:val="1"/>
          <w:bCs w:val="1"/>
          <w:color w:val="auto"/>
        </w:rPr>
        <w:t xml:space="preserve">48 hours </w:t>
      </w:r>
      <w:r>
        <w:rPr>
          <w:rFonts w:ascii="Times New Roman" w:cs="Times New Roman" w:eastAsia="Times New Roman" w:hAnsi="Times New Roman"/>
          <w:sz w:val="17"/>
          <w:szCs w:val="17"/>
          <w:color w:val="auto"/>
        </w:rPr>
        <w:t>means two consecutive periods of 24 hours.</w:t>
      </w:r>
    </w:p>
    <w:p>
      <w:pPr>
        <w:spacing w:after="0" w:line="194" w:lineRule="exact"/>
        <w:rPr>
          <w:sz w:val="20"/>
          <w:szCs w:val="20"/>
          <w:color w:val="auto"/>
        </w:rPr>
      </w:pPr>
    </w:p>
    <w:p>
      <w:pPr>
        <w:ind w:left="573" w:hanging="573"/>
        <w:spacing w:after="0"/>
        <w:tabs>
          <w:tab w:leader="none" w:pos="573"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ISSUE OF VOTING CERTIFICATES AND BLOCK VOTING INSTRUCTIONS</w:t>
      </w:r>
    </w:p>
    <w:p>
      <w:pPr>
        <w:spacing w:after="0" w:line="195" w:lineRule="exact"/>
        <w:rPr>
          <w:rFonts w:ascii="Times New Roman" w:cs="Times New Roman" w:eastAsia="Times New Roman" w:hAnsi="Times New Roman"/>
          <w:sz w:val="17"/>
          <w:szCs w:val="17"/>
          <w:b w:val="1"/>
          <w:bCs w:val="1"/>
          <w:color w:val="auto"/>
        </w:rPr>
      </w:pPr>
    </w:p>
    <w:p>
      <w:pPr>
        <w:jc w:val="both"/>
        <w:ind w:left="573" w:right="1399"/>
        <w:spacing w:after="0" w:line="25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holder of an interest in a Note may require the Registrar to issue a Block Voting Instruction by arranging (to the satisfaction of the Registrar) for such Note to be blocked in an account with a clearing system not later than 48 hours before the time fixed for the relevant Meeting. The registered holder of a Note may require the Registrar to issue a Block Voting Instruction by delivering to the Registrar written instructions not later than 48 hours before the time fixed for the relevant meeting. Any registered holder of a Note may obtain an uncompleted and unexecuted Form of Proxy from the Registrar. A Block Voting Instruction shall be valid until the release of Blocked Notes to which it relates. A Form of Proxy and a Block Voting Instruction cannot be outstanding simultaneously in respect of the same Note.</w:t>
      </w:r>
    </w:p>
    <w:p>
      <w:pPr>
        <w:spacing w:after="0" w:line="156" w:lineRule="exact"/>
        <w:rPr>
          <w:rFonts w:ascii="Times New Roman" w:cs="Times New Roman" w:eastAsia="Times New Roman" w:hAnsi="Times New Roman"/>
          <w:sz w:val="17"/>
          <w:szCs w:val="17"/>
          <w:b w:val="1"/>
          <w:bCs w:val="1"/>
          <w:color w:val="auto"/>
        </w:rPr>
      </w:pPr>
    </w:p>
    <w:p>
      <w:pPr>
        <w:ind w:left="573" w:hanging="573"/>
        <w:spacing w:after="0"/>
        <w:tabs>
          <w:tab w:leader="none" w:pos="573"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REFERENCES TO BLOCKING/RELEASE OF NOTES</w:t>
      </w:r>
    </w:p>
    <w:p>
      <w:pPr>
        <w:spacing w:after="0" w:line="195" w:lineRule="exact"/>
        <w:rPr>
          <w:rFonts w:ascii="Times New Roman" w:cs="Times New Roman" w:eastAsia="Times New Roman" w:hAnsi="Times New Roman"/>
          <w:sz w:val="17"/>
          <w:szCs w:val="17"/>
          <w:b w:val="1"/>
          <w:bCs w:val="1"/>
          <w:color w:val="auto"/>
        </w:rPr>
      </w:pPr>
    </w:p>
    <w:p>
      <w:pPr>
        <w:jc w:val="both"/>
        <w:ind w:left="573" w:right="1399"/>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Where Notes are represented by Global Note Certificates and/or are held within a clearing system, references to the blocking, or release, of Notes shall be construed in accordance with the usual practices (including blocking the relevant account) of such clearing system.</w:t>
      </w:r>
    </w:p>
    <w:p>
      <w:pPr>
        <w:spacing w:after="0" w:line="141" w:lineRule="exact"/>
        <w:rPr>
          <w:rFonts w:ascii="Times New Roman" w:cs="Times New Roman" w:eastAsia="Times New Roman" w:hAnsi="Times New Roman"/>
          <w:sz w:val="17"/>
          <w:szCs w:val="17"/>
          <w:b w:val="1"/>
          <w:bCs w:val="1"/>
          <w:color w:val="auto"/>
        </w:rPr>
      </w:pPr>
    </w:p>
    <w:p>
      <w:pPr>
        <w:ind w:left="573" w:hanging="573"/>
        <w:spacing w:after="0"/>
        <w:tabs>
          <w:tab w:leader="none" w:pos="573"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VALIDITY OF BLOCK VOTING INSTRUCTIONS AND FORMS OF PROXY</w:t>
      </w:r>
    </w:p>
    <w:p>
      <w:pPr>
        <w:spacing w:after="0" w:line="195" w:lineRule="exact"/>
        <w:rPr>
          <w:rFonts w:ascii="Times New Roman" w:cs="Times New Roman" w:eastAsia="Times New Roman" w:hAnsi="Times New Roman"/>
          <w:sz w:val="17"/>
          <w:szCs w:val="17"/>
          <w:b w:val="1"/>
          <w:bCs w:val="1"/>
          <w:color w:val="auto"/>
        </w:rPr>
      </w:pPr>
    </w:p>
    <w:p>
      <w:pPr>
        <w:jc w:val="both"/>
        <w:ind w:left="573" w:right="1399"/>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Block Voting Instructions and Forms of Proxy shall be valid only if they are deposited at the office of the Registrar as specified in Clause 18 of the Fiscal and Paying Agency Agreement, or at some other place approved by the Registrar, at least 24 hours before the time fixed for the relevant Meeting or the Chair decides otherwise before the Meeting proceeds to business. If the Registrar requires, a notarized copy of each Block Voting Instruction and Form of Proxy and satisfactory proof of the identity of each Proxy named therein shall be produced at the Meeting. The Registrar shall not be obliged to investigate the validity of any Block Voting Instruction or Form of Proxy or the authority of any Proxy.</w:t>
      </w:r>
    </w:p>
    <w:p>
      <w:pPr>
        <w:spacing w:after="0" w:line="154" w:lineRule="exact"/>
        <w:rPr>
          <w:rFonts w:ascii="Times New Roman" w:cs="Times New Roman" w:eastAsia="Times New Roman" w:hAnsi="Times New Roman"/>
          <w:sz w:val="17"/>
          <w:szCs w:val="17"/>
          <w:b w:val="1"/>
          <w:bCs w:val="1"/>
          <w:color w:val="auto"/>
        </w:rPr>
      </w:pPr>
    </w:p>
    <w:p>
      <w:pPr>
        <w:ind w:left="573" w:hanging="573"/>
        <w:spacing w:after="0"/>
        <w:tabs>
          <w:tab w:leader="none" w:pos="573"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RECORD DATE</w:t>
      </w:r>
    </w:p>
    <w:p>
      <w:pPr>
        <w:spacing w:after="0" w:line="195" w:lineRule="exact"/>
        <w:rPr>
          <w:rFonts w:ascii="Times New Roman" w:cs="Times New Roman" w:eastAsia="Times New Roman" w:hAnsi="Times New Roman"/>
          <w:sz w:val="17"/>
          <w:szCs w:val="17"/>
          <w:b w:val="1"/>
          <w:bCs w:val="1"/>
          <w:color w:val="auto"/>
        </w:rPr>
      </w:pPr>
    </w:p>
    <w:p>
      <w:pPr>
        <w:jc w:val="both"/>
        <w:ind w:left="573" w:right="1399"/>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may fix a record date for the purposes of any Meeting or any resumption thereof following its adjournment for want of a quorum; provided that such record date is not more than 30 days prior to the time fixed for such Meeting or (as the case may be) its resumption. The person in whose name a Note is registered in the Register on the record date at close of business in the city in which the Registrar has its office, as specified in Clause 18 of the Fiscal and Paying Agency Agreement, shall be deemed to be the holder of such Note for the purpose of such Meeting and notwithstanding any subsequent transfer of such Note or entries in the Register.</w:t>
      </w:r>
    </w:p>
    <w:p>
      <w:pPr>
        <w:spacing w:after="0" w:line="154" w:lineRule="exact"/>
        <w:rPr>
          <w:rFonts w:ascii="Times New Roman" w:cs="Times New Roman" w:eastAsia="Times New Roman" w:hAnsi="Times New Roman"/>
          <w:sz w:val="17"/>
          <w:szCs w:val="17"/>
          <w:b w:val="1"/>
          <w:bCs w:val="1"/>
          <w:color w:val="auto"/>
        </w:rPr>
      </w:pPr>
    </w:p>
    <w:p>
      <w:pPr>
        <w:ind w:left="573" w:hanging="573"/>
        <w:spacing w:after="0"/>
        <w:tabs>
          <w:tab w:leader="none" w:pos="573"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CONVENING OF MEETING</w:t>
      </w:r>
    </w:p>
    <w:p>
      <w:pPr>
        <w:spacing w:after="0" w:line="196" w:lineRule="exact"/>
        <w:rPr>
          <w:sz w:val="20"/>
          <w:szCs w:val="20"/>
          <w:color w:val="auto"/>
        </w:rPr>
      </w:pPr>
    </w:p>
    <w:p>
      <w:pPr>
        <w:jc w:val="both"/>
        <w:ind w:left="573" w:right="1399"/>
        <w:spacing w:after="0" w:line="265" w:lineRule="auto"/>
        <w:rPr>
          <w:sz w:val="20"/>
          <w:szCs w:val="20"/>
          <w:color w:val="auto"/>
        </w:rPr>
      </w:pPr>
      <w:r>
        <w:rPr>
          <w:rFonts w:ascii="Times New Roman" w:cs="Times New Roman" w:eastAsia="Times New Roman" w:hAnsi="Times New Roman"/>
          <w:sz w:val="17"/>
          <w:szCs w:val="17"/>
          <w:color w:val="auto"/>
        </w:rPr>
        <w:t>The Company may convene a Meeting at any time, and shall be obliged to do so upon the request in writing of Noteholders holding not less than one tenth of the aggregate principal amount of the outstanding Notes.</w:t>
      </w:r>
    </w:p>
    <w:p>
      <w:pPr>
        <w:spacing w:after="0" w:line="191" w:lineRule="exact"/>
        <w:rPr>
          <w:sz w:val="20"/>
          <w:szCs w:val="20"/>
          <w:color w:val="auto"/>
        </w:rPr>
      </w:pPr>
    </w:p>
    <w:p>
      <w:pPr>
        <w:ind w:left="3873"/>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497649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73" w:hanging="573"/>
        <w:spacing w:after="0"/>
        <w:tabs>
          <w:tab w:leader="none" w:pos="573"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NOTICE</w:t>
      </w:r>
    </w:p>
    <w:p>
      <w:pPr>
        <w:spacing w:after="0" w:line="195" w:lineRule="exact"/>
        <w:rPr>
          <w:rFonts w:ascii="Times New Roman" w:cs="Times New Roman" w:eastAsia="Times New Roman" w:hAnsi="Times New Roman"/>
          <w:sz w:val="17"/>
          <w:szCs w:val="17"/>
          <w:b w:val="1"/>
          <w:bCs w:val="1"/>
          <w:color w:val="auto"/>
        </w:rPr>
      </w:pPr>
    </w:p>
    <w:p>
      <w:pPr>
        <w:jc w:val="both"/>
        <w:ind w:left="573" w:right="1399"/>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At least 21 days' notice (exclusive of the day on which the notice is given and of the day on which the relevant Meeting is to be held) specifying the date, time and place of the Meeting (which need not be a physical place and instead may be by way of conference call, including by use of a videoconference platform) shall be given to the Noteholders and the Registrar (with a copy to the Company). The notice shall set out the full text of any resolutions to be proposed and shall state that the Notes may be blocked in clearing systems for the purposes of appointing Proxies under Block Voting Instructions until 48 hours before the time fixed for the Meeting and that Noteholders may also appoint Proxies either under a</w:t>
      </w:r>
    </w:p>
    <w:p>
      <w:pPr>
        <w:sectPr>
          <w:pgSz w:w="11900" w:h="16838" w:orient="portrait"/>
          <w:cols w:equalWidth="0" w:num="1">
            <w:col w:w="9253"/>
          </w:cols>
          <w:pgMar w:left="1207" w:top="120" w:right="1440" w:bottom="0" w:gutter="0" w:footer="0" w:header="0"/>
        </w:sectPr>
      </w:pPr>
    </w:p>
    <w:bookmarkStart w:id="47" w:name="page48"/>
    <w:bookmarkEnd w:id="47"/>
    <w:p>
      <w:pPr>
        <w:jc w:val="both"/>
        <w:ind w:left="573" w:right="1419"/>
        <w:spacing w:after="0" w:line="264" w:lineRule="auto"/>
        <w:rPr>
          <w:sz w:val="20"/>
          <w:szCs w:val="20"/>
          <w:color w:val="auto"/>
        </w:rPr>
      </w:pPr>
      <w:r>
        <w:rPr>
          <w:rFonts w:ascii="Times New Roman" w:cs="Times New Roman" w:eastAsia="Times New Roman" w:hAnsi="Times New Roman"/>
          <w:sz w:val="17"/>
          <w:szCs w:val="17"/>
          <w:color w:val="auto"/>
        </w:rPr>
        <w:t>Block Voting Instruction by delivering written instructions to the Registrar or by executing and delivering a Form of Proxy to the office of the Registrar, as specified in Clause 18 of the Fiscal and Paying Agency Agreement, in either case until 48 hours before the time fixed for the Meeting.</w:t>
      </w:r>
    </w:p>
    <w:p>
      <w:pPr>
        <w:spacing w:after="0" w:line="143" w:lineRule="exact"/>
        <w:rPr>
          <w:sz w:val="20"/>
          <w:szCs w:val="20"/>
          <w:color w:val="auto"/>
        </w:rPr>
      </w:pPr>
    </w:p>
    <w:p>
      <w:pPr>
        <w:ind w:left="573" w:hanging="573"/>
        <w:spacing w:after="0"/>
        <w:tabs>
          <w:tab w:leader="none" w:pos="573"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CHAIR</w:t>
      </w:r>
    </w:p>
    <w:p>
      <w:pPr>
        <w:spacing w:after="0" w:line="195" w:lineRule="exact"/>
        <w:rPr>
          <w:rFonts w:ascii="Times New Roman" w:cs="Times New Roman" w:eastAsia="Times New Roman" w:hAnsi="Times New Roman"/>
          <w:sz w:val="17"/>
          <w:szCs w:val="17"/>
          <w:b w:val="1"/>
          <w:bCs w:val="1"/>
          <w:color w:val="auto"/>
        </w:rPr>
      </w:pPr>
    </w:p>
    <w:p>
      <w:pPr>
        <w:jc w:val="both"/>
        <w:ind w:left="573" w:right="1399"/>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 individual (who may, but need not, be a Noteholder) nominated in writing by the Company may take the chair at any Meeting but, if no such nomination is made or if the individual nominated is not present within 15 minutes after the time fixed for the Meeting, those present shall elect one of themselves to take the chair failing which, the Company may appoint a Chair. The Chair of an adjourned Meeting need not be the same person as was the Chair of the original Meeting.</w:t>
      </w:r>
    </w:p>
    <w:p>
      <w:pPr>
        <w:spacing w:after="0" w:line="151" w:lineRule="exact"/>
        <w:rPr>
          <w:rFonts w:ascii="Times New Roman" w:cs="Times New Roman" w:eastAsia="Times New Roman" w:hAnsi="Times New Roman"/>
          <w:sz w:val="17"/>
          <w:szCs w:val="17"/>
          <w:b w:val="1"/>
          <w:bCs w:val="1"/>
          <w:color w:val="auto"/>
        </w:rPr>
      </w:pPr>
    </w:p>
    <w:p>
      <w:pPr>
        <w:ind w:left="573" w:hanging="573"/>
        <w:spacing w:after="0"/>
        <w:tabs>
          <w:tab w:leader="none" w:pos="573"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QUORUM</w:t>
      </w:r>
    </w:p>
    <w:p>
      <w:pPr>
        <w:spacing w:after="0" w:line="195" w:lineRule="exact"/>
        <w:rPr>
          <w:rFonts w:ascii="Times New Roman" w:cs="Times New Roman" w:eastAsia="Times New Roman" w:hAnsi="Times New Roman"/>
          <w:sz w:val="17"/>
          <w:szCs w:val="17"/>
          <w:b w:val="1"/>
          <w:bCs w:val="1"/>
          <w:color w:val="auto"/>
        </w:rPr>
      </w:pPr>
    </w:p>
    <w:p>
      <w:pPr>
        <w:jc w:val="both"/>
        <w:ind w:left="573" w:right="1399"/>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The quorum at any Meeting shall be at least two Voters representing or holding not less than the Relevant Fraction of the aggregate principal amount of the outstanding Notes; </w:t>
      </w:r>
      <w:r>
        <w:rPr>
          <w:rFonts w:ascii="Times New Roman" w:cs="Times New Roman" w:eastAsia="Times New Roman" w:hAnsi="Times New Roman"/>
          <w:sz w:val="17"/>
          <w:szCs w:val="17"/>
          <w:b w:val="1"/>
          <w:b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however</w:t>
      </w:r>
      <w:r>
        <w:rPr>
          <w:rFonts w:ascii="Times New Roman" w:cs="Times New Roman" w:eastAsia="Times New Roman" w:hAnsi="Times New Roman"/>
          <w:sz w:val="17"/>
          <w:szCs w:val="17"/>
          <w:color w:val="auto"/>
        </w:rPr>
        <w:t>, that, so long as at least the Relevant Fraction of the aggregate principal amount of the outstanding Notes is represented by the Global Note Certificates or a single Individual Note Certificate, a single Vote appointed in relation thereto or being the holder of the Notes represented thereby shall be deemed to be two Voters for the purpose of forming a quorum.</w:t>
      </w:r>
    </w:p>
    <w:p>
      <w:pPr>
        <w:spacing w:after="0" w:line="154" w:lineRule="exact"/>
        <w:rPr>
          <w:rFonts w:ascii="Times New Roman" w:cs="Times New Roman" w:eastAsia="Times New Roman" w:hAnsi="Times New Roman"/>
          <w:sz w:val="17"/>
          <w:szCs w:val="17"/>
          <w:b w:val="1"/>
          <w:bCs w:val="1"/>
          <w:color w:val="auto"/>
        </w:rPr>
      </w:pPr>
    </w:p>
    <w:p>
      <w:pPr>
        <w:ind w:left="573" w:hanging="573"/>
        <w:spacing w:after="0"/>
        <w:tabs>
          <w:tab w:leader="none" w:pos="573"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ADJOURNMENT FOR WANT OF QUORUM</w:t>
      </w:r>
    </w:p>
    <w:p>
      <w:pPr>
        <w:spacing w:after="0" w:line="195" w:lineRule="exact"/>
        <w:rPr>
          <w:rFonts w:ascii="Times New Roman" w:cs="Times New Roman" w:eastAsia="Times New Roman" w:hAnsi="Times New Roman"/>
          <w:sz w:val="17"/>
          <w:szCs w:val="17"/>
          <w:b w:val="1"/>
          <w:bCs w:val="1"/>
          <w:color w:val="auto"/>
        </w:rPr>
      </w:pPr>
    </w:p>
    <w:p>
      <w:pPr>
        <w:ind w:left="573"/>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within 15 minutes after the time fixed for any Meeting a quorum is not present, then:</w:t>
      </w:r>
    </w:p>
    <w:p>
      <w:pPr>
        <w:spacing w:after="0" w:line="193" w:lineRule="exact"/>
        <w:rPr>
          <w:rFonts w:ascii="Times New Roman" w:cs="Times New Roman" w:eastAsia="Times New Roman" w:hAnsi="Times New Roman"/>
          <w:sz w:val="17"/>
          <w:szCs w:val="17"/>
          <w:b w:val="1"/>
          <w:bCs w:val="1"/>
          <w:color w:val="auto"/>
        </w:rPr>
      </w:pPr>
    </w:p>
    <w:p>
      <w:pPr>
        <w:ind w:left="1133" w:hanging="567"/>
        <w:spacing w:after="0"/>
        <w:tabs>
          <w:tab w:leader="none" w:pos="1133"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Meeting requested by Noteholders, it shall be dissolved; and</w:t>
      </w:r>
    </w:p>
    <w:p>
      <w:pPr>
        <w:spacing w:after="0" w:line="193" w:lineRule="exact"/>
        <w:rPr>
          <w:rFonts w:ascii="Times New Roman" w:cs="Times New Roman" w:eastAsia="Times New Roman" w:hAnsi="Times New Roman"/>
          <w:sz w:val="17"/>
          <w:szCs w:val="17"/>
          <w:color w:val="auto"/>
        </w:rPr>
      </w:pPr>
    </w:p>
    <w:p>
      <w:pPr>
        <w:jc w:val="both"/>
        <w:ind w:left="1133" w:right="1399" w:hanging="567"/>
        <w:spacing w:after="0" w:line="265" w:lineRule="auto"/>
        <w:tabs>
          <w:tab w:leader="none" w:pos="1133"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any other Meeting, it shall be adjourned for such period (which shall be not less than 14 days and not more than 42 days) and to such place as the Chair determines; </w:t>
      </w:r>
      <w:r>
        <w:rPr>
          <w:rFonts w:ascii="Times New Roman" w:cs="Times New Roman" w:eastAsia="Times New Roman" w:hAnsi="Times New Roman"/>
          <w:sz w:val="17"/>
          <w:szCs w:val="17"/>
          <w:b w:val="1"/>
          <w:b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however</w:t>
      </w:r>
      <w:r>
        <w:rPr>
          <w:rFonts w:ascii="Times New Roman" w:cs="Times New Roman" w:eastAsia="Times New Roman" w:hAnsi="Times New Roman"/>
          <w:sz w:val="17"/>
          <w:szCs w:val="17"/>
          <w:color w:val="auto"/>
        </w:rPr>
        <w:t>, that:</w:t>
      </w:r>
    </w:p>
    <w:p>
      <w:pPr>
        <w:spacing w:after="0" w:line="143" w:lineRule="exact"/>
        <w:rPr>
          <w:rFonts w:ascii="Times New Roman" w:cs="Times New Roman" w:eastAsia="Times New Roman" w:hAnsi="Times New Roman"/>
          <w:sz w:val="17"/>
          <w:szCs w:val="17"/>
          <w:color w:val="auto"/>
        </w:rPr>
      </w:pPr>
    </w:p>
    <w:p>
      <w:pPr>
        <w:ind w:left="1693" w:hanging="560"/>
        <w:spacing w:after="0"/>
        <w:tabs>
          <w:tab w:leader="none" w:pos="1693" w:val="left"/>
        </w:tabs>
        <w:numPr>
          <w:ilvl w:val="2"/>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Meeting shall be dissolved if the Company so decides; and</w:t>
      </w:r>
    </w:p>
    <w:p>
      <w:pPr>
        <w:spacing w:after="0" w:line="193" w:lineRule="exact"/>
        <w:rPr>
          <w:rFonts w:ascii="Times New Roman" w:cs="Times New Roman" w:eastAsia="Times New Roman" w:hAnsi="Times New Roman"/>
          <w:sz w:val="17"/>
          <w:szCs w:val="17"/>
          <w:color w:val="auto"/>
        </w:rPr>
      </w:pPr>
    </w:p>
    <w:p>
      <w:pPr>
        <w:ind w:left="1693" w:hanging="560"/>
        <w:spacing w:after="0"/>
        <w:tabs>
          <w:tab w:leader="none" w:pos="1693" w:val="left"/>
        </w:tabs>
        <w:numPr>
          <w:ilvl w:val="2"/>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Meeting may be adjourned more than once for want of a quorum.</w:t>
      </w:r>
    </w:p>
    <w:p>
      <w:pPr>
        <w:spacing w:after="0" w:line="191" w:lineRule="exact"/>
        <w:rPr>
          <w:rFonts w:ascii="Times New Roman" w:cs="Times New Roman" w:eastAsia="Times New Roman" w:hAnsi="Times New Roman"/>
          <w:sz w:val="17"/>
          <w:szCs w:val="17"/>
          <w:color w:val="auto"/>
        </w:rPr>
      </w:pPr>
    </w:p>
    <w:p>
      <w:pPr>
        <w:ind w:left="573" w:hanging="573"/>
        <w:spacing w:after="0"/>
        <w:tabs>
          <w:tab w:leader="none" w:pos="573"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ADJOURNED MEETING</w:t>
      </w:r>
    </w:p>
    <w:p>
      <w:pPr>
        <w:spacing w:after="0" w:line="195" w:lineRule="exact"/>
        <w:rPr>
          <w:rFonts w:ascii="Times New Roman" w:cs="Times New Roman" w:eastAsia="Times New Roman" w:hAnsi="Times New Roman"/>
          <w:sz w:val="17"/>
          <w:szCs w:val="17"/>
          <w:b w:val="1"/>
          <w:bCs w:val="1"/>
          <w:color w:val="auto"/>
        </w:rPr>
      </w:pPr>
    </w:p>
    <w:p>
      <w:pPr>
        <w:jc w:val="both"/>
        <w:ind w:left="573" w:right="1419"/>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Chair may, with the consent of (and shall if directed by) any Meeting, adjourn such Meeting from time to time and from place to place, but no business shall be transacted at any adjourned Meeting except business which might lawfully have been transacted at the Meeting from which the adjournment took place.</w:t>
      </w:r>
    </w:p>
    <w:p>
      <w:pPr>
        <w:spacing w:after="0" w:line="199" w:lineRule="exact"/>
        <w:rPr>
          <w:sz w:val="20"/>
          <w:szCs w:val="20"/>
          <w:color w:val="auto"/>
        </w:rPr>
      </w:pPr>
    </w:p>
    <w:p>
      <w:pPr>
        <w:ind w:left="3873"/>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497649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73" w:hanging="573"/>
        <w:spacing w:after="0"/>
        <w:tabs>
          <w:tab w:leader="none" w:pos="573"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NOTICE FOLLOWING ADJOURNMENT</w:t>
      </w:r>
    </w:p>
    <w:p>
      <w:pPr>
        <w:spacing w:after="0" w:line="195" w:lineRule="exact"/>
        <w:rPr>
          <w:rFonts w:ascii="Times New Roman" w:cs="Times New Roman" w:eastAsia="Times New Roman" w:hAnsi="Times New Roman"/>
          <w:sz w:val="17"/>
          <w:szCs w:val="17"/>
          <w:b w:val="1"/>
          <w:bCs w:val="1"/>
          <w:color w:val="auto"/>
        </w:rPr>
      </w:pPr>
    </w:p>
    <w:p>
      <w:pPr>
        <w:ind w:left="573" w:right="1419"/>
        <w:spacing w:after="0" w:line="28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Clause 7 shall apply to any Meeting which is to be resumed after adjournment for want of a quorum; provided, however, that:</w:t>
      </w:r>
    </w:p>
    <w:p>
      <w:pPr>
        <w:spacing w:after="0" w:line="129" w:lineRule="exact"/>
        <w:rPr>
          <w:rFonts w:ascii="Times New Roman" w:cs="Times New Roman" w:eastAsia="Times New Roman" w:hAnsi="Times New Roman"/>
          <w:sz w:val="17"/>
          <w:szCs w:val="17"/>
          <w:b w:val="1"/>
          <w:bCs w:val="1"/>
          <w:color w:val="auto"/>
        </w:rPr>
      </w:pPr>
    </w:p>
    <w:p>
      <w:pPr>
        <w:ind w:left="1133" w:right="1419" w:hanging="567"/>
        <w:spacing w:after="0" w:line="283" w:lineRule="auto"/>
        <w:tabs>
          <w:tab w:leader="none" w:pos="1133"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 days' notice (exclusive of the day on which the notice is given and of the day on which the Meeting is to be resumed) shall be sufficient; and</w:t>
      </w:r>
    </w:p>
    <w:p>
      <w:pPr>
        <w:spacing w:after="0" w:line="129" w:lineRule="exact"/>
        <w:rPr>
          <w:rFonts w:ascii="Times New Roman" w:cs="Times New Roman" w:eastAsia="Times New Roman" w:hAnsi="Times New Roman"/>
          <w:sz w:val="17"/>
          <w:szCs w:val="17"/>
          <w:color w:val="auto"/>
        </w:rPr>
      </w:pPr>
    </w:p>
    <w:p>
      <w:pPr>
        <w:ind w:left="1133" w:right="1419" w:hanging="567"/>
        <w:spacing w:after="0" w:line="283" w:lineRule="auto"/>
        <w:tabs>
          <w:tab w:leader="none" w:pos="1133"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notice shall specifically set out the quorum requirements which will apply when the Meeting resumes.</w:t>
      </w:r>
    </w:p>
    <w:p>
      <w:pPr>
        <w:spacing w:after="0" w:line="129" w:lineRule="exact"/>
        <w:rPr>
          <w:sz w:val="20"/>
          <w:szCs w:val="20"/>
          <w:color w:val="auto"/>
        </w:rPr>
      </w:pPr>
    </w:p>
    <w:p>
      <w:pPr>
        <w:ind w:left="573" w:right="1399"/>
        <w:spacing w:after="0" w:line="283" w:lineRule="auto"/>
        <w:rPr>
          <w:sz w:val="20"/>
          <w:szCs w:val="20"/>
          <w:color w:val="auto"/>
        </w:rPr>
      </w:pPr>
      <w:r>
        <w:rPr>
          <w:rFonts w:ascii="Times New Roman" w:cs="Times New Roman" w:eastAsia="Times New Roman" w:hAnsi="Times New Roman"/>
          <w:sz w:val="17"/>
          <w:szCs w:val="17"/>
          <w:color w:val="auto"/>
        </w:rPr>
        <w:t>It shall not be necessary to give notice of the resumption of a Meeting which has been adjourned for any other reason.</w:t>
      </w:r>
    </w:p>
    <w:p>
      <w:pPr>
        <w:spacing w:after="0" w:line="127" w:lineRule="exact"/>
        <w:rPr>
          <w:sz w:val="20"/>
          <w:szCs w:val="20"/>
          <w:color w:val="auto"/>
        </w:rPr>
      </w:pPr>
    </w:p>
    <w:p>
      <w:pPr>
        <w:ind w:left="573" w:hanging="573"/>
        <w:spacing w:after="0"/>
        <w:tabs>
          <w:tab w:leader="none" w:pos="573"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PARTICIPATION</w:t>
      </w:r>
    </w:p>
    <w:p>
      <w:pPr>
        <w:spacing w:after="0" w:line="195" w:lineRule="exact"/>
        <w:rPr>
          <w:rFonts w:ascii="Times New Roman" w:cs="Times New Roman" w:eastAsia="Times New Roman" w:hAnsi="Times New Roman"/>
          <w:sz w:val="17"/>
          <w:szCs w:val="17"/>
          <w:b w:val="1"/>
          <w:bCs w:val="1"/>
          <w:color w:val="auto"/>
        </w:rPr>
      </w:pPr>
    </w:p>
    <w:p>
      <w:pPr>
        <w:ind w:left="573"/>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may attend and speak at a Meeting:</w:t>
      </w:r>
    </w:p>
    <w:p>
      <w:pPr>
        <w:sectPr>
          <w:pgSz w:w="11900" w:h="16838" w:orient="portrait"/>
          <w:cols w:equalWidth="0" w:num="1">
            <w:col w:w="9253"/>
          </w:cols>
          <w:pgMar w:left="1207" w:top="120" w:right="1440" w:bottom="0" w:gutter="0" w:footer="0" w:header="0"/>
        </w:sectPr>
      </w:pPr>
    </w:p>
    <w:bookmarkStart w:id="48" w:name="page49"/>
    <w:bookmarkEnd w:id="48"/>
    <w:p>
      <w:pPr>
        <w:ind w:left="1133" w:hanging="567"/>
        <w:spacing w:after="0"/>
        <w:tabs>
          <w:tab w:leader="none" w:pos="1133"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Voters;</w:t>
      </w:r>
    </w:p>
    <w:p>
      <w:pPr>
        <w:spacing w:after="0" w:line="193" w:lineRule="exact"/>
        <w:rPr>
          <w:rFonts w:ascii="Times New Roman" w:cs="Times New Roman" w:eastAsia="Times New Roman" w:hAnsi="Times New Roman"/>
          <w:sz w:val="17"/>
          <w:szCs w:val="17"/>
          <w:color w:val="auto"/>
        </w:rPr>
      </w:pPr>
    </w:p>
    <w:p>
      <w:pPr>
        <w:ind w:left="1133" w:hanging="567"/>
        <w:spacing w:after="0"/>
        <w:tabs>
          <w:tab w:leader="none" w:pos="1133"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representatives of the Company and the Registrar;</w:t>
      </w:r>
    </w:p>
    <w:p>
      <w:pPr>
        <w:spacing w:after="0" w:line="193" w:lineRule="exact"/>
        <w:rPr>
          <w:rFonts w:ascii="Times New Roman" w:cs="Times New Roman" w:eastAsia="Times New Roman" w:hAnsi="Times New Roman"/>
          <w:sz w:val="17"/>
          <w:szCs w:val="17"/>
          <w:color w:val="auto"/>
        </w:rPr>
      </w:pPr>
    </w:p>
    <w:p>
      <w:pPr>
        <w:ind w:left="1133" w:hanging="567"/>
        <w:spacing w:after="0"/>
        <w:tabs>
          <w:tab w:leader="none" w:pos="1133"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advisers of the Company;</w:t>
      </w:r>
    </w:p>
    <w:p>
      <w:pPr>
        <w:spacing w:after="0" w:line="193" w:lineRule="exact"/>
        <w:rPr>
          <w:rFonts w:ascii="Times New Roman" w:cs="Times New Roman" w:eastAsia="Times New Roman" w:hAnsi="Times New Roman"/>
          <w:sz w:val="17"/>
          <w:szCs w:val="17"/>
          <w:color w:val="auto"/>
        </w:rPr>
      </w:pPr>
    </w:p>
    <w:p>
      <w:pPr>
        <w:ind w:left="1133" w:hanging="567"/>
        <w:spacing w:after="0"/>
        <w:tabs>
          <w:tab w:leader="none" w:pos="1133"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legal counsel to the Company and the Registrar; and</w:t>
      </w:r>
    </w:p>
    <w:p>
      <w:pPr>
        <w:spacing w:after="0" w:line="193" w:lineRule="exact"/>
        <w:rPr>
          <w:rFonts w:ascii="Times New Roman" w:cs="Times New Roman" w:eastAsia="Times New Roman" w:hAnsi="Times New Roman"/>
          <w:sz w:val="17"/>
          <w:szCs w:val="17"/>
          <w:color w:val="auto"/>
        </w:rPr>
      </w:pPr>
    </w:p>
    <w:p>
      <w:pPr>
        <w:ind w:left="1133" w:hanging="567"/>
        <w:spacing w:after="0"/>
        <w:tabs>
          <w:tab w:leader="none" w:pos="1133"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person approved by the Meeting.</w:t>
      </w:r>
    </w:p>
    <w:p>
      <w:pPr>
        <w:spacing w:after="0" w:line="191" w:lineRule="exact"/>
        <w:rPr>
          <w:rFonts w:ascii="Times New Roman" w:cs="Times New Roman" w:eastAsia="Times New Roman" w:hAnsi="Times New Roman"/>
          <w:sz w:val="17"/>
          <w:szCs w:val="17"/>
          <w:color w:val="auto"/>
        </w:rPr>
      </w:pPr>
    </w:p>
    <w:p>
      <w:pPr>
        <w:ind w:left="573" w:hanging="573"/>
        <w:spacing w:after="0"/>
        <w:tabs>
          <w:tab w:leader="none" w:pos="573"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SHOW OF HANDS</w:t>
      </w:r>
    </w:p>
    <w:p>
      <w:pPr>
        <w:spacing w:after="0" w:line="195" w:lineRule="exact"/>
        <w:rPr>
          <w:rFonts w:ascii="Times New Roman" w:cs="Times New Roman" w:eastAsia="Times New Roman" w:hAnsi="Times New Roman"/>
          <w:sz w:val="17"/>
          <w:szCs w:val="17"/>
          <w:b w:val="1"/>
          <w:bCs w:val="1"/>
          <w:color w:val="auto"/>
        </w:rPr>
      </w:pPr>
    </w:p>
    <w:p>
      <w:pPr>
        <w:jc w:val="both"/>
        <w:ind w:left="573" w:right="1399"/>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Every question submitted to a Meeting shall be decided in the first instance by a show of hands. Unless a poll is validly demanded before or at the time that the result is declared, the Chair's declaration that on a show of hands a resolution has been passed, passed by a particular majority, rejected or rejected by a particular majority shall be conclusive, without proof of the number of votes cast for, or against, the resolution. Where there is only one Voter, this clause shall not apply and the resolution will immediately be decided by means of a poll.</w:t>
      </w:r>
    </w:p>
    <w:p>
      <w:pPr>
        <w:spacing w:after="0" w:line="154" w:lineRule="exact"/>
        <w:rPr>
          <w:rFonts w:ascii="Times New Roman" w:cs="Times New Roman" w:eastAsia="Times New Roman" w:hAnsi="Times New Roman"/>
          <w:sz w:val="17"/>
          <w:szCs w:val="17"/>
          <w:b w:val="1"/>
          <w:bCs w:val="1"/>
          <w:color w:val="auto"/>
        </w:rPr>
      </w:pPr>
    </w:p>
    <w:p>
      <w:pPr>
        <w:ind w:left="573" w:hanging="573"/>
        <w:spacing w:after="0"/>
        <w:tabs>
          <w:tab w:leader="none" w:pos="573"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POLL</w:t>
      </w:r>
    </w:p>
    <w:p>
      <w:pPr>
        <w:spacing w:after="0" w:line="195" w:lineRule="exact"/>
        <w:rPr>
          <w:rFonts w:ascii="Times New Roman" w:cs="Times New Roman" w:eastAsia="Times New Roman" w:hAnsi="Times New Roman"/>
          <w:sz w:val="17"/>
          <w:szCs w:val="17"/>
          <w:b w:val="1"/>
          <w:bCs w:val="1"/>
          <w:color w:val="auto"/>
        </w:rPr>
      </w:pPr>
    </w:p>
    <w:p>
      <w:pPr>
        <w:jc w:val="both"/>
        <w:ind w:left="573" w:right="1399"/>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demand for a poll shall be valid if it is made by the Chair, the Company or one or more Voters representing or holding not less than one fiftieth of the aggregate principal amount of the outstanding Notes. The poll may be taken immediately or after such adjournment as the Chair directs, but any poll demanded on the election of the Chair or on any question of adjournment shall be taken at the Meeting without adjournment. A valid demand for a poll shall not prevent the continuation of the relevant Meeting for any other business as the Chair directs.</w:t>
      </w:r>
    </w:p>
    <w:p>
      <w:pPr>
        <w:spacing w:after="0" w:line="154" w:lineRule="exact"/>
        <w:rPr>
          <w:rFonts w:ascii="Times New Roman" w:cs="Times New Roman" w:eastAsia="Times New Roman" w:hAnsi="Times New Roman"/>
          <w:sz w:val="17"/>
          <w:szCs w:val="17"/>
          <w:b w:val="1"/>
          <w:bCs w:val="1"/>
          <w:color w:val="auto"/>
        </w:rPr>
      </w:pPr>
    </w:p>
    <w:p>
      <w:pPr>
        <w:ind w:left="573" w:hanging="573"/>
        <w:spacing w:after="0"/>
        <w:tabs>
          <w:tab w:leader="none" w:pos="573"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VOTES</w:t>
      </w:r>
    </w:p>
    <w:p>
      <w:pPr>
        <w:spacing w:after="0" w:line="195" w:lineRule="exact"/>
        <w:rPr>
          <w:rFonts w:ascii="Times New Roman" w:cs="Times New Roman" w:eastAsia="Times New Roman" w:hAnsi="Times New Roman"/>
          <w:sz w:val="17"/>
          <w:szCs w:val="17"/>
          <w:b w:val="1"/>
          <w:bCs w:val="1"/>
          <w:color w:val="auto"/>
        </w:rPr>
      </w:pPr>
    </w:p>
    <w:p>
      <w:pPr>
        <w:ind w:left="573"/>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Every Voter shall have:</w:t>
      </w:r>
    </w:p>
    <w:p>
      <w:pPr>
        <w:spacing w:after="0" w:line="193" w:lineRule="exact"/>
        <w:rPr>
          <w:rFonts w:ascii="Times New Roman" w:cs="Times New Roman" w:eastAsia="Times New Roman" w:hAnsi="Times New Roman"/>
          <w:sz w:val="17"/>
          <w:szCs w:val="17"/>
          <w:b w:val="1"/>
          <w:bCs w:val="1"/>
          <w:color w:val="auto"/>
        </w:rPr>
      </w:pPr>
    </w:p>
    <w:p>
      <w:pPr>
        <w:ind w:left="1133" w:hanging="567"/>
        <w:spacing w:after="0"/>
        <w:tabs>
          <w:tab w:leader="none" w:pos="1133"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 show of hands, one vote; and</w:t>
      </w:r>
    </w:p>
    <w:p>
      <w:pPr>
        <w:spacing w:after="0" w:line="242" w:lineRule="exact"/>
        <w:rPr>
          <w:sz w:val="20"/>
          <w:szCs w:val="20"/>
          <w:color w:val="auto"/>
        </w:rPr>
      </w:pPr>
    </w:p>
    <w:p>
      <w:pPr>
        <w:ind w:left="3873"/>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497649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ectPr>
          <w:pgSz w:w="11900" w:h="16838" w:orient="portrait"/>
          <w:cols w:equalWidth="0" w:num="1">
            <w:col w:w="9253"/>
          </w:cols>
          <w:pgMar w:left="1207" w:top="120" w:right="1440" w:bottom="1440" w:gutter="0" w:footer="0" w:header="0"/>
        </w:sectPr>
      </w:pPr>
    </w:p>
    <w:bookmarkStart w:id="49" w:name="page50"/>
    <w:bookmarkEnd w:id="49"/>
    <w:p>
      <w:pPr>
        <w:ind w:left="1133" w:right="1399" w:hanging="567"/>
        <w:spacing w:after="0" w:line="283" w:lineRule="auto"/>
        <w:tabs>
          <w:tab w:leader="none" w:pos="1133"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 poll, one vote in respect of each €1,000 in aggregate face amount of the outstanding Note(s) represented or held by him.</w:t>
      </w:r>
    </w:p>
    <w:p>
      <w:pPr>
        <w:spacing w:after="0" w:line="128" w:lineRule="exact"/>
        <w:rPr>
          <w:sz w:val="20"/>
          <w:szCs w:val="20"/>
          <w:color w:val="auto"/>
        </w:rPr>
      </w:pPr>
    </w:p>
    <w:p>
      <w:pPr>
        <w:ind w:left="573"/>
        <w:spacing w:after="0"/>
        <w:rPr>
          <w:sz w:val="20"/>
          <w:szCs w:val="20"/>
          <w:color w:val="auto"/>
        </w:rPr>
      </w:pPr>
      <w:r>
        <w:rPr>
          <w:rFonts w:ascii="Times New Roman" w:cs="Times New Roman" w:eastAsia="Times New Roman" w:hAnsi="Times New Roman"/>
          <w:sz w:val="17"/>
          <w:szCs w:val="17"/>
          <w:color w:val="auto"/>
        </w:rPr>
        <w:t>In the case of a voting tie the Chair shall have a casting vote.</w:t>
      </w:r>
    </w:p>
    <w:p>
      <w:pPr>
        <w:spacing w:after="0" w:line="194" w:lineRule="exact"/>
        <w:rPr>
          <w:sz w:val="20"/>
          <w:szCs w:val="20"/>
          <w:color w:val="auto"/>
        </w:rPr>
      </w:pPr>
    </w:p>
    <w:p>
      <w:pPr>
        <w:ind w:left="573" w:right="1419"/>
        <w:spacing w:after="0" w:line="283" w:lineRule="auto"/>
        <w:rPr>
          <w:sz w:val="20"/>
          <w:szCs w:val="20"/>
          <w:color w:val="auto"/>
        </w:rPr>
      </w:pPr>
      <w:r>
        <w:rPr>
          <w:rFonts w:ascii="Times New Roman" w:cs="Times New Roman" w:eastAsia="Times New Roman" w:hAnsi="Times New Roman"/>
          <w:sz w:val="17"/>
          <w:szCs w:val="17"/>
          <w:color w:val="auto"/>
        </w:rPr>
        <w:t>Unless the terms of any Block Voting Instruction state otherwise, a Voter shall not be obliged to exercise all the votes to which he is entitled or to cast all the votes which he exercises in the same way.</w:t>
      </w:r>
    </w:p>
    <w:p>
      <w:pPr>
        <w:spacing w:after="0" w:line="127" w:lineRule="exact"/>
        <w:rPr>
          <w:sz w:val="20"/>
          <w:szCs w:val="20"/>
          <w:color w:val="auto"/>
        </w:rPr>
      </w:pPr>
    </w:p>
    <w:p>
      <w:pPr>
        <w:ind w:left="573" w:hanging="573"/>
        <w:spacing w:after="0"/>
        <w:tabs>
          <w:tab w:leader="none" w:pos="573"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VALIDITY OF VOTES BY PROXIES</w:t>
      </w:r>
    </w:p>
    <w:p>
      <w:pPr>
        <w:spacing w:after="0" w:line="195" w:lineRule="exact"/>
        <w:rPr>
          <w:rFonts w:ascii="Times New Roman" w:cs="Times New Roman" w:eastAsia="Times New Roman" w:hAnsi="Times New Roman"/>
          <w:sz w:val="17"/>
          <w:szCs w:val="17"/>
          <w:b w:val="1"/>
          <w:bCs w:val="1"/>
          <w:color w:val="auto"/>
        </w:rPr>
      </w:pPr>
    </w:p>
    <w:p>
      <w:pPr>
        <w:jc w:val="both"/>
        <w:ind w:left="573" w:right="1399"/>
        <w:spacing w:after="0" w:line="25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Any vote by a Proxy in accordance with the relevant Form of Proxy or Block Voting Instruction shall be valid even if such Form of Proxy or (as the case may be) Block Voting Instruction or any instruction pursuant to which it was given has been amended or revoked, </w:t>
      </w:r>
      <w:r>
        <w:rPr>
          <w:rFonts w:ascii="Times New Roman" w:cs="Times New Roman" w:eastAsia="Times New Roman" w:hAnsi="Times New Roman"/>
          <w:sz w:val="17"/>
          <w:szCs w:val="17"/>
          <w:b w:val="1"/>
          <w:bCs w:val="1"/>
          <w:color w:val="auto"/>
        </w:rPr>
        <w:t>provided</w:t>
      </w:r>
      <w:r>
        <w:rPr>
          <w:rFonts w:ascii="Times New Roman" w:cs="Times New Roman" w:eastAsia="Times New Roman" w:hAnsi="Times New Roman"/>
          <w:sz w:val="17"/>
          <w:szCs w:val="17"/>
          <w:color w:val="auto"/>
        </w:rPr>
        <w:t xml:space="preserve"> that the Registrar has not been notified in writing of such amendment or revocation by the time which is 48 hours before the time fixed for the relevant Meeting. Unless revoked, any appointment of a Proxy under a Block Voting Instruction or Form of Proxy in relation to a Meeting shall remain in force in relation to any resumption of such Meeting following an adjournment; </w:t>
      </w:r>
      <w:r>
        <w:rPr>
          <w:rFonts w:ascii="Times New Roman" w:cs="Times New Roman" w:eastAsia="Times New Roman" w:hAnsi="Times New Roman"/>
          <w:sz w:val="17"/>
          <w:szCs w:val="17"/>
          <w:b w:val="1"/>
          <w:b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however</w:t>
      </w:r>
      <w:r>
        <w:rPr>
          <w:rFonts w:ascii="Times New Roman" w:cs="Times New Roman" w:eastAsia="Times New Roman" w:hAnsi="Times New Roman"/>
          <w:sz w:val="17"/>
          <w:szCs w:val="17"/>
          <w:color w:val="auto"/>
        </w:rPr>
        <w:t>, that no such appointment of a Proxy in relation to a Meeting originally convened which has been adjourned for want of a quorum shall remain in force in relation to such Meeting when it is resumed. Any person appointed to vote at such a Meeting must be re-appointed under a Block Voting Instruction Proxy or Form of Proxy to vote at the Meeting when it is resumed.</w:t>
      </w:r>
    </w:p>
    <w:p>
      <w:pPr>
        <w:spacing w:after="0" w:line="153" w:lineRule="exact"/>
        <w:rPr>
          <w:rFonts w:ascii="Times New Roman" w:cs="Times New Roman" w:eastAsia="Times New Roman" w:hAnsi="Times New Roman"/>
          <w:sz w:val="17"/>
          <w:szCs w:val="17"/>
          <w:b w:val="1"/>
          <w:bCs w:val="1"/>
          <w:color w:val="auto"/>
        </w:rPr>
      </w:pPr>
    </w:p>
    <w:p>
      <w:pPr>
        <w:ind w:left="573" w:hanging="573"/>
        <w:spacing w:after="0"/>
        <w:tabs>
          <w:tab w:leader="none" w:pos="573"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POWERS</w:t>
      </w:r>
    </w:p>
    <w:p>
      <w:pPr>
        <w:spacing w:after="0" w:line="195" w:lineRule="exact"/>
        <w:rPr>
          <w:rFonts w:ascii="Times New Roman" w:cs="Times New Roman" w:eastAsia="Times New Roman" w:hAnsi="Times New Roman"/>
          <w:sz w:val="17"/>
          <w:szCs w:val="17"/>
          <w:b w:val="1"/>
          <w:bCs w:val="1"/>
          <w:color w:val="auto"/>
        </w:rPr>
      </w:pPr>
    </w:p>
    <w:p>
      <w:pPr>
        <w:ind w:left="573" w:right="1419"/>
        <w:spacing w:after="0" w:line="28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Meeting shall have power (exercisable by Extraordinary Resolution), without prejudice to any other powers conferred on it or any other person:</w:t>
      </w:r>
    </w:p>
    <w:p>
      <w:pPr>
        <w:spacing w:after="0" w:line="129" w:lineRule="exact"/>
        <w:rPr>
          <w:rFonts w:ascii="Times New Roman" w:cs="Times New Roman" w:eastAsia="Times New Roman" w:hAnsi="Times New Roman"/>
          <w:sz w:val="17"/>
          <w:szCs w:val="17"/>
          <w:b w:val="1"/>
          <w:bCs w:val="1"/>
          <w:color w:val="auto"/>
        </w:rPr>
      </w:pPr>
    </w:p>
    <w:p>
      <w:pPr>
        <w:ind w:left="1133" w:hanging="567"/>
        <w:spacing w:after="0"/>
        <w:tabs>
          <w:tab w:leader="none" w:pos="1133"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any Reserved Matter;</w:t>
      </w:r>
    </w:p>
    <w:p>
      <w:pPr>
        <w:spacing w:after="0" w:line="193" w:lineRule="exact"/>
        <w:rPr>
          <w:rFonts w:ascii="Times New Roman" w:cs="Times New Roman" w:eastAsia="Times New Roman" w:hAnsi="Times New Roman"/>
          <w:sz w:val="17"/>
          <w:szCs w:val="17"/>
          <w:color w:val="auto"/>
        </w:rPr>
      </w:pPr>
    </w:p>
    <w:p>
      <w:pPr>
        <w:jc w:val="both"/>
        <w:ind w:left="1133" w:right="1419" w:hanging="567"/>
        <w:spacing w:after="0" w:line="265" w:lineRule="auto"/>
        <w:tabs>
          <w:tab w:leader="none" w:pos="1133"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any proposal by the Company for any modification, abrogation, variation or compromise of any of the terms and conditions of the Notes or any arrangement in respect of the obligations of the Company under or in respect of the Notes;</w:t>
      </w:r>
    </w:p>
    <w:p>
      <w:pPr>
        <w:spacing w:after="0" w:line="143" w:lineRule="exact"/>
        <w:rPr>
          <w:rFonts w:ascii="Times New Roman" w:cs="Times New Roman" w:eastAsia="Times New Roman" w:hAnsi="Times New Roman"/>
          <w:sz w:val="17"/>
          <w:szCs w:val="17"/>
          <w:color w:val="auto"/>
        </w:rPr>
      </w:pPr>
    </w:p>
    <w:p>
      <w:pPr>
        <w:ind w:left="1133" w:right="1399" w:hanging="567"/>
        <w:spacing w:after="0" w:line="283" w:lineRule="auto"/>
        <w:tabs>
          <w:tab w:leader="none" w:pos="1133"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substitution of any person for the Company (or any previous substitute) as principal obligor under the Notes;</w:t>
      </w:r>
    </w:p>
    <w:p>
      <w:pPr>
        <w:spacing w:after="0" w:line="129" w:lineRule="exact"/>
        <w:rPr>
          <w:rFonts w:ascii="Times New Roman" w:cs="Times New Roman" w:eastAsia="Times New Roman" w:hAnsi="Times New Roman"/>
          <w:sz w:val="17"/>
          <w:szCs w:val="17"/>
          <w:color w:val="auto"/>
        </w:rPr>
      </w:pPr>
    </w:p>
    <w:p>
      <w:pPr>
        <w:jc w:val="both"/>
        <w:ind w:left="1133" w:right="1419" w:hanging="567"/>
        <w:spacing w:after="0" w:line="265" w:lineRule="auto"/>
        <w:tabs>
          <w:tab w:leader="none" w:pos="1133"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waive any breach or authorize any proposed breach by the Company of its obligations under or in respect of the Notes or any act or omission which might otherwise constitute an event of default under the Notes;</w:t>
      </w:r>
    </w:p>
    <w:p>
      <w:pPr>
        <w:spacing w:after="0" w:line="143" w:lineRule="exact"/>
        <w:rPr>
          <w:rFonts w:ascii="Times New Roman" w:cs="Times New Roman" w:eastAsia="Times New Roman" w:hAnsi="Times New Roman"/>
          <w:sz w:val="17"/>
          <w:szCs w:val="17"/>
          <w:color w:val="auto"/>
        </w:rPr>
      </w:pPr>
    </w:p>
    <w:p>
      <w:pPr>
        <w:ind w:left="1133" w:right="1399" w:hanging="567"/>
        <w:spacing w:after="0" w:line="283" w:lineRule="auto"/>
        <w:tabs>
          <w:tab w:leader="none" w:pos="1133"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authorize the Registrar or any other person to execute all documents and do all things necessary to give effect to any Extraordinary Resolution;</w:t>
      </w:r>
    </w:p>
    <w:p>
      <w:pPr>
        <w:spacing w:after="0" w:line="129" w:lineRule="exact"/>
        <w:rPr>
          <w:rFonts w:ascii="Times New Roman" w:cs="Times New Roman" w:eastAsia="Times New Roman" w:hAnsi="Times New Roman"/>
          <w:sz w:val="17"/>
          <w:szCs w:val="17"/>
          <w:color w:val="auto"/>
        </w:rPr>
      </w:pPr>
    </w:p>
    <w:p>
      <w:pPr>
        <w:ind w:left="1133" w:right="1419" w:hanging="567"/>
        <w:spacing w:after="0" w:line="283" w:lineRule="auto"/>
        <w:tabs>
          <w:tab w:leader="none" w:pos="1133"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give any other authorization or approval which is required to be given by Extraordinary Resolution; and</w:t>
      </w:r>
    </w:p>
    <w:p>
      <w:pPr>
        <w:spacing w:after="0" w:line="129" w:lineRule="exact"/>
        <w:rPr>
          <w:rFonts w:ascii="Times New Roman" w:cs="Times New Roman" w:eastAsia="Times New Roman" w:hAnsi="Times New Roman"/>
          <w:sz w:val="17"/>
          <w:szCs w:val="17"/>
          <w:color w:val="auto"/>
        </w:rPr>
      </w:pPr>
    </w:p>
    <w:p>
      <w:pPr>
        <w:jc w:val="both"/>
        <w:ind w:left="1133" w:right="1419" w:hanging="567"/>
        <w:spacing w:after="0" w:line="265" w:lineRule="auto"/>
        <w:tabs>
          <w:tab w:leader="none" w:pos="1133"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appoint any persons as a committee to represent the interests of the Noteholders and to confer upon such committee any powers which the Noteholders could themselves exercise by Extraordinary Resolution.</w:t>
      </w:r>
    </w:p>
    <w:p>
      <w:pPr>
        <w:spacing w:after="0" w:line="191" w:lineRule="exact"/>
        <w:rPr>
          <w:sz w:val="20"/>
          <w:szCs w:val="20"/>
          <w:color w:val="auto"/>
        </w:rPr>
      </w:pPr>
    </w:p>
    <w:p>
      <w:pPr>
        <w:ind w:left="3873"/>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497649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73" w:hanging="573"/>
        <w:spacing w:after="0"/>
        <w:tabs>
          <w:tab w:leader="none" w:pos="573"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EXTRAORDINARY RESOLUTION BINDS ALL HOLDERS</w:t>
      </w:r>
    </w:p>
    <w:p>
      <w:pPr>
        <w:spacing w:after="0" w:line="195" w:lineRule="exact"/>
        <w:rPr>
          <w:rFonts w:ascii="Times New Roman" w:cs="Times New Roman" w:eastAsia="Times New Roman" w:hAnsi="Times New Roman"/>
          <w:sz w:val="17"/>
          <w:szCs w:val="17"/>
          <w:b w:val="1"/>
          <w:bCs w:val="1"/>
          <w:color w:val="auto"/>
        </w:rPr>
      </w:pPr>
    </w:p>
    <w:p>
      <w:pPr>
        <w:jc w:val="both"/>
        <w:ind w:left="573" w:right="1419"/>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 Extraordinary Resolution shall be binding upon all Noteholders whether or not present at such Meeting and each of the Noteholders shall be bound to give effect to it accordingly. Notice of the result of every vote on an Extraordinary Resolution shall be given to the Noteholders and the Paying Agents (with a copy to the Company) within 14 days of the conclusion of the Meeting.</w:t>
      </w:r>
    </w:p>
    <w:p>
      <w:pPr>
        <w:spacing w:after="0" w:line="148" w:lineRule="exact"/>
        <w:rPr>
          <w:rFonts w:ascii="Times New Roman" w:cs="Times New Roman" w:eastAsia="Times New Roman" w:hAnsi="Times New Roman"/>
          <w:sz w:val="17"/>
          <w:szCs w:val="17"/>
          <w:b w:val="1"/>
          <w:bCs w:val="1"/>
          <w:color w:val="auto"/>
        </w:rPr>
      </w:pPr>
    </w:p>
    <w:p>
      <w:pPr>
        <w:ind w:left="573" w:hanging="573"/>
        <w:spacing w:after="0"/>
        <w:tabs>
          <w:tab w:leader="none" w:pos="573"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MINUTES</w:t>
      </w:r>
    </w:p>
    <w:p>
      <w:pPr>
        <w:sectPr>
          <w:pgSz w:w="11900" w:h="16838" w:orient="portrait"/>
          <w:cols w:equalWidth="0" w:num="1">
            <w:col w:w="9253"/>
          </w:cols>
          <w:pgMar w:left="1207" w:top="120" w:right="1440" w:bottom="0" w:gutter="0" w:footer="0" w:header="0"/>
        </w:sectPr>
      </w:pPr>
    </w:p>
    <w:bookmarkStart w:id="50" w:name="page51"/>
    <w:bookmarkEnd w:id="50"/>
    <w:p>
      <w:pPr>
        <w:jc w:val="both"/>
        <w:ind w:left="580" w:right="1399"/>
        <w:spacing w:after="0" w:line="255" w:lineRule="auto"/>
        <w:rPr>
          <w:sz w:val="20"/>
          <w:szCs w:val="20"/>
          <w:color w:val="auto"/>
        </w:rPr>
      </w:pPr>
      <w:r>
        <w:rPr>
          <w:rFonts w:ascii="Times New Roman" w:cs="Times New Roman" w:eastAsia="Times New Roman" w:hAnsi="Times New Roman"/>
          <w:sz w:val="17"/>
          <w:szCs w:val="17"/>
          <w:color w:val="auto"/>
        </w:rPr>
        <w:t xml:space="preserve">Minutes shall be made of all resolutions and proceedings at each Meeting. The Chair shall sign the minutes, which shall be </w:t>
      </w:r>
      <w:r>
        <w:rPr>
          <w:rFonts w:ascii="Times New Roman" w:cs="Times New Roman" w:eastAsia="Times New Roman" w:hAnsi="Times New Roman"/>
          <w:sz w:val="17"/>
          <w:szCs w:val="17"/>
          <w:i w:val="1"/>
          <w:iCs w:val="1"/>
          <w:color w:val="auto"/>
        </w:rPr>
        <w:t>prima facie</w:t>
      </w:r>
      <w:r>
        <w:rPr>
          <w:rFonts w:ascii="Times New Roman" w:cs="Times New Roman" w:eastAsia="Times New Roman" w:hAnsi="Times New Roman"/>
          <w:sz w:val="17"/>
          <w:szCs w:val="17"/>
          <w:color w:val="auto"/>
        </w:rPr>
        <w:t xml:space="preserve"> evidence of the proceedings recorded therein. Unless and until the contrary is proved, every such Meeting in respect of the proceedings of which minutes have been summarized and signed shall be deemed to have been duly convened and held and all resolutions passed or proceedings transacted at it to have been duly passed and transacted.</w:t>
      </w:r>
    </w:p>
    <w:p>
      <w:pPr>
        <w:spacing w:after="0" w:line="151" w:lineRule="exact"/>
        <w:rPr>
          <w:sz w:val="20"/>
          <w:szCs w:val="20"/>
          <w:color w:val="auto"/>
        </w:rPr>
      </w:pPr>
    </w:p>
    <w:p>
      <w:pPr>
        <w:ind w:left="580" w:hanging="573"/>
        <w:spacing w:after="0"/>
        <w:tabs>
          <w:tab w:leader="none" w:pos="580"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WRITTEN RESOLUTION</w:t>
      </w:r>
    </w:p>
    <w:p>
      <w:pPr>
        <w:spacing w:after="0" w:line="195" w:lineRule="exact"/>
        <w:rPr>
          <w:rFonts w:ascii="Times New Roman" w:cs="Times New Roman" w:eastAsia="Times New Roman" w:hAnsi="Times New Roman"/>
          <w:sz w:val="17"/>
          <w:szCs w:val="17"/>
          <w:b w:val="1"/>
          <w:bCs w:val="1"/>
          <w:color w:val="auto"/>
        </w:rPr>
      </w:pPr>
    </w:p>
    <w:p>
      <w:pPr>
        <w:ind w:left="5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Written Resolution shall take effect as if it were an Extraordinary Resolution.</w:t>
      </w:r>
    </w:p>
    <w:p>
      <w:pPr>
        <w:spacing w:after="0" w:line="24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497649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7649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7"/>
          <w:szCs w:val="17"/>
          <w:b w:val="1"/>
          <w:bCs w:val="1"/>
          <w:color w:val="auto"/>
        </w:rPr>
        <w:t>SIGNATORIES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MANPOWERGROUP INC.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Donald Mondano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119888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98880" cy="762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Name: </w:t>
      </w:r>
      <w:r>
        <w:rPr>
          <w:rFonts w:ascii="Times New Roman" w:cs="Times New Roman" w:eastAsia="Times New Roman" w:hAnsi="Times New Roman"/>
          <w:sz w:val="17"/>
          <w:szCs w:val="17"/>
          <w:b w:val="1"/>
          <w:bCs w:val="1"/>
          <w:color w:val="auto"/>
        </w:rPr>
        <w:t>DONALD MONDANO</w:t>
      </w:r>
    </w:p>
    <w:p>
      <w:pPr>
        <w:spacing w:after="0" w:line="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b w:val="1"/>
          <w:bCs w:val="1"/>
          <w:color w:val="auto"/>
        </w:rPr>
        <w:t>SENIOR VICE PRESIDENT, GLOBAL CONTROLLER AND TREASURER</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CITIBANK, N.A., LONDON BRANCH</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 Fiscal Agent, Principal Paying Agent, Registrar and Transfer Agent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ectPr>
          <w:pgSz w:w="11900" w:h="16838" w:orient="portrait"/>
          <w:cols w:equalWidth="0" w:num="1">
            <w:col w:w="9259"/>
          </w:cols>
          <w:pgMar w:left="1200" w:top="120" w:right="1440" w:bottom="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color w:val="auto"/>
        </w:rPr>
        <w:t>/s/ David Rowlandson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wp:posOffset>
            </wp:positionV>
            <wp:extent cx="127381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3810" cy="762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Name: </w:t>
      </w:r>
      <w:r>
        <w:rPr>
          <w:rFonts w:ascii="Times New Roman" w:cs="Times New Roman" w:eastAsia="Times New Roman" w:hAnsi="Times New Roman"/>
          <w:sz w:val="17"/>
          <w:szCs w:val="17"/>
          <w:b w:val="1"/>
          <w:bCs w:val="1"/>
          <w:color w:val="auto"/>
        </w:rPr>
        <w:t>DAVID ROWLANDSON</w:t>
      </w:r>
    </w:p>
    <w:p>
      <w:pPr>
        <w:spacing w:after="0" w:line="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b w:val="1"/>
          <w:bCs w:val="1"/>
          <w:color w:val="auto"/>
        </w:rPr>
        <w:t>VICE PRESIDENT</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Signature Page to Agency Agreement</w:t>
      </w:r>
    </w:p>
    <w:p>
      <w:pPr>
        <w:sectPr>
          <w:pgSz w:w="11900" w:h="16838" w:orient="portrait"/>
          <w:cols w:equalWidth="0" w:num="1">
            <w:col w:w="9259"/>
          </w:cols>
          <w:pgMar w:left="1200" w:top="120" w:right="1440" w:bottom="1440" w:gutter="0" w:footer="0" w:header="0"/>
        </w:sectPr>
      </w:pPr>
    </w:p>
    <w:bookmarkStart w:id="52" w:name="page53"/>
    <w:bookmarkEnd w:id="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decimal"/>
      <w:start w:val="104"/>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1."/>
      <w:numFmt w:val="decimal"/>
      <w:start w:val="3"/>
    </w:lvl>
  </w:abstractNum>
  <w:abstractNum w:abstractNumId="4">
    <w:nsid w:val="440BADFC"/>
    <w:multiLevelType w:val="hybridMultilevel"/>
    <w:lvl w:ilvl="0">
      <w:lvlJc w:val="left"/>
      <w:lvlText w:val="%1."/>
      <w:numFmt w:val="decimal"/>
      <w:start w:val="4"/>
    </w:lvl>
  </w:abstractNum>
  <w:abstractNum w:abstractNumId="5">
    <w:nsid w:val="5072367"/>
    <w:multiLevelType w:val="hybridMultilevel"/>
    <w:lvl w:ilvl="0">
      <w:lvlJc w:val="left"/>
      <w:lvlText w:val="%1."/>
      <w:numFmt w:val="decimal"/>
      <w:start w:val="5"/>
    </w:lvl>
    <w:lvl w:ilvl="1">
      <w:lvlJc w:val="left"/>
      <w:lvlText w:val="(%2)"/>
      <w:numFmt w:val="lowerLetter"/>
      <w:start w:val="1"/>
    </w:lvl>
  </w:abstractNum>
  <w:abstractNum w:abstractNumId="6">
    <w:nsid w:val="3804823E"/>
    <w:multiLevelType w:val="hybridMultilevel"/>
    <w:lvl w:ilvl="0">
      <w:lvlJc w:val="left"/>
      <w:lvlText w:val="%1."/>
      <w:numFmt w:val="decimal"/>
      <w:start w:val="6"/>
    </w:lvl>
    <w:lvl w:ilvl="1">
      <w:lvlJc w:val="left"/>
      <w:lvlText w:val="(%2)"/>
      <w:numFmt w:val="lowerLetter"/>
      <w:start w:val="1"/>
    </w:lvl>
  </w:abstractNum>
  <w:abstractNum w:abstractNumId="7">
    <w:nsid w:val="77465F01"/>
    <w:multiLevelType w:val="hybridMultilevel"/>
    <w:lvl w:ilvl="0">
      <w:lvlJc w:val="left"/>
      <w:lvlText w:val="%1."/>
      <w:numFmt w:val="decimal"/>
      <w:start w:val="7"/>
    </w:lvl>
  </w:abstractNum>
  <w:abstractNum w:abstractNumId="8">
    <w:nsid w:val="7724C67E"/>
    <w:multiLevelType w:val="hybridMultilevel"/>
    <w:lvl w:ilvl="0">
      <w:lvlJc w:val="left"/>
      <w:lvlText w:val="(%1)"/>
      <w:numFmt w:val="lowerLetter"/>
      <w:start w:val="1"/>
    </w:lvl>
  </w:abstractNum>
  <w:abstractNum w:abstractNumId="9">
    <w:nsid w:val="5C482A97"/>
    <w:multiLevelType w:val="hybridMultilevel"/>
    <w:lvl w:ilvl="0">
      <w:lvlJc w:val="left"/>
      <w:lvlText w:val="(%1)"/>
      <w:numFmt w:val="lowerRoman"/>
      <w:start w:val="1"/>
    </w:lvl>
    <w:lvl w:ilvl="1">
      <w:lvlJc w:val="left"/>
      <w:lvlText w:val="(%2)"/>
      <w:numFmt w:val="upperLetter"/>
      <w:start w:val="1"/>
    </w:lvl>
  </w:abstractNum>
  <w:abstractNum w:abstractNumId="10">
    <w:nsid w:val="2463B9EA"/>
    <w:multiLevelType w:val="hybridMultilevel"/>
    <w:lvl w:ilvl="0">
      <w:lvlJc w:val="left"/>
      <w:lvlText w:val="%1"/>
      <w:numFmt w:val="decimal"/>
      <w:start w:val="1"/>
    </w:lvl>
    <w:lvl w:ilvl="1">
      <w:lvlJc w:val="left"/>
      <w:lvlText w:val="(%2)"/>
      <w:numFmt w:val="lowerLetter"/>
      <w:start w:val="1"/>
    </w:lvl>
  </w:abstractNum>
  <w:abstractNum w:abstractNumId="11">
    <w:nsid w:val="5E884ADC"/>
    <w:multiLevelType w:val="hybridMultilevel"/>
    <w:lvl w:ilvl="0">
      <w:lvlJc w:val="left"/>
      <w:lvlText w:val="%1."/>
      <w:numFmt w:val="decimal"/>
      <w:start w:val="8"/>
    </w:lvl>
    <w:lvl w:ilvl="1">
      <w:lvlJc w:val="left"/>
      <w:lvlText w:val="%2"/>
      <w:numFmt w:val="lowerLetter"/>
      <w:start w:val="1"/>
    </w:lvl>
  </w:abstractNum>
  <w:abstractNum w:abstractNumId="12">
    <w:nsid w:val="51EAD36B"/>
    <w:multiLevelType w:val="hybridMultilevel"/>
    <w:lvl w:ilvl="0">
      <w:lvlJc w:val="left"/>
      <w:lvlText w:val="%1."/>
      <w:numFmt w:val="decimal"/>
      <w:start w:val="9"/>
    </w:lvl>
  </w:abstractNum>
  <w:abstractNum w:abstractNumId="13">
    <w:nsid w:val="2D517796"/>
    <w:multiLevelType w:val="hybridMultilevel"/>
    <w:lvl w:ilvl="0">
      <w:lvlJc w:val="left"/>
      <w:lvlText w:val="%1."/>
      <w:numFmt w:val="decimal"/>
      <w:start w:val="12"/>
    </w:lvl>
    <w:lvl w:ilvl="1">
      <w:lvlJc w:val="left"/>
      <w:lvlText w:val="(%2)"/>
      <w:numFmt w:val="lowerLetter"/>
      <w:start w:val="1"/>
    </w:lvl>
  </w:abstractNum>
  <w:abstractNum w:abstractNumId="14">
    <w:nsid w:val="580BD78F"/>
    <w:multiLevelType w:val="hybridMultilevel"/>
    <w:lvl w:ilvl="0">
      <w:lvlJc w:val="left"/>
      <w:lvlText w:val="%1."/>
      <w:numFmt w:val="decimal"/>
      <w:start w:val="14"/>
    </w:lvl>
  </w:abstractNum>
  <w:abstractNum w:abstractNumId="15">
    <w:nsid w:val="153EA438"/>
    <w:multiLevelType w:val="hybridMultilevel"/>
    <w:lvl w:ilvl="0">
      <w:lvlJc w:val="left"/>
      <w:lvlText w:val="%1."/>
      <w:numFmt w:val="decimal"/>
      <w:start w:val="17"/>
    </w:lvl>
  </w:abstractNum>
  <w:abstractNum w:abstractNumId="16">
    <w:nsid w:val="3855585C"/>
    <w:multiLevelType w:val="hybridMultilevel"/>
    <w:lvl w:ilvl="0">
      <w:lvlJc w:val="left"/>
      <w:lvlText w:val="(%1)"/>
      <w:numFmt w:val="lowerLetter"/>
      <w:start w:val="1"/>
    </w:lvl>
  </w:abstractNum>
  <w:abstractNum w:abstractNumId="17">
    <w:nsid w:val="70A64E2A"/>
    <w:multiLevelType w:val="hybridMultilevel"/>
    <w:lvl w:ilvl="0">
      <w:lvlJc w:val="left"/>
      <w:lvlText w:val="%1."/>
      <w:numFmt w:val="decimal"/>
      <w:start w:val="19"/>
    </w:lvl>
  </w:abstractNum>
  <w:abstractNum w:abstractNumId="18">
    <w:nsid w:val="6A2342EC"/>
    <w:multiLevelType w:val="hybridMultilevel"/>
    <w:lvl w:ilvl="0">
      <w:lvlJc w:val="left"/>
      <w:lvlText w:val="%1."/>
      <w:numFmt w:val="decimal"/>
      <w:start w:val="20"/>
    </w:lvl>
  </w:abstractNum>
  <w:abstractNum w:abstractNumId="19">
    <w:nsid w:val="2A487CB0"/>
    <w:multiLevelType w:val="hybridMultilevel"/>
    <w:lvl w:ilvl="0">
      <w:lvlJc w:val="left"/>
      <w:lvlText w:val="(%1)"/>
      <w:numFmt w:val="lowerLetter"/>
      <w:start w:val="1"/>
    </w:lvl>
  </w:abstractNum>
  <w:abstractNum w:abstractNumId="20">
    <w:nsid w:val="1D4ED43B"/>
    <w:multiLevelType w:val="hybridMultilevel"/>
    <w:lvl w:ilvl="0">
      <w:lvlJc w:val="left"/>
      <w:lvlText w:val="(%1)"/>
      <w:numFmt w:val="lowerRoman"/>
      <w:start w:val="1"/>
    </w:lvl>
  </w:abstractNum>
  <w:abstractNum w:abstractNumId="21">
    <w:nsid w:val="725A06FB"/>
    <w:multiLevelType w:val="hybridMultilevel"/>
    <w:lvl w:ilvl="0">
      <w:lvlJc w:val="left"/>
      <w:lvlText w:val="(%1)"/>
      <w:numFmt w:val="lowerLetter"/>
      <w:start w:val="1"/>
    </w:lvl>
    <w:lvl w:ilvl="1">
      <w:lvlJc w:val="left"/>
      <w:lvlText w:val="(%2)"/>
      <w:numFmt w:val="lowerRoman"/>
      <w:start w:val="1"/>
    </w:lvl>
  </w:abstractNum>
  <w:abstractNum w:abstractNumId="22">
    <w:nsid w:val="2CD89A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
    <w:nsid w:val="57E4CCAF"/>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4">
    <w:nsid w:val="7A6D8D3C"/>
    <w:multiLevelType w:val="hybridMultilevel"/>
    <w:lvl w:ilvl="0">
      <w:lvlJc w:val="left"/>
      <w:lvlText w:val="%1."/>
      <w:numFmt w:val="decimal"/>
      <w:start w:val="23"/>
    </w:lvl>
    <w:lvl w:ilvl="1">
      <w:lvlJc w:val="left"/>
      <w:lvlText w:val="(%2)"/>
      <w:numFmt w:val="lowerLetter"/>
      <w:start w:val="1"/>
    </w:lvl>
    <w:lvl w:ilvl="2">
      <w:lvlJc w:val="left"/>
      <w:lvlText w:val="(%3)"/>
      <w:numFmt w:val="lowerRoman"/>
      <w:start w:val="1"/>
    </w:lvl>
  </w:abstractNum>
  <w:abstractNum w:abstractNumId="25">
    <w:nsid w:val="4B588F54"/>
    <w:multiLevelType w:val="hybridMultilevel"/>
    <w:lvl w:ilvl="0">
      <w:lvlJc w:val="left"/>
      <w:lvlText w:val="%1"/>
      <w:numFmt w:val="lowerLetter"/>
      <w:start w:val="1"/>
    </w:lvl>
    <w:lvl w:ilvl="1">
      <w:lvlJc w:val="left"/>
      <w:lvlText w:val="(%2)"/>
      <w:numFmt w:val="lowerRoman"/>
      <w:start w:val="4"/>
    </w:lvl>
  </w:abstractNum>
  <w:abstractNum w:abstractNumId="26">
    <w:nsid w:val="542289EC"/>
    <w:multiLevelType w:val="hybridMultilevel"/>
    <w:lvl w:ilvl="0">
      <w:lvlJc w:val="left"/>
      <w:lvlText w:val="(%1)"/>
      <w:numFmt w:val="lowerLetter"/>
      <w:start w:val="2"/>
    </w:lvl>
    <w:lvl w:ilvl="1">
      <w:lvlJc w:val="left"/>
      <w:lvlText w:val="%2"/>
      <w:numFmt w:val="lowerRoman"/>
      <w:start w:val="1"/>
    </w:lvl>
  </w:abstractNum>
  <w:abstractNum w:abstractNumId="27">
    <w:nsid w:val="6DE91B18"/>
    <w:multiLevelType w:val="hybridMultilevel"/>
    <w:lvl w:ilvl="0">
      <w:lvlJc w:val="left"/>
      <w:lvlText w:val="%1"/>
      <w:numFmt w:val="decimal"/>
      <w:start w:val="1"/>
    </w:lvl>
    <w:lvl w:ilvl="1">
      <w:lvlJc w:val="left"/>
      <w:lvlText w:val="(%2)"/>
      <w:numFmt w:val="lowerLetter"/>
      <w:start w:val="3"/>
    </w:lvl>
  </w:abstractNum>
  <w:abstractNum w:abstractNumId="28">
    <w:nsid w:val="38437FDB"/>
    <w:multiLevelType w:val="hybridMultilevel"/>
    <w:lvl w:ilvl="0">
      <w:lvlJc w:val="left"/>
      <w:lvlText w:val="%1."/>
      <w:numFmt w:val="decimal"/>
      <w:start w:val="25"/>
    </w:lvl>
    <w:lvl w:ilvl="1">
      <w:lvlJc w:val="left"/>
      <w:lvlText w:val="%2"/>
      <w:numFmt w:val="lowerLetter"/>
      <w:start w:val="1"/>
    </w:lvl>
  </w:abstractNum>
  <w:abstractNum w:abstractNumId="29">
    <w:nsid w:val="7644A45C"/>
    <w:multiLevelType w:val="hybridMultilevel"/>
    <w:lvl w:ilvl="0">
      <w:lvlJc w:val="left"/>
      <w:lvlText w:val="%1."/>
      <w:numFmt w:val="decimal"/>
      <w:start w:val="27"/>
    </w:lvl>
  </w:abstractNum>
  <w:abstractNum w:abstractNumId="30">
    <w:nsid w:val="32FFF902"/>
    <w:multiLevelType w:val="hybridMultilevel"/>
    <w:lvl w:ilvl="0">
      <w:lvlJc w:val="left"/>
      <w:lvlText w:val="%1."/>
      <w:numFmt w:val="decimal"/>
      <w:start w:val="27"/>
    </w:lvl>
  </w:abstractNum>
  <w:abstractNum w:abstractNumId="31">
    <w:nsid w:val="684A481A"/>
    <w:multiLevelType w:val="hybridMultilevel"/>
    <w:lvl w:ilvl="0">
      <w:lvlJc w:val="left"/>
      <w:lvlText w:val="(%1)"/>
      <w:numFmt w:val="decimal"/>
      <w:start w:val="2"/>
    </w:lvl>
  </w:abstractNum>
  <w:abstractNum w:abstractNumId="32">
    <w:nsid w:val="579478FE"/>
    <w:multiLevelType w:val="hybridMultilevel"/>
    <w:lvl w:ilvl="0">
      <w:lvlJc w:val="left"/>
      <w:lvlText w:val="(%1)"/>
      <w:numFmt w:val="upperLetter"/>
      <w:start w:val="35"/>
    </w:lvl>
  </w:abstractNum>
  <w:abstractNum w:abstractNumId="33">
    <w:nsid w:val="749ABB43"/>
    <w:multiLevelType w:val="hybridMultilevel"/>
    <w:lvl w:ilvl="0">
      <w:lvlJc w:val="left"/>
      <w:lvlText w:val="%1."/>
      <w:numFmt w:val="decimal"/>
      <w:start w:val="1"/>
    </w:lvl>
  </w:abstractNum>
  <w:abstractNum w:abstractNumId="34">
    <w:nsid w:val="3DC240FB"/>
    <w:multiLevelType w:val="hybridMultilevel"/>
    <w:lvl w:ilvl="0">
      <w:lvlJc w:val="left"/>
      <w:lvlText w:val="%1."/>
      <w:numFmt w:val="decimal"/>
      <w:start w:val="2"/>
    </w:lvl>
  </w:abstractNum>
  <w:abstractNum w:abstractNumId="35">
    <w:nsid w:val="1BA026FA"/>
    <w:multiLevelType w:val="hybridMultilevel"/>
    <w:lvl w:ilvl="0">
      <w:lvlJc w:val="left"/>
      <w:lvlText w:val="%1."/>
      <w:numFmt w:val="decimal"/>
      <w:start w:val="3"/>
    </w:lvl>
  </w:abstractNum>
  <w:abstractNum w:abstractNumId="36">
    <w:nsid w:val="79A1DEAA"/>
    <w:multiLevelType w:val="hybridMultilevel"/>
    <w:lvl w:ilvl="0">
      <w:lvlJc w:val="left"/>
      <w:lvlText w:val="%1."/>
      <w:numFmt w:val="decimal"/>
      <w:start w:val="5"/>
    </w:lvl>
  </w:abstractNum>
  <w:abstractNum w:abstractNumId="37">
    <w:nsid w:val="75C6C33A"/>
    <w:multiLevelType w:val="hybridMultilevel"/>
    <w:lvl w:ilvl="0">
      <w:lvlJc w:val="left"/>
      <w:lvlText w:val="(%1)"/>
      <w:numFmt w:val="lowerLetter"/>
      <w:start w:val="1"/>
    </w:lvl>
    <w:lvl w:ilvl="1">
      <w:lvlJc w:val="left"/>
      <w:lvlText w:val="(%2)"/>
      <w:numFmt w:val="lowerLetter"/>
      <w:start w:val="9"/>
    </w:lvl>
  </w:abstractNum>
  <w:abstractNum w:abstractNumId="38">
    <w:nsid w:val="12E685FB"/>
    <w:multiLevelType w:val="hybridMultilevel"/>
    <w:lvl w:ilvl="0">
      <w:lvlJc w:val="left"/>
      <w:lvlText w:val="%1."/>
      <w:numFmt w:val="decimal"/>
      <w:start w:val="9"/>
    </w:lvl>
  </w:abstractNum>
  <w:abstractNum w:abstractNumId="39">
    <w:nsid w:val="70C6A529"/>
    <w:multiLevelType w:val="hybridMultilevel"/>
    <w:lvl w:ilvl="0">
      <w:lvlJc w:val="left"/>
      <w:lvlText w:val="(%1)"/>
      <w:numFmt w:val="lowerLetter"/>
      <w:start w:val="1"/>
    </w:lvl>
  </w:abstractNum>
  <w:abstractNum w:abstractNumId="40">
    <w:nsid w:val="520EEDD1"/>
    <w:multiLevelType w:val="hybridMultilevel"/>
    <w:lvl w:ilvl="0">
      <w:lvlJc w:val="left"/>
      <w:lvlText w:val="%1."/>
      <w:numFmt w:val="decimal"/>
      <w:start w:val="10"/>
    </w:lvl>
  </w:abstractNum>
  <w:abstractNum w:abstractNumId="41">
    <w:nsid w:val="374A3FE6"/>
    <w:multiLevelType w:val="hybridMultilevel"/>
    <w:lvl w:ilvl="0">
      <w:lvlJc w:val="left"/>
      <w:lvlText w:val="(%1)"/>
      <w:numFmt w:val="lowerLetter"/>
      <w:start w:val="1"/>
    </w:lvl>
  </w:abstractNum>
  <w:abstractNum w:abstractNumId="42">
    <w:nsid w:val="4F4EF005"/>
    <w:multiLevelType w:val="hybridMultilevel"/>
    <w:lvl w:ilvl="0">
      <w:lvlJc w:val="left"/>
      <w:lvlText w:val="%1."/>
      <w:numFmt w:val="decimal"/>
      <w:start w:val="11"/>
    </w:lvl>
  </w:abstractNum>
  <w:abstractNum w:abstractNumId="43">
    <w:nsid w:val="23F9C13C"/>
    <w:multiLevelType w:val="hybridMultilevel"/>
    <w:lvl w:ilvl="0">
      <w:lvlJc w:val="left"/>
      <w:lvlText w:val="%1."/>
      <w:numFmt w:val="decimal"/>
      <w:start w:val="12"/>
    </w:lvl>
  </w:abstractNum>
  <w:abstractNum w:abstractNumId="44">
    <w:nsid w:val="649BB77C"/>
    <w:multiLevelType w:val="hybridMultilevel"/>
    <w:lvl w:ilvl="0">
      <w:lvlJc w:val="left"/>
      <w:lvlText w:val="%1."/>
      <w:numFmt w:val="decimal"/>
      <w:start w:val="15"/>
    </w:lvl>
  </w:abstractNum>
  <w:abstractNum w:abstractNumId="45">
    <w:nsid w:val="275AC794"/>
    <w:multiLevelType w:val="hybridMultilevel"/>
    <w:lvl w:ilvl="0">
      <w:lvlJc w:val="left"/>
      <w:lvlText w:val="%1."/>
      <w:numFmt w:val="decimal"/>
      <w:start w:val="16"/>
    </w:lvl>
  </w:abstractNum>
  <w:abstractNum w:abstractNumId="46">
    <w:nsid w:val="39386575"/>
    <w:multiLevelType w:val="hybridMultilevel"/>
    <w:lvl w:ilvl="0">
      <w:lvlJc w:val="left"/>
      <w:lvlText w:val="%1."/>
      <w:numFmt w:val="decimal"/>
      <w:start w:val="18"/>
    </w:lvl>
  </w:abstractNum>
  <w:abstractNum w:abstractNumId="47">
    <w:nsid w:val="1CF10FD8"/>
    <w:multiLevelType w:val="hybridMultilevel"/>
    <w:lvl w:ilvl="0">
      <w:lvlJc w:val="left"/>
      <w:lvlText w:val="%1."/>
      <w:numFmt w:val="decimal"/>
      <w:start w:val="19"/>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1."/>
      <w:numFmt w:val="decimal"/>
      <w:start w:val="1"/>
    </w:lvl>
  </w:abstractNum>
  <w:abstractNum w:abstractNumId="50">
    <w:nsid w:val="47398C89"/>
    <w:multiLevelType w:val="hybridMultilevel"/>
    <w:lvl w:ilvl="0">
      <w:lvlJc w:val="left"/>
      <w:lvlText w:val="%1."/>
      <w:numFmt w:val="decimal"/>
      <w:start w:val="1"/>
    </w:lvl>
    <w:lvl w:ilvl="1">
      <w:lvlJc w:val="left"/>
      <w:lvlText w:val="(%2)"/>
      <w:numFmt w:val="lowerLetter"/>
      <w:start w:val="1"/>
    </w:lvl>
  </w:abstractNum>
  <w:abstractNum w:abstractNumId="51">
    <w:nsid w:val="354FE9F9"/>
    <w:multiLevelType w:val="hybridMultilevel"/>
    <w:lvl w:ilvl="0">
      <w:lvlJc w:val="left"/>
      <w:lvlText w:val="(%1)"/>
      <w:numFmt w:val="lowerLetter"/>
      <w:start w:val="1"/>
    </w:lvl>
  </w:abstractNum>
  <w:abstractNum w:abstractNumId="52">
    <w:nsid w:val="15B5AF5C"/>
    <w:multiLevelType w:val="hybridMultilevel"/>
    <w:lvl w:ilvl="0">
      <w:lvlJc w:val="left"/>
      <w:lvlText w:val="(%1)"/>
      <w:numFmt w:val="lowerLetter"/>
      <w:start w:val="1"/>
    </w:lvl>
  </w:abstractNum>
  <w:abstractNum w:abstractNumId="53">
    <w:nsid w:val="741226BB"/>
    <w:multiLevelType w:val="hybridMultilevel"/>
    <w:lvl w:ilvl="0">
      <w:lvlJc w:val="left"/>
      <w:lvlText w:val="(%1)"/>
      <w:numFmt w:val="lowerRoman"/>
      <w:start w:val="1"/>
    </w:lvl>
  </w:abstractNum>
  <w:abstractNum w:abstractNumId="54">
    <w:nsid w:val="D34B6A8"/>
    <w:multiLevelType w:val="hybridMultilevel"/>
    <w:lvl w:ilvl="0">
      <w:lvlJc w:val="left"/>
      <w:lvlText w:val="(%1)"/>
      <w:numFmt w:val="lowerLetter"/>
      <w:start w:val="1"/>
    </w:lvl>
  </w:abstractNum>
  <w:abstractNum w:abstractNumId="55">
    <w:nsid w:val="10233C99"/>
    <w:multiLevelType w:val="hybridMultilevel"/>
    <w:lvl w:ilvl="0">
      <w:lvlJc w:val="left"/>
      <w:lvlText w:val="%1."/>
      <w:numFmt w:val="decimal"/>
      <w:start w:val="2"/>
    </w:lvl>
  </w:abstractNum>
  <w:abstractNum w:abstractNumId="56">
    <w:nsid w:val="3F6AB60F"/>
    <w:multiLevelType w:val="hybridMultilevel"/>
    <w:lvl w:ilvl="0">
      <w:lvlJc w:val="left"/>
      <w:lvlText w:val="%1."/>
      <w:numFmt w:val="decimal"/>
      <w:start w:val="7"/>
    </w:lvl>
  </w:abstractNum>
  <w:abstractNum w:abstractNumId="57">
    <w:nsid w:val="6157409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58">
    <w:nsid w:val="7E0C57B1"/>
    <w:multiLevelType w:val="hybridMultilevel"/>
    <w:lvl w:ilvl="0">
      <w:lvlJc w:val="left"/>
      <w:lvlText w:val="%1."/>
      <w:numFmt w:val="decimal"/>
      <w:start w:val="12"/>
    </w:lvl>
    <w:lvl w:ilvl="1">
      <w:lvlJc w:val="left"/>
      <w:lvlText w:val="(%2)"/>
      <w:numFmt w:val="lowerLetter"/>
      <w:start w:val="1"/>
    </w:lvl>
  </w:abstractNum>
  <w:abstractNum w:abstractNumId="59">
    <w:nsid w:val="77AE35EB"/>
    <w:multiLevelType w:val="hybridMultilevel"/>
    <w:lvl w:ilvl="0">
      <w:lvlJc w:val="left"/>
      <w:lvlText w:val="%1."/>
      <w:numFmt w:val="decimal"/>
      <w:start w:val="13"/>
    </w:lvl>
  </w:abstractNum>
  <w:abstractNum w:abstractNumId="60">
    <w:nsid w:val="579BE4F1"/>
    <w:multiLevelType w:val="hybridMultilevel"/>
    <w:lvl w:ilvl="0">
      <w:lvlJc w:val="left"/>
      <w:lvlText w:val="%1"/>
      <w:numFmt w:val="decimal"/>
      <w:start w:val="1"/>
    </w:lvl>
    <w:lvl w:ilvl="1">
      <w:lvlJc w:val="left"/>
      <w:lvlText w:val="(%2)"/>
      <w:numFmt w:val="lowerLetter"/>
      <w:start w:val="1"/>
    </w:lvl>
  </w:abstractNum>
  <w:abstractNum w:abstractNumId="61">
    <w:nsid w:val="310C50B3"/>
    <w:multiLevelType w:val="hybridMultilevel"/>
    <w:lvl w:ilvl="0">
      <w:lvlJc w:val="left"/>
      <w:lvlText w:val="%1."/>
      <w:numFmt w:val="decimal"/>
      <w:start w:val="14"/>
    </w:lvl>
    <w:lvl w:ilvl="1">
      <w:lvlJc w:val="left"/>
      <w:lvlText w:val="(%2)"/>
      <w:numFmt w:val="lowerLetter"/>
      <w:start w:val="1"/>
    </w:lvl>
  </w:abstractNum>
  <w:abstractNum w:abstractNumId="62">
    <w:nsid w:val="5FF87E05"/>
    <w:multiLevelType w:val="hybridMultilevel"/>
    <w:lvl w:ilvl="0">
      <w:lvlJc w:val="left"/>
      <w:lvlText w:val="(%1)"/>
      <w:numFmt w:val="lowerLetter"/>
      <w:start w:val="2"/>
    </w:lvl>
  </w:abstractNum>
  <w:abstractNum w:abstractNumId="63">
    <w:nsid w:val="2F305DEF"/>
    <w:multiLevelType w:val="hybridMultilevel"/>
    <w:lvl w:ilvl="0">
      <w:lvlJc w:val="left"/>
      <w:lvlText w:val="%1."/>
      <w:numFmt w:val="decimal"/>
      <w:start w:val="17"/>
    </w:lvl>
    <w:lvl w:ilvl="1">
      <w:lvlJc w:val="left"/>
      <w:lvlText w:val="(%2)"/>
      <w:numFmt w:val="lowerLetter"/>
      <w:start w:val="1"/>
    </w:lvl>
  </w:abstractNum>
  <w:abstractNum w:abstractNumId="64">
    <w:nsid w:val="25A70BF7"/>
    <w:multiLevelType w:val="hybridMultilevel"/>
    <w:lvl w:ilvl="0">
      <w:lvlJc w:val="left"/>
      <w:lvlText w:val="%1."/>
      <w:numFmt w:val="decimal"/>
      <w:start w:val="19"/>
    </w:lvl>
  </w:abstractNum>
  <w:abstractNum w:abstractNumId="65">
    <w:nsid w:val="1DBABF00"/>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2022-06-30T08:09:32Z</dcterms:created>
  <dcterms:modified xsi:type="dcterms:W3CDTF">2022-06-30T08:09:32Z</dcterms:modified>
</cp:coreProperties>
</file>