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9, 2018</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729"/>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48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Pr>
          <w:p>
            <w:pPr>
              <w:spacing w:after="0"/>
              <w:rPr>
                <w:sz w:val="23"/>
                <w:szCs w:val="23"/>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53212</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1"/>
                <w:szCs w:val="21"/>
                <w:color w:val="auto"/>
              </w:rPr>
            </w:pPr>
          </w:p>
        </w:tc>
        <w:tc>
          <w:tcPr>
            <w:tcW w:w="3640" w:type="dxa"/>
            <w:vAlign w:val="bottom"/>
          </w:tcPr>
          <w:p>
            <w:pPr>
              <w:jc w:val="center"/>
              <w:ind w:right="1510"/>
              <w:spacing w:after="0"/>
              <w:rPr>
                <w:sz w:val="20"/>
                <w:szCs w:val="20"/>
                <w:color w:val="auto"/>
              </w:rPr>
            </w:pPr>
            <w:r>
              <w:rPr>
                <w:rFonts w:ascii="Arial" w:cs="Arial" w:eastAsia="Arial" w:hAnsi="Arial"/>
                <w:sz w:val="18"/>
                <w:szCs w:val="18"/>
                <w:b w:val="1"/>
                <w:bCs w:val="1"/>
                <w:color w:val="auto"/>
                <w:w w:val="94"/>
              </w:rPr>
              <w:t>(Zip Code)</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45"/>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14" w:lineRule="exact"/>
        <w:rPr>
          <w:rFonts w:ascii="Arial" w:cs="Arial" w:eastAsia="Arial" w:hAnsi="Arial"/>
          <w:sz w:val="22"/>
          <w:szCs w:val="22"/>
          <w:color w:val="auto"/>
        </w:rPr>
      </w:pPr>
    </w:p>
    <w:p>
      <w:pPr>
        <w:ind w:left="380" w:hanging="345"/>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14" w:lineRule="exact"/>
        <w:rPr>
          <w:rFonts w:ascii="Arial" w:cs="Arial" w:eastAsia="Arial" w:hAnsi="Arial"/>
          <w:sz w:val="22"/>
          <w:szCs w:val="22"/>
          <w:color w:val="auto"/>
        </w:rPr>
      </w:pPr>
    </w:p>
    <w:p>
      <w:pPr>
        <w:ind w:left="380" w:hanging="345"/>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14" w:lineRule="exact"/>
        <w:rPr>
          <w:rFonts w:ascii="Arial" w:cs="Arial" w:eastAsia="Arial" w:hAnsi="Arial"/>
          <w:sz w:val="22"/>
          <w:szCs w:val="22"/>
          <w:color w:val="auto"/>
        </w:rPr>
      </w:pPr>
    </w:p>
    <w:p>
      <w:pPr>
        <w:ind w:left="380" w:hanging="345"/>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4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95" w:lineRule="auto"/>
        <w:rPr>
          <w:sz w:val="20"/>
          <w:szCs w:val="20"/>
          <w:color w:val="auto"/>
        </w:rPr>
      </w:pPr>
      <w:r>
        <w:rPr>
          <w:rFonts w:ascii="Arial" w:cs="Arial" w:eastAsia="Arial" w:hAnsi="Arial"/>
          <w:sz w:val="18"/>
          <w:szCs w:val="18"/>
          <w:color w:val="auto"/>
        </w:rPr>
        <w:t>On November 9, 2018, we issued a press release announcing that our Board of Directors declared a semi-annual dividend of $1.01 per share. The dividend will be paid on December 14, 2018 to shareholders of record as of the close of business on December 3, 2018. The press release is attached hereto as Exhibit 99.1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gridSpan w:val="3"/>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608"/>
        </w:trPr>
        <w:tc>
          <w:tcPr>
            <w:tcW w:w="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20" w:type="dxa"/>
            <w:vAlign w:val="bottom"/>
          </w:tcPr>
          <w:p>
            <w:pPr>
              <w:spacing w:after="0"/>
              <w:rPr>
                <w:sz w:val="24"/>
                <w:szCs w:val="24"/>
                <w:color w:val="auto"/>
              </w:rPr>
            </w:pPr>
          </w:p>
        </w:tc>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r>
      <w:tr>
        <w:trPr>
          <w:trHeight w:val="203"/>
        </w:trPr>
        <w:tc>
          <w:tcPr>
            <w:tcW w:w="360" w:type="dxa"/>
            <w:vAlign w:val="bottom"/>
            <w:gridSpan w:val="2"/>
          </w:tcPr>
          <w:p>
            <w:pPr>
              <w:ind w:left="40"/>
              <w:spacing w:after="0" w:line="202" w:lineRule="exact"/>
              <w:rPr>
                <w:rFonts w:ascii="Arial" w:cs="Arial" w:eastAsia="Arial" w:hAnsi="Arial"/>
                <w:sz w:val="18"/>
                <w:szCs w:val="18"/>
                <w:color w:val="0000FF"/>
                <w:w w:val="85"/>
              </w:rPr>
            </w:pPr>
            <w:hyperlink w:anchor="page3">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20" w:type="dxa"/>
            <w:vAlign w:val="bottom"/>
            <w:gridSpan w:val="2"/>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Press Release dated November 9, 2018</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1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760" w:type="dxa"/>
            <w:vAlign w:val="bottom"/>
            <w:gridSpan w:val="2"/>
          </w:tcPr>
          <w:p>
            <w:pPr>
              <w:ind w:left="176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486"/>
        </w:trPr>
        <w:tc>
          <w:tcPr>
            <w:tcW w:w="3620" w:type="dxa"/>
            <w:vAlign w:val="bottom"/>
          </w:tcPr>
          <w:p>
            <w:pPr>
              <w:spacing w:after="0"/>
              <w:rPr>
                <w:sz w:val="20"/>
                <w:szCs w:val="20"/>
                <w:color w:val="auto"/>
              </w:rPr>
            </w:pPr>
            <w:r>
              <w:rPr>
                <w:rFonts w:ascii="Arial" w:cs="Arial" w:eastAsia="Arial" w:hAnsi="Arial"/>
                <w:sz w:val="18"/>
                <w:szCs w:val="18"/>
                <w:color w:val="auto"/>
              </w:rPr>
              <w:t>Dated: November 9, 2018</w:t>
            </w:r>
          </w:p>
        </w:tc>
        <w:tc>
          <w:tcPr>
            <w:tcW w:w="2740" w:type="dxa"/>
            <w:vAlign w:val="bottom"/>
          </w:tcPr>
          <w:p>
            <w:pPr>
              <w:ind w:left="176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/s/Richard Buchband</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74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2740" w:type="dxa"/>
            <w:vAlign w:val="bottom"/>
            <w:vMerge w:val="continue"/>
          </w:tcPr>
          <w:p>
            <w:pPr>
              <w:spacing w:after="0"/>
              <w:rPr>
                <w:sz w:val="20"/>
                <w:szCs w:val="20"/>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2740" w:type="dxa"/>
            <w:vAlign w:val="bottom"/>
          </w:tcPr>
          <w:p>
            <w:pPr>
              <w:ind w:left="1760"/>
              <w:spacing w:after="0"/>
              <w:rPr>
                <w:sz w:val="20"/>
                <w:szCs w:val="20"/>
                <w:color w:val="auto"/>
              </w:rPr>
            </w:pPr>
            <w:r>
              <w:rPr>
                <w:rFonts w:ascii="Arial" w:cs="Arial" w:eastAsia="Arial" w:hAnsi="Arial"/>
                <w:sz w:val="18"/>
                <w:szCs w:val="18"/>
                <w:color w:val="auto"/>
              </w:rPr>
              <w:t>Title:</w:t>
            </w:r>
          </w:p>
        </w:tc>
        <w:tc>
          <w:tcPr>
            <w:tcW w:w="502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173990</wp:posOffset>
            </wp:positionV>
            <wp:extent cx="175831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0"/>
        <w:spacing w:after="0"/>
        <w:tabs>
          <w:tab w:leader="none" w:pos="604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7"/>
          <w:szCs w:val="17"/>
          <w:b w:val="1"/>
          <w:bCs w:val="1"/>
          <w:color w:val="auto"/>
        </w:rPr>
        <w:t>CONTACT:</w:t>
      </w:r>
    </w:p>
    <w:p>
      <w:pPr>
        <w:spacing w:after="0" w:line="20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Jack McGinnis</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+1.414.906.7977</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Jack.mcginnis@manpowergroup.com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Declares $1.01 Dividend</w:t>
      </w:r>
    </w:p>
    <w:p>
      <w:pPr>
        <w:spacing w:after="0" w:line="26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 xml:space="preserve">MILWAUKEE (November 9, 2018) – </w:t>
      </w:r>
      <w:r>
        <w:rPr>
          <w:rFonts w:ascii="Arial" w:cs="Arial" w:eastAsia="Arial" w:hAnsi="Arial"/>
          <w:sz w:val="18"/>
          <w:szCs w:val="18"/>
          <w:color w:val="auto"/>
        </w:rPr>
        <w:t>The Board of Directors of ManpowerGroup (NYSE:MAN) has declared a dividend of $1.01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on December 14, 2018, to shareholders of record as of the close of business on December 3, 2018.</w:t>
      </w:r>
    </w:p>
    <w:p>
      <w:pPr>
        <w:spacing w:after="0" w:line="175" w:lineRule="exact"/>
        <w:rPr>
          <w:sz w:val="20"/>
          <w:szCs w:val="20"/>
          <w:color w:val="auto"/>
        </w:rPr>
      </w:pPr>
    </w:p>
    <w:p>
      <w:pPr>
        <w:ind w:right="1320"/>
        <w:spacing w:after="0" w:line="262" w:lineRule="auto"/>
        <w:rPr>
          <w:sz w:val="20"/>
          <w:szCs w:val="20"/>
          <w:color w:val="auto"/>
        </w:rPr>
      </w:pPr>
      <w:r>
        <w:rPr>
          <w:rFonts w:ascii="Arial" w:cs="Arial" w:eastAsia="Arial" w:hAnsi="Arial"/>
          <w:sz w:val="18"/>
          <w:szCs w:val="18"/>
          <w:color w:val="auto"/>
        </w:rPr>
        <w:t>Additional financial information about ManpowerGroup, including stock history and annual shareholder reports, can be found at http://investor.manpowergroup.com.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Right Management® and ManpowerGroup® Solutions – creates substantially more value for candidates and clients across 80 countries and territories and has done so for 70 years. In 2018, ManpowerGroup was named one of the World's Most Ethical Companies for the ninth year and one of Fortune's Most Admired Companies for the sixteenth year, confirming our position as the most trusted and admired brand in the industry. See how ManpowerGroup is powering the future of work: www.manpowergroup.com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ManpowerGroup • 100 Manpower Place, Milwaukee, WI 53212 • USA • Phone +1.414.961.1000 • www.manpowergroup.com</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2019-12-28T18:13:36Z</dcterms:created>
  <dcterms:modified xsi:type="dcterms:W3CDTF">2019-12-28T18:13:36Z</dcterms:modified>
</cp:coreProperties>
</file>