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Manpower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56418H100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10,100</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3,458,000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3,458,000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4.26%</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3,458,000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3,458,000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4.26%</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3,458,000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3,458,000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4.26%</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Manpower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5301 North Ironwood Road</w:t>
      </w:r>
    </w:p>
    <w:p>
      <w:pPr>
        <w:spacing w:after="0" w:line="16" w:lineRule="exact"/>
        <w:rPr>
          <w:sz w:val="24"/>
          <w:szCs w:val="24"/>
          <w:color w:val="auto"/>
        </w:rPr>
      </w:pP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3,458,000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4.26%</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3,458,000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Manpower Incorporated at December 31, 1997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1998</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3,447,900 shares or 4.25% of the common stock outstanding of Manpower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3,447,900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10,100 shares or 0.01% of the common stock outstanding of the Company as a result of its serving as investment manager of the institutional account(s).</w:t>
      </w:r>
    </w:p>
    <w:p>
      <w:pPr>
        <w:spacing w:after="0" w:line="210"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voting and dispositive power over 10,100 shares of common stock owned by the institutional account(s) as reported above.</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The undersigned persons, on February 14, 1998, agree and consent to the joint filing on their behalf of this Schedule 13G in connection with their beneficial ownership of the common stock of Manpower Incorporated at December</w:t>
      </w:r>
    </w:p>
    <w:tbl>
      <w:tblPr>
        <w:tblLayout w:type="fixed"/>
        <w:tblInd w:w="0" w:type="dxa"/>
        <w:tblCellMar>
          <w:top w:w="0" w:type="dxa"/>
          <w:left w:w="0" w:type="dxa"/>
          <w:bottom w:w="0" w:type="dxa"/>
          <w:right w:w="0" w:type="dxa"/>
        </w:tblCellMar>
      </w:tblPr>
      <w:tr>
        <w:trPr>
          <w:trHeight w:val="199"/>
        </w:trPr>
        <w:tc>
          <w:tcPr>
            <w:tcW w:w="3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31,</w:t>
            </w:r>
          </w:p>
        </w:tc>
        <w:tc>
          <w:tcPr>
            <w:tcW w:w="1000" w:type="dxa"/>
            <w:vAlign w:val="bottom"/>
          </w:tcPr>
          <w:p>
            <w:pPr>
              <w:jc w:val="right"/>
              <w:ind w:right="332"/>
              <w:spacing w:after="0" w:line="198" w:lineRule="exact"/>
              <w:rPr>
                <w:sz w:val="20"/>
                <w:szCs w:val="20"/>
                <w:color w:val="auto"/>
              </w:rPr>
            </w:pPr>
            <w:r>
              <w:rPr>
                <w:rFonts w:ascii="Courier New" w:cs="Courier New" w:eastAsia="Courier New" w:hAnsi="Courier New"/>
                <w:sz w:val="18"/>
                <w:szCs w:val="18"/>
                <w:color w:val="auto"/>
              </w:rPr>
              <w:t>1997.</w:t>
            </w:r>
          </w:p>
        </w:tc>
        <w:tc>
          <w:tcPr>
            <w:tcW w:w="21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1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FMR Corp.</w:t>
            </w:r>
          </w:p>
        </w:tc>
      </w:tr>
      <w:tr>
        <w:trPr>
          <w:trHeight w:val="203"/>
        </w:trPr>
        <w:tc>
          <w:tcPr>
            <w:tcW w:w="380" w:type="dxa"/>
            <w:vAlign w:val="bottom"/>
          </w:tcPr>
          <w:p>
            <w:pPr>
              <w:spacing w:after="0"/>
              <w:rPr>
                <w:sz w:val="17"/>
                <w:szCs w:val="17"/>
                <w:color w:val="auto"/>
              </w:rPr>
            </w:pP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By</w:t>
            </w:r>
          </w:p>
        </w:tc>
        <w:tc>
          <w:tcPr>
            <w:tcW w:w="2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/s/Eric D. Roiter</w:t>
            </w:r>
          </w:p>
        </w:tc>
      </w:tr>
    </w:tbl>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of Power</w:t>
      </w:r>
    </w:p>
    <w:p>
      <w:pPr>
        <w:spacing w:after="0" w:line="237" w:lineRule="auto"/>
        <w:rPr>
          <w:sz w:val="20"/>
          <w:szCs w:val="20"/>
          <w:color w:val="auto"/>
        </w:rPr>
      </w:pPr>
      <w:r>
        <w:rPr>
          <w:rFonts w:ascii="Courier New" w:cs="Courier New" w:eastAsia="Courier New" w:hAnsi="Courier New"/>
          <w:sz w:val="18"/>
          <w:szCs w:val="18"/>
          <w:color w:val="auto"/>
        </w:rPr>
        <w:t>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and indirect subsidiaries</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7" w:lineRule="auto"/>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Edward C. Johnson 3d</w:t>
      </w:r>
    </w:p>
    <w:p>
      <w:pPr>
        <w:ind w:left="860"/>
        <w:spacing w:after="0"/>
        <w:rPr>
          <w:sz w:val="20"/>
          <w:szCs w:val="20"/>
          <w:color w:val="auto"/>
        </w:rPr>
      </w:pPr>
      <w:r>
        <w:rPr>
          <w:rFonts w:ascii="Courier New" w:cs="Courier New" w:eastAsia="Courier New" w:hAnsi="Courier New"/>
          <w:sz w:val="18"/>
          <w:szCs w:val="18"/>
          <w:color w:val="auto"/>
        </w:rPr>
        <w:t>Abigail P. Johnson</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w:t>
      </w:r>
    </w:p>
    <w:p>
      <w:pPr>
        <w:spacing w:after="0" w:line="237" w:lineRule="auto"/>
        <w:rPr>
          <w:sz w:val="20"/>
          <w:szCs w:val="20"/>
          <w:color w:val="auto"/>
        </w:rPr>
      </w:pPr>
      <w:r>
        <w:rPr>
          <w:rFonts w:ascii="Courier New" w:cs="Courier New" w:eastAsia="Courier New" w:hAnsi="Courier New"/>
          <w:sz w:val="18"/>
          <w:szCs w:val="18"/>
          <w:color w:val="auto"/>
        </w:rPr>
        <w:t>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Abigail P. Johnson</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2019-12-12T11:16:15Z</dcterms:created>
  <dcterms:modified xsi:type="dcterms:W3CDTF">2019-12-12T11:16:15Z</dcterms:modified>
</cp:coreProperties>
</file>