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620" w:right="1160" w:hanging="3357"/>
        <w:spacing w:after="0" w:line="501" w:lineRule="auto"/>
        <w:tabs>
          <w:tab w:leader="none" w:pos="14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No. 1-10686</w:t>
      </w:r>
    </w:p>
    <w:p>
      <w:pPr>
        <w:jc w:val="center"/>
        <w:ind w:right="-99"/>
        <w:spacing w:after="0"/>
        <w:rPr>
          <w:sz w:val="20"/>
          <w:szCs w:val="20"/>
          <w:color w:val="auto"/>
        </w:rPr>
      </w:pPr>
      <w:r>
        <w:rPr>
          <w:rFonts w:ascii="Arial" w:cs="Arial" w:eastAsia="Arial" w:hAnsi="Arial"/>
          <w:sz w:val="18"/>
          <w:szCs w:val="18"/>
          <w:color w:val="auto"/>
        </w:rPr>
        <w:t>MANPOWERGROUP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WISCONSIN</w:t>
            </w:r>
          </w:p>
        </w:tc>
        <w:tc>
          <w:tcPr>
            <w:tcW w:w="3440" w:type="dxa"/>
            <w:vAlign w:val="bottom"/>
          </w:tcPr>
          <w:p>
            <w:pPr>
              <w:jc w:val="right"/>
              <w:ind w:right="50"/>
              <w:spacing w:after="0"/>
              <w:rPr>
                <w:sz w:val="20"/>
                <w:szCs w:val="20"/>
                <w:color w:val="auto"/>
              </w:rPr>
            </w:pPr>
            <w:r>
              <w:rPr>
                <w:rFonts w:ascii="Arial" w:cs="Arial" w:eastAsia="Arial" w:hAnsi="Arial"/>
                <w:sz w:val="18"/>
                <w:szCs w:val="18"/>
                <w:b w:val="1"/>
                <w:bCs w:val="1"/>
                <w:color w:val="auto"/>
              </w:rPr>
              <w:t>39-1672779</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(State or other jurisdiction of</w:t>
            </w:r>
          </w:p>
        </w:tc>
        <w:tc>
          <w:tcPr>
            <w:tcW w:w="392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c>
          <w:tcPr>
            <w:tcW w:w="760" w:type="dxa"/>
            <w:vAlign w:val="bottom"/>
          </w:tcPr>
          <w:p>
            <w:pPr>
              <w:spacing w:after="0"/>
              <w:rPr>
                <w:sz w:val="18"/>
                <w:szCs w:val="18"/>
                <w:color w:val="auto"/>
              </w:rPr>
            </w:pPr>
          </w:p>
        </w:tc>
      </w:tr>
      <w:tr>
        <w:trPr>
          <w:trHeight w:val="23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incorporation or organization)</w:t>
            </w:r>
          </w:p>
        </w:tc>
        <w:tc>
          <w:tcPr>
            <w:tcW w:w="392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c>
          <w:tcPr>
            <w:tcW w:w="760" w:type="dxa"/>
            <w:vAlign w:val="bottom"/>
          </w:tcPr>
          <w:p>
            <w:pPr>
              <w:spacing w:after="0"/>
              <w:rPr>
                <w:sz w:val="20"/>
                <w:szCs w:val="20"/>
                <w:color w:val="auto"/>
              </w:rPr>
            </w:pPr>
          </w:p>
        </w:tc>
      </w:tr>
      <w:tr>
        <w:trPr>
          <w:trHeight w:val="41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100 MANPOWER PLACE</w:t>
            </w:r>
          </w:p>
        </w:tc>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rPr>
              <w:t>MILWAUKEE, WISCONSIN</w:t>
            </w:r>
          </w:p>
        </w:tc>
        <w:tc>
          <w:tcPr>
            <w:tcW w:w="3440" w:type="dxa"/>
            <w:vAlign w:val="bottom"/>
          </w:tcPr>
          <w:p>
            <w:pPr>
              <w:jc w:val="right"/>
              <w:ind w:right="270"/>
              <w:spacing w:after="0"/>
              <w:rPr>
                <w:sz w:val="20"/>
                <w:szCs w:val="20"/>
                <w:color w:val="auto"/>
              </w:rPr>
            </w:pPr>
            <w:r>
              <w:rPr>
                <w:rFonts w:ascii="Arial" w:cs="Arial" w:eastAsia="Arial" w:hAnsi="Arial"/>
                <w:sz w:val="18"/>
                <w:szCs w:val="18"/>
                <w:b w:val="1"/>
                <w:bCs w:val="1"/>
                <w:color w:val="auto"/>
              </w:rPr>
              <w:t>53212</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40" w:type="dxa"/>
            <w:vAlign w:val="bottom"/>
          </w:tcPr>
          <w:p>
            <w:pPr>
              <w:jc w:val="center"/>
              <w:ind w:left="2190"/>
              <w:spacing w:after="0"/>
              <w:rPr>
                <w:sz w:val="20"/>
                <w:szCs w:val="20"/>
                <w:color w:val="auto"/>
              </w:rPr>
            </w:pPr>
            <w:r>
              <w:rPr>
                <w:rFonts w:ascii="Arial" w:cs="Arial" w:eastAsia="Arial" w:hAnsi="Arial"/>
                <w:sz w:val="18"/>
                <w:szCs w:val="18"/>
                <w:b w:val="1"/>
                <w:bCs w:val="1"/>
                <w:color w:val="auto"/>
                <w:w w:val="94"/>
              </w:rPr>
              <w:t>(Zip Code)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640" w:type="dxa"/>
            <w:vAlign w:val="bottom"/>
            <w:gridSpan w:val="2"/>
          </w:tcPr>
          <w:p>
            <w:pPr>
              <w:jc w:val="center"/>
              <w:ind w:left="1690"/>
              <w:spacing w:after="0"/>
              <w:rPr>
                <w:sz w:val="20"/>
                <w:szCs w:val="20"/>
                <w:color w:val="auto"/>
              </w:rPr>
            </w:pPr>
            <w:r>
              <w:rPr>
                <w:rFonts w:ascii="Arial" w:cs="Arial" w:eastAsia="Arial" w:hAnsi="Arial"/>
                <w:sz w:val="18"/>
                <w:szCs w:val="18"/>
                <w:b w:val="1"/>
                <w:bCs w:val="1"/>
                <w:color w:val="auto"/>
                <w:w w:val="89"/>
              </w:rPr>
              <w:t>Registrant’s telephone number, including area code: (414) 961-1000</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86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Title of each class</w:t>
            </w:r>
          </w:p>
        </w:tc>
        <w:tc>
          <w:tcPr>
            <w:tcW w:w="468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16"/>
        </w:trPr>
        <w:tc>
          <w:tcPr>
            <w:tcW w:w="5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Common Stock, $.01 par value</w:t>
            </w:r>
          </w:p>
        </w:tc>
        <w:tc>
          <w:tcPr>
            <w:tcW w:w="392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0"/>
              </w:rPr>
              <w:t>New York Stock Exchange</w:t>
            </w:r>
          </w:p>
        </w:tc>
        <w:tc>
          <w:tcPr>
            <w:tcW w:w="760" w:type="dxa"/>
            <w:vAlign w:val="bottom"/>
          </w:tcPr>
          <w:p>
            <w:pPr>
              <w:spacing w:after="0"/>
              <w:rPr>
                <w:sz w:val="18"/>
                <w:szCs w:val="18"/>
                <w:color w:val="auto"/>
              </w:rPr>
            </w:pPr>
          </w:p>
        </w:tc>
      </w:tr>
      <w:tr>
        <w:trPr>
          <w:trHeight w:val="234"/>
        </w:trPr>
        <w:tc>
          <w:tcPr>
            <w:tcW w:w="864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85"/>
        </w:trPr>
        <w:tc>
          <w:tcPr>
            <w:tcW w:w="864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ind w:left="20"/>
              <w:spacing w:after="0"/>
              <w:rPr>
                <w:sz w:val="20"/>
                <w:szCs w:val="20"/>
                <w:color w:val="auto"/>
              </w:rPr>
            </w:pPr>
            <w:r>
              <w:rPr>
                <w:rFonts w:ascii="Arial" w:cs="Arial" w:eastAsia="Arial" w:hAnsi="Arial"/>
                <w:sz w:val="18"/>
                <w:szCs w:val="18"/>
                <w:color w:val="auto"/>
                <w:w w:val="97"/>
              </w:rPr>
              <w:t>Yes x</w:t>
            </w:r>
          </w:p>
        </w:tc>
        <w:tc>
          <w:tcPr>
            <w:tcW w:w="7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65"/>
        </w:trPr>
        <w:tc>
          <w:tcPr>
            <w:tcW w:w="864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40"/>
              <w:spacing w:after="0"/>
              <w:rPr>
                <w:sz w:val="20"/>
                <w:szCs w:val="20"/>
                <w:color w:val="auto"/>
              </w:rPr>
            </w:pPr>
            <w:r>
              <w:rPr>
                <w:rFonts w:ascii="Arial" w:cs="Arial" w:eastAsia="Arial" w:hAnsi="Arial"/>
                <w:sz w:val="18"/>
                <w:szCs w:val="18"/>
                <w:color w:val="auto"/>
              </w:rPr>
              <w:t>Yes</w:t>
            </w:r>
          </w:p>
        </w:tc>
        <w:tc>
          <w:tcPr>
            <w:tcW w:w="7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bl>
    <w:p>
      <w:pPr>
        <w:ind w:right="14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ind w:right="120" w:firstLine="486"/>
        <w:spacing w:after="0" w:line="214"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6" w:lineRule="exact"/>
        <w:rPr>
          <w:sz w:val="24"/>
          <w:szCs w:val="24"/>
          <w:color w:val="auto"/>
        </w:rPr>
      </w:pPr>
    </w:p>
    <w:p>
      <w:pPr>
        <w:ind w:right="340" w:firstLine="486"/>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was $2,907,045,895 as of June 30, 2012. As of February 19, 2013, there were 76,862,883 of the registrant’s shares of common stock outstanding.</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ind w:right="240" w:firstLine="486"/>
        <w:spacing w:after="0" w:line="277" w:lineRule="auto"/>
        <w:rPr>
          <w:sz w:val="20"/>
          <w:szCs w:val="20"/>
          <w:color w:val="auto"/>
        </w:rPr>
      </w:pPr>
      <w:r>
        <w:rPr>
          <w:rFonts w:ascii="Arial" w:cs="Arial" w:eastAsia="Arial" w:hAnsi="Arial"/>
          <w:sz w:val="18"/>
          <w:szCs w:val="18"/>
          <w:color w:val="auto"/>
        </w:rPr>
        <w:t>Parts I and II incorporate information by reference from the Annual Report to Shareholders for the fiscal year ended December 31, 2012. Part III is incorporated by reference from the Proxy Statement for the Annual Meeting of Shareholders to be held on April 30, 2013.</w:t>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terms “we,” “our,” “us,” or “the Company” refer to ManpowerGroup Inc. or ManpowerGroup Inc. and its consolidated subsidiaries, as appropriate in the context.</w:t>
      </w:r>
    </w:p>
    <w:p>
      <w:pPr>
        <w:spacing w:after="0" w:line="16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252" w:lineRule="exact"/>
        <w:rPr>
          <w:sz w:val="20"/>
          <w:szCs w:val="20"/>
          <w:color w:val="auto"/>
        </w:rPr>
      </w:pPr>
    </w:p>
    <w:p>
      <w:pPr>
        <w:jc w:val="both"/>
        <w:ind w:right="240" w:firstLine="666"/>
        <w:spacing w:after="0" w:line="286" w:lineRule="auto"/>
        <w:rPr>
          <w:sz w:val="20"/>
          <w:szCs w:val="20"/>
          <w:color w:val="auto"/>
        </w:rPr>
      </w:pPr>
      <w:r>
        <w:rPr>
          <w:rFonts w:ascii="Arial" w:cs="Arial" w:eastAsia="Arial" w:hAnsi="Arial"/>
          <w:sz w:val="17"/>
          <w:szCs w:val="17"/>
          <w:color w:val="auto"/>
        </w:rPr>
        <w:t>ManpowerGroup Inc. is a world leader in innovative workforce solutions and services. Our global network of nearly 3,500 offices in 80 countries allows us to meet the needs of our clients in all industry segments, whether they are global, multinational or local companies. We create power that drives organizations forward, accelerates personal success and builds more sustainable communities. We power the world of work.</w:t>
      </w:r>
    </w:p>
    <w:p>
      <w:pPr>
        <w:spacing w:after="0" w:line="166" w:lineRule="exact"/>
        <w:rPr>
          <w:sz w:val="20"/>
          <w:szCs w:val="20"/>
          <w:color w:val="auto"/>
        </w:rPr>
      </w:pPr>
    </w:p>
    <w:p>
      <w:pPr>
        <w:ind w:right="20" w:firstLine="666"/>
        <w:spacing w:after="0" w:line="286" w:lineRule="auto"/>
        <w:rPr>
          <w:sz w:val="20"/>
          <w:szCs w:val="20"/>
          <w:color w:val="auto"/>
        </w:rPr>
      </w:pPr>
      <w:r>
        <w:rPr>
          <w:rFonts w:ascii="Arial" w:cs="Arial" w:eastAsia="Arial" w:hAnsi="Arial"/>
          <w:sz w:val="17"/>
          <w:szCs w:val="17"/>
          <w:color w:val="auto"/>
        </w:rPr>
        <w:t>By offering a complete range of workforce solutions and services, we can help any company – no matter where they are in their business evolution – raise productivity, improve strategy, quality, efficiency and cost reduction across their total workforce to achieve their business goals. ManpowerGroup provides a comprehensive suite of high-impact innovative workforce solutions and services for the entire business cycle including:</w:t>
      </w:r>
    </w:p>
    <w:p>
      <w:pPr>
        <w:spacing w:after="0" w:line="189" w:lineRule="exact"/>
        <w:rPr>
          <w:sz w:val="20"/>
          <w:szCs w:val="20"/>
          <w:color w:val="auto"/>
        </w:rPr>
      </w:pPr>
    </w:p>
    <w:p>
      <w:pPr>
        <w:ind w:right="160" w:firstLine="8"/>
        <w:spacing w:after="0" w:line="289" w:lineRule="auto"/>
        <w:tabs>
          <w:tab w:leader="none" w:pos="108"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 vertical knowledge and expertise, we know what talent looks like and where to find it;</w:t>
      </w:r>
      <w:r>
        <w:rPr>
          <w:rFonts w:ascii="Arial" w:cs="Arial" w:eastAsia="Arial" w:hAnsi="Arial"/>
          <w:sz w:val="17"/>
          <w:szCs w:val="17"/>
          <w:b w:val="1"/>
          <w:bCs w:val="1"/>
          <w:color w:val="auto"/>
        </w:rPr>
        <w:t xml:space="preserve"> </w:t>
      </w:r>
      <w:r>
        <w:rPr>
          <w:rFonts w:ascii="Arial" w:cs="Arial" w:eastAsia="Arial" w:hAnsi="Arial"/>
          <w:sz w:val="17"/>
          <w:szCs w:val="17"/>
          <w:color w:val="auto"/>
        </w:rPr>
        <w:t>and we have built a deeper talent pool to provide our clients access to the people they need faster. Through our world-leading assessments, we gain a deeper understanding of the people we serve, allowing us to truly identify a candidate’s potential, resulting in a better cultural match.</w:t>
      </w:r>
    </w:p>
    <w:p>
      <w:pPr>
        <w:spacing w:after="0" w:line="185" w:lineRule="exact"/>
        <w:rPr>
          <w:rFonts w:ascii="Arial" w:cs="Arial" w:eastAsia="Arial" w:hAnsi="Arial"/>
          <w:sz w:val="17"/>
          <w:szCs w:val="17"/>
          <w:color w:val="auto"/>
        </w:rPr>
      </w:pPr>
    </w:p>
    <w:p>
      <w:pPr>
        <w:ind w:right="340" w:firstLine="8"/>
        <w:spacing w:after="0" w:line="266"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We effectively and efficiently assess and develop skills, keeping our associates ahead of the curve so they can get the job</w:t>
      </w:r>
      <w:r>
        <w:rPr>
          <w:rFonts w:ascii="Arial" w:cs="Arial" w:eastAsia="Arial" w:hAnsi="Arial"/>
          <w:sz w:val="18"/>
          <w:szCs w:val="18"/>
          <w:b w:val="1"/>
          <w:bCs w:val="1"/>
          <w:color w:val="auto"/>
        </w:rPr>
        <w:t xml:space="preserve"> </w:t>
      </w:r>
      <w:r>
        <w:rPr>
          <w:rFonts w:ascii="Arial" w:cs="Arial" w:eastAsia="Arial" w:hAnsi="Arial"/>
          <w:sz w:val="18"/>
          <w:szCs w:val="18"/>
          <w:color w:val="auto"/>
        </w:rPr>
        <w:t>done each time every time. We offer extensive training courses and leadership development solutions for clients to maximize talent and optimize performance.</w:t>
      </w:r>
    </w:p>
    <w:p>
      <w:pPr>
        <w:spacing w:after="0" w:line="176" w:lineRule="exact"/>
        <w:rPr>
          <w:rFonts w:ascii="Arial" w:cs="Arial" w:eastAsia="Arial" w:hAnsi="Arial"/>
          <w:sz w:val="18"/>
          <w:szCs w:val="18"/>
          <w:color w:val="auto"/>
        </w:rPr>
      </w:pPr>
    </w:p>
    <w:p>
      <w:pPr>
        <w:ind w:right="280" w:firstLine="8"/>
        <w:spacing w:after="0" w:line="347" w:lineRule="auto"/>
        <w:tabs>
          <w:tab w:leader="none" w:pos="10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Career Management </w:t>
      </w:r>
      <w:r>
        <w:rPr>
          <w:rFonts w:ascii="Arial" w:cs="Arial" w:eastAsia="Arial" w:hAnsi="Arial"/>
          <w:sz w:val="16"/>
          <w:szCs w:val="16"/>
          <w:color w:val="auto"/>
        </w:rPr>
        <w:t>– We engage consultants that value and understand the human side of business, making meaningful impact on both the people and</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we serve. The countercyclical nature of the career transition industry helps strengthen our portfolio during economic downturns.</w:t>
      </w:r>
    </w:p>
    <w:p>
      <w:pPr>
        <w:spacing w:after="0" w:line="116" w:lineRule="exact"/>
        <w:rPr>
          <w:rFonts w:ascii="Arial" w:cs="Arial" w:eastAsia="Arial" w:hAnsi="Arial"/>
          <w:sz w:val="16"/>
          <w:szCs w:val="16"/>
          <w:color w:val="auto"/>
        </w:rPr>
      </w:pPr>
    </w:p>
    <w:p>
      <w:pPr>
        <w:ind w:right="58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88" w:lineRule="exact"/>
        <w:rPr>
          <w:rFonts w:ascii="Arial" w:cs="Arial" w:eastAsia="Arial" w:hAnsi="Arial"/>
          <w:sz w:val="18"/>
          <w:szCs w:val="18"/>
          <w:color w:val="auto"/>
        </w:rPr>
      </w:pPr>
    </w:p>
    <w:p>
      <w:pPr>
        <w:ind w:right="2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are a global leader in innovative workforce solutions. We help clients create and align their workforce strategy to achieve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strategy, increasing business agility and personal flexibility and accelerating personal and business success.</w:t>
      </w:r>
    </w:p>
    <w:p>
      <w:pPr>
        <w:spacing w:after="0" w:line="166" w:lineRule="exact"/>
        <w:rPr>
          <w:sz w:val="20"/>
          <w:szCs w:val="20"/>
          <w:color w:val="auto"/>
        </w:rPr>
      </w:pPr>
    </w:p>
    <w:p>
      <w:pPr>
        <w:ind w:right="180" w:firstLine="663"/>
        <w:spacing w:after="0" w:line="277" w:lineRule="auto"/>
        <w:rPr>
          <w:sz w:val="20"/>
          <w:szCs w:val="20"/>
          <w:color w:val="auto"/>
        </w:rPr>
      </w:pPr>
      <w:r>
        <w:rPr>
          <w:rFonts w:ascii="Arial" w:cs="Arial" w:eastAsia="Arial" w:hAnsi="Arial"/>
          <w:sz w:val="18"/>
          <w:szCs w:val="18"/>
          <w:color w:val="auto"/>
        </w:rPr>
        <w:t>This comprehensive and diverse business mix helps us to partially mitigate the cyclical effects of the national economies in which we operate. Our family of brands includes:</w:t>
      </w:r>
    </w:p>
    <w:p>
      <w:pPr>
        <w:spacing w:after="0" w:line="193" w:lineRule="exact"/>
        <w:rPr>
          <w:sz w:val="20"/>
          <w:szCs w:val="20"/>
          <w:color w:val="auto"/>
        </w:rPr>
      </w:pPr>
    </w:p>
    <w:p>
      <w:pPr>
        <w:ind w:right="44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ManpowerGroup </w:t>
      </w:r>
      <w:r>
        <w:rPr>
          <w:rFonts w:ascii="Arial" w:cs="Arial" w:eastAsia="Arial" w:hAnsi="Arial"/>
          <w:sz w:val="18"/>
          <w:szCs w:val="18"/>
          <w:color w:val="auto"/>
        </w:rPr>
        <w:t>– We are a world leader in innovative workforce solutions. We leverage our global reach and local expertise of tens of thousands of</w:t>
      </w:r>
      <w:r>
        <w:rPr>
          <w:rFonts w:ascii="Arial" w:cs="Arial" w:eastAsia="Arial" w:hAnsi="Arial"/>
          <w:sz w:val="18"/>
          <w:szCs w:val="18"/>
          <w:b w:val="1"/>
          <w:bCs w:val="1"/>
          <w:color w:val="auto"/>
        </w:rPr>
        <w:t xml:space="preserve"> </w:t>
      </w:r>
      <w:r>
        <w:rPr>
          <w:rFonts w:ascii="Arial" w:cs="Arial" w:eastAsia="Arial" w:hAnsi="Arial"/>
          <w:sz w:val="18"/>
          <w:szCs w:val="18"/>
          <w:color w:val="auto"/>
        </w:rPr>
        <w:t>people across 80 countries, making it possible for businesses to access the talent they need when they need it.</w:t>
      </w:r>
    </w:p>
    <w:p>
      <w:pPr>
        <w:spacing w:after="0" w:line="188" w:lineRule="exact"/>
        <w:rPr>
          <w:rFonts w:ascii="Arial" w:cs="Arial" w:eastAsia="Arial" w:hAnsi="Arial"/>
          <w:sz w:val="18"/>
          <w:szCs w:val="18"/>
          <w:color w:val="auto"/>
        </w:rPr>
      </w:pPr>
    </w:p>
    <w:p>
      <w:pPr>
        <w:ind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 We are a global leader in contingent and permanent recruitment workforce solutions. We provide the personal flexibility and agility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need with a continuum of staffing solutions.</w:t>
      </w:r>
    </w:p>
    <w:p>
      <w:pPr>
        <w:spacing w:after="0" w:line="188" w:lineRule="exact"/>
        <w:rPr>
          <w:rFonts w:ascii="Arial" w:cs="Arial" w:eastAsia="Arial" w:hAnsi="Arial"/>
          <w:sz w:val="18"/>
          <w:szCs w:val="18"/>
          <w:color w:val="auto"/>
        </w:rPr>
      </w:pPr>
    </w:p>
    <w:p>
      <w:pPr>
        <w:ind w:right="40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Experis </w:t>
      </w:r>
      <w:r>
        <w:rPr>
          <w:rFonts w:ascii="Arial" w:cs="Arial" w:eastAsia="Arial" w:hAnsi="Arial"/>
          <w:sz w:val="18"/>
          <w:szCs w:val="18"/>
          <w:color w:val="auto"/>
        </w:rPr>
        <w:t>– We are a global leader in professional resourcing and project-based workforce solutions. With operations in over 50 countries, we deliver 51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hours of professional talent specializing in IT, Finance and Engineering to accelerate clients’ businesses each year.</w:t>
      </w:r>
    </w:p>
    <w:p>
      <w:pPr>
        <w:spacing w:after="0" w:line="188" w:lineRule="exact"/>
        <w:rPr>
          <w:rFonts w:ascii="Arial" w:cs="Arial" w:eastAsia="Arial" w:hAnsi="Arial"/>
          <w:sz w:val="18"/>
          <w:szCs w:val="18"/>
          <w:color w:val="auto"/>
        </w:rPr>
      </w:pPr>
    </w:p>
    <w:p>
      <w:pPr>
        <w:ind w:right="32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Right Management </w:t>
      </w:r>
      <w:r>
        <w:rPr>
          <w:rFonts w:ascii="Arial" w:cs="Arial" w:eastAsia="Arial" w:hAnsi="Arial"/>
          <w:sz w:val="18"/>
          <w:szCs w:val="18"/>
          <w:color w:val="auto"/>
        </w:rPr>
        <w:t>– We are a global leader in talent and career management workforce solutions. Through our innovative and proprietary process, we</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our expertise to successfully increase productivity and optimize business performance.</w:t>
      </w:r>
    </w:p>
    <w:p>
      <w:pPr>
        <w:spacing w:after="0" w:line="188" w:lineRule="exact"/>
        <w:rPr>
          <w:rFonts w:ascii="Arial" w:cs="Arial" w:eastAsia="Arial" w:hAnsi="Arial"/>
          <w:sz w:val="18"/>
          <w:szCs w:val="18"/>
          <w:color w:val="auto"/>
        </w:rPr>
      </w:pPr>
    </w:p>
    <w:p>
      <w:pPr>
        <w:jc w:val="both"/>
        <w:ind w:right="140" w:firstLine="8"/>
        <w:spacing w:after="0" w:line="281" w:lineRule="auto"/>
        <w:tabs>
          <w:tab w:leader="none" w:pos="108"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ManpowerGroup Solutions </w:t>
      </w:r>
      <w:r>
        <w:rPr>
          <w:rFonts w:ascii="Arial" w:cs="Arial" w:eastAsia="Arial" w:hAnsi="Arial"/>
          <w:sz w:val="17"/>
          <w:szCs w:val="17"/>
          <w:color w:val="auto"/>
        </w:rPr>
        <w:t>– We provide clients with human resources outsourcing services primarily in the areas of large-scale recruiting and outcome-based workforce-intensive initiatives, thereby sharing in the risk and reward with our clients. ManpowerGroup Solutions includes Talent Based Outsourcing (TBO), TAPFIN - Managed Service Provider (MSP), Recruitment Process Outsourcing (RPO), Borderless Talent Solutions (BTS) and Strategic Workforce Consulting (SWC). We are one of the largest providers of MSP and RPO services in the world.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 w:name="page3"/>
    <w:bookmarkEnd w:id="2"/>
    <w:p>
      <w:pPr>
        <w:ind w:right="140" w:firstLine="666"/>
        <w:spacing w:after="0" w:line="288"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2012, we connected 3.4 million people to opportunities and purpose, who worked to help our more than 400,000 clients meet their business objectives. Seasoned professionals, temporary to permanent, skilled laborers, mothers returning to work, elderly persons wanting to supplement pensions and disabled individuals</w:t>
      </w:r>
    </w:p>
    <w:p>
      <w:pPr>
        <w:ind w:right="260"/>
        <w:spacing w:after="0" w:line="273" w:lineRule="auto"/>
        <w:rPr>
          <w:sz w:val="20"/>
          <w:szCs w:val="20"/>
          <w:color w:val="auto"/>
        </w:rPr>
      </w:pPr>
      <w:r>
        <w:rPr>
          <w:rFonts w:ascii="Arial" w:cs="Arial" w:eastAsia="Arial" w:hAnsi="Arial"/>
          <w:sz w:val="17"/>
          <w:szCs w:val="17"/>
          <w:color w:val="auto"/>
        </w:rPr>
        <w:t>– all turn to the ManpowerGroup companies for employment possibilities. Similarly, governments of the nations in which we operate look to us to help reduce unemployment and train the unemployed with the skills they need to enter the workforce. We provide a bridge to experience and employment, building more sustainable communities. We have a unique ability to connect our deep understanding of human potential to the ambition of business so that organizations and individuals can capitalize on unseen opportunities and achieve more than they imagined.</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Internet address is www.manpowergroup.com.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articles of incorporation and bylaws;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charters of the Audit, Executive Compensation and Human Resources and Nominating and Governance Committees of the Board of Directors;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policy on services provided by independent auditors;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Mr.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2" w:lineRule="exact"/>
        <w:rPr>
          <w:sz w:val="20"/>
          <w:szCs w:val="20"/>
          <w:color w:val="auto"/>
        </w:rPr>
      </w:pPr>
    </w:p>
    <w:p>
      <w:pPr>
        <w:jc w:val="both"/>
        <w:ind w:firstLine="777"/>
        <w:spacing w:after="0" w:line="253"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contemporary work solutions we provide help them to effectively address the fluctuating demand for their products or services. As the economy recovers, we will play an increasing role, as the need for a robust workforce strategy and talent acquisition plan is critical due to the deep staff cuts many companies have made during the recession, particularly at large organizations.</w:t>
      </w:r>
    </w:p>
    <w:p>
      <w:pPr>
        <w:spacing w:after="0" w:line="21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over 60 years with a primary focus on the areas of office, call center and industrial services and solutions. We are continuing the global expansion and acceleration of our Experis brand, particularly in the areas of Information Technology (IT), Engineering, Finance and Healthcare, providing high-impact solutions, accelerating organizations’ growth by intensely attracting, assessing and placing specialized expertise to deliver in-demand talent for mission-critical positions. We have a deep understanding of vertical knowledge that allows us to truly assess a candidate’s human potential and technical skills, matching them to the visions of our clients. Experis will be a critical revenue stream for us in the future, as we continue to build our brand and attract the talent our clients need as skills shortages rise.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ind w:right="20" w:firstLine="486"/>
        <w:spacing w:after="0" w:line="269" w:lineRule="auto"/>
        <w:rPr>
          <w:sz w:val="20"/>
          <w:szCs w:val="20"/>
          <w:color w:val="auto"/>
        </w:rPr>
      </w:pPr>
      <w:r>
        <w:rPr>
          <w:rFonts w:ascii="Arial" w:cs="Arial" w:eastAsia="Arial" w:hAnsi="Arial"/>
          <w:sz w:val="17"/>
          <w:szCs w:val="17"/>
          <w:color w:val="auto"/>
        </w:rPr>
        <w:t>ManpowerGroup Solutions, a dedicated business unit within ManpowerGroup, specializes in the delivery of customized workforce strategies and outcome-based solutions. Within this business unit, our recruitment solutions and services also include our RPO offering, where we take on the management of customized, large-scale recruiting and workforce productivity initiatives for clients in an exclusive outsourcing contract. Through our RPO offering, we manage any part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services include management of financial and administrative processes, including call center and customer service activities and accounting and payroll. BTS provides our clients with access to the world’s labor market and the expertise of ManpowerGroup’s global network. BTS services include the placement of candidates from one country to another country who best meet the qualifications sought by our clients. Our proven experience, process and digital and physical network allow us to drive the per hire cost savings down through an end-to-end recruitment process. Our SWC offering provides our clients with guidance on a workforce strategy that is aligned with and accelerates the execution of their business strategy. SWC uses the consulting methodology that leverages ManpowerGroup’s capability, expertise and our unique perspective on the changing world of work.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721"/>
        <w:spacing w:after="0" w:line="291" w:lineRule="auto"/>
        <w:rPr>
          <w:sz w:val="20"/>
          <w:szCs w:val="20"/>
          <w:color w:val="auto"/>
        </w:rPr>
      </w:pPr>
      <w:r>
        <w:rPr>
          <w:rFonts w:ascii="Arial" w:cs="Arial" w:eastAsia="Arial" w:hAnsi="Arial"/>
          <w:sz w:val="16"/>
          <w:szCs w:val="16"/>
          <w:color w:val="auto"/>
        </w:rPr>
        <w:t>In the Americas, we provide services as Manpower, Experis and ManpowerGroup Solutions through both branch and franchise offices. The total Americas segment had 794 branch and 175 franchise offices. In the United States, where we realized 66% of the Americas’ revenue, we had 558 branch and 166 franchise offices as of December 31, 2012, as well as on-site locations at clients with significant permanent, temporary and contract recruitment requirements. In Mexico and Central America, we had 98 branch offices and in the South American Region, we had 138 branch and 9 franchise offices. We provide a number of central support services to our branches and franchises, which enable us to maintain consistent service quality throughout the region regardless of whether an office is a branch or franchise. In the United States, we provide client invoicing and payroll processing of our contingent workers for all branch offices and some of our franchise offices through administrative centers managed by our Milwaukee headquarters.</w:t>
      </w:r>
    </w:p>
    <w:p>
      <w:pPr>
        <w:spacing w:after="0" w:line="16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franchise agreements provide the franchisee with the right to use the Manpower® service mark in a specifically defined exclusive territory. In the United States, franchise fees generally range from 2-3% of franchise sales. Our franchise agreements provide that in the event of a proposed sale of a franchise to a third party, we have the right to acquire the franchise at the same price and on the same terms as proposed by the third party. We exercise this right and intend to continue to do so in the future if opportunities arise with appropriate prices and terms.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Americas, our Manpower and Experis operations provide a variety of workforce solutions and services, including permanent, temporary and contract recruitment, assessment and selection and training. During 2012 in this segment, approximately 33% of temporary and contract recruitment revenues were derived from placing office staff, 38% from placing industrial staff and 29% from placing professional and technical staff. For our United States operations in 2012, approximately 21% of the temporary and contract recruitment revenues were derived from placing office staff, 46% from placing industrial staff and 33% from placing professional and technical staff.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ManpowerGroup Solutions operations provide a variety of talent based solutions including RPO, MSP and TBO.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also conduct business in the Americas under our Right Management brand as discussed further at the end of this section.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We are a leading provider of permanent, temporary and contract recruitment, assessment and selection, training and outsourcing services throughout Europe. Our largest operations in Southern Europe are in France (75% of the segment revenue) and Italy (15% of the segment revenue).</w:t>
      </w:r>
    </w:p>
    <w:p>
      <w:pPr>
        <w:spacing w:after="0" w:line="17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conduct our operations in France and the surrounding region as a leading workforce solutions and service provider through 806 branch offices under the name of Manpower, Experis or ManpowerGroup Solutions, and 105 branch offices under the name Supplay. The employment services market in France calls for a wide range of our services including permanent, temporary and contract recruitment, assessment and selection, and training. The temporary recruitment market is predominately focused on recruitment for industrial positions. In 2012, we derived approximately 79% of our temporary recruitment revenues in France from the supply of industrial and construction workers, 19% from the supply of office staff and 2% from the supply of professional and technical staff.</w:t>
      </w:r>
    </w:p>
    <w:p>
      <w:pPr>
        <w:spacing w:after="0" w:line="22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Italy, we are a leading workforce solutions and services provider. As of December 31, 2012, ManpowerGroup Italy conducted operations through a network of 254 branch offices. It provides a comprehensive line of workforce solutions and services offered through Manpower, Experis or ManpowerGroup Solutions, including permanent, temporary and contract recruitment, assessment and selection, training and outsourcing. In 2012, approximately 9% of our temporary and contract recruitment revenues in Italy were derived from placing office staff, including contact center staff, 65% from placing industrial staff and 26% from placing professional and technical staff.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ind w:right="520" w:firstLine="486"/>
        <w:spacing w:after="0" w:line="277" w:lineRule="auto"/>
        <w:rPr>
          <w:sz w:val="20"/>
          <w:szCs w:val="20"/>
          <w:color w:val="auto"/>
        </w:rPr>
      </w:pPr>
      <w:r>
        <w:rPr>
          <w:rFonts w:ascii="Arial" w:cs="Arial" w:eastAsia="Arial" w:hAnsi="Arial"/>
          <w:sz w:val="18"/>
          <w:szCs w:val="18"/>
          <w:color w:val="auto"/>
        </w:rPr>
        <w:t>For our Southern Europe operations in total during 2012, approximately 18% of temporary and contract recruitment revenues were derived from placing office staff, 73% from placing industrial staff and 9%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Southern Europe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Our largest operations in Northern Europe are in Germany, the Netherlands, Norway, Sweden and the United Kingdom, providing a comprehensive line of workforce solutions and services through Manpower, Experis and ManpowerGroup Solutions. Collectively, we operate through 734 branch offices and 53 franchise offices in this region. The franchise offices are in Switzerland, where we own 49% of the franchise.</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2012, we conducted operations in the United Kingdom as Manpower, Experis and ManpowerGroup Solutions through a network of 96 branch offices and also provided on-site services to clients who have significant permanent, temporary and contract recruitment requirements. During 2012, approximately 22% of our United Kingdom operation’s temporary recruitment revenues were derived from the supply of office staff, 37% from the supply of industrial staff and 41% from the supply of professional and technical staff.</w:t>
      </w:r>
    </w:p>
    <w:p>
      <w:pPr>
        <w:spacing w:after="0" w:line="188"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We also own Brook Street Bureau PLC, or Brook Street, which operates through a total of 94 branch offices, separate from our other brands in the United Kingdom.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4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our Northern Europe operations in total during 2012, approximately 26% of temporary and contract recruitment revenues were derived from placing office staff, 37% from placing industrial staff and 37%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Northern Europe under our Right Management brand as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operate through 234 branch offices in the Asia Pacific Middle East (“APME”) region. The largest of these operations are located in Australia, China, India and Japan,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2012, approximately 49% of our APME temporary and contract recruitment revenues were derived from placing office staff, 13% from placing industrial staff and 38% from placing professional and technical staff.</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APME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Right Management is a global leader in talent and career management workforce solutions within ManpowerGroup. The firm designs and delivers solutions to align talent strategy with business strategy. Right Management’s expertise spans Talent Assessment, Leader Development, Organizational Effectiveness, Employee Engagement, and Workforce Transition and Outplacement. With over 130 offices in more than 50 countries, Right Management partners with companies of all sizes – including more than 80% of the Fortune 500 – to help grow and engage their talent, increase productivity and optimize business performance.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compete in the employment services industry by offering a complete range of services, including permanent, temporary and contract recruitment, assessment and selection, training, managed service solutions, outsourcing, consulting and professional services.</w:t>
      </w:r>
    </w:p>
    <w:p>
      <w:pPr>
        <w:spacing w:after="0" w:line="1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United States dollars in annual revenues. It is also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right="60"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national/multinational client relationships, which comprised approximately 56% of our revenues in 2012.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Services and Solutions Market</w:t>
      </w:r>
    </w:p>
    <w:p>
      <w:pPr>
        <w:spacing w:after="0" w:line="252"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We compete in the Professional Resourcing and Project-Based Workforce Solutions industry as a high-value alternative to public accounting firms and other consulting groups as noted earlier. While public accounting and consulting firms can be primary competitors, these firms also frequently refer our financial and accounting services to assist clients with engagements where there are conflict-of-interest concerns. Because we do not perform attestation work, we can provide an objective review of a client’s business processes, thus avoiding potential conflicts of interest.</w:t>
      </w:r>
    </w:p>
    <w:p>
      <w:pPr>
        <w:spacing w:after="0" w:line="19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employment services industry throughout the world is large and highly fragmented with more than 60,000 firms competing throughout the world. In most areas, no single company has a dominant share of the temporary and contract recruitment market. In addition to us, the largest publicly owned companies specializing in recruitment services are Adecco, S.A. (Switzerland), Randstad Holding N.V. (Netherlands) and Kelly Services, Inc. (the United States).</w:t>
      </w:r>
    </w:p>
    <w:p>
      <w:pPr>
        <w:spacing w:after="0" w:line="187" w:lineRule="exact"/>
        <w:rPr>
          <w:sz w:val="20"/>
          <w:szCs w:val="20"/>
          <w:color w:val="auto"/>
        </w:rPr>
      </w:pPr>
    </w:p>
    <w:p>
      <w:pPr>
        <w:ind w:right="220" w:firstLine="666"/>
        <w:spacing w:after="0" w:line="255" w:lineRule="auto"/>
        <w:rPr>
          <w:sz w:val="20"/>
          <w:szCs w:val="20"/>
          <w:color w:val="auto"/>
        </w:rPr>
      </w:pPr>
      <w:r>
        <w:rPr>
          <w:rFonts w:ascii="Arial" w:cs="Arial" w:eastAsia="Arial" w:hAnsi="Arial"/>
          <w:sz w:val="18"/>
          <w:szCs w:val="18"/>
          <w:color w:val="auto"/>
        </w:rPr>
        <w:t>Historically, in periods of economic prosperity, the number of firms providing recruitment services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 As we expected, due to the difficult economic environment, we have seen many of our smaller, local competitors struggle, with many national markets consolidating further. In many markets, we were able to improve market share and we see further opportunity to do so in the future.</w:t>
      </w:r>
    </w:p>
    <w:p>
      <w:pPr>
        <w:spacing w:after="0" w:line="19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Recruitment firms act as intermediaries in matching available permanent, temporary and contract workers to employers’ talent needs. As a result, these firms compete both to recruit and retain a supply of permanent, temporary and contract workers and to attract clients to employ these workers. We recruit permanent, temporary and contract workers through a wide variety of means, including personal referrals,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88" w:lineRule="exact"/>
        <w:rPr>
          <w:sz w:val="20"/>
          <w:szCs w:val="20"/>
          <w:color w:val="auto"/>
        </w:rPr>
      </w:pPr>
    </w:p>
    <w:p>
      <w:pPr>
        <w:ind w:firstLine="666"/>
        <w:spacing w:after="0" w:line="271" w:lineRule="auto"/>
        <w:rPr>
          <w:sz w:val="20"/>
          <w:szCs w:val="20"/>
          <w:color w:val="auto"/>
        </w:rPr>
      </w:pPr>
      <w:r>
        <w:rPr>
          <w:rFonts w:ascii="Arial" w:cs="Arial" w:eastAsia="Arial" w:hAnsi="Arial"/>
          <w:sz w:val="17"/>
          <w:szCs w:val="17"/>
          <w:color w:val="auto"/>
        </w:rPr>
        <w:t>Methods used to market recruitment services to clients vary depending on the client’s need for permanent, temporary and RPO services, the local labor supply, the length of assignment and the number of workers required. Our full range of innovative workforce solutions and services and multiple brands enable us to cross-market to clients in order to leverage our relationships and expand our solutions and services provided, from career management services at Right Management to permanent recruitment services at Manpower and Experis, to RPO services. We compete by means of quality of service provided, scope of service offered, ability to source the right talent and price. Success in providing high quality recruitment services is an ability to access a supply of available workers, finding the right match of individuals for a particular assignment and, in some cases, train available workers in skills required for an assignment. For ManpowerGroup Solutions services, success is defined primarily by the ability to perform the recruitment function more effectively and efficiently than the client could perform those functions internally.</w:t>
      </w:r>
    </w:p>
    <w:p>
      <w:pPr>
        <w:spacing w:after="0" w:line="206" w:lineRule="exact"/>
        <w:rPr>
          <w:sz w:val="20"/>
          <w:szCs w:val="20"/>
          <w:color w:val="auto"/>
        </w:rPr>
      </w:pPr>
    </w:p>
    <w:p>
      <w:pPr>
        <w:ind w:right="160" w:firstLine="656"/>
        <w:spacing w:after="0" w:line="257" w:lineRule="auto"/>
        <w:rPr>
          <w:sz w:val="20"/>
          <w:szCs w:val="20"/>
          <w:color w:val="auto"/>
        </w:rPr>
      </w:pPr>
      <w:r>
        <w:rPr>
          <w:rFonts w:ascii="Arial" w:cs="Arial" w:eastAsia="Arial" w:hAnsi="Arial"/>
          <w:sz w:val="18"/>
          <w:szCs w:val="18"/>
          <w:color w:val="auto"/>
        </w:rPr>
        <w:t>An important aspect in the selection of temporary and contract workers for an assignment is the ability of the recruitment firm to identify the skills, knowledge, abilities, and personal characteristics of an individual and match their competencies or capabilities to an employer’s requirements. We have a variety of proprietary programs for identifying and assessing the skill level of our candidates and associates, which are used in selecting a particular individual for a specific assignment. Our assessment systems enable us to offer a higher quality service by increasing productivity, decreasing turnover and reducing absenteeism.</w:t>
      </w:r>
    </w:p>
    <w:p>
      <w:pPr>
        <w:spacing w:after="0" w:line="188" w:lineRule="exact"/>
        <w:rPr>
          <w:sz w:val="20"/>
          <w:szCs w:val="20"/>
          <w:color w:val="auto"/>
        </w:rPr>
      </w:pPr>
    </w:p>
    <w:p>
      <w:pPr>
        <w:jc w:val="both"/>
        <w:ind w:firstLine="721"/>
        <w:spacing w:after="0" w:line="255" w:lineRule="auto"/>
        <w:rPr>
          <w:sz w:val="20"/>
          <w:szCs w:val="20"/>
          <w:color w:val="auto"/>
        </w:rPr>
      </w:pPr>
      <w:r>
        <w:rPr>
          <w:rFonts w:ascii="Arial" w:cs="Arial" w:eastAsia="Arial" w:hAnsi="Arial"/>
          <w:sz w:val="18"/>
          <w:szCs w:val="18"/>
          <w:color w:val="auto"/>
        </w:rPr>
        <w:t>Building a more sustainable workforce at large allows us to develop hard-to-find skills and access a deeper talent pool to provide our clients the people they need, faster. Our competitive position is enhanced by our ability to offer a wide variety of skills, in some of the most important market segments, through the use of training systems. Our ManpowerGroup Training and Development Center (TDC) provides over 5,000 hours of online courses that are accessible 24/7 and are free to our employees, associates and candidates to help them improve their skills. The courses cover a wide range of subjects in many languages and feature the latest information for a variety of fields, from learning the latest technology in the IT field, to brushing up on business management courses or software programs. This training can also enable students in any profession to further develop their skills, improve their employability and earn higher wages.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Career and Talent Management Consulting Services and Solutions Market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Career and Talent Management consulting services and solutions are primarily provided under our Right Management brand. As a global leader in talent and career management, Right Management helps clients win in the changing world of work by designing and executing workforce solutions that align talent strategy with business strategy. Its expertise spans Talent Assessment, Leader Development, Organizational Effectiveness, Employee Engagement, and Workforce Transition and Career Management (also known as outplacement services). The market for these consulting and outplacement services is highly competitive. In the market for services required by global clients, there are several barriers to entry, such as the need for global coverage, specialized local knowledge and technology to provide outstanding services to corporations on a global scale.</w:t>
      </w:r>
    </w:p>
    <w:p>
      <w:pPr>
        <w:spacing w:after="0" w:line="178" w:lineRule="exact"/>
        <w:rPr>
          <w:sz w:val="20"/>
          <w:szCs w:val="20"/>
          <w:color w:val="auto"/>
        </w:rPr>
      </w:pPr>
    </w:p>
    <w:p>
      <w:pPr>
        <w:jc w:val="both"/>
        <w:ind w:firstLine="756"/>
        <w:spacing w:after="0" w:line="273" w:lineRule="auto"/>
        <w:rPr>
          <w:sz w:val="20"/>
          <w:szCs w:val="20"/>
          <w:color w:val="auto"/>
        </w:rPr>
      </w:pPr>
      <w:r>
        <w:rPr>
          <w:rFonts w:ascii="Arial" w:cs="Arial" w:eastAsia="Arial" w:hAnsi="Arial"/>
          <w:sz w:val="17"/>
          <w:szCs w:val="17"/>
          <w:color w:val="auto"/>
        </w:rPr>
        <w:t>Our competitors in the consulting space related to Right Management's core capabilities include major firms that compete in serving the large employer worldwide, such as Korn Ferry (recently acquired PDI), Hay Group, Mercer, Towers Watson, DDI and Aon Hewitt. Additional significant competition comes from smaller regional and boutique firms in this same space, along with firms in related areas such as management and technology consulting and human resource IT that are starting to compete in portions of the Talent Management space (e.g. Accenture, Kenexa). Public accounting and consulting firms such as PricewaterhouseCoopers and Deloitte Consulting are also competitors in this space, although these firms must provide their consulting services within the constraints of the auditor independence provisions of the Sarbanes-Oxley Act legislation.</w:t>
      </w:r>
    </w:p>
    <w:p>
      <w:pPr>
        <w:spacing w:after="0" w:line="178" w:lineRule="exact"/>
        <w:rPr>
          <w:sz w:val="20"/>
          <w:szCs w:val="20"/>
          <w:color w:val="auto"/>
        </w:rPr>
      </w:pPr>
    </w:p>
    <w:p>
      <w:pPr>
        <w:jc w:val="both"/>
        <w:ind w:firstLine="777"/>
        <w:spacing w:after="0" w:line="270" w:lineRule="auto"/>
        <w:rPr>
          <w:sz w:val="20"/>
          <w:szCs w:val="20"/>
          <w:color w:val="auto"/>
        </w:rPr>
      </w:pPr>
      <w:r>
        <w:rPr>
          <w:rFonts w:ascii="Arial" w:cs="Arial" w:eastAsia="Arial" w:hAnsi="Arial"/>
          <w:sz w:val="17"/>
          <w:szCs w:val="17"/>
          <w:color w:val="auto"/>
        </w:rPr>
        <w:t>Our major global competitors in the outplacement market are Lee Hecht Harrison, owned by Adecco, and career service divisions of global employment services firms. Additionally, there are regional firms and numerous smaller boutiques operating in either limited geographic markets or providing limited services such as Penna (UK) and Pasona (Japan). Companies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provides for the well-being of employees – not only during their period of employment, but also after their employment ceases. Additionally, when companies experience layoffs, providing career management services is a more responsible way of facilitating outplacement and projects a positive corporate image, improving morale among the remaining employees. Finally, companies may provide outplacement services to reduce costs by preparing and assisting separated employees to find new employment, thereby diminishing employment-related litigation.</w:t>
      </w:r>
    </w:p>
    <w:p>
      <w:pPr>
        <w:spacing w:after="0" w:line="182" w:lineRule="exact"/>
        <w:rPr>
          <w:sz w:val="20"/>
          <w:szCs w:val="20"/>
          <w:color w:val="auto"/>
        </w:rPr>
      </w:pPr>
    </w:p>
    <w:p>
      <w:pPr>
        <w:jc w:val="both"/>
        <w:ind w:firstLine="670"/>
        <w:spacing w:after="0" w:line="255" w:lineRule="auto"/>
        <w:rPr>
          <w:sz w:val="20"/>
          <w:szCs w:val="20"/>
          <w:color w:val="auto"/>
        </w:rPr>
      </w:pPr>
      <w:r>
        <w:rPr>
          <w:rFonts w:ascii="Arial" w:cs="Arial" w:eastAsia="Arial" w:hAnsi="Arial"/>
          <w:sz w:val="18"/>
          <w:szCs w:val="18"/>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Management for thought leadership and best practices on attracting and assessing organizational talent, leadership development and engaging and aligning their workforce.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United States and Canada.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Employment services firms are generally subject to one or more of the following types of government regulation:</w:t>
      </w:r>
    </w:p>
    <w:p>
      <w:pPr>
        <w:spacing w:after="0" w:line="211" w:lineRule="exact"/>
        <w:rPr>
          <w:sz w:val="20"/>
          <w:szCs w:val="20"/>
          <w:color w:val="auto"/>
        </w:rPr>
      </w:pPr>
    </w:p>
    <w:p>
      <w:pPr>
        <w:ind w:left="540" w:hanging="26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8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both"/>
        <w:ind w:right="200" w:firstLine="486"/>
        <w:spacing w:after="0" w:line="312"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47"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225"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see Item 7. “Management’s Discussion and Analysis of Financial Condition and Results of Operations—Legal Regulations.”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225" w:lineRule="exact"/>
        <w:rPr>
          <w:sz w:val="20"/>
          <w:szCs w:val="20"/>
          <w:color w:val="auto"/>
        </w:rPr>
      </w:pPr>
    </w:p>
    <w:p>
      <w:pPr>
        <w:ind w:right="20" w:firstLine="486"/>
        <w:spacing w:after="0" w:line="250" w:lineRule="auto"/>
        <w:rPr>
          <w:sz w:val="20"/>
          <w:szCs w:val="20"/>
          <w:color w:val="auto"/>
        </w:rPr>
      </w:pPr>
      <w:r>
        <w:rPr>
          <w:rFonts w:ascii="Arial" w:cs="Arial" w:eastAsia="Arial" w:hAnsi="Arial"/>
          <w:sz w:val="16"/>
          <w:szCs w:val="16"/>
          <w:color w:val="auto"/>
        </w:rPr>
        <w:t>We maintain a number of registered trademarks, trade names and service marks in the United States and various other countries. We believe that many of these marks and trade names, including ManpowerGroup</w:t>
      </w:r>
      <w:r>
        <w:rPr>
          <w:rFonts w:ascii="Arial" w:cs="Arial" w:eastAsia="Arial" w:hAnsi="Arial"/>
          <w:sz w:val="22"/>
          <w:szCs w:val="22"/>
          <w:color w:val="auto"/>
          <w:vertAlign w:val="superscript"/>
        </w:rPr>
        <w:t>TM</w:t>
      </w:r>
      <w:r>
        <w:rPr>
          <w:rFonts w:ascii="Arial" w:cs="Arial" w:eastAsia="Arial" w:hAnsi="Arial"/>
          <w:sz w:val="16"/>
          <w:szCs w:val="16"/>
          <w:color w:val="auto"/>
        </w:rPr>
        <w:t>, ManpowerGroup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Solutions, Manpower®, Experis</w:t>
      </w:r>
      <w:r>
        <w:rPr>
          <w:rFonts w:ascii="Arial" w:cs="Arial" w:eastAsia="Arial" w:hAnsi="Arial"/>
          <w:sz w:val="22"/>
          <w:szCs w:val="22"/>
          <w:color w:val="auto"/>
          <w:vertAlign w:val="superscript"/>
        </w:rPr>
        <w:t>TM</w:t>
      </w:r>
      <w:r>
        <w:rPr>
          <w:rFonts w:ascii="Arial" w:cs="Arial" w:eastAsia="Arial" w:hAnsi="Arial"/>
          <w:sz w:val="16"/>
          <w:szCs w:val="16"/>
          <w:color w:val="auto"/>
        </w:rPr>
        <w:t>, Right Management®, Brook Street®, Manpower Professional</w:t>
      </w:r>
      <w:r>
        <w:rPr>
          <w:rFonts w:ascii="Arial" w:cs="Arial" w:eastAsia="Arial" w:hAnsi="Arial"/>
          <w:sz w:val="22"/>
          <w:szCs w:val="22"/>
          <w:color w:val="auto"/>
          <w:vertAlign w:val="superscript"/>
        </w:rPr>
        <w:t>TM</w:t>
      </w:r>
      <w:r>
        <w:rPr>
          <w:rFonts w:ascii="Arial" w:cs="Arial" w:eastAsia="Arial" w:hAnsi="Arial"/>
          <w:sz w:val="16"/>
          <w:szCs w:val="16"/>
          <w:color w:val="auto"/>
        </w:rPr>
        <w:t>, Elan®, Ultraskill® and Skillware®,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had approximately 28,000 full-time equivalent employees as of December 31, 2012. In addition, we estimate that we recruit on behalf of our clients approximately 3.4 million permanent, temporary and contract workers on a worldwide basis each year.</w:t>
      </w:r>
    </w:p>
    <w:p>
      <w:pPr>
        <w:spacing w:after="0" w:line="170" w:lineRule="exact"/>
        <w:rPr>
          <w:sz w:val="20"/>
          <w:szCs w:val="20"/>
          <w:color w:val="auto"/>
        </w:rPr>
      </w:pPr>
    </w:p>
    <w:p>
      <w:pPr>
        <w:ind w:right="220" w:firstLine="486"/>
        <w:spacing w:after="0" w:line="276"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225"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Note 14 to our consolidated financial statements sets forth the information required for each segment and geographical area for the years ended December 31, 2012, 2011 and 2010. Such note is found in our 2012 Annual Report to Shareholders and is incorporated herein by reference.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16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248" w:lineRule="exact"/>
        <w:rPr>
          <w:sz w:val="20"/>
          <w:szCs w:val="20"/>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structure of subsidiaries;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turnover;</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reorganizations;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material changes in the demand from larger clients, including clients with which we have national, multi-national, or sole-supplier arrangements;</w:t>
      </w:r>
    </w:p>
    <w:p>
      <w:pPr>
        <w:spacing w:after="0" w:line="236" w:lineRule="exact"/>
        <w:rPr>
          <w:rFonts w:ascii="Arial" w:cs="Arial" w:eastAsia="Arial" w:hAnsi="Arial"/>
          <w:sz w:val="17"/>
          <w:szCs w:val="17"/>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workers with the skills required by clients;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wages paid to our associates;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pass along direct cost increases to clients;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252"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expand into new markets or offer new service lines;</w:t>
      </w:r>
    </w:p>
    <w:p>
      <w:pPr>
        <w:spacing w:after="0" w:line="252"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client attitudes toward the use of staffing services;</w:t>
      </w:r>
    </w:p>
    <w:p>
      <w:pPr>
        <w:spacing w:after="0" w:line="252"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for our specialized services and outplacement services;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 or other factors;</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225" w:lineRule="exact"/>
        <w:rPr>
          <w:rFonts w:ascii="Arial" w:cs="Arial" w:eastAsia="Arial" w:hAnsi="Arial"/>
          <w:sz w:val="18"/>
          <w:szCs w:val="18"/>
          <w:color w:val="auto"/>
        </w:rPr>
      </w:pPr>
    </w:p>
    <w:p>
      <w:pPr>
        <w:ind w:left="560" w:hanging="268"/>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225"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 or stock price.</w:t>
      </w:r>
    </w:p>
    <w:p>
      <w:pPr>
        <w:spacing w:after="0" w:line="210" w:lineRule="exact"/>
        <w:rPr>
          <w:sz w:val="20"/>
          <w:szCs w:val="20"/>
          <w:color w:val="auto"/>
        </w:rPr>
      </w:pPr>
    </w:p>
    <w:p>
      <w:pPr>
        <w:ind w:right="500" w:firstLine="486"/>
        <w:spacing w:after="0" w:line="347" w:lineRule="auto"/>
        <w:rPr>
          <w:sz w:val="20"/>
          <w:szCs w:val="20"/>
          <w:color w:val="auto"/>
        </w:rPr>
      </w:pPr>
      <w:r>
        <w:rPr>
          <w:rFonts w:ascii="Arial" w:cs="Arial" w:eastAsia="Arial" w:hAnsi="Arial"/>
          <w:sz w:val="16"/>
          <w:szCs w:val="16"/>
          <w:b w:val="1"/>
          <w:bCs w:val="1"/>
          <w:color w:val="auto"/>
        </w:rPr>
        <w:t>A continuation or worsening of the global economic downturn could result in our clients using fewer workforce solutions and services or becoming unable to pay us for our services on a timely basis or at all, which would materially adversely affect our business.</w:t>
      </w:r>
    </w:p>
    <w:p>
      <w:pPr>
        <w:spacing w:after="0" w:line="12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Because demand for workforce solutions and services, particularly staffing services, is sensitive to changes in the level of economic activity, our business may suffer during economic downturns. In 2012, we experienced a reduction in our revenues, which was more pronounced in the second half of the year, due to weak economic conditions in most of the markets in which we operate, resulting from the prolonged global economic downtown. It is unclear whether or for how long this will continue.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as quickly as revenues. In periods of decline, we can only reduce selling and administrative expenses to a certain level without negatively impacting the long-term potential of our branch network and brands. Additionally, during economic downturns companies may slow the rate at which they pay their vendors, or they may become unable to pay their obligations. If our clients become unable to pay amounts owed to us, or pay us more slowly, then our cash flow and profitability may suffer.</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results of operations could be adversely affected by volatile or uncertain economic conditions</w:t>
      </w:r>
    </w:p>
    <w:p>
      <w:pPr>
        <w:spacing w:after="0" w:line="229" w:lineRule="exact"/>
        <w:rPr>
          <w:sz w:val="20"/>
          <w:szCs w:val="20"/>
          <w:color w:val="auto"/>
        </w:rPr>
      </w:pPr>
    </w:p>
    <w:p>
      <w:pPr>
        <w:ind w:right="60" w:firstLine="666"/>
        <w:spacing w:after="0" w:line="291" w:lineRule="auto"/>
        <w:rPr>
          <w:sz w:val="20"/>
          <w:szCs w:val="20"/>
          <w:color w:val="auto"/>
        </w:rPr>
      </w:pPr>
      <w:r>
        <w:rPr>
          <w:rFonts w:ascii="Arial" w:cs="Arial" w:eastAsia="Arial" w:hAnsi="Arial"/>
          <w:sz w:val="16"/>
          <w:szCs w:val="16"/>
          <w:color w:val="auto"/>
        </w:rPr>
        <w:t>Our business is affected by global macroeconomic conditions, which have recently included considerable uncertainty and volatility. In particular, economic conditions have been unstable and difficult to predict globally, particularly within Europe, which represented 64% of our revenues in 2012, and which has experienced a prolonged period of recession. 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take advantage of growth opportunities.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25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There is a risk we may not be able to respond with sufficient speed and agility to the needs of our clients, which may change rapidly as their businesses evolve. The size and breadth of our organization, comprising 28,000 employees based out of nearly 3,500 offices in 80 countries, may make it difficult for us to effectively manage our resources and provide coordinated solutions to our clients who require our services in multiple locations. Also, our size and scale may make it difficult to develop and implement new processes and tools across the enterprise in a consistent manner. If our competitors are more agile or effective at meeting the needs of our current and prospective clients, our business and financial results could be materially adversely affected.</w:t>
      </w:r>
    </w:p>
    <w:p>
      <w:pPr>
        <w:spacing w:after="0" w:line="181"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66"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competitors, including Adecco S.A., Randstad Holding N.V. and Kelly Services, Inc.,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adversely affect our profitability.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w:t>
      </w:r>
    </w:p>
    <w:p>
      <w:pPr>
        <w:spacing w:after="0" w:line="268" w:lineRule="exact"/>
        <w:rPr>
          <w:sz w:val="20"/>
          <w:szCs w:val="20"/>
          <w:color w:val="auto"/>
        </w:rPr>
      </w:pPr>
    </w:p>
    <w:p>
      <w:pPr>
        <w:ind w:right="500" w:firstLine="666"/>
        <w:spacing w:after="0" w:line="257" w:lineRule="auto"/>
        <w:rPr>
          <w:sz w:val="20"/>
          <w:szCs w:val="20"/>
          <w:color w:val="auto"/>
        </w:rPr>
      </w:pPr>
      <w:r>
        <w:rPr>
          <w:rFonts w:ascii="Arial" w:cs="Arial" w:eastAsia="Arial" w:hAnsi="Arial"/>
          <w:sz w:val="18"/>
          <w:szCs w:val="18"/>
          <w:color w:val="auto"/>
        </w:rPr>
        <w:t>Our business strategy focuses on growing revenue while improving our operating profits. An important element of our strategy is our effort to diversify our revenues beyond our core staffing and employment services through the sale of innovative workforce solutions that have higher operating margins. These workforce solutions are often unique, non-repeatable and tailored to a client’s needs, and present costs, risk and complexity that may be difficult to calculate. If we are not able to accurately anticipate these costs and risks in our pricing for these solutions or if we do not have an adequate delivery plan for these solutions, they may be unprofitable.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ind w:right="60" w:firstLine="666"/>
        <w:spacing w:after="0" w:line="271" w:lineRule="auto"/>
        <w:rPr>
          <w:sz w:val="20"/>
          <w:szCs w:val="20"/>
          <w:color w:val="auto"/>
        </w:rPr>
      </w:pPr>
      <w:r>
        <w:rPr>
          <w:rFonts w:ascii="Arial" w:cs="Arial" w:eastAsia="Arial" w:hAnsi="Arial"/>
          <w:sz w:val="17"/>
          <w:szCs w:val="17"/>
          <w:color w:val="auto"/>
        </w:rPr>
        <w:t>Our business strategy also includes efforts to simplify our organizational structure, programs, technology and delivery of services to make us a more agile and effective competitor, to reduce the cost of operating our business and to increase our operating profit and operating profit margin. We may not be successful in our simplification efforts, and they may fail to achieve the cost savings we anticipate. Additionally, the reductions in personnel and other changes we make in connection with the implementation of our simplification strategy could adversely affect our ability to effectively operate our business. Furthermore, the implementation of our simplification strategy, and other plans to accomplish our business and financial objectives, is highly dependent on factors within and outside of our control, including our performance managing our operations as well as global economic conditions. If, for these or other reasons, we are not successful in implementing our business strategy or achieving the anticipated results, our business, financial condition and results of operations could be materially adversely affected.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it could have a significant impact on our operations. Additionally, some of our important client relationships may be dependent on the continued performance of individual managers or field personnel, and there is a risk that loss of those individuals could jeopardize key client relationships. In 2012, we announced a plan to simplify our operations, including reductions of our workforce, at the staff and officer level, in both our headquarters and throughout our country operations. There is a risk that this simplification and the resultant reductions in personnel could materially adversely affect the effectiveness of our operations, and therefore our business and financial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Intense competition may limit our ability to attract, train and retain the qualified personnel necessary for us to meet our clients’ staffing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needs.</w:t>
      </w:r>
    </w:p>
    <w:p>
      <w:pPr>
        <w:spacing w:after="0" w:line="23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business depends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a result of our geographic breadth, we are more susceptible to certain risks.</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operate in 80 countries around the world. If we are unable to manage the following risks of our global operations, our results could be adversely affected:</w:t>
      </w:r>
    </w:p>
    <w:p>
      <w:pPr>
        <w:spacing w:after="0" w:line="197" w:lineRule="exact"/>
        <w:rPr>
          <w:sz w:val="20"/>
          <w:szCs w:val="20"/>
          <w:color w:val="auto"/>
        </w:rPr>
      </w:pPr>
    </w:p>
    <w:p>
      <w:pPr>
        <w:ind w:left="640" w:hanging="14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 from political events, including political unrest, hostilities, and strikes.</w:t>
      </w:r>
    </w:p>
    <w:p>
      <w:pPr>
        <w:spacing w:after="0" w:line="252" w:lineRule="exact"/>
        <w:rPr>
          <w:rFonts w:ascii="Arial" w:cs="Arial" w:eastAsia="Arial" w:hAnsi="Arial"/>
          <w:sz w:val="18"/>
          <w:szCs w:val="18"/>
          <w:color w:val="auto"/>
        </w:rPr>
      </w:pPr>
    </w:p>
    <w:p>
      <w:pPr>
        <w:ind w:right="80" w:firstLine="49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natural disasters, severe weather conditions, global health emergencies, disruptions of infrastructure and utilities, cyberattacks, and other events beyond our control.</w:t>
      </w:r>
    </w:p>
    <w:p>
      <w:pPr>
        <w:spacing w:after="0" w:line="197" w:lineRule="exact"/>
        <w:rPr>
          <w:rFonts w:ascii="Arial" w:cs="Arial" w:eastAsia="Arial" w:hAnsi="Arial"/>
          <w:sz w:val="18"/>
          <w:szCs w:val="18"/>
          <w:color w:val="auto"/>
        </w:rPr>
      </w:pPr>
    </w:p>
    <w:p>
      <w:pPr>
        <w:ind w:right="240" w:firstLine="494"/>
        <w:spacing w:after="0" w:line="312" w:lineRule="auto"/>
        <w:tabs>
          <w:tab w:leader="none" w:pos="639"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global operations expose us to numerous legal and regulatory requirements, and violations of these regulations could harm our business. In particular, in many parts of the world, including countries in which we operate, practices in the local business community may not conform to international business standards and could violate anticorruption law or regulations, including the U.S. Foreign Corrupt Practices Act and the UK Bribery Act 2010.</w:t>
      </w:r>
    </w:p>
    <w:p>
      <w:pPr>
        <w:spacing w:after="0" w:line="143" w:lineRule="exact"/>
        <w:rPr>
          <w:sz w:val="20"/>
          <w:szCs w:val="20"/>
          <w:color w:val="auto"/>
        </w:rPr>
      </w:pPr>
    </w:p>
    <w:p>
      <w:pPr>
        <w:ind w:right="600" w:firstLine="486"/>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6"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left="540"/>
        <w:spacing w:after="0"/>
        <w:rPr>
          <w:sz w:val="20"/>
          <w:szCs w:val="20"/>
          <w:color w:val="auto"/>
        </w:rPr>
      </w:pPr>
      <w:r>
        <w:rPr>
          <w:rFonts w:ascii="Arial" w:cs="Arial" w:eastAsia="Arial" w:hAnsi="Arial"/>
          <w:sz w:val="18"/>
          <w:szCs w:val="18"/>
          <w:color w:val="auto"/>
        </w:rPr>
        <w:t>The countries in which we operate may, among other things:</w:t>
      </w:r>
    </w:p>
    <w:p>
      <w:pPr>
        <w:spacing w:after="0" w:line="225" w:lineRule="exact"/>
        <w:rPr>
          <w:sz w:val="20"/>
          <w:szCs w:val="20"/>
          <w:color w:val="auto"/>
        </w:rPr>
      </w:pPr>
    </w:p>
    <w:p>
      <w:pPr>
        <w:ind w:left="640" w:hanging="14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225" w:lineRule="exact"/>
        <w:rPr>
          <w:rFonts w:ascii="Arial" w:cs="Arial" w:eastAsia="Arial" w:hAnsi="Arial"/>
          <w:sz w:val="18"/>
          <w:szCs w:val="18"/>
          <w:color w:val="auto"/>
        </w:rPr>
      </w:pPr>
    </w:p>
    <w:p>
      <w:pPr>
        <w:ind w:left="640" w:hanging="14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Any future regulations may have a material adverse effect on our business and financial results because they may make it more difficult or expensive for us to continue to provide employment services.</w:t>
      </w:r>
    </w:p>
    <w:p>
      <w:pPr>
        <w:spacing w:after="0" w:line="166" w:lineRule="exact"/>
        <w:rPr>
          <w:sz w:val="20"/>
          <w:szCs w:val="20"/>
          <w:color w:val="auto"/>
        </w:rPr>
      </w:pPr>
    </w:p>
    <w:p>
      <w:pPr>
        <w:ind w:right="220" w:firstLine="486"/>
        <w:spacing w:after="0" w:line="282" w:lineRule="auto"/>
        <w:rPr>
          <w:sz w:val="20"/>
          <w:szCs w:val="20"/>
          <w:color w:val="auto"/>
        </w:rPr>
      </w:pPr>
      <w:r>
        <w:rPr>
          <w:rFonts w:ascii="Arial" w:cs="Arial" w:eastAsia="Arial" w:hAnsi="Arial"/>
          <w:sz w:val="18"/>
          <w:szCs w:val="18"/>
          <w:b w:val="1"/>
          <w:bCs w:val="1"/>
          <w:color w:val="auto"/>
        </w:rPr>
        <w:t>We may be exposed to employment-related claims and costs from clients or third parties that could materially adversely affect our business, financial condition and 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64" w:lineRule="exact"/>
        <w:rPr>
          <w:sz w:val="20"/>
          <w:szCs w:val="20"/>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245" w:lineRule="exact"/>
        <w:rPr>
          <w:rFonts w:ascii="Arial" w:cs="Arial" w:eastAsia="Arial" w:hAnsi="Arial"/>
          <w:sz w:val="18"/>
          <w:szCs w:val="18"/>
          <w:color w:val="auto"/>
        </w:rPr>
      </w:pPr>
    </w:p>
    <w:p>
      <w:pPr>
        <w:ind w:left="680" w:hanging="186"/>
        <w:spacing w:after="0"/>
        <w:tabs>
          <w:tab w:leader="none" w:pos="6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claims by our associates of discrimination or harassment directed at them, including claims relating to actions of our clients;</w:t>
      </w:r>
    </w:p>
    <w:p>
      <w:pPr>
        <w:spacing w:after="0" w:line="274" w:lineRule="exact"/>
        <w:rPr>
          <w:rFonts w:ascii="Arial" w:cs="Arial" w:eastAsia="Arial" w:hAnsi="Arial"/>
          <w:sz w:val="19"/>
          <w:szCs w:val="19"/>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undocumented or illegal workers;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employee pay and benefits requirements such as violations of wage and hour requirements;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252" w:lineRule="exact"/>
        <w:rPr>
          <w:rFonts w:ascii="Arial" w:cs="Arial" w:eastAsia="Arial" w:hAnsi="Arial"/>
          <w:sz w:val="18"/>
          <w:szCs w:val="18"/>
          <w:color w:val="auto"/>
        </w:rPr>
      </w:pPr>
    </w:p>
    <w:p>
      <w:pPr>
        <w:ind w:right="120" w:firstLine="494"/>
        <w:spacing w:after="0" w:line="277" w:lineRule="auto"/>
        <w:tabs>
          <w:tab w:leader="none" w:pos="6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70"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be certain we will not experience these problems in the future.</w:t>
      </w:r>
    </w:p>
    <w:p>
      <w:pPr>
        <w:spacing w:after="0" w:line="20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22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conduct our operations in 80 countries and the results of our local operations are reported in the applicable foreign currencies and then translated into United States dollars at the applicable foreign currency exchange rates for inclusion in our consolidated financial statements. During 2012, approximately 85% of our revenues were generated outside of the United States, the majority of which were generated in Europe. Furthermore, approximately $769.4 million of our outstanding indebtedness as of December 31, 2012 was denominated in foreign currencies. Because of devaluations and fluctuations in currency exchange rates or the imposition of limitations on conversion of foreign currencies into United States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202"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b w:val="1"/>
          <w:bCs w:val="1"/>
          <w:color w:val="auto"/>
        </w:rPr>
        <w:t>As of December 31, 2012 and 2011, we had $770.1 million and $700.2 million of total debt, respectively. This level of debt could adversely affect our operating flexibility and put us at a competitive disadvantage.</w:t>
      </w:r>
    </w:p>
    <w:p>
      <w:pPr>
        <w:spacing w:after="0" w:line="16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820" w:hanging="146"/>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225" w:lineRule="exact"/>
        <w:rPr>
          <w:rFonts w:ascii="Arial" w:cs="Arial" w:eastAsia="Arial" w:hAnsi="Arial"/>
          <w:sz w:val="18"/>
          <w:szCs w:val="18"/>
          <w:color w:val="auto"/>
        </w:rPr>
      </w:pPr>
    </w:p>
    <w:p>
      <w:pPr>
        <w:ind w:right="80" w:firstLine="674"/>
        <w:spacing w:after="0" w:line="277" w:lineRule="auto"/>
        <w:tabs>
          <w:tab w:leader="none" w:pos="8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170" w:lineRule="exact"/>
        <w:rPr>
          <w:rFonts w:ascii="Arial" w:cs="Arial" w:eastAsia="Arial" w:hAnsi="Arial"/>
          <w:sz w:val="18"/>
          <w:szCs w:val="18"/>
          <w:color w:val="auto"/>
        </w:rPr>
      </w:pPr>
    </w:p>
    <w:p>
      <w:pPr>
        <w:ind w:right="520" w:firstLine="674"/>
        <w:spacing w:after="0" w:line="277" w:lineRule="auto"/>
        <w:tabs>
          <w:tab w:leader="none" w:pos="8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197" w:lineRule="exact"/>
        <w:rPr>
          <w:rFonts w:ascii="Arial" w:cs="Arial" w:eastAsia="Arial" w:hAnsi="Arial"/>
          <w:sz w:val="18"/>
          <w:szCs w:val="18"/>
          <w:color w:val="auto"/>
        </w:rPr>
      </w:pPr>
    </w:p>
    <w:p>
      <w:pPr>
        <w:ind w:right="160" w:firstLine="494"/>
        <w:spacing w:after="0" w:line="277"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197" w:lineRule="exact"/>
        <w:rPr>
          <w:rFonts w:ascii="Arial" w:cs="Arial" w:eastAsia="Arial" w:hAnsi="Arial"/>
          <w:sz w:val="18"/>
          <w:szCs w:val="18"/>
          <w:color w:val="auto"/>
        </w:rPr>
      </w:pPr>
    </w:p>
    <w:p>
      <w:pPr>
        <w:ind w:left="640" w:hanging="14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70"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74"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6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52"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210"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 or other costs.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3" w:name="page14"/>
    <w:bookmarkEnd w:id="13"/>
    <w:p>
      <w:pPr>
        <w:ind w:left="500"/>
        <w:spacing w:after="0"/>
        <w:rPr>
          <w:sz w:val="20"/>
          <w:szCs w:val="20"/>
          <w:color w:val="auto"/>
        </w:rPr>
      </w:pPr>
      <w:r>
        <w:rPr>
          <w:rFonts w:ascii="Arial" w:cs="Arial" w:eastAsia="Arial" w:hAnsi="Arial"/>
          <w:sz w:val="16"/>
          <w:szCs w:val="16"/>
          <w:b w:val="1"/>
          <w:bCs w:val="1"/>
          <w:color w:val="auto"/>
        </w:rPr>
        <w:t>Our inability to secure letters of credit on acceptable terms may substantially increase our cost of doing business in various countries.</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 number of countries in which we conduct business we are obligated to provide guarantees or letters of credit to secure licenses, lease space or for insurance coverage. We typically receive these guarantees and letters of credits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2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The market price for our common stock has been and may continue to be volatile. For example, during 2012, the prices of our common stock as reported on the New York Stock Exchange ranged from a high of $47.90 to a low of $32.41. Our stock price can fluctuate as a result of a variety of factors, including factors listed in these “Risk Factors” and others, many of which are beyond our control. These factors include:</w:t>
      </w:r>
    </w:p>
    <w:p>
      <w:pPr>
        <w:spacing w:after="0" w:line="166" w:lineRule="exact"/>
        <w:rPr>
          <w:sz w:val="20"/>
          <w:szCs w:val="20"/>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52"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81" w:lineRule="exact"/>
        <w:rPr>
          <w:sz w:val="20"/>
          <w:szCs w:val="20"/>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225" w:lineRule="exact"/>
        <w:rPr>
          <w:sz w:val="20"/>
          <w:szCs w:val="20"/>
          <w:color w:val="auto"/>
        </w:rPr>
      </w:pPr>
    </w:p>
    <w:p>
      <w:pPr>
        <w:jc w:val="both"/>
        <w:ind w:right="140" w:firstLine="486"/>
        <w:spacing w:after="0" w:line="279"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256"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was $49.0 million, $49.0 million and $270.0 million in 2012, 2011 and 2010,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may make additional acquisitions in the future. Our acquisition strategy involves significant risks, including:</w:t>
      </w:r>
    </w:p>
    <w:p>
      <w:pPr>
        <w:spacing w:after="0" w:line="252" w:lineRule="exact"/>
        <w:rPr>
          <w:sz w:val="20"/>
          <w:szCs w:val="20"/>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4" w:name="page15"/>
    <w:bookmarkEnd w:id="14"/>
    <w:p>
      <w:pPr>
        <w:ind w:right="20" w:firstLine="486"/>
        <w:spacing w:after="0" w:line="255"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we recorded a goodwill and intangible asset impairment charge of $428.8 million in 2010 related to our acquisitions of Jefferson Wells and Right Management.</w:t>
      </w:r>
    </w:p>
    <w:p>
      <w:pPr>
        <w:spacing w:after="0" w:line="189"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b w:val="1"/>
          <w:bCs w:val="1"/>
          <w:color w:val="auto"/>
        </w:rPr>
        <w:t>Improper disclosure of sensitive or confidential company, employee, associate or client data, including personal data, could result in liability and harm our reputation.</w:t>
      </w:r>
    </w:p>
    <w:p>
      <w:pPr>
        <w:spacing w:after="0" w:line="166"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business involves the use, storage and transmission of information about our employees, associates, clients and other individuals. This information may contain sensitive or confidential company, employee, associate or and client data, including personal data. We and our third party service providers have established policies and procedures to help protect the security and privacy of this information. It is possible that our security controls over sensitive or confidential data and other practices we and our third party service providers follow may not prevent the improper access to or disclosure of such information. Such disclosure could harm our reputation and subject us to liability under our contracts and laws that protect sensitive or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Outsourcing certain aspects of our business could result in disruption and increased costs.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have outsourced certain aspects of our business to third party vendors that subject us to risks, including disruptions in our business and increased costs. For example, we have engaged third parties to host and manage certain aspects of our data center information and technology infrastructure and to provide certain back office support in several countries. Accordingly, we are subject to the risks associated with the vendor’s ability to provide these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these services is more than expected, or if the vendor or we are unable to adequately protect our data and information is lost, or our ability to deliver our services is interrupted, then our business and financial results could be materially adversely affected.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We have only a limited ability to protect our thought leadership and other intellectual property, which is important to our success.</w:t>
      </w:r>
    </w:p>
    <w:p>
      <w:pPr>
        <w:spacing w:after="0" w:line="26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and other contractual agreements, and patent, copyright, and trademark laws to protect our intellectual property rights. Our intellectual property rights may not prevent competitors from independently developing products and services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6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248"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2012, under the heading “Significant Matters Affecting Results of Operations” (pages 43 to 47), which information is hereby incorporated herein by reference.</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460" w:type="dxa"/>
            <w:vAlign w:val="bottom"/>
          </w:tcPr>
          <w:p>
            <w:pPr>
              <w:ind w:left="170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1960" w:type="dxa"/>
            <w:vAlign w:val="bottom"/>
          </w:tcPr>
          <w:p>
            <w:pPr>
              <w:spacing w:after="0"/>
              <w:rPr>
                <w:sz w:val="20"/>
                <w:szCs w:val="20"/>
                <w:color w:val="auto"/>
              </w:rPr>
            </w:pPr>
          </w:p>
        </w:tc>
        <w:tc>
          <w:tcPr>
            <w:tcW w:w="9460" w:type="dxa"/>
            <w:vAlign w:val="bottom"/>
          </w:tcPr>
          <w:p>
            <w:pPr>
              <w:ind w:left="2800"/>
              <w:spacing w:after="0"/>
              <w:rPr>
                <w:sz w:val="20"/>
                <w:szCs w:val="20"/>
                <w:color w:val="auto"/>
              </w:rPr>
            </w:pPr>
            <w:r>
              <w:rPr>
                <w:rFonts w:ascii="Arial" w:cs="Arial" w:eastAsia="Arial" w:hAnsi="Arial"/>
                <w:sz w:val="18"/>
                <w:szCs w:val="18"/>
                <w:b w:val="1"/>
                <w:bCs w:val="1"/>
                <w:color w:val="auto"/>
              </w:rPr>
              <w:t>(as of February 19, 2013)</w:t>
            </w:r>
          </w:p>
        </w:tc>
      </w:tr>
      <w:tr>
        <w:trPr>
          <w:trHeight w:val="43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Officer</w:t>
            </w:r>
          </w:p>
        </w:tc>
        <w:tc>
          <w:tcPr>
            <w:tcW w:w="9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Office</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Jeffrey A. Joerres</w:t>
            </w: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Chairman of ManpowerGroup since May 2001. Chief Executive Officer of ManpowerGroup since November 2012. President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53</w:t>
            </w: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and Chief Executive Officer of ManpowerGroup from April 1999 to November 2012. A director of Johnson Controls, Inc. and</w:t>
            </w:r>
          </w:p>
        </w:tc>
      </w:tr>
      <w:tr>
        <w:trPr>
          <w:trHeight w:val="216"/>
        </w:trPr>
        <w:tc>
          <w:tcPr>
            <w:tcW w:w="196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the Federal Board Reserve of Chicago. A director of ManpowerGroup for more than five years. An employee of</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ManpowerGroup since July 1993.</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Jonas Prising</w:t>
            </w:r>
          </w:p>
        </w:tc>
        <w:tc>
          <w:tcPr>
            <w:tcW w:w="9460" w:type="dxa"/>
            <w:vAlign w:val="bottom"/>
          </w:tcPr>
          <w:p>
            <w:pPr>
              <w:ind w:left="300"/>
              <w:spacing w:after="0"/>
              <w:rPr>
                <w:sz w:val="20"/>
                <w:szCs w:val="20"/>
                <w:color w:val="auto"/>
              </w:rPr>
            </w:pPr>
            <w:r>
              <w:rPr>
                <w:rFonts w:ascii="Arial" w:cs="Arial" w:eastAsia="Arial" w:hAnsi="Arial"/>
                <w:sz w:val="18"/>
                <w:szCs w:val="18"/>
                <w:color w:val="auto"/>
                <w:w w:val="97"/>
              </w:rPr>
              <w:t>ManpowerGroup President since November 2012. President of ManpowerGroup – The Americas since January 2009.</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48</w:t>
            </w:r>
          </w:p>
        </w:tc>
        <w:tc>
          <w:tcPr>
            <w:tcW w:w="9460" w:type="dxa"/>
            <w:vAlign w:val="bottom"/>
          </w:tcPr>
          <w:p>
            <w:pPr>
              <w:ind w:left="300"/>
              <w:spacing w:after="0"/>
              <w:rPr>
                <w:sz w:val="20"/>
                <w:szCs w:val="20"/>
                <w:color w:val="auto"/>
              </w:rPr>
            </w:pPr>
            <w:r>
              <w:rPr>
                <w:rFonts w:ascii="Arial" w:cs="Arial" w:eastAsia="Arial" w:hAnsi="Arial"/>
                <w:sz w:val="18"/>
                <w:szCs w:val="18"/>
                <w:color w:val="auto"/>
              </w:rPr>
              <w:t>Executive Vice President of ManpowerGroup from January 2009 to November 2012. Executive Vice President of</w:t>
            </w:r>
          </w:p>
        </w:tc>
      </w:tr>
      <w:tr>
        <w:trPr>
          <w:trHeight w:val="216"/>
        </w:trPr>
        <w:tc>
          <w:tcPr>
            <w:tcW w:w="196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ManpowerGroup, President – United States and Canadian Operations from January 2006 to December 2008. An employee of</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ManpowerGroup since June 1999.</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Darryl Green</w:t>
            </w:r>
          </w:p>
        </w:tc>
        <w:tc>
          <w:tcPr>
            <w:tcW w:w="9460" w:type="dxa"/>
            <w:vAlign w:val="bottom"/>
          </w:tcPr>
          <w:p>
            <w:pPr>
              <w:ind w:left="300"/>
              <w:spacing w:after="0"/>
              <w:rPr>
                <w:sz w:val="20"/>
                <w:szCs w:val="20"/>
                <w:color w:val="auto"/>
              </w:rPr>
            </w:pPr>
            <w:r>
              <w:rPr>
                <w:rFonts w:ascii="Arial" w:cs="Arial" w:eastAsia="Arial" w:hAnsi="Arial"/>
                <w:sz w:val="18"/>
                <w:szCs w:val="18"/>
                <w:color w:val="auto"/>
                <w:w w:val="96"/>
              </w:rPr>
              <w:t>ManpowerGroup President since November 2012. President of Asia Pacific and Middle East Operations since January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52</w:t>
            </w:r>
          </w:p>
        </w:tc>
        <w:tc>
          <w:tcPr>
            <w:tcW w:w="9460" w:type="dxa"/>
            <w:vAlign w:val="bottom"/>
          </w:tcPr>
          <w:p>
            <w:pPr>
              <w:ind w:left="300"/>
              <w:spacing w:after="0"/>
              <w:rPr>
                <w:sz w:val="20"/>
                <w:szCs w:val="20"/>
                <w:color w:val="auto"/>
              </w:rPr>
            </w:pPr>
            <w:r>
              <w:rPr>
                <w:rFonts w:ascii="Arial" w:cs="Arial" w:eastAsia="Arial" w:hAnsi="Arial"/>
                <w:sz w:val="18"/>
                <w:szCs w:val="18"/>
                <w:color w:val="auto"/>
                <w:w w:val="96"/>
              </w:rPr>
              <w:t>2009. Executive Vice President of ManpowerGroup from January 2009 to November 2012. Executive Vice President of</w:t>
            </w:r>
          </w:p>
        </w:tc>
      </w:tr>
      <w:tr>
        <w:trPr>
          <w:trHeight w:val="216"/>
        </w:trPr>
        <w:tc>
          <w:tcPr>
            <w:tcW w:w="196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ManpowerGroup, President – Asia-Pacific Operations from May 2007 to December 2008. Prior to joining ManpowerGroup,</w:t>
            </w:r>
          </w:p>
        </w:tc>
      </w:tr>
      <w:tr>
        <w:trPr>
          <w:trHeight w:val="216"/>
        </w:trPr>
        <w:tc>
          <w:tcPr>
            <w:tcW w:w="196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6"/>
              </w:rPr>
              <w:t>served as CEO of Tata Teleservices. Previously, CEO of Vodafone Japan, a publicly listed mobile services provider. An</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employee of ManpowerGroup since May 2007.</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Michael J. Van Handel</w:t>
            </w:r>
          </w:p>
        </w:tc>
        <w:tc>
          <w:tcPr>
            <w:tcW w:w="9460" w:type="dxa"/>
            <w:vAlign w:val="bottom"/>
          </w:tcPr>
          <w:p>
            <w:pPr>
              <w:ind w:left="300"/>
              <w:spacing w:after="0"/>
              <w:rPr>
                <w:sz w:val="20"/>
                <w:szCs w:val="20"/>
                <w:color w:val="auto"/>
              </w:rPr>
            </w:pPr>
            <w:r>
              <w:rPr>
                <w:rFonts w:ascii="Arial" w:cs="Arial" w:eastAsia="Arial" w:hAnsi="Arial"/>
                <w:sz w:val="18"/>
                <w:szCs w:val="18"/>
                <w:color w:val="auto"/>
                <w:w w:val="94"/>
              </w:rPr>
              <w:t>Executive Vice President, Chief Financial Officer of ManpowerGroup since January 2008. Executive Vice President, Chief</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53</w:t>
            </w: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Financial Officer and Secretary of ManpowerGroup from April 2002 to January 2008. An employee of ManpowerGroup since</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May 1989. A director of BMO Financial Corp. and Cellular Dynamics International, Inc.</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Hans Leentjes</w:t>
            </w: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Executive Vice President of ManpowerGroup, President – Northern Europe since January 2011. Regional Managing Director</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47</w:t>
            </w: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of EMEA’s Central Region from January 2009 to December 2010. Country Manager of the Netherlands from March 2005 to</w:t>
            </w:r>
          </w:p>
        </w:tc>
      </w:tr>
      <w:tr>
        <w:trPr>
          <w:trHeight w:val="216"/>
        </w:trPr>
        <w:tc>
          <w:tcPr>
            <w:tcW w:w="196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December 2008. An employee of ManpowerGroup since March 2005. A director of ABU, the Dutch Association of temporary</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work agencies, from 2006 to June 2011.</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Owen J. Sullivan</w:t>
            </w:r>
          </w:p>
        </w:tc>
        <w:tc>
          <w:tcPr>
            <w:tcW w:w="9460" w:type="dxa"/>
            <w:vAlign w:val="bottom"/>
          </w:tcPr>
          <w:p>
            <w:pPr>
              <w:ind w:left="300"/>
              <w:spacing w:after="0"/>
              <w:rPr>
                <w:sz w:val="20"/>
                <w:szCs w:val="20"/>
                <w:color w:val="auto"/>
              </w:rPr>
            </w:pPr>
            <w:r>
              <w:rPr>
                <w:rFonts w:ascii="Arial" w:cs="Arial" w:eastAsia="Arial" w:hAnsi="Arial"/>
                <w:sz w:val="18"/>
                <w:szCs w:val="18"/>
                <w:color w:val="auto"/>
                <w:w w:val="94"/>
              </w:rPr>
              <w:t>Executive Vice President of ManpowerGroup, President of Specialty Brands since April 2011. Executive Vice President of</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55</w:t>
            </w: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ManpowerGroup, and Chief Executive Officer of Right Management from January 2005 to December 2010. An employee of</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ManpowerGroup since April 2003. A director of Journal Communications since 2007.</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Mara E. Swan</w:t>
            </w:r>
          </w:p>
        </w:tc>
        <w:tc>
          <w:tcPr>
            <w:tcW w:w="9460" w:type="dxa"/>
            <w:vAlign w:val="bottom"/>
          </w:tcPr>
          <w:p>
            <w:pPr>
              <w:ind w:left="300"/>
              <w:spacing w:after="0"/>
              <w:rPr>
                <w:sz w:val="20"/>
                <w:szCs w:val="20"/>
                <w:color w:val="auto"/>
              </w:rPr>
            </w:pPr>
            <w:r>
              <w:rPr>
                <w:rFonts w:ascii="Arial" w:cs="Arial" w:eastAsia="Arial" w:hAnsi="Arial"/>
                <w:sz w:val="18"/>
                <w:szCs w:val="18"/>
                <w:color w:val="auto"/>
                <w:w w:val="90"/>
              </w:rPr>
              <w:t>Executive Vice President - Global Strategy and Talent since January 2009. Senior Vice President of Global Human Resources</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53</w:t>
            </w:r>
          </w:p>
        </w:tc>
        <w:tc>
          <w:tcPr>
            <w:tcW w:w="9460" w:type="dxa"/>
            <w:vAlign w:val="bottom"/>
          </w:tcPr>
          <w:p>
            <w:pPr>
              <w:ind w:left="300"/>
              <w:spacing w:after="0"/>
              <w:rPr>
                <w:sz w:val="20"/>
                <w:szCs w:val="20"/>
                <w:color w:val="auto"/>
              </w:rPr>
            </w:pPr>
            <w:r>
              <w:rPr>
                <w:rFonts w:ascii="Arial" w:cs="Arial" w:eastAsia="Arial" w:hAnsi="Arial"/>
                <w:sz w:val="18"/>
                <w:szCs w:val="18"/>
                <w:color w:val="auto"/>
                <w:w w:val="98"/>
              </w:rPr>
              <w:t>from August 2005 to December 2008. Prior to ManpowerGroup, served as Chief People Officer for the Molson Coors</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Brewing Company for its global operations. An employee of ManpowerGroup since August 2005.</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Richard D. Buchband</w:t>
            </w:r>
          </w:p>
        </w:tc>
        <w:tc>
          <w:tcPr>
            <w:tcW w:w="9460" w:type="dxa"/>
            <w:vAlign w:val="bottom"/>
          </w:tcPr>
          <w:p>
            <w:pPr>
              <w:ind w:left="300"/>
              <w:spacing w:after="0"/>
              <w:rPr>
                <w:sz w:val="20"/>
                <w:szCs w:val="20"/>
                <w:color w:val="auto"/>
              </w:rPr>
            </w:pPr>
            <w:r>
              <w:rPr>
                <w:rFonts w:ascii="Arial" w:cs="Arial" w:eastAsia="Arial" w:hAnsi="Arial"/>
                <w:sz w:val="18"/>
                <w:szCs w:val="18"/>
                <w:color w:val="auto"/>
              </w:rPr>
              <w:t>Senior Vice President, General Counsel and Secretary of ManpowerGroup since January 2013. Prior to joining</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Age 49</w:t>
            </w:r>
          </w:p>
        </w:tc>
        <w:tc>
          <w:tcPr>
            <w:tcW w:w="9460" w:type="dxa"/>
            <w:vAlign w:val="bottom"/>
          </w:tcPr>
          <w:p>
            <w:pPr>
              <w:ind w:left="300"/>
              <w:spacing w:after="0"/>
              <w:rPr>
                <w:sz w:val="20"/>
                <w:szCs w:val="20"/>
                <w:color w:val="auto"/>
              </w:rPr>
            </w:pPr>
            <w:r>
              <w:rPr>
                <w:rFonts w:ascii="Arial" w:cs="Arial" w:eastAsia="Arial" w:hAnsi="Arial"/>
                <w:sz w:val="18"/>
                <w:szCs w:val="18"/>
                <w:color w:val="auto"/>
              </w:rPr>
              <w:t>ManpowerGroup, a partner and Associate General Counsel for Accenture plc from 2006 to 2011. An employee of</w:t>
            </w:r>
          </w:p>
        </w:tc>
      </w:tr>
      <w:tr>
        <w:trPr>
          <w:trHeight w:val="230"/>
        </w:trPr>
        <w:tc>
          <w:tcPr>
            <w:tcW w:w="196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ManpowerGroup since January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ind w:left="472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in 2012:</w:t>
      </w:r>
    </w:p>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United-States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500" w:right="76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and providing a comfort letter for our Euro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each of December 2012, November 2011 and December 2010, the Board of Directors authorized the repurchase of 8.0 million, 3.0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these authorizations during the fourth quarter of 2012.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number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price paid</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2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that may yet be</w:t>
            </w: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shares purchased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per share</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2012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606,382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606,382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1,833,978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November 1 - 30, 2012</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574,796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37.34</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574,796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1,259,182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2012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1,303,939</w:t>
            </w:r>
          </w:p>
        </w:tc>
        <w:tc>
          <w:tcPr>
            <w:tcW w:w="340" w:type="dxa"/>
            <w:vAlign w:val="bottom"/>
            <w:shd w:val="clear" w:color="auto" w:fill="CCEEFF"/>
          </w:tcPr>
          <w:p>
            <w:pPr>
              <w:jc w:val="right"/>
              <w:ind w:right="103"/>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1,259,182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340" w:hanging="30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44,757 shares of common stock were withheld by ManpowerGroup to satisfy tax withholding obligations on shares acquired by an officer in settlement of restricted stock.</w:t>
      </w:r>
    </w:p>
    <w:p>
      <w:pPr>
        <w:spacing w:after="0" w:line="170"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remaining information required by this Item is set forth in our Annual Report to Shareholders for the fiscal year ended December 31, 2012, under the heading “Note 15—Quarterly Data” (page 82) and “Corporate Information” (page 85) and in our Proxy Statement for the Annual Meeting of Shareholders to be held on April 30, 2013, under the caption “Equity Compensation Plan Information”, which information is hereby incorporated herein by reference.</w:t>
      </w:r>
    </w:p>
    <w:p>
      <w:pPr>
        <w:spacing w:after="0" w:line="35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2012, under the heading “Selected Financial Data” (page 83), which information is hereby incorporated herein by reference.</w:t>
      </w:r>
    </w:p>
    <w:p>
      <w:pPr>
        <w:spacing w:after="0" w:line="38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2012, under the heading “Management’s Discussion and Analysis of Financial Condition and Results of Operations” (pages 25 to 47), which information is hereby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2012, under the heading “Significant Matters Affecting Results of Operations” (pages 43 to 47), which information is hereby incorporated herein by reference.</w:t>
      </w:r>
    </w:p>
    <w:p>
      <w:pPr>
        <w:spacing w:after="0" w:line="35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set forth in the financial statements and the notes thereto (pages 50 to 82) contained in our Annual Report to Shareholders for the fiscal year ended December 31, 2012, which information is hereby incorporated herein by reference.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Report on Internal Control Over Financial Reporting is set forth on page 47 in our Annual Report to Shareholders for the fiscal year ended December 31, 2012, which information is hereby incorporated herein by reference. The Independent Registered Public Accounting Firm’s report with respect to the effectiveness of internal control over financial reporting is included on page 49 of our Annual Report to Shareholders for the year ended December 31, 2012, which information is hereby incorporated herein by reference.</w:t>
      </w:r>
    </w:p>
    <w:p>
      <w:pPr>
        <w:spacing w:after="0" w:line="18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9" w:name="page20"/>
    <w:bookmarkEnd w:id="19"/>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29" w:lineRule="exact"/>
        <w:rPr>
          <w:sz w:val="20"/>
          <w:szCs w:val="20"/>
          <w:color w:val="auto"/>
        </w:rPr>
      </w:pPr>
    </w:p>
    <w:p>
      <w:pPr>
        <w:ind w:left="920" w:hanging="48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225" w:lineRule="exact"/>
        <w:rPr>
          <w:rFonts w:ascii="Arial" w:cs="Arial" w:eastAsia="Arial" w:hAnsi="Arial"/>
          <w:sz w:val="18"/>
          <w:szCs w:val="18"/>
          <w:color w:val="auto"/>
        </w:rPr>
      </w:pPr>
    </w:p>
    <w:p>
      <w:pPr>
        <w:ind w:left="920" w:right="160" w:hanging="480"/>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April 30, 2013 under the caption “Election of Directors,” which information is hereby incorporated herein by reference.</w:t>
      </w:r>
    </w:p>
    <w:p>
      <w:pPr>
        <w:spacing w:after="0" w:line="170" w:lineRule="exact"/>
        <w:rPr>
          <w:rFonts w:ascii="Arial" w:cs="Arial" w:eastAsia="Arial" w:hAnsi="Arial"/>
          <w:sz w:val="18"/>
          <w:szCs w:val="18"/>
          <w:color w:val="auto"/>
        </w:rPr>
      </w:pPr>
    </w:p>
    <w:p>
      <w:pPr>
        <w:ind w:left="920" w:right="140" w:hanging="480"/>
        <w:spacing w:after="0" w:line="308"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46" w:lineRule="exact"/>
        <w:rPr>
          <w:rFonts w:ascii="Arial" w:cs="Arial" w:eastAsia="Arial" w:hAnsi="Arial"/>
          <w:sz w:val="17"/>
          <w:szCs w:val="17"/>
          <w:color w:val="auto"/>
        </w:rPr>
      </w:pPr>
    </w:p>
    <w:p>
      <w:pPr>
        <w:ind w:left="920" w:hanging="480"/>
        <w:spacing w:after="0" w:line="342"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April 30, 2013 under the caption “Meetings and Committees of the Board,” which information is hereby incorporated herein by reference.</w:t>
      </w:r>
    </w:p>
    <w:p>
      <w:pPr>
        <w:spacing w:after="0" w:line="123" w:lineRule="exact"/>
        <w:rPr>
          <w:rFonts w:ascii="Arial" w:cs="Arial" w:eastAsia="Arial" w:hAnsi="Arial"/>
          <w:sz w:val="16"/>
          <w:szCs w:val="16"/>
          <w:color w:val="auto"/>
        </w:rPr>
      </w:pPr>
    </w:p>
    <w:p>
      <w:pPr>
        <w:ind w:left="920" w:hanging="480"/>
        <w:spacing w:after="0" w:line="26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April 30, 2013 under the caption “Section 16(a) Beneficial Ownership Reporting Compliance,” which information is hereby incorporated herein by reference.</w:t>
      </w:r>
    </w:p>
    <w:p>
      <w:pPr>
        <w:spacing w:after="0" w:line="181" w:lineRule="exact"/>
        <w:rPr>
          <w:rFonts w:ascii="Arial" w:cs="Arial" w:eastAsia="Arial" w:hAnsi="Arial"/>
          <w:sz w:val="18"/>
          <w:szCs w:val="18"/>
          <w:color w:val="auto"/>
        </w:rPr>
      </w:pPr>
    </w:p>
    <w:p>
      <w:pPr>
        <w:ind w:left="920" w:right="100" w:hanging="480"/>
        <w:spacing w:after="0" w:line="26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w:t>
      </w:r>
    </w:p>
    <w:p>
      <w:pPr>
        <w:spacing w:after="0" w:line="1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 information required by this Item is set forth in our Proxy Statement for the Annual Meeting of Shareholders to be held on April 30, 2013,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30, 2013,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1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30, 2013, under the caption “Meetings and Committees of the Board,” which information is hereby incorporated herein by reference.</w:t>
      </w:r>
    </w:p>
    <w:p>
      <w:pPr>
        <w:spacing w:after="0" w:line="16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30, 2013, under the caption “Audit Committee Report,”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740" w:type="dxa"/>
            <w:vAlign w:val="bottom"/>
          </w:tcPr>
          <w:p>
            <w:pPr>
              <w:ind w:left="4700"/>
              <w:spacing w:after="0"/>
              <w:rPr>
                <w:sz w:val="20"/>
                <w:szCs w:val="20"/>
                <w:color w:val="auto"/>
              </w:rPr>
            </w:pPr>
            <w:r>
              <w:rPr>
                <w:rFonts w:ascii="Arial" w:cs="Arial" w:eastAsia="Arial" w:hAnsi="Arial"/>
                <w:sz w:val="18"/>
                <w:szCs w:val="18"/>
                <w:b w:val="1"/>
                <w:bCs w:val="1"/>
                <w:color w:val="auto"/>
              </w:rPr>
              <w:t>PART IV</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w w:val="95"/>
              </w:rPr>
              <w:t>Item 15.</w:t>
            </w:r>
          </w:p>
        </w:tc>
        <w:tc>
          <w:tcPr>
            <w:tcW w:w="8740" w:type="dxa"/>
            <w:vAlign w:val="bottom"/>
          </w:tcPr>
          <w:p>
            <w:pPr>
              <w:ind w:left="960"/>
              <w:spacing w:after="0"/>
              <w:rPr>
                <w:sz w:val="20"/>
                <w:szCs w:val="20"/>
                <w:color w:val="auto"/>
              </w:rPr>
            </w:pPr>
            <w:r>
              <w:rPr>
                <w:rFonts w:ascii="Arial" w:cs="Arial" w:eastAsia="Arial" w:hAnsi="Arial"/>
                <w:sz w:val="18"/>
                <w:szCs w:val="18"/>
                <w:b w:val="1"/>
                <w:bCs w:val="1"/>
                <w:color w:val="auto"/>
              </w:rPr>
              <w:t>Exhibits and Financial Statement Schedules.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(a)(1) Financial Statements.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6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w w:val="91"/>
              </w:rPr>
              <w:t>Page Number(s)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w w:val="90"/>
              </w:rPr>
              <w:t>in Annual Report</w:t>
            </w:r>
          </w:p>
        </w:tc>
        <w:tc>
          <w:tcPr>
            <w:tcW w:w="0" w:type="dxa"/>
            <w:vAlign w:val="bottom"/>
          </w:tcPr>
          <w:p>
            <w:pPr>
              <w:spacing w:after="0"/>
              <w:rPr>
                <w:sz w:val="1"/>
                <w:szCs w:val="1"/>
                <w:color w:val="auto"/>
              </w:rPr>
            </w:pPr>
          </w:p>
        </w:tc>
      </w:tr>
      <w:tr>
        <w:trPr>
          <w:trHeight w:val="234"/>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w w:val="99"/>
              </w:rPr>
              <w:t>Consolidated Financial Statements (data incorporated by reference from the attached Annual Report to Shareholders):</w:t>
            </w: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w w:val="91"/>
              </w:rPr>
              <w:t>to Shareholders</w:t>
            </w:r>
          </w:p>
        </w:tc>
        <w:tc>
          <w:tcPr>
            <w:tcW w:w="0" w:type="dxa"/>
            <w:vAlign w:val="bottom"/>
          </w:tcPr>
          <w:p>
            <w:pPr>
              <w:spacing w:after="0"/>
              <w:rPr>
                <w:sz w:val="1"/>
                <w:szCs w:val="1"/>
                <w:color w:val="auto"/>
              </w:rPr>
            </w:pPr>
          </w:p>
        </w:tc>
      </w:tr>
      <w:tr>
        <w:trPr>
          <w:trHeight w:val="216"/>
        </w:trPr>
        <w:tc>
          <w:tcPr>
            <w:tcW w:w="94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Reports of Independent Registered Public Accounting Firm</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91"/>
              </w:rPr>
              <w:t>48-49</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Consolidated Statements of Operations for the years ended December 31, 2012, 2011 and 2010</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w w:val="94"/>
              </w:rPr>
              <w:t>Consolidated Statements of Comprehensive Income (Loss) for the years ended December 31, 2012, 2011 and 2010</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2012 and 2011</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2012, 2011, and 2010</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Consolidated Statements of Shareholders’ Equity for the years ended December 31, 2012, 2011 and 2010</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432"/>
        </w:trPr>
        <w:tc>
          <w:tcPr>
            <w:tcW w:w="9400" w:type="dxa"/>
            <w:vAlign w:val="bottom"/>
            <w:gridSpan w:val="2"/>
          </w:tcPr>
          <w:p>
            <w:pPr>
              <w:ind w:left="50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91"/>
              </w:rPr>
              <w:t>54-82</w:t>
            </w: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(a)(2) Financial Statement Schedule.</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(c) below.</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29" w:right="4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(c) Exhibits.</w:t>
            </w:r>
          </w:p>
        </w:tc>
        <w:tc>
          <w:tcPr>
            <w:tcW w:w="10400" w:type="dxa"/>
            <w:vAlign w:val="bottom"/>
          </w:tcPr>
          <w:p>
            <w:pPr>
              <w:spacing w:after="0"/>
              <w:rPr>
                <w:sz w:val="20"/>
                <w:szCs w:val="20"/>
                <w:color w:val="auto"/>
              </w:rPr>
            </w:pP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3.1</w:t>
            </w: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Amended and Restated Articles of Incorporation of the Company effective as of February 28, 1991, as amended on May 8, 2001, April 28,</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2010 and January 1, 2013, incorporated by reference to the Company’s Quarterly Report on Form 10-Q for the quarter ended June 30, 2010.</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3.2</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Amended and Restated By-laws of the Company effective as of April 28, 2010, incorporated by reference to the Company’s Quarterly Report</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on Form 10-Q for the quarter ended June 30, 2010.</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3.3</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Amendment to Article IV. of the Amended and Restated By-Laws of the Company, incorporated by reference to the Company’s Current</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Report on Form 8-K dated November 15, 2012.</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4.1</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Fiscal and Paying Agency Agreement between the Company and Citibank, N.A. as Fiscal Agent, Principal Paying Agent, Registrar and</w:t>
            </w:r>
          </w:p>
        </w:tc>
      </w:tr>
      <w:tr>
        <w:trPr>
          <w:trHeight w:val="216"/>
        </w:trPr>
        <w:tc>
          <w:tcPr>
            <w:tcW w:w="102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Transfer Agent and Citibank International PLC as Irish Paying Agent, dated as of June 14, 2006 (including the form of Note attached thereto</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as Schedule 1), incorporated by reference to the Company’s Quarterly Report on Form 10-Q for the quarter ended June 30, 2006.</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Fiscal and Paying Agency Agreement between the Company and Citibank, N.A., as Fiscal Agent, Principal Paying Agent and Registrar and</w:t>
            </w:r>
          </w:p>
        </w:tc>
      </w:tr>
      <w:tr>
        <w:trPr>
          <w:trHeight w:val="216"/>
        </w:trPr>
        <w:tc>
          <w:tcPr>
            <w:tcW w:w="102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Transfer Agent, dated as of June 22, 2012 (including the form of Note attached thereto as Schedule I),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10.1</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Amended and Restated Manpower Inc. Senior Management Performance-Based Deferred Compensation Plan, incorporated by reference to</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the Company’s Annual Report on Form 10-K for the year ended December 31, 2005. **</w:t>
            </w:r>
          </w:p>
        </w:tc>
      </w:tr>
      <w:tr>
        <w:trPr>
          <w:trHeight w:val="418"/>
        </w:trPr>
        <w:tc>
          <w:tcPr>
            <w:tcW w:w="1020" w:type="dxa"/>
            <w:vAlign w:val="bottom"/>
          </w:tcPr>
          <w:p>
            <w:pPr>
              <w:jc w:val="right"/>
              <w:ind w:right="410"/>
              <w:spacing w:after="0"/>
              <w:rPr>
                <w:sz w:val="20"/>
                <w:szCs w:val="20"/>
                <w:color w:val="auto"/>
              </w:rPr>
            </w:pPr>
            <w:r>
              <w:rPr>
                <w:rFonts w:ascii="Arial" w:cs="Arial" w:eastAsia="Arial" w:hAnsi="Arial"/>
                <w:sz w:val="18"/>
                <w:szCs w:val="18"/>
                <w:color w:val="auto"/>
                <w:w w:val="87"/>
              </w:rPr>
              <w:t>10.2(a)</w:t>
            </w:r>
          </w:p>
        </w:tc>
        <w:tc>
          <w:tcPr>
            <w:tcW w:w="10400" w:type="dxa"/>
            <w:vAlign w:val="bottom"/>
          </w:tcPr>
          <w:p>
            <w:pPr>
              <w:ind w:left="140"/>
              <w:spacing w:after="0"/>
              <w:rPr>
                <w:sz w:val="20"/>
                <w:szCs w:val="20"/>
                <w:color w:val="auto"/>
              </w:rPr>
            </w:pPr>
            <w:r>
              <w:rPr>
                <w:rFonts w:ascii="Arial" w:cs="Arial" w:eastAsia="Arial" w:hAnsi="Arial"/>
                <w:sz w:val="18"/>
                <w:szCs w:val="18"/>
                <w:color w:val="auto"/>
                <w:w w:val="98"/>
              </w:rPr>
              <w:t>Five-Year Credit Agreement dated as of October 5, 2011 among the Company, the initial lenders named therein, Citibank, N.A., as</w:t>
            </w:r>
          </w:p>
        </w:tc>
      </w:tr>
      <w:tr>
        <w:trPr>
          <w:trHeight w:val="216"/>
        </w:trPr>
        <w:tc>
          <w:tcPr>
            <w:tcW w:w="102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Administrative Agent, BNP Paribas, as Syndication Agent, JPMorgan Chase Bank, N.A., U.S. Bank, National Association and RBS Citizens,</w:t>
            </w:r>
          </w:p>
        </w:tc>
      </w:tr>
      <w:tr>
        <w:trPr>
          <w:trHeight w:val="216"/>
        </w:trPr>
        <w:tc>
          <w:tcPr>
            <w:tcW w:w="102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N.A., as Documentation Agents and Citigroup Global Markets Inc., BNP Paribas Securities Corp. and JPMorgan Securities LLC as Joint</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Lead Arrangers and Book Managers, incorporated by reference to the Company’s Current Report on Form 8-K dated October 5, 2011.</w:t>
            </w:r>
          </w:p>
        </w:tc>
      </w:tr>
      <w:tr>
        <w:trPr>
          <w:trHeight w:val="432"/>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10.4</w:t>
            </w:r>
          </w:p>
        </w:tc>
        <w:tc>
          <w:tcPr>
            <w:tcW w:w="10400" w:type="dxa"/>
            <w:vAlign w:val="bottom"/>
          </w:tcPr>
          <w:p>
            <w:pPr>
              <w:ind w:left="140"/>
              <w:spacing w:after="0"/>
              <w:rPr>
                <w:sz w:val="20"/>
                <w:szCs w:val="20"/>
                <w:color w:val="auto"/>
              </w:rPr>
            </w:pPr>
            <w:r>
              <w:rPr>
                <w:rFonts w:ascii="Arial" w:cs="Arial" w:eastAsia="Arial" w:hAnsi="Arial"/>
                <w:sz w:val="18"/>
                <w:szCs w:val="18"/>
                <w:color w:val="auto"/>
              </w:rPr>
              <w:t>Manpower Savings Related Share Option Scheme. **</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10.5</w:t>
            </w:r>
          </w:p>
        </w:tc>
        <w:tc>
          <w:tcPr>
            <w:tcW w:w="10400" w:type="dxa"/>
            <w:vAlign w:val="bottom"/>
          </w:tcPr>
          <w:p>
            <w:pPr>
              <w:ind w:left="140"/>
              <w:spacing w:after="0"/>
              <w:rPr>
                <w:sz w:val="20"/>
                <w:szCs w:val="20"/>
                <w:color w:val="auto"/>
              </w:rPr>
            </w:pPr>
            <w:r>
              <w:rPr>
                <w:rFonts w:ascii="Arial" w:cs="Arial" w:eastAsia="Arial" w:hAnsi="Arial"/>
                <w:sz w:val="18"/>
                <w:szCs w:val="18"/>
                <w:color w:val="auto"/>
                <w:w w:val="97"/>
              </w:rPr>
              <w:t>Manpower 1990 Employee Stock Purchase Plan (Amended and Restated effective April 26, 2005),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Quarterly Report on Form 10-Q for the quarter ended March 31, 2005.</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10.6</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Manpower Retirement Plan, as amended and restated effective as of March 1, 1989, incorporated by reference to Form 10-K of Manpower</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PLC, SEC File No. 0-9890, filed for the fiscal year ended October 31, 1989. **</w:t>
            </w:r>
          </w:p>
        </w:tc>
      </w:tr>
      <w:tr>
        <w:trPr>
          <w:trHeight w:val="4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10.7</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1994 Executive Stock Option and Restricted Stock Plan of Manpower Inc. (Amended and Restated October 29, 2002), incorporated by</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418"/>
        </w:trPr>
        <w:tc>
          <w:tcPr>
            <w:tcW w:w="1020" w:type="dxa"/>
            <w:vAlign w:val="bottom"/>
          </w:tcPr>
          <w:p>
            <w:pPr>
              <w:jc w:val="right"/>
              <w:ind w:right="410"/>
              <w:spacing w:after="0"/>
              <w:rPr>
                <w:sz w:val="20"/>
                <w:szCs w:val="20"/>
                <w:color w:val="auto"/>
              </w:rPr>
            </w:pPr>
            <w:r>
              <w:rPr>
                <w:rFonts w:ascii="Arial" w:cs="Arial" w:eastAsia="Arial" w:hAnsi="Arial"/>
                <w:sz w:val="18"/>
                <w:szCs w:val="18"/>
                <w:color w:val="auto"/>
                <w:w w:val="87"/>
              </w:rPr>
              <w:t>10.8(a)</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Manpower Inc. Corporate Senior Management Incentive Plan dated as of May 2, 2007, incorporated by reference to the Company’s Current</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Report on Form 8-K dated May 2, 2007. **</w:t>
            </w:r>
          </w:p>
        </w:tc>
      </w:tr>
      <w:tr>
        <w:trPr>
          <w:trHeight w:val="418"/>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1"/>
              </w:rPr>
              <w:t>10.8(b)</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Manpower Inc. Corporate Senior Management Annual Incentive Pool Plan, incorporated by reference to Appendix C to the Proxy Statement</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on Schedule 14A filed on March 23, 2011 in connection with the 2011 Annual Meeting of the Shareholders of the Company.**</w:t>
            </w:r>
          </w:p>
        </w:tc>
      </w:tr>
      <w:tr>
        <w:trPr>
          <w:trHeight w:val="418"/>
        </w:trPr>
        <w:tc>
          <w:tcPr>
            <w:tcW w:w="1020" w:type="dxa"/>
            <w:vAlign w:val="bottom"/>
          </w:tcPr>
          <w:p>
            <w:pPr>
              <w:jc w:val="right"/>
              <w:ind w:right="410"/>
              <w:spacing w:after="0"/>
              <w:rPr>
                <w:sz w:val="20"/>
                <w:szCs w:val="20"/>
                <w:color w:val="auto"/>
              </w:rPr>
            </w:pPr>
            <w:r>
              <w:rPr>
                <w:rFonts w:ascii="Arial" w:cs="Arial" w:eastAsia="Arial" w:hAnsi="Arial"/>
                <w:sz w:val="18"/>
                <w:szCs w:val="18"/>
                <w:color w:val="auto"/>
                <w:w w:val="87"/>
              </w:rPr>
              <w:t>10.9(a)</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Compensation Agreement between Jeffrey A. Joerres and the Company dated as of February 16, 2011,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Current Report on Form 8-K/A dated February 16, 2011. **</w:t>
            </w:r>
          </w:p>
        </w:tc>
      </w:tr>
      <w:tr>
        <w:trPr>
          <w:trHeight w:val="418"/>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1"/>
              </w:rPr>
              <w:t>10.9(b)</w:t>
            </w: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Severance Agreement between Jeffrey A. Joerres and the Company dated as of February 16, 2011,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Current Report on Form 8-K/A dated February 16, 2011. **</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10.10(a)</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Compensation Agreement between Michael J. Van Handel and the Company dated as of February 16, 2011,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Current Report on Form 8-K/A dated February 16, 2011. **</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10.10(b)</w:t>
            </w: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Severance Agreement between Michael J. Van Handel and the Company dated as of February 16, 2011, incorporated by reference to the</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Company’s Current Report on Form 8-K/A dated February 16, 2011. **</w:t>
            </w:r>
          </w:p>
        </w:tc>
      </w:tr>
      <w:tr>
        <w:trPr>
          <w:trHeight w:val="608"/>
        </w:trPr>
        <w:tc>
          <w:tcPr>
            <w:tcW w:w="102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22</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left="1160" w:right="180" w:hanging="1147"/>
        <w:spacing w:after="0" w:line="277" w:lineRule="auto"/>
        <w:tabs>
          <w:tab w:leader="none" w:pos="114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Amended and Restated Assignment Agreement by and among the Company and Jonas Prising dated as of December 29, 2008, incorporated by reference to the Company’s Current Report on Form 8-K dated December 29, 2008. **</w:t>
      </w:r>
    </w:p>
    <w:p>
      <w:pPr>
        <w:spacing w:after="0" w:line="170" w:lineRule="exact"/>
        <w:rPr>
          <w:sz w:val="20"/>
          <w:szCs w:val="20"/>
          <w:color w:val="auto"/>
        </w:rPr>
      </w:pPr>
    </w:p>
    <w:p>
      <w:pPr>
        <w:ind w:left="1160" w:right="560" w:hanging="1147"/>
        <w:spacing w:after="0" w:line="277" w:lineRule="auto"/>
        <w:tabs>
          <w:tab w:leader="none" w:pos="1140"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8"/>
          <w:szCs w:val="18"/>
          <w:color w:val="auto"/>
        </w:rPr>
        <w:t>Amendment to Assignment Agreement between the Company and Jonas Prising dated March 7, 2011, incorporated by reference to the Company’s Current Report on Form 8-K dated March 7, 2011.**</w:t>
      </w:r>
    </w:p>
    <w:p>
      <w:pPr>
        <w:spacing w:after="0" w:line="170" w:lineRule="exact"/>
        <w:rPr>
          <w:sz w:val="20"/>
          <w:szCs w:val="20"/>
          <w:color w:val="auto"/>
        </w:rPr>
      </w:pPr>
    </w:p>
    <w:p>
      <w:pPr>
        <w:ind w:left="1160" w:right="60" w:hanging="1147"/>
        <w:spacing w:after="0" w:line="277" w:lineRule="auto"/>
        <w:tabs>
          <w:tab w:leader="none" w:pos="1140" w:val="left"/>
        </w:tabs>
        <w:rPr>
          <w:sz w:val="20"/>
          <w:szCs w:val="20"/>
          <w:color w:val="auto"/>
        </w:rPr>
      </w:pPr>
      <w:r>
        <w:rPr>
          <w:rFonts w:ascii="Arial" w:cs="Arial" w:eastAsia="Arial" w:hAnsi="Arial"/>
          <w:sz w:val="18"/>
          <w:szCs w:val="18"/>
          <w:color w:val="auto"/>
        </w:rPr>
        <w:t>10.12(c)</w:t>
      </w:r>
      <w:r>
        <w:rPr>
          <w:sz w:val="20"/>
          <w:szCs w:val="20"/>
          <w:color w:val="auto"/>
        </w:rPr>
        <w:tab/>
      </w:r>
      <w:r>
        <w:rPr>
          <w:rFonts w:ascii="Arial" w:cs="Arial" w:eastAsia="Arial" w:hAnsi="Arial"/>
          <w:sz w:val="18"/>
          <w:szCs w:val="18"/>
          <w:color w:val="auto"/>
        </w:rPr>
        <w:t>Employment Agreement between Francoise Gri and the Company dated as of February 15, 2007, incorporated by reference to the Company’s Annual Report on Form 10-K for the fiscal year ended December 31, 2007. **</w:t>
      </w:r>
    </w:p>
    <w:p>
      <w:pPr>
        <w:spacing w:after="0" w:line="170" w:lineRule="exact"/>
        <w:rPr>
          <w:sz w:val="20"/>
          <w:szCs w:val="20"/>
          <w:color w:val="auto"/>
        </w:rPr>
      </w:pPr>
    </w:p>
    <w:p>
      <w:pPr>
        <w:ind w:left="1160" w:right="360" w:hanging="1147"/>
        <w:spacing w:after="0" w:line="277" w:lineRule="auto"/>
        <w:tabs>
          <w:tab w:leader="none" w:pos="1140" w:val="left"/>
        </w:tabs>
        <w:rPr>
          <w:sz w:val="20"/>
          <w:szCs w:val="20"/>
          <w:color w:val="auto"/>
        </w:rPr>
      </w:pPr>
      <w:r>
        <w:rPr>
          <w:rFonts w:ascii="Arial" w:cs="Arial" w:eastAsia="Arial" w:hAnsi="Arial"/>
          <w:sz w:val="18"/>
          <w:szCs w:val="18"/>
          <w:color w:val="auto"/>
        </w:rPr>
        <w:t>10.12(d)</w:t>
      </w:r>
      <w:r>
        <w:rPr>
          <w:sz w:val="20"/>
          <w:szCs w:val="20"/>
          <w:color w:val="auto"/>
        </w:rPr>
        <w:tab/>
      </w:r>
      <w:r>
        <w:rPr>
          <w:rFonts w:ascii="Arial" w:cs="Arial" w:eastAsia="Arial" w:hAnsi="Arial"/>
          <w:sz w:val="18"/>
          <w:szCs w:val="18"/>
          <w:color w:val="auto"/>
        </w:rPr>
        <w:t>Letter Agreement between Darryl Green and the Company dated as of April 4, 2007, incorporated by reference to the Company’s Annual Report on Form 10-K for the fiscal year ended December 31, 2007. **</w:t>
      </w:r>
    </w:p>
    <w:p>
      <w:pPr>
        <w:spacing w:after="0" w:line="197" w:lineRule="exact"/>
        <w:rPr>
          <w:sz w:val="20"/>
          <w:szCs w:val="20"/>
          <w:color w:val="auto"/>
        </w:rPr>
      </w:pPr>
    </w:p>
    <w:p>
      <w:pPr>
        <w:ind w:left="1160" w:right="260" w:hanging="1147"/>
        <w:spacing w:after="0" w:line="264" w:lineRule="auto"/>
        <w:tabs>
          <w:tab w:leader="none" w:pos="114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Terms and Conditions Regarding the Grant of Awards to Non-Employee Directors under the 2003 Equity Incentive Plan of Manpower Inc. (Amended and Restated Effective February 16, 2011), incorporated by reference to the Company’s Current Report on Form 8-K dated February 16, 2011. **</w:t>
      </w:r>
    </w:p>
    <w:p>
      <w:pPr>
        <w:spacing w:after="0" w:line="181" w:lineRule="exact"/>
        <w:rPr>
          <w:sz w:val="20"/>
          <w:szCs w:val="20"/>
          <w:color w:val="auto"/>
        </w:rPr>
      </w:pPr>
    </w:p>
    <w:p>
      <w:pPr>
        <w:jc w:val="right"/>
        <w:ind w:right="500"/>
        <w:spacing w:after="0" w:line="308" w:lineRule="auto"/>
        <w:rPr>
          <w:sz w:val="20"/>
          <w:szCs w:val="20"/>
          <w:color w:val="auto"/>
        </w:rPr>
      </w:pPr>
      <w:r>
        <w:rPr>
          <w:rFonts w:ascii="Arial" w:cs="Arial" w:eastAsia="Arial" w:hAnsi="Arial"/>
          <w:sz w:val="17"/>
          <w:szCs w:val="17"/>
          <w:color w:val="auto"/>
        </w:rPr>
        <w:t>10.13(b)      Terms and Conditions Regarding the Grant of Awards to Non-Employee Directors under the 2011 Equity Incentive Plan (Amended and Restated Effective February 16, 2011), incorporated by reference to the Company’s Current Report on Form 8-K dated May 3, 2011. **</w:t>
      </w:r>
    </w:p>
    <w:p>
      <w:pPr>
        <w:spacing w:after="0" w:line="147" w:lineRule="exact"/>
        <w:rPr>
          <w:sz w:val="20"/>
          <w:szCs w:val="20"/>
          <w:color w:val="auto"/>
        </w:rPr>
      </w:pPr>
    </w:p>
    <w:p>
      <w:pPr>
        <w:ind w:left="1160" w:right="120" w:hanging="1147"/>
        <w:spacing w:after="0" w:line="277" w:lineRule="auto"/>
        <w:tabs>
          <w:tab w:leader="none" w:pos="1140" w:val="left"/>
        </w:tabs>
        <w:rPr>
          <w:sz w:val="20"/>
          <w:szCs w:val="20"/>
          <w:color w:val="auto"/>
        </w:rPr>
      </w:pPr>
      <w:r>
        <w:rPr>
          <w:rFonts w:ascii="Arial" w:cs="Arial" w:eastAsia="Arial" w:hAnsi="Arial"/>
          <w:sz w:val="18"/>
          <w:szCs w:val="18"/>
          <w:color w:val="auto"/>
        </w:rPr>
        <w:t>10.13(c)</w:t>
      </w:r>
      <w:r>
        <w:rPr>
          <w:sz w:val="20"/>
          <w:szCs w:val="20"/>
          <w:color w:val="auto"/>
        </w:rPr>
        <w:tab/>
      </w:r>
      <w:r>
        <w:rPr>
          <w:rFonts w:ascii="Arial" w:cs="Arial" w:eastAsia="Arial" w:hAnsi="Arial"/>
          <w:sz w:val="18"/>
          <w:szCs w:val="18"/>
          <w:color w:val="auto"/>
        </w:rPr>
        <w:t>Manpower Inc. Compensation for Non-Employee Directors (Amended and Restated Effective February 16, 2011), incorporated by reference to the Company’s Current Report on Form 8-K dated February 16, 2011. **</w:t>
      </w:r>
    </w:p>
    <w:p>
      <w:pPr>
        <w:spacing w:after="0" w:line="170" w:lineRule="exact"/>
        <w:rPr>
          <w:sz w:val="20"/>
          <w:szCs w:val="20"/>
          <w:color w:val="auto"/>
        </w:rPr>
      </w:pPr>
    </w:p>
    <w:p>
      <w:pPr>
        <w:ind w:left="1160" w:right="580" w:hanging="1147"/>
        <w:spacing w:after="0" w:line="277" w:lineRule="auto"/>
        <w:tabs>
          <w:tab w:leader="none" w:pos="1140" w:val="left"/>
        </w:tabs>
        <w:rPr>
          <w:sz w:val="20"/>
          <w:szCs w:val="20"/>
          <w:color w:val="auto"/>
        </w:rPr>
      </w:pPr>
      <w:r>
        <w:rPr>
          <w:rFonts w:ascii="Arial" w:cs="Arial" w:eastAsia="Arial" w:hAnsi="Arial"/>
          <w:sz w:val="18"/>
          <w:szCs w:val="18"/>
          <w:color w:val="auto"/>
        </w:rPr>
        <w:t>10.13(d)</w:t>
      </w:r>
      <w:r>
        <w:rPr>
          <w:sz w:val="20"/>
          <w:szCs w:val="20"/>
          <w:color w:val="auto"/>
        </w:rPr>
        <w:tab/>
      </w:r>
      <w:r>
        <w:rPr>
          <w:rFonts w:ascii="Arial" w:cs="Arial" w:eastAsia="Arial" w:hAnsi="Arial"/>
          <w:sz w:val="18"/>
          <w:szCs w:val="18"/>
          <w:color w:val="auto"/>
        </w:rPr>
        <w:t>Amended and Restated Severance Agreement between Jonas Prising and the Company dated as of February 15, 2012, incorporated by reference to the Company’s Current Report on Form 8-K dated February 15, 2012.</w:t>
      </w:r>
    </w:p>
    <w:p>
      <w:pPr>
        <w:spacing w:after="0" w:line="170" w:lineRule="exact"/>
        <w:rPr>
          <w:sz w:val="20"/>
          <w:szCs w:val="20"/>
          <w:color w:val="auto"/>
        </w:rPr>
      </w:pPr>
    </w:p>
    <w:p>
      <w:pPr>
        <w:ind w:left="1160" w:right="40" w:hanging="1147"/>
        <w:spacing w:after="0" w:line="277" w:lineRule="auto"/>
        <w:tabs>
          <w:tab w:leader="none" w:pos="1140" w:val="left"/>
        </w:tabs>
        <w:rPr>
          <w:sz w:val="20"/>
          <w:szCs w:val="20"/>
          <w:color w:val="auto"/>
        </w:rPr>
      </w:pPr>
      <w:r>
        <w:rPr>
          <w:rFonts w:ascii="Arial" w:cs="Arial" w:eastAsia="Arial" w:hAnsi="Arial"/>
          <w:sz w:val="18"/>
          <w:szCs w:val="18"/>
          <w:color w:val="auto"/>
        </w:rPr>
        <w:t>10.13(e)</w:t>
      </w:r>
      <w:r>
        <w:rPr>
          <w:sz w:val="20"/>
          <w:szCs w:val="20"/>
          <w:color w:val="auto"/>
        </w:rPr>
        <w:tab/>
      </w:r>
      <w:r>
        <w:rPr>
          <w:rFonts w:ascii="Arial" w:cs="Arial" w:eastAsia="Arial" w:hAnsi="Arial"/>
          <w:sz w:val="18"/>
          <w:szCs w:val="18"/>
          <w:color w:val="auto"/>
        </w:rPr>
        <w:t>Amended and Restated Severance Agreement dated July 31, 2012 between the Company and Owen Sullivan, incorporated by reference to the Company’s Current Report on Form 8-K dated July 31, 2012.</w:t>
      </w:r>
    </w:p>
    <w:p>
      <w:pPr>
        <w:spacing w:after="0" w:line="170" w:lineRule="exact"/>
        <w:rPr>
          <w:sz w:val="20"/>
          <w:szCs w:val="20"/>
          <w:color w:val="auto"/>
        </w:rPr>
      </w:pPr>
    </w:p>
    <w:p>
      <w:pPr>
        <w:ind w:left="1160" w:hanging="1147"/>
        <w:spacing w:after="0" w:line="277" w:lineRule="auto"/>
        <w:tabs>
          <w:tab w:leader="none" w:pos="1140" w:val="left"/>
        </w:tabs>
        <w:rPr>
          <w:sz w:val="20"/>
          <w:szCs w:val="20"/>
          <w:color w:val="auto"/>
        </w:rPr>
      </w:pPr>
      <w:r>
        <w:rPr>
          <w:rFonts w:ascii="Arial" w:cs="Arial" w:eastAsia="Arial" w:hAnsi="Arial"/>
          <w:sz w:val="18"/>
          <w:szCs w:val="18"/>
          <w:color w:val="auto"/>
        </w:rPr>
        <w:t>10.13(f)</w:t>
      </w:r>
      <w:r>
        <w:rPr>
          <w:sz w:val="20"/>
          <w:szCs w:val="20"/>
          <w:color w:val="auto"/>
        </w:rPr>
        <w:tab/>
      </w:r>
      <w:r>
        <w:rPr>
          <w:rFonts w:ascii="Arial" w:cs="Arial" w:eastAsia="Arial" w:hAnsi="Arial"/>
          <w:sz w:val="18"/>
          <w:szCs w:val="18"/>
          <w:color w:val="auto"/>
        </w:rPr>
        <w:t>Amended and Restated Severance Agreement between Mara Swan and the Company dated as of February 15, 2012, incorporated by reference to the Company’s Quarterly Report on Form 10-Q for the quarter ended March 31, 2012.</w:t>
      </w:r>
    </w:p>
    <w:p>
      <w:pPr>
        <w:spacing w:after="0" w:line="170" w:lineRule="exact"/>
        <w:rPr>
          <w:sz w:val="20"/>
          <w:szCs w:val="20"/>
          <w:color w:val="auto"/>
        </w:rPr>
      </w:pPr>
    </w:p>
    <w:p>
      <w:pPr>
        <w:ind w:left="1160" w:right="580" w:hanging="1147"/>
        <w:spacing w:after="0" w:line="277" w:lineRule="auto"/>
        <w:tabs>
          <w:tab w:leader="none" w:pos="1140" w:val="left"/>
        </w:tabs>
        <w:rPr>
          <w:sz w:val="20"/>
          <w:szCs w:val="20"/>
          <w:color w:val="auto"/>
        </w:rPr>
      </w:pPr>
      <w:r>
        <w:rPr>
          <w:rFonts w:ascii="Arial" w:cs="Arial" w:eastAsia="Arial" w:hAnsi="Arial"/>
          <w:sz w:val="18"/>
          <w:szCs w:val="18"/>
          <w:color w:val="auto"/>
        </w:rPr>
        <w:t>10.13(g)</w:t>
      </w:r>
      <w:r>
        <w:rPr>
          <w:sz w:val="20"/>
          <w:szCs w:val="20"/>
          <w:color w:val="auto"/>
        </w:rPr>
        <w:tab/>
      </w:r>
      <w:r>
        <w:rPr>
          <w:rFonts w:ascii="Arial" w:cs="Arial" w:eastAsia="Arial" w:hAnsi="Arial"/>
          <w:sz w:val="18"/>
          <w:szCs w:val="18"/>
          <w:color w:val="auto"/>
        </w:rPr>
        <w:t>Severance Agreement dated December 31, 2010 between the Company and Darryl Green, incorporated by reference to the Company’s Quarterly Report on Form 10-Q for the quarter ended March 31, 2011. **</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10.13(h)</w:t>
      </w:r>
      <w:r>
        <w:rPr>
          <w:sz w:val="20"/>
          <w:szCs w:val="20"/>
          <w:color w:val="auto"/>
        </w:rPr>
        <w:tab/>
      </w:r>
      <w:r>
        <w:rPr>
          <w:rFonts w:ascii="Arial" w:cs="Arial" w:eastAsia="Arial" w:hAnsi="Arial"/>
          <w:sz w:val="16"/>
          <w:szCs w:val="16"/>
          <w:color w:val="auto"/>
        </w:rPr>
        <w:t>Severance Agreement dated February 13 2013 between the Company and Richard Buchband. **</w:t>
      </w:r>
    </w:p>
    <w:p>
      <w:pPr>
        <w:spacing w:after="0" w:line="225" w:lineRule="exact"/>
        <w:rPr>
          <w:sz w:val="20"/>
          <w:szCs w:val="20"/>
          <w:color w:val="auto"/>
        </w:rPr>
      </w:pPr>
    </w:p>
    <w:p>
      <w:pPr>
        <w:ind w:left="1160" w:right="80" w:hanging="1147"/>
        <w:spacing w:after="0" w:line="277" w:lineRule="auto"/>
        <w:tabs>
          <w:tab w:leader="none" w:pos="1140" w:val="left"/>
        </w:tabs>
        <w:rPr>
          <w:sz w:val="20"/>
          <w:szCs w:val="20"/>
          <w:color w:val="auto"/>
        </w:rPr>
      </w:pPr>
      <w:r>
        <w:rPr>
          <w:rFonts w:ascii="Arial" w:cs="Arial" w:eastAsia="Arial" w:hAnsi="Arial"/>
          <w:sz w:val="18"/>
          <w:szCs w:val="18"/>
          <w:color w:val="auto"/>
        </w:rPr>
        <w:t>10.13(i)</w:t>
      </w:r>
      <w:r>
        <w:rPr>
          <w:sz w:val="20"/>
          <w:szCs w:val="20"/>
          <w:color w:val="auto"/>
        </w:rPr>
        <w:tab/>
      </w:r>
      <w:r>
        <w:rPr>
          <w:rFonts w:ascii="Arial" w:cs="Arial" w:eastAsia="Arial" w:hAnsi="Arial"/>
          <w:sz w:val="18"/>
          <w:szCs w:val="18"/>
          <w:color w:val="auto"/>
        </w:rPr>
        <w:t>2003 Equity Incentive Plan of Manpower Inc. (Amended and Restated Effective April 28, 2009), incorporated by reference to the Company’s Registration Statement on Form S-8 dated September 4, 2009. **</w:t>
      </w:r>
    </w:p>
    <w:p>
      <w:pPr>
        <w:spacing w:after="0" w:line="170" w:lineRule="exact"/>
        <w:rPr>
          <w:sz w:val="20"/>
          <w:szCs w:val="20"/>
          <w:color w:val="auto"/>
        </w:rPr>
      </w:pPr>
    </w:p>
    <w:p>
      <w:pPr>
        <w:ind w:left="1160" w:right="180" w:hanging="1147"/>
        <w:spacing w:after="0" w:line="277" w:lineRule="auto"/>
        <w:tabs>
          <w:tab w:leader="none" w:pos="1140" w:val="left"/>
        </w:tabs>
        <w:rPr>
          <w:sz w:val="20"/>
          <w:szCs w:val="20"/>
          <w:color w:val="auto"/>
        </w:rPr>
      </w:pPr>
      <w:r>
        <w:rPr>
          <w:rFonts w:ascii="Arial" w:cs="Arial" w:eastAsia="Arial" w:hAnsi="Arial"/>
          <w:sz w:val="18"/>
          <w:szCs w:val="18"/>
          <w:color w:val="auto"/>
        </w:rPr>
        <w:t>10.13(j)</w:t>
      </w:r>
      <w:r>
        <w:rPr>
          <w:sz w:val="20"/>
          <w:szCs w:val="20"/>
          <w:color w:val="auto"/>
        </w:rPr>
        <w:tab/>
      </w:r>
      <w:r>
        <w:rPr>
          <w:rFonts w:ascii="Arial" w:cs="Arial" w:eastAsia="Arial" w:hAnsi="Arial"/>
          <w:sz w:val="18"/>
          <w:szCs w:val="18"/>
          <w:color w:val="auto"/>
        </w:rPr>
        <w:t>Amendment of Manpower Inc. 2003 Equity Incentive Plan, incorporated by reference to the Company’s Quarterly Report on Form 10-Q for the quarter ended March 31, 2010. **</w:t>
      </w:r>
    </w:p>
    <w:p>
      <w:pPr>
        <w:spacing w:after="0" w:line="170" w:lineRule="exact"/>
        <w:rPr>
          <w:sz w:val="20"/>
          <w:szCs w:val="20"/>
          <w:color w:val="auto"/>
        </w:rPr>
      </w:pPr>
    </w:p>
    <w:p>
      <w:pPr>
        <w:ind w:left="1160" w:right="340" w:hanging="1147"/>
        <w:spacing w:after="0" w:line="277" w:lineRule="auto"/>
        <w:tabs>
          <w:tab w:leader="none" w:pos="1140" w:val="left"/>
        </w:tabs>
        <w:rPr>
          <w:sz w:val="20"/>
          <w:szCs w:val="20"/>
          <w:color w:val="auto"/>
        </w:rPr>
      </w:pPr>
      <w:r>
        <w:rPr>
          <w:rFonts w:ascii="Arial" w:cs="Arial" w:eastAsia="Arial" w:hAnsi="Arial"/>
          <w:sz w:val="18"/>
          <w:szCs w:val="18"/>
          <w:color w:val="auto"/>
        </w:rPr>
        <w:t>10.13(k)</w:t>
      </w:r>
      <w:r>
        <w:rPr>
          <w:sz w:val="20"/>
          <w:szCs w:val="20"/>
          <w:color w:val="auto"/>
        </w:rPr>
        <w:tab/>
      </w:r>
      <w:r>
        <w:rPr>
          <w:rFonts w:ascii="Arial" w:cs="Arial" w:eastAsia="Arial" w:hAnsi="Arial"/>
          <w:sz w:val="18"/>
          <w:szCs w:val="18"/>
          <w:color w:val="auto"/>
        </w:rPr>
        <w:t>2011 Equity Incentive Plan of Manpower Inc., incorporated by reference to Appendix D to the Proxy Statement on Schedule 14A filed on March 23, 2011 in connection with the 2011 Annual Meeting of the Shareholders of the Company.**</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10.13(l)</w:t>
      </w:r>
      <w:r>
        <w:rPr>
          <w:sz w:val="20"/>
          <w:szCs w:val="20"/>
          <w:color w:val="auto"/>
        </w:rPr>
        <w:tab/>
      </w:r>
      <w:r>
        <w:rPr>
          <w:rFonts w:ascii="Arial" w:cs="Arial" w:eastAsia="Arial" w:hAnsi="Arial"/>
          <w:sz w:val="16"/>
          <w:szCs w:val="16"/>
          <w:color w:val="auto"/>
        </w:rPr>
        <w:t>Form of Indemnification Agreement, incorporated by reference to the Company’s Current Report on Form 8-K dated October 31, 2006.</w:t>
      </w:r>
    </w:p>
    <w:p>
      <w:pPr>
        <w:spacing w:after="0" w:line="225" w:lineRule="exact"/>
        <w:rPr>
          <w:sz w:val="20"/>
          <w:szCs w:val="20"/>
          <w:color w:val="auto"/>
        </w:rPr>
      </w:pPr>
    </w:p>
    <w:p>
      <w:pPr>
        <w:ind w:left="1160" w:right="100" w:hanging="1147"/>
        <w:spacing w:after="0" w:line="277" w:lineRule="auto"/>
        <w:tabs>
          <w:tab w:leader="none" w:pos="114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8"/>
          <w:szCs w:val="18"/>
          <w:color w:val="auto"/>
        </w:rPr>
        <w:t>Form of Nonstatutory Stock Option Agreement, incorporated by reference to the Company’s Annual Report on Form 10-K for the fiscal year ended December 31, 2007. **</w:t>
      </w:r>
    </w:p>
    <w:p>
      <w:pPr>
        <w:spacing w:after="0" w:line="170" w:lineRule="exact"/>
        <w:rPr>
          <w:sz w:val="20"/>
          <w:szCs w:val="20"/>
          <w:color w:val="auto"/>
        </w:rPr>
      </w:pPr>
    </w:p>
    <w:p>
      <w:pPr>
        <w:ind w:left="1160" w:right="520" w:hanging="1147"/>
        <w:spacing w:after="0" w:line="277" w:lineRule="auto"/>
        <w:tabs>
          <w:tab w:leader="none" w:pos="114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2010 Form of Performance Share Unit Agreement, incorporated by reference to the Company’s Quarterly Report on Form 10-Q for the quarter ended March 31, 2010. **</w:t>
      </w:r>
    </w:p>
    <w:p>
      <w:pPr>
        <w:spacing w:after="0" w:line="170" w:lineRule="exact"/>
        <w:rPr>
          <w:sz w:val="20"/>
          <w:szCs w:val="20"/>
          <w:color w:val="auto"/>
        </w:rPr>
      </w:pPr>
    </w:p>
    <w:p>
      <w:pPr>
        <w:ind w:left="1160" w:right="520" w:hanging="1147"/>
        <w:spacing w:after="0" w:line="277" w:lineRule="auto"/>
        <w:tabs>
          <w:tab w:leader="none" w:pos="114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8"/>
          <w:szCs w:val="18"/>
          <w:color w:val="auto"/>
        </w:rPr>
        <w:t>2012 Form of Performance Share Unit Agreement, incorporated by reference to the Company’s Quarterly Report on Form 10-Q for the quarter ended June 30, 2012. **</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ind w:left="1160" w:right="460" w:hanging="1147"/>
        <w:spacing w:after="0" w:line="277" w:lineRule="auto"/>
        <w:tabs>
          <w:tab w:leader="none" w:pos="1140" w:val="left"/>
        </w:tabs>
        <w:rPr>
          <w:sz w:val="20"/>
          <w:szCs w:val="20"/>
          <w:color w:val="auto"/>
        </w:rPr>
      </w:pPr>
      <w:r>
        <w:rPr>
          <w:rFonts w:ascii="Arial" w:cs="Arial" w:eastAsia="Arial" w:hAnsi="Arial"/>
          <w:sz w:val="18"/>
          <w:szCs w:val="18"/>
          <w:color w:val="auto"/>
        </w:rPr>
        <w:t>10.14(d)</w:t>
      </w:r>
      <w:r>
        <w:rPr>
          <w:sz w:val="20"/>
          <w:szCs w:val="20"/>
          <w:color w:val="auto"/>
        </w:rPr>
        <w:tab/>
      </w:r>
      <w:r>
        <w:rPr>
          <w:rFonts w:ascii="Arial" w:cs="Arial" w:eastAsia="Arial" w:hAnsi="Arial"/>
          <w:sz w:val="18"/>
          <w:szCs w:val="18"/>
          <w:color w:val="auto"/>
        </w:rPr>
        <w:t>Amended Offer Letter between Hans Leentjes and the Company dated as of May 10, 2011, incorporated by reference to the Company’s Quarterly Report on Form 10-Q for the quarter ended June 30, 2011. **</w:t>
      </w:r>
    </w:p>
    <w:p>
      <w:pPr>
        <w:spacing w:after="0" w:line="170" w:lineRule="exact"/>
        <w:rPr>
          <w:sz w:val="20"/>
          <w:szCs w:val="20"/>
          <w:color w:val="auto"/>
        </w:rPr>
      </w:pPr>
    </w:p>
    <w:p>
      <w:pPr>
        <w:ind w:left="1160" w:right="260" w:hanging="1147"/>
        <w:spacing w:after="0" w:line="277" w:lineRule="auto"/>
        <w:tabs>
          <w:tab w:leader="none" w:pos="1140" w:val="left"/>
        </w:tabs>
        <w:rPr>
          <w:sz w:val="20"/>
          <w:szCs w:val="20"/>
          <w:color w:val="auto"/>
        </w:rPr>
      </w:pPr>
      <w:r>
        <w:rPr>
          <w:rFonts w:ascii="Arial" w:cs="Arial" w:eastAsia="Arial" w:hAnsi="Arial"/>
          <w:sz w:val="18"/>
          <w:szCs w:val="18"/>
          <w:color w:val="auto"/>
        </w:rPr>
        <w:t>10.14(e)</w:t>
      </w:r>
      <w:r>
        <w:rPr>
          <w:sz w:val="20"/>
          <w:szCs w:val="20"/>
          <w:color w:val="auto"/>
        </w:rPr>
        <w:tab/>
      </w:r>
      <w:r>
        <w:rPr>
          <w:rFonts w:ascii="Arial" w:cs="Arial" w:eastAsia="Arial" w:hAnsi="Arial"/>
          <w:sz w:val="18"/>
          <w:szCs w:val="18"/>
          <w:color w:val="auto"/>
        </w:rPr>
        <w:t>Severance Agreement between Hans Leentjes and the Company dated as of January 10, 2011, incorporated by reference to the Company’s Quarterly Report on Form 10-Q for the quarter ended March 31, 2011. **</w:t>
      </w:r>
    </w:p>
    <w:p>
      <w:pPr>
        <w:spacing w:after="0" w:line="170" w:lineRule="exact"/>
        <w:rPr>
          <w:sz w:val="20"/>
          <w:szCs w:val="20"/>
          <w:color w:val="auto"/>
        </w:rPr>
      </w:pPr>
    </w:p>
    <w:p>
      <w:pPr>
        <w:ind w:left="1160" w:right="220" w:hanging="1147"/>
        <w:spacing w:after="0" w:line="277" w:lineRule="auto"/>
        <w:tabs>
          <w:tab w:leader="none" w:pos="1140" w:val="left"/>
        </w:tabs>
        <w:rPr>
          <w:sz w:val="20"/>
          <w:szCs w:val="20"/>
          <w:color w:val="auto"/>
        </w:rPr>
      </w:pPr>
      <w:r>
        <w:rPr>
          <w:rFonts w:ascii="Arial" w:cs="Arial" w:eastAsia="Arial" w:hAnsi="Arial"/>
          <w:sz w:val="18"/>
          <w:szCs w:val="18"/>
          <w:color w:val="auto"/>
        </w:rPr>
        <w:t>10.14(f)</w:t>
      </w:r>
      <w:r>
        <w:rPr>
          <w:sz w:val="20"/>
          <w:szCs w:val="20"/>
          <w:color w:val="auto"/>
        </w:rPr>
        <w:tab/>
      </w:r>
      <w:r>
        <w:rPr>
          <w:rFonts w:ascii="Arial" w:cs="Arial" w:eastAsia="Arial" w:hAnsi="Arial"/>
          <w:sz w:val="18"/>
          <w:szCs w:val="18"/>
          <w:color w:val="auto"/>
        </w:rPr>
        <w:t>Form of Restricted Stock Agreement (CEO Form), incorporated by reference to the Company’s Annual Report on Form 10-K for the fiscal year ended December 31, 2007. **</w:t>
      </w:r>
    </w:p>
    <w:p>
      <w:pPr>
        <w:spacing w:after="0" w:line="170" w:lineRule="exact"/>
        <w:rPr>
          <w:sz w:val="20"/>
          <w:szCs w:val="20"/>
          <w:color w:val="auto"/>
        </w:rPr>
      </w:pPr>
    </w:p>
    <w:p>
      <w:pPr>
        <w:ind w:left="1160" w:right="60" w:hanging="1147"/>
        <w:spacing w:after="0" w:line="277" w:lineRule="auto"/>
        <w:tabs>
          <w:tab w:leader="none" w:pos="1140" w:val="left"/>
        </w:tabs>
        <w:rPr>
          <w:sz w:val="20"/>
          <w:szCs w:val="20"/>
          <w:color w:val="auto"/>
        </w:rPr>
      </w:pPr>
      <w:r>
        <w:rPr>
          <w:rFonts w:ascii="Arial" w:cs="Arial" w:eastAsia="Arial" w:hAnsi="Arial"/>
          <w:sz w:val="18"/>
          <w:szCs w:val="18"/>
          <w:color w:val="auto"/>
        </w:rPr>
        <w:t>10.14(g)</w:t>
      </w:r>
      <w:r>
        <w:rPr>
          <w:sz w:val="20"/>
          <w:szCs w:val="20"/>
          <w:color w:val="auto"/>
        </w:rPr>
        <w:tab/>
      </w:r>
      <w:r>
        <w:rPr>
          <w:rFonts w:ascii="Arial" w:cs="Arial" w:eastAsia="Arial" w:hAnsi="Arial"/>
          <w:sz w:val="18"/>
          <w:szCs w:val="18"/>
          <w:color w:val="auto"/>
        </w:rPr>
        <w:t>Form of Restricted Stock Unit Agreement, incorporated by reference to the Company’s Quarterly Report on Form 10-Q for the quarter ended March 31, 2009. **</w:t>
      </w:r>
    </w:p>
    <w:p>
      <w:pPr>
        <w:spacing w:after="0" w:line="170" w:lineRule="exact"/>
        <w:rPr>
          <w:sz w:val="20"/>
          <w:szCs w:val="20"/>
          <w:color w:val="auto"/>
        </w:rPr>
      </w:pPr>
    </w:p>
    <w:p>
      <w:pPr>
        <w:ind w:left="1160" w:right="300" w:hanging="1147"/>
        <w:spacing w:after="0" w:line="277" w:lineRule="auto"/>
        <w:tabs>
          <w:tab w:leader="none" w:pos="1140" w:val="left"/>
        </w:tabs>
        <w:rPr>
          <w:sz w:val="20"/>
          <w:szCs w:val="20"/>
          <w:color w:val="auto"/>
        </w:rPr>
      </w:pPr>
      <w:r>
        <w:rPr>
          <w:rFonts w:ascii="Arial" w:cs="Arial" w:eastAsia="Arial" w:hAnsi="Arial"/>
          <w:sz w:val="18"/>
          <w:szCs w:val="18"/>
          <w:color w:val="auto"/>
        </w:rPr>
        <w:t>10.14(h)</w:t>
      </w:r>
      <w:r>
        <w:rPr>
          <w:sz w:val="20"/>
          <w:szCs w:val="20"/>
          <w:color w:val="auto"/>
        </w:rPr>
        <w:tab/>
      </w:r>
      <w:r>
        <w:rPr>
          <w:rFonts w:ascii="Arial" w:cs="Arial" w:eastAsia="Arial" w:hAnsi="Arial"/>
          <w:sz w:val="18"/>
          <w:szCs w:val="18"/>
          <w:color w:val="auto"/>
        </w:rPr>
        <w:t>Form of Career Share Unit Agreement, incorporated by reference to the Company’s Quarterly Report on Form 10-Q for the quarter ended March 31, 2009. **</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10.14(i)</w:t>
      </w:r>
      <w:r>
        <w:rPr>
          <w:sz w:val="20"/>
          <w:szCs w:val="20"/>
          <w:color w:val="auto"/>
        </w:rPr>
        <w:tab/>
      </w:r>
      <w:r>
        <w:rPr>
          <w:rFonts w:ascii="Arial" w:cs="Arial" w:eastAsia="Arial" w:hAnsi="Arial"/>
          <w:sz w:val="16"/>
          <w:szCs w:val="16"/>
          <w:color w:val="auto"/>
        </w:rPr>
        <w:t>Form of Stock Option Agreement under 2011 Equity Incentive Plan, incorporated by reference to the Company’s Quarterly Report on Form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10-Q for the quarter ended March 31, 2012.</w:t>
      </w:r>
    </w:p>
    <w:p>
      <w:pPr>
        <w:spacing w:after="0" w:line="211" w:lineRule="exact"/>
        <w:rPr>
          <w:sz w:val="20"/>
          <w:szCs w:val="20"/>
          <w:color w:val="auto"/>
        </w:rPr>
      </w:pPr>
    </w:p>
    <w:p>
      <w:pPr>
        <w:ind w:left="1160" w:hanging="1147"/>
        <w:spacing w:after="0" w:line="277" w:lineRule="auto"/>
        <w:tabs>
          <w:tab w:leader="none" w:pos="1140" w:val="left"/>
        </w:tabs>
        <w:rPr>
          <w:sz w:val="20"/>
          <w:szCs w:val="20"/>
          <w:color w:val="auto"/>
        </w:rPr>
      </w:pPr>
      <w:r>
        <w:rPr>
          <w:rFonts w:ascii="Arial" w:cs="Arial" w:eastAsia="Arial" w:hAnsi="Arial"/>
          <w:sz w:val="18"/>
          <w:szCs w:val="18"/>
          <w:color w:val="auto"/>
        </w:rPr>
        <w:t>10.14(j)</w:t>
      </w:r>
      <w:r>
        <w:rPr>
          <w:sz w:val="20"/>
          <w:szCs w:val="20"/>
          <w:color w:val="auto"/>
        </w:rPr>
        <w:tab/>
      </w:r>
      <w:r>
        <w:rPr>
          <w:rFonts w:ascii="Arial" w:cs="Arial" w:eastAsia="Arial" w:hAnsi="Arial"/>
          <w:sz w:val="18"/>
          <w:szCs w:val="18"/>
          <w:color w:val="auto"/>
        </w:rPr>
        <w:t>Form of Restricted Stock Unit Agreement under 2011 Equity Incentive Plan, incorporated by reference to the Company’s Quarterly Report on Form 10-Q for the quarter ended March 31, 2012.</w:t>
      </w:r>
    </w:p>
    <w:p>
      <w:pPr>
        <w:spacing w:after="0" w:line="170" w:lineRule="exact"/>
        <w:rPr>
          <w:sz w:val="20"/>
          <w:szCs w:val="20"/>
          <w:color w:val="auto"/>
        </w:rPr>
      </w:pPr>
    </w:p>
    <w:p>
      <w:pPr>
        <w:ind w:left="1160" w:right="20" w:hanging="1147"/>
        <w:spacing w:after="0" w:line="277" w:lineRule="auto"/>
        <w:tabs>
          <w:tab w:leader="none" w:pos="1140" w:val="left"/>
        </w:tabs>
        <w:rPr>
          <w:sz w:val="20"/>
          <w:szCs w:val="20"/>
          <w:color w:val="auto"/>
        </w:rPr>
      </w:pPr>
      <w:r>
        <w:rPr>
          <w:rFonts w:ascii="Arial" w:cs="Arial" w:eastAsia="Arial" w:hAnsi="Arial"/>
          <w:sz w:val="18"/>
          <w:szCs w:val="18"/>
          <w:color w:val="auto"/>
        </w:rPr>
        <w:t>10.14(k)</w:t>
      </w:r>
      <w:r>
        <w:rPr>
          <w:sz w:val="20"/>
          <w:szCs w:val="20"/>
          <w:color w:val="auto"/>
        </w:rPr>
        <w:tab/>
      </w:r>
      <w:r>
        <w:rPr>
          <w:rFonts w:ascii="Arial" w:cs="Arial" w:eastAsia="Arial" w:hAnsi="Arial"/>
          <w:sz w:val="18"/>
          <w:szCs w:val="18"/>
          <w:color w:val="auto"/>
        </w:rPr>
        <w:t>Form of Performance Share Unit Agreement under 2011 Equity Incentive Plan, incorporated by reference to the Company’s Quarterly Report on Form 10-Q for the quarter ended March 31, 2012.</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25" w:lineRule="exact"/>
        <w:rPr>
          <w:sz w:val="20"/>
          <w:szCs w:val="20"/>
          <w:color w:val="auto"/>
        </w:rPr>
      </w:pPr>
    </w:p>
    <w:p>
      <w:pPr>
        <w:ind w:left="1160" w:right="420" w:hanging="115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2012 Annual Report to Shareholders. Pursuant to Item 601(b)(13) of Regulation S-K, the portions of the Annual Report incorporated by reference in this Form 10-K are filed as an exhibit 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42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420"/>
              <w:spacing w:after="0"/>
              <w:rPr>
                <w:sz w:val="20"/>
                <w:szCs w:val="20"/>
                <w:color w:val="auto"/>
              </w:rPr>
            </w:pPr>
            <w:r>
              <w:rPr>
                <w:rFonts w:ascii="Arial" w:cs="Arial" w:eastAsia="Arial" w:hAnsi="Arial"/>
                <w:sz w:val="18"/>
                <w:szCs w:val="18"/>
                <w:color w:val="auto"/>
              </w:rPr>
              <w:t>Consent of Deloitte &amp; Touche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10560" w:type="dxa"/>
            <w:vAlign w:val="bottom"/>
          </w:tcPr>
          <w:p>
            <w:pPr>
              <w:ind w:left="420"/>
              <w:spacing w:after="0"/>
              <w:rPr>
                <w:sz w:val="20"/>
                <w:szCs w:val="20"/>
                <w:color w:val="auto"/>
              </w:rPr>
            </w:pPr>
            <w:r>
              <w:rPr>
                <w:rFonts w:ascii="Arial" w:cs="Arial" w:eastAsia="Arial" w:hAnsi="Arial"/>
                <w:sz w:val="18"/>
                <w:szCs w:val="18"/>
                <w:color w:val="auto"/>
              </w:rPr>
              <w:t>Power of Attorney.</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 of</w:t>
            </w:r>
          </w:p>
        </w:tc>
      </w:tr>
      <w:tr>
        <w:trPr>
          <w:trHeight w:val="230"/>
        </w:trPr>
        <w:tc>
          <w:tcPr>
            <w:tcW w:w="7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1934.</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Certification of Michael J. Van Handel, Executive Vice President and Chief Financial Officer, pursuant to Section 13a-14(a) of the Securities</w:t>
            </w:r>
          </w:p>
        </w:tc>
      </w:tr>
      <w:tr>
        <w:trPr>
          <w:trHeight w:val="230"/>
        </w:trPr>
        <w:tc>
          <w:tcPr>
            <w:tcW w:w="74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Exchange Act of 1934.</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42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42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2" w:lineRule="exact"/>
        <w:rPr>
          <w:sz w:val="20"/>
          <w:szCs w:val="20"/>
          <w:color w:val="auto"/>
        </w:rPr>
      </w:pPr>
    </w:p>
    <w:p>
      <w:pPr>
        <w:ind w:left="1160" w:right="220" w:hanging="1152"/>
        <w:spacing w:after="0" w:line="30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year ended December 31, 2012, formatted in XBRL (Extensible Business Reporting Language): (i) Consolidated Balance Sheets, (ii) Consolidated Statements of Operations, (iii) Consolidated Statements of Comprehensive Income (Loss), (iv) Consolidated Statements of Cash Flows, (v) Consolidated Statements of Shareholders’ Equity, (vi) Notes to Consolidated Financial Statements and (vii) Schedule II – Valuation and Qualifying Accounts.</w:t>
      </w:r>
    </w:p>
    <w:p>
      <w:pPr>
        <w:spacing w:after="0" w:line="15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MANPOWERGROUP INC.</w:t>
      </w:r>
    </w:p>
    <w:p>
      <w:pPr>
        <w:spacing w:after="0" w:line="208" w:lineRule="exact"/>
        <w:rPr>
          <w:sz w:val="20"/>
          <w:szCs w:val="20"/>
          <w:color w:val="auto"/>
        </w:rPr>
      </w:pPr>
    </w:p>
    <w:tbl>
      <w:tblPr>
        <w:tblLayout w:type="fixed"/>
        <w:tblInd w:w="59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gridSpan w:val="2"/>
          </w:tcPr>
          <w:p>
            <w:pPr>
              <w:spacing w:after="0"/>
              <w:rPr>
                <w:sz w:val="20"/>
                <w:szCs w:val="20"/>
                <w:color w:val="auto"/>
              </w:rPr>
            </w:pPr>
            <w:r>
              <w:rPr>
                <w:rFonts w:ascii="Arial" w:cs="Arial" w:eastAsia="Arial" w:hAnsi="Arial"/>
                <w:sz w:val="18"/>
                <w:szCs w:val="18"/>
                <w:color w:val="auto"/>
              </w:rPr>
              <w:t>/s/ Jeffrey A. Joerres</w:t>
            </w:r>
          </w:p>
        </w:tc>
      </w:tr>
      <w:tr>
        <w:trPr>
          <w:trHeight w:val="222"/>
        </w:trPr>
        <w:tc>
          <w:tcPr>
            <w:tcW w:w="9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A. Joerres</w:t>
            </w:r>
          </w:p>
        </w:tc>
        <w:tc>
          <w:tcPr>
            <w:tcW w:w="13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1"/>
              </w:rPr>
              <w:t>Chairman and Chief Executive Officer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gridSpan w:val="2"/>
          </w:tcPr>
          <w:p>
            <w:pPr>
              <w:spacing w:after="0"/>
              <w:rPr>
                <w:sz w:val="20"/>
                <w:szCs w:val="20"/>
                <w:color w:val="auto"/>
              </w:rPr>
            </w:pPr>
            <w:r>
              <w:rPr>
                <w:rFonts w:ascii="Arial" w:cs="Arial" w:eastAsia="Arial" w:hAnsi="Arial"/>
                <w:sz w:val="18"/>
                <w:szCs w:val="18"/>
                <w:color w:val="auto"/>
              </w:rPr>
              <w:t>February 22,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5980" w:type="dxa"/>
            <w:vAlign w:val="bottom"/>
            <w:tcBorders>
              <w:bottom w:val="single" w:sz="8" w:color="auto"/>
            </w:tcBorders>
          </w:tcPr>
          <w:p>
            <w:pPr>
              <w:ind w:left="3480"/>
              <w:spacing w:after="0"/>
              <w:rPr>
                <w:sz w:val="20"/>
                <w:szCs w:val="20"/>
                <w:color w:val="auto"/>
              </w:rPr>
            </w:pPr>
            <w:r>
              <w:rPr>
                <w:rFonts w:ascii="Arial" w:cs="Arial" w:eastAsia="Arial" w:hAnsi="Arial"/>
                <w:sz w:val="18"/>
                <w:szCs w:val="18"/>
                <w:b w:val="1"/>
                <w:bCs w:val="1"/>
                <w:color w:val="auto"/>
              </w:rPr>
              <w:t>Title</w:t>
            </w:r>
          </w:p>
        </w:tc>
        <w:tc>
          <w:tcPr>
            <w:tcW w:w="266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Date</w:t>
            </w:r>
          </w:p>
        </w:tc>
      </w:tr>
      <w:tr>
        <w:trPr>
          <w:trHeight w:val="392"/>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Jeffrey A. Joerres</w:t>
            </w:r>
          </w:p>
        </w:tc>
        <w:tc>
          <w:tcPr>
            <w:tcW w:w="1280" w:type="dxa"/>
            <w:vAlign w:val="bottom"/>
            <w:gridSpan w:val="2"/>
          </w:tcPr>
          <w:p>
            <w:pPr>
              <w:spacing w:after="0"/>
              <w:rPr>
                <w:sz w:val="24"/>
                <w:szCs w:val="24"/>
                <w:color w:val="auto"/>
              </w:rPr>
            </w:pPr>
          </w:p>
        </w:tc>
        <w:tc>
          <w:tcPr>
            <w:tcW w:w="5980" w:type="dxa"/>
            <w:vAlign w:val="bottom"/>
          </w:tcPr>
          <w:p>
            <w:pPr>
              <w:ind w:left="760"/>
              <w:spacing w:after="0"/>
              <w:rPr>
                <w:sz w:val="20"/>
                <w:szCs w:val="20"/>
                <w:color w:val="auto"/>
              </w:rPr>
            </w:pPr>
            <w:r>
              <w:rPr>
                <w:rFonts w:ascii="Arial" w:cs="Arial" w:eastAsia="Arial" w:hAnsi="Arial"/>
                <w:sz w:val="18"/>
                <w:szCs w:val="18"/>
                <w:color w:val="auto"/>
              </w:rPr>
              <w:t>Chairman, Chief Executive Officer and a Director</w:t>
            </w:r>
          </w:p>
        </w:tc>
        <w:tc>
          <w:tcPr>
            <w:tcW w:w="2660" w:type="dxa"/>
            <w:vAlign w:val="bottom"/>
          </w:tcPr>
          <w:p>
            <w:pPr>
              <w:ind w:left="720"/>
              <w:spacing w:after="0"/>
              <w:rPr>
                <w:sz w:val="20"/>
                <w:szCs w:val="20"/>
                <w:color w:val="auto"/>
              </w:rPr>
            </w:pPr>
            <w:r>
              <w:rPr>
                <w:rFonts w:ascii="Arial" w:cs="Arial" w:eastAsia="Arial" w:hAnsi="Arial"/>
                <w:sz w:val="18"/>
                <w:szCs w:val="18"/>
                <w:color w:val="auto"/>
              </w:rPr>
              <w:t>February 22, 2013</w:t>
            </w:r>
          </w:p>
        </w:tc>
      </w:tr>
      <w:tr>
        <w:trPr>
          <w:trHeight w:val="237"/>
        </w:trPr>
        <w:tc>
          <w:tcPr>
            <w:tcW w:w="2780" w:type="dxa"/>
            <w:vAlign w:val="bottom"/>
            <w:gridSpan w:val="3"/>
          </w:tcPr>
          <w:p>
            <w:pPr>
              <w:spacing w:after="0"/>
              <w:rPr>
                <w:sz w:val="20"/>
                <w:szCs w:val="20"/>
                <w:color w:val="auto"/>
              </w:rPr>
            </w:pPr>
            <w:r>
              <w:rPr>
                <w:rFonts w:ascii="Arial" w:cs="Arial" w:eastAsia="Arial" w:hAnsi="Arial"/>
                <w:sz w:val="18"/>
                <w:szCs w:val="18"/>
                <w:color w:val="auto"/>
              </w:rPr>
              <w:t>Jeffrey A. Joerres</w:t>
            </w:r>
          </w:p>
        </w:tc>
        <w:tc>
          <w:tcPr>
            <w:tcW w:w="5980" w:type="dxa"/>
            <w:vAlign w:val="bottom"/>
          </w:tcPr>
          <w:p>
            <w:pPr>
              <w:ind w:left="760"/>
              <w:spacing w:after="0"/>
              <w:rPr>
                <w:sz w:val="20"/>
                <w:szCs w:val="20"/>
                <w:color w:val="auto"/>
              </w:rPr>
            </w:pPr>
            <w:r>
              <w:rPr>
                <w:rFonts w:ascii="Arial" w:cs="Arial" w:eastAsia="Arial" w:hAnsi="Arial"/>
                <w:sz w:val="18"/>
                <w:szCs w:val="18"/>
                <w:color w:val="auto"/>
              </w:rPr>
              <w:t>(Principal Executive Officer)</w:t>
            </w:r>
          </w:p>
        </w:tc>
        <w:tc>
          <w:tcPr>
            <w:tcW w:w="2660" w:type="dxa"/>
            <w:vAlign w:val="bottom"/>
          </w:tcPr>
          <w:p>
            <w:pPr>
              <w:spacing w:after="0"/>
              <w:rPr>
                <w:sz w:val="20"/>
                <w:szCs w:val="20"/>
                <w:color w:val="auto"/>
              </w:rPr>
            </w:pPr>
          </w:p>
        </w:tc>
      </w:tr>
      <w:tr>
        <w:trPr>
          <w:trHeight w:val="392"/>
        </w:trPr>
        <w:tc>
          <w:tcPr>
            <w:tcW w:w="2780" w:type="dxa"/>
            <w:vAlign w:val="bottom"/>
            <w:gridSpan w:val="3"/>
          </w:tcPr>
          <w:p>
            <w:pPr>
              <w:spacing w:after="0"/>
              <w:rPr>
                <w:sz w:val="20"/>
                <w:szCs w:val="20"/>
                <w:color w:val="auto"/>
              </w:rPr>
            </w:pPr>
            <w:r>
              <w:rPr>
                <w:rFonts w:ascii="Arial" w:cs="Arial" w:eastAsia="Arial" w:hAnsi="Arial"/>
                <w:sz w:val="18"/>
                <w:szCs w:val="18"/>
                <w:color w:val="auto"/>
              </w:rPr>
              <w:t>/s/ Michael J. Van Handel</w:t>
            </w:r>
          </w:p>
        </w:tc>
        <w:tc>
          <w:tcPr>
            <w:tcW w:w="5980" w:type="dxa"/>
            <w:vAlign w:val="bottom"/>
          </w:tcPr>
          <w:p>
            <w:pPr>
              <w:ind w:left="760"/>
              <w:spacing w:after="0"/>
              <w:rPr>
                <w:sz w:val="20"/>
                <w:szCs w:val="20"/>
                <w:color w:val="auto"/>
              </w:rPr>
            </w:pPr>
            <w:r>
              <w:rPr>
                <w:rFonts w:ascii="Arial" w:cs="Arial" w:eastAsia="Arial" w:hAnsi="Arial"/>
                <w:sz w:val="18"/>
                <w:szCs w:val="18"/>
                <w:color w:val="auto"/>
              </w:rPr>
              <w:t>Executive Vice President and Chief Financial Officer</w:t>
            </w:r>
          </w:p>
        </w:tc>
        <w:tc>
          <w:tcPr>
            <w:tcW w:w="2660" w:type="dxa"/>
            <w:vAlign w:val="bottom"/>
          </w:tcPr>
          <w:p>
            <w:pPr>
              <w:ind w:left="720"/>
              <w:spacing w:after="0"/>
              <w:rPr>
                <w:sz w:val="20"/>
                <w:szCs w:val="20"/>
                <w:color w:val="auto"/>
              </w:rPr>
            </w:pPr>
            <w:r>
              <w:rPr>
                <w:rFonts w:ascii="Arial" w:cs="Arial" w:eastAsia="Arial" w:hAnsi="Arial"/>
                <w:sz w:val="18"/>
                <w:szCs w:val="18"/>
                <w:color w:val="auto"/>
              </w:rPr>
              <w:t>February 22, 2013</w:t>
            </w:r>
          </w:p>
        </w:tc>
      </w:tr>
      <w:tr>
        <w:trPr>
          <w:trHeight w:val="237"/>
        </w:trPr>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J. Van Handel</w:t>
            </w:r>
          </w:p>
        </w:tc>
        <w:tc>
          <w:tcPr>
            <w:tcW w:w="920" w:type="dxa"/>
            <w:vAlign w:val="bottom"/>
          </w:tcPr>
          <w:p>
            <w:pPr>
              <w:spacing w:after="0"/>
              <w:rPr>
                <w:sz w:val="20"/>
                <w:szCs w:val="20"/>
                <w:color w:val="auto"/>
              </w:rPr>
            </w:pPr>
          </w:p>
        </w:tc>
        <w:tc>
          <w:tcPr>
            <w:tcW w:w="5980" w:type="dxa"/>
            <w:vAlign w:val="bottom"/>
          </w:tcPr>
          <w:p>
            <w:pPr>
              <w:ind w:left="760"/>
              <w:spacing w:after="0"/>
              <w:rPr>
                <w:sz w:val="20"/>
                <w:szCs w:val="20"/>
                <w:color w:val="auto"/>
              </w:rPr>
            </w:pPr>
            <w:r>
              <w:rPr>
                <w:rFonts w:ascii="Arial" w:cs="Arial" w:eastAsia="Arial" w:hAnsi="Arial"/>
                <w:sz w:val="18"/>
                <w:szCs w:val="18"/>
                <w:color w:val="auto"/>
              </w:rPr>
              <w:t>(Principal Financial Officer and Principal Accounting Officer)</w:t>
            </w:r>
          </w:p>
        </w:tc>
        <w:tc>
          <w:tcPr>
            <w:tcW w:w="2660" w:type="dxa"/>
            <w:vAlign w:val="bottom"/>
          </w:tcPr>
          <w:p>
            <w:pPr>
              <w:spacing w:after="0"/>
              <w:rPr>
                <w:sz w:val="20"/>
                <w:szCs w:val="20"/>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Directors: Marc J. Bolland, Gina R. Boswell, Cari M. Dominguez, William Downe, Jack M. Greenberg, Patricia A. Hemingway Hall, Terry A. Hueneke, Roberto Mendoza, Ulice Payne, Jr., Elizabeth P. Sartain, John R. Walter and Edward J. Zore</w:t>
      </w:r>
    </w:p>
    <w:p>
      <w:pPr>
        <w:spacing w:after="0" w:line="38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February 22,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Buchband</w:t>
            </w:r>
          </w:p>
        </w:tc>
      </w:tr>
      <w:tr>
        <w:trPr>
          <w:trHeight w:val="222"/>
        </w:trPr>
        <w:tc>
          <w:tcPr>
            <w:tcW w:w="78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Richard Buchband</w:t>
            </w:r>
          </w:p>
        </w:tc>
      </w:tr>
      <w:tr>
        <w:trPr>
          <w:trHeight w:val="230"/>
        </w:trPr>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9"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ManpowerGroup Inc.</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audited the consolidated financial statements of ManpowerGroup Inc. and subsidiaries (the “Company”) as of December 31, 2012 and 2011, and for each of the three years in the period ended December 31, 2012, and the Company's internal control over financial reporting as of December 31, 2012, and have issued our reports thereon dated February 22, 2013; such consolidated financial statements and reports are included in your 2012 Annual Report to Shareholders and are incorporated herein by reference. Our audits also included the consolidated financial statement schedule of the Company listed in Item</w:t>
      </w:r>
    </w:p>
    <w:p>
      <w:pPr>
        <w:spacing w:after="0" w:line="2" w:lineRule="exact"/>
        <w:rPr>
          <w:sz w:val="20"/>
          <w:szCs w:val="20"/>
          <w:color w:val="auto"/>
        </w:rPr>
      </w:pPr>
    </w:p>
    <w:p>
      <w:pPr>
        <w:jc w:val="both"/>
        <w:ind w:firstLine="8"/>
        <w:spacing w:after="0" w:line="255" w:lineRule="auto"/>
        <w:tabs>
          <w:tab w:leader="none" w:pos="2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 fairly, in all material respects, the information set forth therein.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6" w:name="page27"/>
    <w:bookmarkEnd w:id="26"/>
    <w:p>
      <w:pPr>
        <w:ind w:left="31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2012, 2011 and 2010,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Provisions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Translation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4"/>
              </w:rPr>
              <w:t>Reclassifications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at End</w:t>
            </w:r>
          </w:p>
        </w:tc>
      </w:tr>
      <w:tr>
        <w:trPr>
          <w:trHeight w:val="241"/>
        </w:trPr>
        <w:tc>
          <w:tcPr>
            <w:tcW w:w="2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of Year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Write-Offs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and 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of Year</w:t>
            </w:r>
          </w:p>
        </w:tc>
        <w:tc>
          <w:tcPr>
            <w:tcW w:w="100" w:type="dxa"/>
            <w:vAlign w:val="bottom"/>
          </w:tcPr>
          <w:p>
            <w:pPr>
              <w:spacing w:after="0"/>
              <w:rPr>
                <w:sz w:val="20"/>
                <w:szCs w:val="20"/>
                <w:color w:val="auto"/>
              </w:rPr>
            </w:pPr>
          </w:p>
        </w:tc>
      </w:tr>
      <w:tr>
        <w:trPr>
          <w:trHeight w:val="216"/>
        </w:trPr>
        <w:tc>
          <w:tcPr>
            <w:tcW w:w="2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2012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2540" w:type="dxa"/>
            <w:vAlign w:val="bottom"/>
          </w:tcPr>
          <w:p>
            <w:pPr>
              <w:jc w:val="right"/>
              <w:ind w:right="670"/>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2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972" w:right="239" w:bottom="1440" w:gutter="0" w:footer="0" w:header="0"/>
        </w:sectPr>
      </w:pPr>
    </w:p>
    <w:bookmarkStart w:id="27" w:name="page28"/>
    <w:bookmarkEnd w:id="27"/>
    <w:p>
      <w:pPr>
        <w:ind w:left="10180"/>
        <w:spacing w:after="0"/>
        <w:rPr>
          <w:sz w:val="20"/>
          <w:szCs w:val="20"/>
          <w:color w:val="auto"/>
        </w:rPr>
      </w:pPr>
      <w:r>
        <w:rPr>
          <w:rFonts w:ascii="Arial" w:cs="Arial" w:eastAsia="Arial" w:hAnsi="Arial"/>
          <w:sz w:val="16"/>
          <w:szCs w:val="16"/>
          <w:b w:val="1"/>
          <w:bCs w:val="1"/>
          <w:color w:val="auto"/>
        </w:rPr>
        <w:t>Exhibit 10.13(h)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13,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660" w:hanging="2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6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10" w:lineRule="exact"/>
        <w:rPr>
          <w:rFonts w:ascii="Arial" w:cs="Arial" w:eastAsia="Arial" w:hAnsi="Arial"/>
          <w:sz w:val="17"/>
          <w:szCs w:val="17"/>
          <w:color w:val="auto"/>
        </w:rPr>
      </w:pPr>
    </w:p>
    <w:p>
      <w:pPr>
        <w:ind w:left="1300" w:hanging="285"/>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ectPr>
          <w:pgSz w:w="11900" w:h="16838" w:orient="portrait"/>
          <w:cols w:equalWidth="0" w:num="1">
            <w:col w:w="11420"/>
          </w:cols>
          <w:pgMar w:left="240" w:top="121" w:right="239" w:bottom="0" w:gutter="0" w:footer="0" w:header="0"/>
        </w:sectPr>
      </w:pPr>
    </w:p>
    <w:bookmarkStart w:id="28" w:name="page29"/>
    <w:bookmarkEnd w:id="28"/>
    <w:p>
      <w:pPr>
        <w:jc w:val="both"/>
        <w:ind w:left="1960" w:hanging="307"/>
        <w:spacing w:after="0" w:line="259"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74" w:lineRule="exact"/>
        <w:rPr>
          <w:sz w:val="20"/>
          <w:szCs w:val="20"/>
          <w:color w:val="auto"/>
        </w:rPr>
      </w:pPr>
    </w:p>
    <w:p>
      <w:pPr>
        <w:ind w:left="1300" w:hanging="295"/>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60" w:hanging="655"/>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Consolidated ManpowerGroup for the payment or provision of compensation or other benefits to you;</w:t>
      </w:r>
    </w:p>
    <w:p>
      <w:pPr>
        <w:spacing w:after="0" w:line="197" w:lineRule="exact"/>
        <w:rPr>
          <w:rFonts w:ascii="Arial" w:cs="Arial" w:eastAsia="Arial" w:hAnsi="Arial"/>
          <w:sz w:val="18"/>
          <w:szCs w:val="18"/>
          <w:color w:val="auto"/>
        </w:rPr>
      </w:pPr>
    </w:p>
    <w:p>
      <w:pPr>
        <w:ind w:left="1960" w:right="140" w:hanging="655"/>
        <w:spacing w:after="0" w:line="342"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material diminution in your base salary or a failure by the Consolidated ManpowerGroup to provide an arrangement for you for any fiscal year of the Consolidated ManpowerGroup giving you the opportunity to earn an incentive bonus for such year;</w:t>
      </w:r>
    </w:p>
    <w:p>
      <w:pPr>
        <w:spacing w:after="0" w:line="150"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97" w:lineRule="exact"/>
        <w:rPr>
          <w:rFonts w:ascii="Arial" w:cs="Arial" w:eastAsia="Arial" w:hAnsi="Arial"/>
          <w:sz w:val="18"/>
          <w:szCs w:val="18"/>
          <w:color w:val="auto"/>
        </w:rPr>
      </w:pPr>
    </w:p>
    <w:p>
      <w:pPr>
        <w:ind w:left="1960" w:right="100" w:hanging="655"/>
        <w:spacing w:after="0" w:line="264"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9" w:lineRule="exact"/>
        <w:rPr>
          <w:sz w:val="20"/>
          <w:szCs w:val="20"/>
          <w:color w:val="auto"/>
        </w:rPr>
      </w:pPr>
    </w:p>
    <w:p>
      <w:pPr>
        <w:jc w:val="both"/>
        <w:ind w:left="1300" w:hanging="285"/>
        <w:spacing w:after="0" w:line="276"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9" w:lineRule="exact"/>
        <w:rPr>
          <w:rFonts w:ascii="Arial" w:cs="Arial" w:eastAsia="Arial" w:hAnsi="Arial"/>
          <w:sz w:val="17"/>
          <w:szCs w:val="17"/>
          <w:color w:val="auto"/>
        </w:rPr>
      </w:pPr>
    </w:p>
    <w:p>
      <w:pPr>
        <w:jc w:val="both"/>
        <w:ind w:left="1300" w:hanging="26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18"/>
          <w:szCs w:val="18"/>
          <w:color w:val="auto"/>
        </w:rPr>
      </w:pPr>
    </w:p>
    <w:p>
      <w:pPr>
        <w:ind w:left="1300" w:hanging="295"/>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1960" w:hanging="367"/>
        <w:spacing w:after="0" w:line="264"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hanging="295"/>
        <w:spacing w:after="0" w:line="286"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which is the two-year anniversary of the occurrence of a Change of Control; (b) February 13, 2016 if no Change of Control occurs between the date of this letter indicated above and February 13, 2016; or (c) the Date of Termination.</w:t>
      </w:r>
    </w:p>
    <w:p>
      <w:pPr>
        <w:spacing w:after="0" w:line="192" w:lineRule="exact"/>
        <w:rPr>
          <w:rFonts w:ascii="Arial" w:cs="Arial" w:eastAsia="Arial" w:hAnsi="Arial"/>
          <w:sz w:val="17"/>
          <w:szCs w:val="17"/>
          <w:color w:val="auto"/>
        </w:rPr>
      </w:pPr>
    </w:p>
    <w:p>
      <w:pPr>
        <w:ind w:left="660" w:hanging="2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93"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by the Consolidated ManpowerGroup for Cause or by You Other Than for Good Reason</w:t>
      </w:r>
      <w:r>
        <w:rPr>
          <w:rFonts w:ascii="Arial" w:cs="Arial" w:eastAsia="Arial" w:hAnsi="Arial"/>
          <w:sz w:val="16"/>
          <w:szCs w:val="16"/>
          <w:color w:val="auto"/>
        </w:rPr>
        <w:t>. If your employment with the Consolidated ManpowerGroup is terminated by the Consolidated ManpowerGroup for Cause or by you other than for Good Reason, the Corporation will pay or provide you with (i) your full base salary as then in effect through the Date of Termination, (ii) your unpaid bonus, if any, attributable to any complete fiscal year of the Consolidated ManpowerGroup ended before the Date of Termination (but no incentive bonus will be payable for the fiscal year in which termination occurs), and (iii) all benefits to which you are entitled under any Benefit Plans in accordance with the terms of such plans. The Consolidated ManpowerGroup will have no further obligations to you.</w:t>
      </w:r>
    </w:p>
    <w:p>
      <w:pPr>
        <w:sectPr>
          <w:pgSz w:w="11900" w:h="16838" w:orient="portrait"/>
          <w:cols w:equalWidth="0" w:num="1">
            <w:col w:w="11420"/>
          </w:cols>
          <w:pgMar w:left="240" w:top="125" w:right="239" w:bottom="0" w:gutter="0" w:footer="0" w:header="0"/>
        </w:sectPr>
      </w:pPr>
    </w:p>
    <w:bookmarkStart w:id="29" w:name="page30"/>
    <w:bookmarkEnd w:id="29"/>
    <w:p>
      <w:pPr>
        <w:jc w:val="both"/>
        <w:ind w:left="295" w:hanging="295"/>
        <w:spacing w:after="0" w:line="287" w:lineRule="auto"/>
        <w:tabs>
          <w:tab w:leader="none" w:pos="2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Consolidated ManpowerGroup terminates during the Term by reason of your disability or death, the Corporation will pay or provide you with (i) your full base salary as then in effect through the Date of Termination, (ii) your unpaid bonus, if any, attributable to any complete fiscal year of the Consolidated ManpowerGroup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95" w:lineRule="exact"/>
        <w:rPr>
          <w:rFonts w:ascii="Arial" w:cs="Arial" w:eastAsia="Arial" w:hAnsi="Arial"/>
          <w:sz w:val="16"/>
          <w:szCs w:val="16"/>
          <w:color w:val="auto"/>
        </w:rPr>
      </w:pPr>
    </w:p>
    <w:p>
      <w:pPr>
        <w:ind w:left="295" w:hanging="285"/>
        <w:spacing w:after="0"/>
        <w:tabs>
          <w:tab w:leader="none" w:pos="2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55" w:hanging="267"/>
        <w:spacing w:after="0" w:line="264" w:lineRule="auto"/>
        <w:tabs>
          <w:tab w:leader="none" w:pos="9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95" w:right="20" w:hanging="339"/>
        <w:spacing w:after="0" w:line="277" w:lineRule="auto"/>
        <w:tabs>
          <w:tab w:leader="none" w:pos="1595"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95" w:hanging="329"/>
        <w:spacing w:after="0" w:line="277" w:lineRule="auto"/>
        <w:tabs>
          <w:tab w:leader="none" w:pos="1595"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jc w:val="both"/>
        <w:ind w:left="1595" w:hanging="329"/>
        <w:spacing w:after="0" w:line="291" w:lineRule="auto"/>
        <w:tabs>
          <w:tab w:leader="none" w:pos="1595" w:val="left"/>
        </w:tabs>
        <w:numPr>
          <w:ilvl w:val="3"/>
          <w:numId w:val="28"/>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194" w:lineRule="exact"/>
        <w:rPr>
          <w:rFonts w:ascii="Arial" w:cs="Arial" w:eastAsia="Arial" w:hAnsi="Arial"/>
          <w:sz w:val="16"/>
          <w:szCs w:val="16"/>
          <w:color w:val="auto"/>
        </w:rPr>
      </w:pPr>
    </w:p>
    <w:p>
      <w:pPr>
        <w:jc w:val="both"/>
        <w:ind w:left="1595" w:hanging="339"/>
        <w:spacing w:after="0" w:line="255" w:lineRule="auto"/>
        <w:tabs>
          <w:tab w:leader="none" w:pos="1595"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jc w:val="both"/>
        <w:ind w:left="1595" w:hanging="319"/>
        <w:spacing w:after="0" w:line="270" w:lineRule="auto"/>
        <w:tabs>
          <w:tab w:leader="none" w:pos="1595" w:val="left"/>
        </w:tabs>
        <w:numPr>
          <w:ilvl w:val="3"/>
          <w:numId w:val="28"/>
        </w:numPr>
        <w:rPr>
          <w:rFonts w:ascii="Arial" w:cs="Arial" w:eastAsia="Arial" w:hAnsi="Arial"/>
          <w:sz w:val="17"/>
          <w:szCs w:val="17"/>
          <w:color w:val="auto"/>
        </w:rPr>
      </w:pPr>
      <w:r>
        <w:rPr>
          <w:rFonts w:ascii="Arial" w:cs="Arial" w:eastAsia="Arial" w:hAnsi="Arial"/>
          <w:sz w:val="17"/>
          <w:szCs w:val="17"/>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8" w:lineRule="exact"/>
        <w:rPr>
          <w:rFonts w:ascii="Arial" w:cs="Arial" w:eastAsia="Arial" w:hAnsi="Arial"/>
          <w:sz w:val="17"/>
          <w:szCs w:val="17"/>
          <w:color w:val="auto"/>
        </w:rPr>
      </w:pPr>
    </w:p>
    <w:p>
      <w:pPr>
        <w:ind w:left="1595" w:right="200"/>
        <w:spacing w:after="0" w:line="285" w:lineRule="auto"/>
        <w:rPr>
          <w:rFonts w:ascii="Arial" w:cs="Arial" w:eastAsia="Arial" w:hAnsi="Arial"/>
          <w:sz w:val="17"/>
          <w:szCs w:val="17"/>
          <w:color w:val="auto"/>
        </w:rPr>
      </w:pPr>
      <w:r>
        <w:rPr>
          <w:rFonts w:ascii="Arial" w:cs="Arial" w:eastAsia="Arial" w:hAnsi="Arial"/>
          <w:sz w:val="16"/>
          <w:szCs w:val="16"/>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2" w:lineRule="exact"/>
        <w:rPr>
          <w:rFonts w:ascii="Arial" w:cs="Arial" w:eastAsia="Arial" w:hAnsi="Arial"/>
          <w:sz w:val="17"/>
          <w:szCs w:val="17"/>
          <w:color w:val="auto"/>
        </w:rPr>
      </w:pPr>
    </w:p>
    <w:p>
      <w:pPr>
        <w:ind w:left="1595" w:right="20" w:hanging="647"/>
        <w:spacing w:after="0" w:line="297" w:lineRule="auto"/>
        <w:tabs>
          <w:tab w:leader="none" w:pos="1595"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w:t>
      </w:r>
    </w:p>
    <w:p>
      <w:pPr>
        <w:sectPr>
          <w:pgSz w:w="11900" w:h="16838" w:orient="portrait"/>
          <w:cols w:equalWidth="0" w:num="1">
            <w:col w:w="10415"/>
          </w:cols>
          <w:pgMar w:left="1245" w:top="368" w:right="239" w:bottom="0" w:gutter="0" w:footer="0" w:header="0"/>
        </w:sectPr>
      </w:pPr>
    </w:p>
    <w:bookmarkStart w:id="30" w:name="page31"/>
    <w:bookmarkEnd w:id="30"/>
    <w:p>
      <w:pPr>
        <w:ind w:left="2600" w:right="200"/>
        <w:spacing w:after="0" w:line="277" w:lineRule="auto"/>
        <w:rPr>
          <w:sz w:val="20"/>
          <w:szCs w:val="20"/>
          <w:color w:val="auto"/>
        </w:rPr>
      </w:pPr>
      <w:r>
        <w:rPr>
          <w:rFonts w:ascii="Arial" w:cs="Arial" w:eastAsia="Arial" w:hAnsi="Arial"/>
          <w:sz w:val="18"/>
          <w:szCs w:val="18"/>
          <w:color w:val="auto"/>
        </w:rPr>
        <w:t>such outplacement services. The Corporation will not substitute cash or other compensation in lieu of the outplacement service program specified in this Subsection 2(c)(i)(F).</w:t>
      </w:r>
    </w:p>
    <w:p>
      <w:pPr>
        <w:spacing w:after="0" w:line="197" w:lineRule="exact"/>
        <w:rPr>
          <w:sz w:val="20"/>
          <w:szCs w:val="20"/>
          <w:color w:val="auto"/>
        </w:rPr>
      </w:pPr>
    </w:p>
    <w:p>
      <w:pPr>
        <w:jc w:val="both"/>
        <w:ind w:left="1960" w:hanging="317"/>
        <w:spacing w:after="0" w:line="264"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employment with the Consolidated ManpowerGroup is terminated during the Term for any reason not specified in Subsections 2(a) or (b), above, and Subsection 2(c)(i), above, does not apply to the termination, you will be entitled to the following:</w:t>
      </w:r>
    </w:p>
    <w:p>
      <w:pPr>
        <w:spacing w:after="0" w:line="208" w:lineRule="exact"/>
        <w:rPr>
          <w:rFonts w:ascii="Arial" w:cs="Arial" w:eastAsia="Arial" w:hAnsi="Arial"/>
          <w:sz w:val="18"/>
          <w:szCs w:val="18"/>
          <w:color w:val="auto"/>
        </w:rPr>
      </w:pPr>
    </w:p>
    <w:p>
      <w:pPr>
        <w:ind w:left="2600" w:right="20" w:hanging="339"/>
        <w:spacing w:after="0" w:line="277" w:lineRule="auto"/>
        <w:tabs>
          <w:tab w:leader="none" w:pos="26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2600" w:hanging="329"/>
        <w:spacing w:after="0" w:line="277" w:lineRule="auto"/>
        <w:tabs>
          <w:tab w:leader="none" w:pos="26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jc w:val="both"/>
        <w:ind w:left="2600" w:hanging="329"/>
        <w:spacing w:after="0" w:line="297" w:lineRule="auto"/>
        <w:tabs>
          <w:tab w:leader="none" w:pos="26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2600" w:hanging="339"/>
        <w:spacing w:after="0" w:line="255" w:lineRule="auto"/>
        <w:tabs>
          <w:tab w:leader="none" w:pos="26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20" w:lineRule="exact"/>
        <w:rPr>
          <w:rFonts w:ascii="Arial" w:cs="Arial" w:eastAsia="Arial" w:hAnsi="Arial"/>
          <w:sz w:val="18"/>
          <w:szCs w:val="18"/>
          <w:color w:val="auto"/>
        </w:rPr>
      </w:pPr>
    </w:p>
    <w:p>
      <w:pPr>
        <w:jc w:val="both"/>
        <w:ind w:left="2600" w:hanging="319"/>
        <w:spacing w:after="0" w:line="254" w:lineRule="auto"/>
        <w:tabs>
          <w:tab w:leader="none" w:pos="26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9" w:lineRule="exact"/>
        <w:rPr>
          <w:rFonts w:ascii="Arial" w:cs="Arial" w:eastAsia="Arial" w:hAnsi="Arial"/>
          <w:sz w:val="18"/>
          <w:szCs w:val="18"/>
          <w:color w:val="auto"/>
        </w:rPr>
      </w:pPr>
    </w:p>
    <w:p>
      <w:pPr>
        <w:ind w:left="2600" w:right="20"/>
        <w:spacing w:after="0" w:line="267" w:lineRule="auto"/>
        <w:rPr>
          <w:rFonts w:ascii="Arial" w:cs="Arial" w:eastAsia="Arial" w:hAnsi="Arial"/>
          <w:sz w:val="18"/>
          <w:szCs w:val="18"/>
          <w:color w:val="auto"/>
        </w:rPr>
      </w:pPr>
      <w:r>
        <w:rPr>
          <w:rFonts w:ascii="Arial" w:cs="Arial" w:eastAsia="Arial" w:hAnsi="Arial"/>
          <w:sz w:val="17"/>
          <w:szCs w:val="17"/>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Consolidated ManpowerGroup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11" w:lineRule="exact"/>
        <w:rPr>
          <w:rFonts w:ascii="Arial" w:cs="Arial" w:eastAsia="Arial" w:hAnsi="Arial"/>
          <w:sz w:val="18"/>
          <w:szCs w:val="18"/>
          <w:color w:val="auto"/>
        </w:rPr>
      </w:pPr>
    </w:p>
    <w:p>
      <w:pPr>
        <w:ind w:left="2600" w:right="80" w:hanging="647"/>
        <w:spacing w:after="0" w:line="272" w:lineRule="auto"/>
        <w:tabs>
          <w:tab w:leader="none" w:pos="2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2(c)(ii)(F).</w:t>
      </w:r>
    </w:p>
    <w:p>
      <w:pPr>
        <w:spacing w:after="0" w:line="205" w:lineRule="exact"/>
        <w:rPr>
          <w:sz w:val="20"/>
          <w:szCs w:val="20"/>
          <w:color w:val="auto"/>
        </w:rPr>
      </w:pPr>
    </w:p>
    <w:p>
      <w:pPr>
        <w:ind w:right="380" w:firstLine="648"/>
        <w:spacing w:after="0" w:line="290"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2(c)(i)(D) were reduced, but not below zero, such that the total parachute payments payable to you would not exceed three (3) times the</w:t>
      </w:r>
    </w:p>
    <w:p>
      <w:pPr>
        <w:sectPr>
          <w:pgSz w:w="11900" w:h="16838" w:orient="portrait"/>
          <w:cols w:equalWidth="0" w:num="1">
            <w:col w:w="11420"/>
          </w:cols>
          <w:pgMar w:left="240" w:top="125" w:right="239" w:bottom="0" w:gutter="0" w:footer="0" w:header="0"/>
        </w:sectPr>
      </w:pPr>
    </w:p>
    <w:bookmarkStart w:id="31" w:name="page32"/>
    <w:bookmarkEnd w:id="31"/>
    <w:p>
      <w:pPr>
        <w:spacing w:after="0" w:line="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215" w:lineRule="exact"/>
        <w:rPr>
          <w:sz w:val="20"/>
          <w:szCs w:val="20"/>
          <w:color w:val="auto"/>
        </w:rPr>
      </w:pPr>
    </w:p>
    <w:p>
      <w:pPr>
        <w:jc w:val="both"/>
        <w:ind w:left="1300" w:hanging="295"/>
        <w:spacing w:after="0" w:line="260" w:lineRule="auto"/>
        <w:tabs>
          <w:tab w:leader="none" w:pos="1300" w:val="left"/>
        </w:tabs>
        <w:numPr>
          <w:ilvl w:val="3"/>
          <w:numId w:val="30"/>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after the Date of Termination. The bonus payment provided for in Subsection 2(c)(ii)(C) will be paid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20" w:lineRule="exact"/>
        <w:rPr>
          <w:rFonts w:ascii="Arial" w:cs="Arial" w:eastAsia="Arial" w:hAnsi="Arial"/>
          <w:sz w:val="17"/>
          <w:szCs w:val="17"/>
          <w:color w:val="auto"/>
        </w:rPr>
      </w:pPr>
    </w:p>
    <w:p>
      <w:pPr>
        <w:jc w:val="both"/>
        <w:ind w:left="1300" w:hanging="285"/>
        <w:spacing w:after="0" w:line="271" w:lineRule="auto"/>
        <w:tabs>
          <w:tab w:leader="none" w:pos="1300" w:val="left"/>
        </w:tabs>
        <w:numPr>
          <w:ilvl w:val="3"/>
          <w:numId w:val="30"/>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(i)(C)-(F) or 2(c)(ii)(C)-(F),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of Termination.</w:t>
      </w:r>
    </w:p>
    <w:p>
      <w:pPr>
        <w:spacing w:after="0" w:line="105" w:lineRule="exact"/>
        <w:rPr>
          <w:rFonts w:ascii="Arial" w:cs="Arial" w:eastAsia="Arial" w:hAnsi="Arial"/>
          <w:sz w:val="17"/>
          <w:szCs w:val="17"/>
          <w:color w:val="auto"/>
        </w:rPr>
      </w:pPr>
    </w:p>
    <w:p>
      <w:pPr>
        <w:jc w:val="both"/>
        <w:ind w:left="1300" w:hanging="265"/>
        <w:spacing w:after="0" w:line="259" w:lineRule="auto"/>
        <w:tabs>
          <w:tab w:leader="none" w:pos="1300" w:val="left"/>
        </w:tabs>
        <w:numPr>
          <w:ilvl w:val="3"/>
          <w:numId w:val="30"/>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208"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6" w:lineRule="exact"/>
        <w:rPr>
          <w:rFonts w:ascii="Arial" w:cs="Arial" w:eastAsia="Arial" w:hAnsi="Arial"/>
          <w:sz w:val="18"/>
          <w:szCs w:val="18"/>
          <w:color w:val="auto"/>
        </w:rPr>
      </w:pPr>
    </w:p>
    <w:p>
      <w:pPr>
        <w:ind w:left="660" w:right="40" w:hanging="652"/>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Customer Nonsolicitation</w:t>
      </w:r>
      <w:r>
        <w:rPr>
          <w:rFonts w:ascii="Arial" w:cs="Arial" w:eastAsia="Arial" w:hAnsi="Arial"/>
          <w:sz w:val="17"/>
          <w:szCs w:val="17"/>
          <w:color w:val="auto"/>
        </w:rPr>
        <w:t>. During the one-year period which immediately follows the termination, for whatever reason, of your employment with the Consolidated ManpowerGroup, you will not, directly or indirectly, contact any customer of the Consolidated ManpowerGroup with whom/which you have had contact on behalf of the Consolidated ManpowerGroup during the two-year period preceding the Date of Termination or about whom/which you obtained confidential information in connection with your employment with the Consolidated ManpowerGroup during such two-year period so as to cause or attempt to cause such customer not to do business or to reduce such customer’s business with the Consolidated ManpowerGroup or divert any business from any company in the Consolidated ManpowerGroup.</w:t>
      </w:r>
    </w:p>
    <w:p>
      <w:pPr>
        <w:spacing w:after="0" w:line="205" w:lineRule="exact"/>
        <w:rPr>
          <w:rFonts w:ascii="Arial" w:cs="Arial" w:eastAsia="Arial" w:hAnsi="Arial"/>
          <w:sz w:val="17"/>
          <w:szCs w:val="17"/>
          <w:color w:val="auto"/>
        </w:rPr>
      </w:pPr>
    </w:p>
    <w:p>
      <w:pPr>
        <w:ind w:left="660" w:right="100" w:hanging="652"/>
        <w:spacing w:after="0" w:line="28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Consolidated ManpowerGroup, 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human resource services (including consulting, task 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95" w:lineRule="exact"/>
        <w:rPr>
          <w:rFonts w:ascii="Arial" w:cs="Arial" w:eastAsia="Arial" w:hAnsi="Arial"/>
          <w:sz w:val="16"/>
          <w:szCs w:val="16"/>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right="240" w:hanging="644"/>
        <w:spacing w:after="0" w:line="312" w:lineRule="auto"/>
        <w:tabs>
          <w:tab w:leader="none" w:pos="1300"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w:t>
      </w:r>
    </w:p>
    <w:p>
      <w:pPr>
        <w:sectPr>
          <w:pgSz w:w="11900" w:h="16844" w:orient="portrait"/>
          <w:cols w:equalWidth="0" w:num="1">
            <w:col w:w="11420"/>
          </w:cols>
          <w:pgMar w:left="240" w:top="125" w:right="239" w:bottom="0" w:gutter="0" w:footer="0" w:header="0"/>
        </w:sectPr>
      </w:pPr>
    </w:p>
    <w:bookmarkStart w:id="32" w:name="page33"/>
    <w:bookmarkEnd w:id="32"/>
    <w:p>
      <w:pPr>
        <w:ind w:left="1292" w:right="220"/>
        <w:spacing w:after="0" w:line="302" w:lineRule="auto"/>
        <w:rPr>
          <w:sz w:val="20"/>
          <w:szCs w:val="20"/>
          <w:color w:val="auto"/>
        </w:rPr>
      </w:pPr>
      <w:r>
        <w:rPr>
          <w:rFonts w:ascii="Arial" w:cs="Arial" w:eastAsia="Arial" w:hAnsi="Arial"/>
          <w:sz w:val="16"/>
          <w:szCs w:val="16"/>
          <w:color w:val="auto"/>
        </w:rPr>
        <w:t>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1" w:lineRule="exact"/>
        <w:rPr>
          <w:sz w:val="20"/>
          <w:szCs w:val="20"/>
          <w:color w:val="auto"/>
        </w:rPr>
      </w:pPr>
    </w:p>
    <w:p>
      <w:pPr>
        <w:ind w:left="1292" w:right="80" w:hanging="644"/>
        <w:spacing w:after="0" w:line="277"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ind w:left="1292" w:right="20" w:hanging="644"/>
        <w:spacing w:after="0" w:line="264"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5 and 6, above, will not apply if your employment with the Consolidated ManpowerGroup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ind w:left="652" w:right="100" w:hanging="652"/>
        <w:spacing w:after="0" w:line="259"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100" w:hanging="652"/>
        <w:spacing w:after="0" w:line="270"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Consolidated ManpowerGroup,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8" w:lineRule="exact"/>
        <w:rPr>
          <w:rFonts w:ascii="Arial" w:cs="Arial" w:eastAsia="Arial" w:hAnsi="Arial"/>
          <w:sz w:val="17"/>
          <w:szCs w:val="17"/>
          <w:color w:val="auto"/>
        </w:rPr>
      </w:pPr>
    </w:p>
    <w:p>
      <w:pPr>
        <w:ind w:left="652" w:right="140" w:hanging="652"/>
        <w:spacing w:after="0" w:line="27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400" w:hanging="652"/>
        <w:spacing w:after="0" w:line="259"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Consolidated ManpowerGroup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460" w:hanging="652"/>
        <w:spacing w:after="0" w:line="27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40" w:hanging="652"/>
        <w:spacing w:after="0" w:line="276"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52" w:right="60" w:hanging="652"/>
        <w:spacing w:after="0" w:line="297" w:lineRule="auto"/>
        <w:tabs>
          <w:tab w:leader="none" w:pos="65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Previous Agreements</w:t>
      </w:r>
      <w:r>
        <w:rPr>
          <w:rFonts w:ascii="Arial" w:cs="Arial" w:eastAsia="Arial" w:hAnsi="Arial"/>
          <w:sz w:val="16"/>
          <w:szCs w:val="16"/>
          <w:color w:val="auto"/>
        </w:rPr>
        <w:t>. This letter, upon acceptance by you, expressly supersedes any and all previous agreements or understandings relating to your employment by the Corporation or the Consolidated ManpowerGroup, except for the letter from the Corporation to you dated January 3, 2013 regarding the Corporation’s offer of employment to you (provided this letter will supersede the sections of that prior letter concerning severance protection and restrictive covenants) and the nondisclosure agreement between you and the Corporation dated January 14, 2013, or the termination of such employment, and any such agreements or understandings shall, as of the date of your acceptance, have no further force or effect.</w:t>
      </w:r>
    </w:p>
    <w:p>
      <w:pPr>
        <w:spacing w:after="0" w:line="185" w:lineRule="exact"/>
        <w:rPr>
          <w:rFonts w:ascii="Arial" w:cs="Arial" w:eastAsia="Arial" w:hAnsi="Arial"/>
          <w:sz w:val="16"/>
          <w:szCs w:val="16"/>
          <w:color w:val="auto"/>
        </w:rPr>
      </w:pPr>
    </w:p>
    <w:p>
      <w:pPr>
        <w:ind w:left="652" w:right="40" w:hanging="652"/>
        <w:spacing w:after="0" w:line="25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100" w:hanging="644"/>
        <w:spacing w:after="0" w:line="284" w:lineRule="auto"/>
        <w:tabs>
          <w:tab w:leader="none" w:pos="129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w:t>
      </w:r>
    </w:p>
    <w:p>
      <w:pPr>
        <w:sectPr>
          <w:pgSz w:w="11900" w:h="16838" w:orient="portrait"/>
          <w:cols w:equalWidth="0" w:num="1">
            <w:col w:w="11372"/>
          </w:cols>
          <w:pgMar w:left="248" w:top="125" w:right="279" w:bottom="0" w:gutter="0" w:footer="0" w:header="0"/>
        </w:sectPr>
      </w:pPr>
    </w:p>
    <w:bookmarkStart w:id="33" w:name="page34"/>
    <w:bookmarkEnd w:id="33"/>
    <w:p>
      <w:pPr>
        <w:ind w:left="1300" w:right="60"/>
        <w:spacing w:after="0" w:line="302" w:lineRule="auto"/>
        <w:rPr>
          <w:sz w:val="20"/>
          <w:szCs w:val="20"/>
          <w:color w:val="auto"/>
        </w:rPr>
      </w:pPr>
      <w:r>
        <w:rPr>
          <w:rFonts w:ascii="Arial" w:cs="Arial" w:eastAsia="Arial" w:hAnsi="Arial"/>
          <w:sz w:val="16"/>
          <w:szCs w:val="16"/>
          <w:color w:val="auto"/>
        </w:rPr>
        <w:t>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1" w:lineRule="exact"/>
        <w:rPr>
          <w:sz w:val="20"/>
          <w:szCs w:val="20"/>
          <w:color w:val="auto"/>
        </w:rPr>
      </w:pPr>
    </w:p>
    <w:p>
      <w:pPr>
        <w:jc w:val="both"/>
        <w:ind w:left="1300" w:hanging="295"/>
        <w:spacing w:after="0" w:line="287"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subject matter of this letter.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6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A.</w:t>
      </w:r>
    </w:p>
    <w:p>
      <w:pPr>
        <w:spacing w:after="0" w:line="12" w:lineRule="exact"/>
        <w:rPr>
          <w:sz w:val="20"/>
          <w:szCs w:val="20"/>
          <w:color w:val="auto"/>
        </w:rPr>
      </w:pPr>
    </w:p>
    <w:p>
      <w:pPr>
        <w:jc w:val="center"/>
        <w:ind w:right="4040"/>
        <w:spacing w:after="0"/>
        <w:rPr>
          <w:sz w:val="20"/>
          <w:szCs w:val="20"/>
          <w:color w:val="auto"/>
        </w:rPr>
      </w:pPr>
      <w:r>
        <w:rPr>
          <w:rFonts w:ascii="Arial" w:cs="Arial" w:eastAsia="Arial" w:hAnsi="Arial"/>
          <w:sz w:val="18"/>
          <w:szCs w:val="18"/>
          <w:color w:val="auto"/>
        </w:rPr>
        <w:t>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wp:posOffset>
            </wp:positionV>
            <wp:extent cx="7975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8"/>
          <w:szCs w:val="18"/>
          <w:color w:val="auto"/>
        </w:rPr>
        <w:t>Jeffrey A.</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Joerres</w:t>
      </w:r>
    </w:p>
    <w:p>
      <w:pPr>
        <w:ind w:left="3440"/>
        <w:spacing w:after="0" w:line="234" w:lineRule="auto"/>
        <w:rPr>
          <w:sz w:val="20"/>
          <w:szCs w:val="20"/>
          <w:color w:val="auto"/>
        </w:rPr>
      </w:pPr>
      <w:r>
        <w:rPr>
          <w:rFonts w:ascii="Arial" w:cs="Arial" w:eastAsia="Arial" w:hAnsi="Arial"/>
          <w:sz w:val="18"/>
          <w:szCs w:val="18"/>
          <w:color w:val="auto"/>
        </w:rPr>
        <w:t>Chief Executive</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18th day of February,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975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Richard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Buchband</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35" w:name="page36"/>
    <w:bookmarkEnd w:id="35"/>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color w:val="auto"/>
        </w:rPr>
        <w:t>At A Glance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2012 Segment Revenues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73020" cy="1835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STOCK INFORMATION</w:t>
      </w:r>
    </w:p>
    <w:p>
      <w:pPr>
        <w:spacing w:after="0" w:line="153"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SHARES OUTSTANDING</w:t>
      </w:r>
      <w:r>
        <w:rPr>
          <w:sz w:val="20"/>
          <w:szCs w:val="20"/>
          <w:color w:val="auto"/>
        </w:rPr>
        <w:tab/>
      </w:r>
      <w:r>
        <w:rPr>
          <w:rFonts w:ascii="Arial" w:cs="Arial" w:eastAsia="Arial" w:hAnsi="Arial"/>
          <w:sz w:val="12"/>
          <w:szCs w:val="12"/>
          <w:b w:val="1"/>
          <w:bCs w:val="1"/>
          <w:color w:val="auto"/>
        </w:rPr>
        <w:t>2012 SHARE PRICE HIGH AND LOW</w:t>
      </w:r>
    </w:p>
    <w:p>
      <w:pPr>
        <w:spacing w:after="0" w:line="6"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76,647,429</w:t>
      </w:r>
      <w:r>
        <w:rPr>
          <w:sz w:val="20"/>
          <w:szCs w:val="20"/>
          <w:color w:val="auto"/>
        </w:rPr>
        <w:tab/>
      </w:r>
      <w:r>
        <w:rPr>
          <w:rFonts w:ascii="Arial" w:cs="Arial" w:eastAsia="Arial" w:hAnsi="Arial"/>
          <w:sz w:val="18"/>
          <w:szCs w:val="18"/>
          <w:color w:val="auto"/>
        </w:rPr>
        <w:t>$47.90/$32.41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Dec 31, 2012)</w:t>
      </w:r>
    </w:p>
    <w:p>
      <w:pPr>
        <w:spacing w:after="0" w:line="295"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AVG. DAILY VOLUME</w:t>
      </w:r>
      <w:r>
        <w:rPr>
          <w:sz w:val="20"/>
          <w:szCs w:val="20"/>
          <w:color w:val="auto"/>
        </w:rPr>
        <w:tab/>
      </w:r>
      <w:r>
        <w:rPr>
          <w:rFonts w:ascii="Arial" w:cs="Arial" w:eastAsia="Arial" w:hAnsi="Arial"/>
          <w:sz w:val="12"/>
          <w:szCs w:val="12"/>
          <w:b w:val="1"/>
          <w:bCs w:val="1"/>
          <w:color w:val="auto"/>
        </w:rPr>
        <w:t>STOCK EXCHANGE</w:t>
      </w:r>
    </w:p>
    <w:p>
      <w:pPr>
        <w:spacing w:after="0" w:line="6"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800,000+</w:t>
      </w:r>
      <w:r>
        <w:rPr>
          <w:sz w:val="20"/>
          <w:szCs w:val="20"/>
          <w:color w:val="auto"/>
        </w:rPr>
        <w:tab/>
      </w:r>
      <w:r>
        <w:rPr>
          <w:rFonts w:ascii="Arial" w:cs="Arial" w:eastAsia="Arial" w:hAnsi="Arial"/>
          <w:sz w:val="18"/>
          <w:szCs w:val="18"/>
          <w:color w:val="auto"/>
        </w:rPr>
        <w:t>NYSE (Ticker: 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per day in 2012)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People Placed in Permanent, Temporary and Contract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3020" cy="1346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302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Systemwide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3020" cy="1466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30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2012 Segment Operating Unit Profit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73020" cy="182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302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color w:val="auto"/>
        </w:rPr>
        <w:t>FISCAL YEAR END DATE</w:t>
      </w:r>
      <w:r>
        <w:rPr>
          <w:sz w:val="20"/>
          <w:szCs w:val="20"/>
          <w:color w:val="auto"/>
        </w:rPr>
        <w:tab/>
      </w:r>
      <w:r>
        <w:rPr>
          <w:rFonts w:ascii="Arial" w:cs="Arial" w:eastAsia="Arial" w:hAnsi="Arial"/>
          <w:sz w:val="12"/>
          <w:szCs w:val="12"/>
          <w:b w:val="1"/>
          <w:bCs w:val="1"/>
          <w:color w:val="auto"/>
        </w:rPr>
        <w:t>NUMBER OF SHARES ISSUED</w:t>
      </w:r>
    </w:p>
    <w:p>
      <w:pPr>
        <w:spacing w:after="0" w:line="6"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December 31</w:t>
      </w:r>
      <w:r>
        <w:rPr>
          <w:sz w:val="20"/>
          <w:szCs w:val="20"/>
          <w:color w:val="auto"/>
        </w:rPr>
        <w:tab/>
      </w:r>
      <w:r>
        <w:rPr>
          <w:rFonts w:ascii="Arial" w:cs="Arial" w:eastAsia="Arial" w:hAnsi="Arial"/>
          <w:sz w:val="15"/>
          <w:szCs w:val="15"/>
          <w:color w:val="auto"/>
        </w:rPr>
        <w:t>109,543,492</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(as of Dec 31, 2012)</w:t>
      </w:r>
    </w:p>
    <w:p>
      <w:pPr>
        <w:sectPr>
          <w:pgSz w:w="11900" w:h="16884" w:orient="portrait"/>
          <w:cols w:equalWidth="0" w:num="1">
            <w:col w:w="11420"/>
          </w:cols>
          <w:pgMar w:left="240" w:top="121" w:right="239" w:bottom="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CAPITALIZATION</w:t>
      </w:r>
    </w:p>
    <w:p>
      <w:pPr>
        <w:sectPr>
          <w:pgSz w:w="11900" w:h="16884" w:orient="portrait"/>
          <w:cols w:equalWidth="0" w:num="1">
            <w:col w:w="11420"/>
          </w:cols>
          <w:pgMar w:left="240" w:top="121" w:right="2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$3.3 billion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Dec 31, 2012)</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Strong Record of Long-Term Revenue Growth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 Billions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3233420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2573020" cy="259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3020" cy="2590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32"/>
          <w:szCs w:val="32"/>
          <w:color w:val="auto"/>
        </w:rPr>
        <w:t>Financial Highlights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Revenues from Services</w:t>
      </w:r>
      <w:r>
        <w:rPr>
          <w:rFonts w:ascii="Arial" w:cs="Arial" w:eastAsia="Arial" w:hAnsi="Arial"/>
          <w:sz w:val="30"/>
          <w:szCs w:val="30"/>
          <w:color w:val="auto"/>
          <w:vertAlign w:val="superscript"/>
        </w:rPr>
        <w:t>(a)</w:t>
      </w:r>
    </w:p>
    <w:p>
      <w:pPr>
        <w:spacing w:after="0"/>
        <w:rPr>
          <w:sz w:val="20"/>
          <w:szCs w:val="20"/>
          <w:color w:val="auto"/>
        </w:rPr>
      </w:pPr>
      <w:r>
        <w:rPr>
          <w:rFonts w:ascii="Arial" w:cs="Arial" w:eastAsia="Arial" w:hAnsi="Arial"/>
          <w:sz w:val="18"/>
          <w:szCs w:val="18"/>
          <w:color w:val="auto"/>
        </w:rPr>
        <w:t>In Millions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2012 presented to us a challenging economic environment. However, we were able to achieve revenues of $20.7 billion, down 1%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73020" cy="1115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3020"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Operating Profit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Profit decreased to $411.7 million. Excluding non-recurring items, Operating Profit decreased 9.3% in constant currency from 2011, to $467.1 million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573020" cy="1089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30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Operating Profit Margin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Percent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Margin decreased to 2.0%. Excluding non-recurring items, Operating Profit Margin decreased from 2.5% in 2011, to 2.3%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73020" cy="1097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302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Emerging Market Revenues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Emerging market revenues grew 12.1% in 2012. Key expansion markets grew: China (+30%), India (+22%) and Russia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143760" cy="943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376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Return on Invested Capital (ROIC)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Percent</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Return on Invested Capital is defined as operating profit after tax divided by the average monthly total of net debt and equity for the year. Net debt is defined as total debt 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573020" cy="1089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30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Net Earnings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Earnings decreased to $197.6 million. Excluding non-recurring items, Net Earnings decreased from $270.0 million in 2011 to $236.2 million in 2012.</w:t>
      </w:r>
    </w:p>
    <w:p>
      <w:pPr>
        <w:sectPr>
          <w:pgSz w:w="11900" w:h="16838" w:orient="portrait"/>
          <w:cols w:equalWidth="0" w:num="1">
            <w:col w:w="11300"/>
          </w:cols>
          <w:pgMar w:left="240" w:top="255" w:right="359" w:bottom="111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573020" cy="1097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0979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Total Capitalization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 as a percentage of total capitalization was 24% in 2012, compared to 22% in 2011 and 23%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1089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302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Net Earnings Per Share–Diluted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Earnings Per Share–Diluted decreased to $2.47. Excluding non-recurring items, it decreased 4.3% in constant currency from 2011, to $2.95.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73020" cy="1123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0" w:hanging="572"/>
        <w:spacing w:after="0" w:line="290"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Revenues from Services includes fees received from our franchise offices of $30.9 million, $22.3 million, $23.6 million, $25.2 million and $23.9 million for 2008, 2009, 2010, 2011 and 2012, respectively. These fees are primarily based on revenues generated by the franchise offices, which were $1,148.1 million, $746.7 million, $968.0 million, $1,075.2 million and $1,051.8 million for 2008, 2009, 2010, 2011 and 2012, respectively. In the United States, where the majority of our franchises operate, Revenues from Services includes fees received from the related franchise operations of $17.7 million, $10.5 million, $13.7 million, $13.6 million and $14.6 million for 2008, 2009, 2010, 2011 and 2012, respectively. These fees are primarily based on revenues generated by the franchise operations, which were $746.2 million, $459.3 million, $622.0 million, $646.1 million and $691.7 million for 2008, 2009, 2010, 2011 and 2012, respectively.</w:t>
      </w:r>
    </w:p>
    <w:p>
      <w:pPr>
        <w:spacing w:after="0" w:line="104" w:lineRule="exact"/>
        <w:rPr>
          <w:rFonts w:ascii="Arial" w:cs="Arial" w:eastAsia="Arial" w:hAnsi="Arial"/>
          <w:sz w:val="16"/>
          <w:szCs w:val="16"/>
          <w:color w:val="auto"/>
        </w:rPr>
      </w:pPr>
    </w:p>
    <w:p>
      <w:pPr>
        <w:ind w:left="580" w:right="78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exclude the impact of legal costs and global reorganization charges. (See Note 1 to the Consolidated Financial Statements for further information.)</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exclude the impact of global reorganization charges. (See Note 1 to the Consolidated Financial Statements for further information.)</w:t>
      </w:r>
    </w:p>
    <w:p>
      <w:pPr>
        <w:spacing w:after="0" w:line="180" w:lineRule="exact"/>
        <w:rPr>
          <w:rFonts w:ascii="Arial" w:cs="Arial" w:eastAsia="Arial" w:hAnsi="Arial"/>
          <w:sz w:val="16"/>
          <w:szCs w:val="16"/>
          <w:color w:val="auto"/>
        </w:rPr>
      </w:pPr>
    </w:p>
    <w:p>
      <w:pPr>
        <w:ind w:left="580" w:right="380" w:hanging="572"/>
        <w:spacing w:after="0" w:line="332"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exclude the impact of the goodwill and intangible asset impairment charges related to our investments in Right Management and Jefferson Wells, and global reorganization charges. (See Note 1 to the Consolidated Financial Statements for further information.)</w:t>
      </w:r>
    </w:p>
    <w:p>
      <w:pPr>
        <w:spacing w:after="0" w:line="71" w:lineRule="exact"/>
        <w:rPr>
          <w:rFonts w:ascii="Arial" w:cs="Arial" w:eastAsia="Arial" w:hAnsi="Arial"/>
          <w:sz w:val="16"/>
          <w:szCs w:val="16"/>
          <w:color w:val="auto"/>
        </w:rPr>
      </w:pPr>
    </w:p>
    <w:p>
      <w:pPr>
        <w:ind w:left="580" w:right="140" w:hanging="572"/>
        <w:spacing w:after="0" w:line="25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exclude the impact for the goodwill impairment charge related to our investment in Jefferson Wells, loss on the sale of an equity investment, charge related to the extinguishment of our interest rate swap agreements and amended revolving credit facility, and global reorganization charges. (See Note 1 to the Consolidated Financial Statements for further information.)</w:t>
      </w:r>
    </w:p>
    <w:p>
      <w:pPr>
        <w:spacing w:after="0" w:line="126"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exclude the impact of the goodwill and intangible asset impairment charge related to our investment in Right Management, French business tax refund, French payroll tax modification, French competition investigation and global reorganization charges. (See Note 1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4D8ABE"/>
        </w:rPr>
        <w:t>TABLE OF CONTENTS</w:t>
      </w:r>
    </w:p>
    <w:p>
      <w:pPr>
        <w:spacing w:after="0" w:line="15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&amp; Analysis</w:t>
        </w:r>
      </w:hyperlink>
    </w:p>
    <w:p>
      <w:pPr>
        <w:spacing w:after="0" w:line="15"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Management Report on Internal Control Over Financial Reporting</w:t>
        </w:r>
      </w:hyperlink>
    </w:p>
    <w:p>
      <w:pPr>
        <w:spacing w:after="0" w:line="32" w:lineRule="exact"/>
        <w:rPr>
          <w:rFonts w:ascii="Arial" w:cs="Arial" w:eastAsia="Arial" w:hAnsi="Arial"/>
          <w:sz w:val="16"/>
          <w:szCs w:val="16"/>
          <w:u w:val="single" w:color="auto"/>
          <w:color w:val="0000EE"/>
        </w:rPr>
      </w:pPr>
    </w:p>
    <w:p>
      <w:pPr>
        <w:ind w:left="580" w:hanging="572"/>
        <w:spacing w:after="0"/>
        <w:tabs>
          <w:tab w:leader="none" w:pos="580" w:val="left"/>
        </w:tabs>
        <w:numPr>
          <w:ilvl w:val="0"/>
          <w:numId w:val="39"/>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Report of Independent Registered Public Accounting Firm</w:t>
        </w:r>
      </w:hyperlink>
    </w:p>
    <w:p>
      <w:pPr>
        <w:spacing w:after="0" w:line="9" w:lineRule="exact"/>
        <w:rPr>
          <w:rFonts w:ascii="Arial" w:cs="Arial" w:eastAsia="Arial" w:hAnsi="Arial"/>
          <w:sz w:val="16"/>
          <w:szCs w:val="16"/>
          <w:b w:val="1"/>
          <w:bCs w:val="1"/>
          <w:color w:val="4D8ABE"/>
        </w:rPr>
      </w:pPr>
    </w:p>
    <w:p>
      <w:pPr>
        <w:ind w:left="580" w:hanging="572"/>
        <w:spacing w:after="0"/>
        <w:tabs>
          <w:tab w:leader="none" w:pos="580" w:val="left"/>
        </w:tabs>
        <w:numPr>
          <w:ilvl w:val="0"/>
          <w:numId w:val="40"/>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w:t>
        </w:r>
      </w:hyperlink>
    </w:p>
    <w:p>
      <w:pPr>
        <w:spacing w:after="0" w:line="9" w:lineRule="exact"/>
        <w:rPr>
          <w:rFonts w:ascii="Arial" w:cs="Arial" w:eastAsia="Arial" w:hAnsi="Arial"/>
          <w:sz w:val="16"/>
          <w:szCs w:val="16"/>
          <w:b w:val="1"/>
          <w:bCs w:val="1"/>
          <w:color w:val="4D8ABE"/>
        </w:rPr>
      </w:pPr>
    </w:p>
    <w:p>
      <w:pPr>
        <w:ind w:left="580" w:hanging="572"/>
        <w:spacing w:after="0"/>
        <w:tabs>
          <w:tab w:leader="none" w:pos="580" w:val="left"/>
        </w:tabs>
        <w:numPr>
          <w:ilvl w:val="0"/>
          <w:numId w:val="41"/>
        </w:numPr>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Consolidated Statements of Comprehensive Income (Loss)</w:t>
        </w:r>
      </w:hyperlink>
    </w:p>
    <w:p>
      <w:pPr>
        <w:spacing w:after="0" w:line="32" w:lineRule="exact"/>
        <w:rPr>
          <w:rFonts w:ascii="Arial" w:cs="Arial" w:eastAsia="Arial" w:hAnsi="Arial"/>
          <w:sz w:val="16"/>
          <w:szCs w:val="16"/>
          <w:u w:val="single" w:color="auto"/>
          <w:color w:val="0000EE"/>
        </w:rPr>
      </w:pPr>
    </w:p>
    <w:p>
      <w:pPr>
        <w:ind w:left="580" w:hanging="572"/>
        <w:spacing w:after="0"/>
        <w:tabs>
          <w:tab w:leader="none" w:pos="580" w:val="left"/>
        </w:tabs>
        <w:numPr>
          <w:ilvl w:val="0"/>
          <w:numId w:val="41"/>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Balance Sheets</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1"/>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Cash Flows</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1"/>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Shareholders’ Equity</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1"/>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Notes to Consolidated Financial Statements</w:t>
        </w:r>
      </w:hyperlink>
    </w:p>
    <w:p>
      <w:pPr>
        <w:spacing w:after="0" w:line="9" w:lineRule="exact"/>
        <w:rPr>
          <w:rFonts w:ascii="Arial" w:cs="Arial" w:eastAsia="Arial" w:hAnsi="Arial"/>
          <w:sz w:val="18"/>
          <w:szCs w:val="18"/>
          <w:b w:val="1"/>
          <w:bCs w:val="1"/>
          <w:color w:val="4D8ABE"/>
        </w:rPr>
      </w:pPr>
    </w:p>
    <w:p>
      <w:pPr>
        <w:ind w:left="580" w:hanging="572"/>
        <w:spacing w:after="0"/>
        <w:tabs>
          <w:tab w:leader="none" w:pos="580" w:val="left"/>
        </w:tabs>
        <w:numPr>
          <w:ilvl w:val="0"/>
          <w:numId w:val="42"/>
        </w:numPr>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Selected Financial Data</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3"/>
        </w:numPr>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Performance Graph</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3"/>
        </w:numPr>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Principal Operating Units</w:t>
        </w:r>
      </w:hyperlink>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43"/>
        </w:numPr>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Corporate Information</w:t>
        </w:r>
      </w:hyperlink>
    </w:p>
    <w:p>
      <w:pPr>
        <w:spacing w:after="0" w:line="20" w:lineRule="exact"/>
        <w:rPr>
          <w:rFonts w:ascii="Arial" w:cs="Arial" w:eastAsia="Arial" w:hAnsi="Arial"/>
          <w:sz w:val="18"/>
          <w:szCs w:val="18"/>
          <w:b w:val="1"/>
          <w:bCs w:val="1"/>
          <w:color w:val="4D8ABE"/>
        </w:rPr>
      </w:pPr>
      <w:r>
        <w:rPr>
          <w:rFonts w:ascii="Arial" w:cs="Arial" w:eastAsia="Arial" w:hAnsi="Arial"/>
          <w:sz w:val="18"/>
          <w:szCs w:val="18"/>
          <w:b w:val="1"/>
          <w:bCs w:val="1"/>
          <w:color w:val="4D8ABE"/>
        </w:rPr>
        <w:drawing>
          <wp:anchor simplePos="0" relativeHeight="251657728" behindDoc="1" locked="0" layoutInCell="0" allowOverlap="1">
            <wp:simplePos x="0" y="0"/>
            <wp:positionH relativeFrom="column">
              <wp:posOffset>3175</wp:posOffset>
            </wp:positionH>
            <wp:positionV relativeFrom="paragraph">
              <wp:posOffset>570865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40" w:name="page41"/>
    <w:bookmarkEnd w:id="40"/>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86B6A5"/>
        </w:rPr>
        <w:t>Business Overview</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Segment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130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302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Segment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1183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ManpowerGroup Inc. is a world leader in innovative workforce solutions and services. Our global network of nearly 3,500 offices in 80 countries and territories allows us to meet the needs of our clients in all industry segments, whether they are global, multinational or local companies. We create power that drives organizations forward, accelerates personal success and builds more sustainable communities. We power the world of work.</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By offering a complete range of workforce solutions and services, we can help any company — no matter where they are in their business evolution — raise productivity, improve strategy, quality, efficiency and cost reduction across their total workforce to achieve their business goals. ManpowerGroup provides a comprehensive suite of high-impact innovative workforce solutions and services for the entire business cycle including:</w:t>
      </w:r>
    </w:p>
    <w:p>
      <w:pPr>
        <w:spacing w:after="0" w:line="2" w:lineRule="exact"/>
        <w:rPr>
          <w:sz w:val="20"/>
          <w:szCs w:val="20"/>
          <w:color w:val="auto"/>
        </w:rPr>
      </w:pPr>
    </w:p>
    <w:p>
      <w:pPr>
        <w:jc w:val="both"/>
        <w:ind w:left="580" w:hanging="572"/>
        <w:spacing w:after="0" w:line="306" w:lineRule="auto"/>
        <w:tabs>
          <w:tab w:leader="none" w:pos="580" w:val="left"/>
        </w:tabs>
        <w:numPr>
          <w:ilvl w:val="0"/>
          <w:numId w:val="44"/>
        </w:numPr>
        <w:rPr>
          <w:rFonts w:ascii="Arial" w:cs="Arial" w:eastAsia="Arial" w:hAnsi="Arial"/>
          <w:sz w:val="16"/>
          <w:szCs w:val="16"/>
          <w:color w:val="4D8ABE"/>
        </w:rPr>
      </w:pPr>
      <w:r>
        <w:rPr>
          <w:rFonts w:ascii="Arial" w:cs="Arial" w:eastAsia="Arial" w:hAnsi="Arial"/>
          <w:sz w:val="16"/>
          <w:szCs w:val="16"/>
          <w:color w:val="auto"/>
        </w:rPr>
        <w:t>Recruitment and Assessment — By leveraging our trusted brand, vertical knowledge and expertise, we know what talent looks like and where to find it; and we have built a deeper talent pool to provide our clients access to the people they need faster. Through our world-leading assessments, we gain a deeper understanding of the people we serve, allowing us to truly identify a candidate’s potential, resulting in a better cultural match.</w:t>
      </w:r>
    </w:p>
    <w:p>
      <w:pPr>
        <w:spacing w:after="0" w:line="93" w:lineRule="exact"/>
        <w:rPr>
          <w:rFonts w:ascii="Arial" w:cs="Arial" w:eastAsia="Arial" w:hAnsi="Arial"/>
          <w:sz w:val="16"/>
          <w:szCs w:val="16"/>
          <w:color w:val="4D8ABE"/>
        </w:rPr>
      </w:pPr>
    </w:p>
    <w:p>
      <w:pPr>
        <w:jc w:val="both"/>
        <w:ind w:left="580" w:hanging="572"/>
        <w:spacing w:after="0" w:line="259" w:lineRule="auto"/>
        <w:tabs>
          <w:tab w:leader="none" w:pos="580" w:val="left"/>
        </w:tabs>
        <w:numPr>
          <w:ilvl w:val="0"/>
          <w:numId w:val="44"/>
        </w:numPr>
        <w:rPr>
          <w:rFonts w:ascii="Arial" w:cs="Arial" w:eastAsia="Arial" w:hAnsi="Arial"/>
          <w:sz w:val="18"/>
          <w:szCs w:val="18"/>
          <w:color w:val="4D8ABE"/>
        </w:rPr>
      </w:pPr>
      <w:r>
        <w:rPr>
          <w:rFonts w:ascii="Arial" w:cs="Arial" w:eastAsia="Arial" w:hAnsi="Arial"/>
          <w:sz w:val="18"/>
          <w:szCs w:val="18"/>
          <w:color w:val="auto"/>
        </w:rPr>
        <w:t>Training and Development — We effectively and efficiently assess and develop skills, keeping our associates ahead of the curve so they can get the job done each time every time. We offer extensive training courses and leadership development solutions for clients to maximize talent and optimize performance.</w:t>
      </w:r>
    </w:p>
    <w:p>
      <w:pPr>
        <w:spacing w:after="0" w:line="126" w:lineRule="exact"/>
        <w:rPr>
          <w:rFonts w:ascii="Arial" w:cs="Arial" w:eastAsia="Arial" w:hAnsi="Arial"/>
          <w:sz w:val="18"/>
          <w:szCs w:val="18"/>
          <w:color w:val="4D8ABE"/>
        </w:rPr>
      </w:pPr>
    </w:p>
    <w:p>
      <w:pPr>
        <w:ind w:left="580" w:right="20" w:hanging="572"/>
        <w:spacing w:after="0" w:line="332" w:lineRule="auto"/>
        <w:tabs>
          <w:tab w:leader="none" w:pos="580" w:val="left"/>
        </w:tabs>
        <w:numPr>
          <w:ilvl w:val="0"/>
          <w:numId w:val="44"/>
        </w:numPr>
        <w:rPr>
          <w:rFonts w:ascii="Arial" w:cs="Arial" w:eastAsia="Arial" w:hAnsi="Arial"/>
          <w:sz w:val="16"/>
          <w:szCs w:val="16"/>
          <w:color w:val="4D8ABE"/>
        </w:rPr>
      </w:pPr>
      <w:r>
        <w:rPr>
          <w:rFonts w:ascii="Arial" w:cs="Arial" w:eastAsia="Arial" w:hAnsi="Arial"/>
          <w:sz w:val="16"/>
          <w:szCs w:val="16"/>
          <w:color w:val="auto"/>
        </w:rPr>
        <w:t>Career Management — We engage consultants that value and understand the human side of business, making meaningful impact on both the people and organizations we serve. The countercyclical nature of the career transition industry helps strengthen our portfolio during economic downturns.</w:t>
      </w:r>
    </w:p>
    <w:p>
      <w:pPr>
        <w:spacing w:after="0" w:line="71" w:lineRule="exact"/>
        <w:rPr>
          <w:rFonts w:ascii="Arial" w:cs="Arial" w:eastAsia="Arial" w:hAnsi="Arial"/>
          <w:sz w:val="16"/>
          <w:szCs w:val="16"/>
          <w:color w:val="4D8ABE"/>
        </w:rPr>
      </w:pPr>
    </w:p>
    <w:p>
      <w:pPr>
        <w:ind w:left="580" w:hanging="572"/>
        <w:spacing w:after="0" w:line="268" w:lineRule="auto"/>
        <w:tabs>
          <w:tab w:leader="none" w:pos="580" w:val="left"/>
        </w:tabs>
        <w:numPr>
          <w:ilvl w:val="0"/>
          <w:numId w:val="44"/>
        </w:numPr>
        <w:rPr>
          <w:rFonts w:ascii="Arial" w:cs="Arial" w:eastAsia="Arial" w:hAnsi="Arial"/>
          <w:sz w:val="18"/>
          <w:szCs w:val="18"/>
          <w:color w:val="4D8ABE"/>
        </w:rPr>
      </w:pPr>
      <w:r>
        <w:rPr>
          <w:rFonts w:ascii="Arial" w:cs="Arial" w:eastAsia="Arial" w:hAnsi="Arial"/>
          <w:sz w:val="18"/>
          <w:szCs w:val="18"/>
          <w:color w:val="auto"/>
        </w:rPr>
        <w:t>Outsourcing —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18" w:lineRule="exact"/>
        <w:rPr>
          <w:rFonts w:ascii="Arial" w:cs="Arial" w:eastAsia="Arial" w:hAnsi="Arial"/>
          <w:sz w:val="18"/>
          <w:szCs w:val="18"/>
          <w:color w:val="4D8ABE"/>
        </w:rPr>
      </w:pPr>
    </w:p>
    <w:p>
      <w:pPr>
        <w:ind w:left="580" w:hanging="572"/>
        <w:spacing w:after="0" w:line="332" w:lineRule="auto"/>
        <w:tabs>
          <w:tab w:leader="none" w:pos="580" w:val="left"/>
        </w:tabs>
        <w:numPr>
          <w:ilvl w:val="0"/>
          <w:numId w:val="44"/>
        </w:numPr>
        <w:rPr>
          <w:rFonts w:ascii="Arial" w:cs="Arial" w:eastAsia="Arial" w:hAnsi="Arial"/>
          <w:sz w:val="16"/>
          <w:szCs w:val="16"/>
          <w:color w:val="4D8ABE"/>
        </w:rPr>
      </w:pPr>
      <w:r>
        <w:rPr>
          <w:rFonts w:ascii="Arial" w:cs="Arial" w:eastAsia="Arial" w:hAnsi="Arial"/>
          <w:sz w:val="16"/>
          <w:szCs w:val="16"/>
          <w:color w:val="auto"/>
        </w:rPr>
        <w:t>Workforce Consulting — We are a global leader in innovative workforce solutions. We help clients create and align their workforce strategy to achieve their business strategy, increasing business agility and personal flexibility and accelerating personal and business success.</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comprehensive and diverse business mix helps us to partially mitigate the cyclical effects of the national economies in which we operate. Our family of brands and offerings includes:</w:t>
      </w:r>
    </w:p>
    <w:p>
      <w:pPr>
        <w:spacing w:after="0" w:line="1" w:lineRule="exact"/>
        <w:rPr>
          <w:sz w:val="20"/>
          <w:szCs w:val="20"/>
          <w:color w:val="auto"/>
        </w:rPr>
      </w:pPr>
    </w:p>
    <w:p>
      <w:pPr>
        <w:ind w:left="580" w:hanging="572"/>
        <w:spacing w:after="0" w:line="332" w:lineRule="auto"/>
        <w:tabs>
          <w:tab w:leader="none" w:pos="580" w:val="left"/>
        </w:tabs>
        <w:numPr>
          <w:ilvl w:val="0"/>
          <w:numId w:val="45"/>
        </w:numPr>
        <w:rPr>
          <w:rFonts w:ascii="Arial" w:cs="Arial" w:eastAsia="Arial" w:hAnsi="Arial"/>
          <w:sz w:val="16"/>
          <w:szCs w:val="16"/>
          <w:color w:val="4D8ABE"/>
        </w:rPr>
      </w:pPr>
      <w:r>
        <w:rPr>
          <w:rFonts w:ascii="Arial" w:cs="Arial" w:eastAsia="Arial" w:hAnsi="Arial"/>
          <w:sz w:val="16"/>
          <w:szCs w:val="16"/>
          <w:color w:val="auto"/>
        </w:rPr>
        <w:t>ManpowerGroup — We are a world leader in innovative workforce solutions. We leverage our global reach and local expertise of tens of thousands of people across 80 countries and territories, making it possible for businesses to access the talent they need when they need it.</w:t>
      </w:r>
    </w:p>
    <w:p>
      <w:pPr>
        <w:spacing w:after="0" w:line="71" w:lineRule="exact"/>
        <w:rPr>
          <w:rFonts w:ascii="Arial" w:cs="Arial" w:eastAsia="Arial" w:hAnsi="Arial"/>
          <w:sz w:val="16"/>
          <w:szCs w:val="16"/>
          <w:color w:val="4D8ABE"/>
        </w:rPr>
      </w:pPr>
    </w:p>
    <w:p>
      <w:pPr>
        <w:ind w:left="580" w:right="20" w:hanging="572"/>
        <w:spacing w:after="0" w:line="268" w:lineRule="auto"/>
        <w:tabs>
          <w:tab w:leader="none" w:pos="580" w:val="left"/>
        </w:tabs>
        <w:numPr>
          <w:ilvl w:val="0"/>
          <w:numId w:val="45"/>
        </w:numPr>
        <w:rPr>
          <w:rFonts w:ascii="Arial" w:cs="Arial" w:eastAsia="Arial" w:hAnsi="Arial"/>
          <w:sz w:val="18"/>
          <w:szCs w:val="18"/>
          <w:color w:val="4D8ABE"/>
        </w:rPr>
      </w:pPr>
      <w:r>
        <w:rPr>
          <w:rFonts w:ascii="Arial" w:cs="Arial" w:eastAsia="Arial" w:hAnsi="Arial"/>
          <w:sz w:val="18"/>
          <w:szCs w:val="18"/>
          <w:color w:val="auto"/>
        </w:rPr>
        <w:t>Manpower — We are a global leader in contingent and permanent recruitment workforce solutions. We provide the personal flexibility and agility businesses need with a continuum of staffing solutions.</w:t>
      </w:r>
    </w:p>
    <w:p>
      <w:pPr>
        <w:spacing w:after="0" w:line="118" w:lineRule="exact"/>
        <w:rPr>
          <w:rFonts w:ascii="Arial" w:cs="Arial" w:eastAsia="Arial" w:hAnsi="Arial"/>
          <w:sz w:val="18"/>
          <w:szCs w:val="18"/>
          <w:color w:val="4D8ABE"/>
        </w:rPr>
      </w:pPr>
    </w:p>
    <w:p>
      <w:pPr>
        <w:ind w:left="580" w:hanging="572"/>
        <w:spacing w:after="0" w:line="332" w:lineRule="auto"/>
        <w:tabs>
          <w:tab w:leader="none" w:pos="580" w:val="left"/>
        </w:tabs>
        <w:numPr>
          <w:ilvl w:val="0"/>
          <w:numId w:val="45"/>
        </w:numPr>
        <w:rPr>
          <w:rFonts w:ascii="Arial" w:cs="Arial" w:eastAsia="Arial" w:hAnsi="Arial"/>
          <w:sz w:val="16"/>
          <w:szCs w:val="16"/>
          <w:color w:val="4D8ABE"/>
        </w:rPr>
      </w:pPr>
      <w:r>
        <w:rPr>
          <w:rFonts w:ascii="Arial" w:cs="Arial" w:eastAsia="Arial" w:hAnsi="Arial"/>
          <w:sz w:val="16"/>
          <w:szCs w:val="16"/>
          <w:color w:val="auto"/>
        </w:rPr>
        <w:t>Experis — We are a global leader in professional resourcing and project-based workforce solutions. With operations in over 50 countries and territories, we deliver 51 million hours of professional talent specializing in IT, Finance and Engineering to accelerate clients’ businesses each year.</w:t>
      </w:r>
    </w:p>
    <w:p>
      <w:pPr>
        <w:spacing w:after="0" w:line="71" w:lineRule="exact"/>
        <w:rPr>
          <w:rFonts w:ascii="Arial" w:cs="Arial" w:eastAsia="Arial" w:hAnsi="Arial"/>
          <w:sz w:val="16"/>
          <w:szCs w:val="16"/>
          <w:color w:val="4D8ABE"/>
        </w:rPr>
      </w:pPr>
    </w:p>
    <w:p>
      <w:pPr>
        <w:jc w:val="both"/>
        <w:ind w:left="580" w:hanging="572"/>
        <w:spacing w:after="0" w:line="259" w:lineRule="auto"/>
        <w:tabs>
          <w:tab w:leader="none" w:pos="580" w:val="left"/>
        </w:tabs>
        <w:numPr>
          <w:ilvl w:val="0"/>
          <w:numId w:val="45"/>
        </w:numPr>
        <w:rPr>
          <w:rFonts w:ascii="Arial" w:cs="Arial" w:eastAsia="Arial" w:hAnsi="Arial"/>
          <w:sz w:val="18"/>
          <w:szCs w:val="18"/>
          <w:color w:val="4D8ABE"/>
        </w:rPr>
      </w:pPr>
      <w:r>
        <w:rPr>
          <w:rFonts w:ascii="Arial" w:cs="Arial" w:eastAsia="Arial" w:hAnsi="Arial"/>
          <w:sz w:val="18"/>
          <w:szCs w:val="18"/>
          <w:color w:val="auto"/>
        </w:rPr>
        <w:t>Right Management — We are a global leader in talent and career management workforce solutions. Through our innovative and proprietary process, we leverage our expertise to successfully increase productivity and optimize business performance. We design and deliver solutions to align talent strategy with business strategy.</w:t>
      </w:r>
    </w:p>
    <w:p>
      <w:pPr>
        <w:spacing w:after="0" w:line="126" w:lineRule="exact"/>
        <w:rPr>
          <w:rFonts w:ascii="Arial" w:cs="Arial" w:eastAsia="Arial" w:hAnsi="Arial"/>
          <w:sz w:val="18"/>
          <w:szCs w:val="18"/>
          <w:color w:val="4D8ABE"/>
        </w:rPr>
      </w:pPr>
    </w:p>
    <w:p>
      <w:pPr>
        <w:jc w:val="both"/>
        <w:ind w:left="580" w:hanging="572"/>
        <w:spacing w:after="0" w:line="298" w:lineRule="auto"/>
        <w:tabs>
          <w:tab w:leader="none" w:pos="580" w:val="left"/>
        </w:tabs>
        <w:numPr>
          <w:ilvl w:val="0"/>
          <w:numId w:val="45"/>
        </w:numPr>
        <w:rPr>
          <w:rFonts w:ascii="Arial" w:cs="Arial" w:eastAsia="Arial" w:hAnsi="Arial"/>
          <w:sz w:val="16"/>
          <w:szCs w:val="16"/>
          <w:color w:val="4D8ABE"/>
        </w:rPr>
      </w:pPr>
      <w:r>
        <w:rPr>
          <w:rFonts w:ascii="Arial" w:cs="Arial" w:eastAsia="Arial" w:hAnsi="Arial"/>
          <w:sz w:val="16"/>
          <w:szCs w:val="16"/>
          <w:color w:val="auto"/>
        </w:rPr>
        <w:t>ManpowerGroup Solutions — We provide clients with human resources outsourcing services primarily in the areas of large-scale recruiting and outcome-based workforce-intensive initiatives, thereby sharing in the risk and reward with our clients. ManpowerGroup Solutions includes Talent Based Outsourcing (TBO), TAPFIN - Managed Service Provider (MSP), Recruitment Process Outsourcing (RPO), Borderless Talent Solutions (BTS) and Strategic Workforce Consulting (SWC). We are one of the largest providers of MSP and RPO services in the world.</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7" w:right="239" w:bottom="293" w:gutter="0" w:footer="0" w:header="0"/>
        </w:sectPr>
      </w:pPr>
    </w:p>
    <w:bookmarkStart w:id="41" w:name="page42"/>
    <w:bookmarkEnd w:id="41"/>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2012, we connected 3.4 million people to opportunities and purpose, who worked to help our more than 400,000 clients meet their business objectives. Seasoned professionals, temporary to permanent, skilled laborers, mothers returning to work, elderly persons wanting to supplement pensions and disabled individuals — all turn to the ManpowerGroup companies for employment possibilities. Similarly, governments of the nations in which we operate look to us to help reduce unemployment and train the unemployed with the skills they need to enter the workforce. We provide a bridge to experience and employment, building more sustainable communities. We have a unique ability to connect our deep understanding of human potential to the ambition of business so that organizations and individuals can capitalize on unseen opportunities and achieve more than they imagined.</w:t>
      </w:r>
    </w:p>
    <w:p>
      <w:pPr>
        <w:spacing w:after="0" w:line="1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United States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w:t>
      </w:r>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Correspondingly, during periods of weak economic growth or economic contraction, the demand for our staffing services typically declines. When demand drops as we experienced in 2012,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impacting the long-term potential of our branch network and brands.</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nature of our operations is such that our most significant current asset is accounts receivable, with an average days sales outstanding of approximately 55 days based on the markets where we do business. Our most significant current liabilities are payroll related costs, which are paid either weekly or monthly. As the demand for our services increases, we generally see an increase in our working capital needs, as we continue to pay our associates on a weekly or monthly basis, while the related accounts receivable increase as they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career management services are counter-cyclical to our staffing services, which helps to minimize the impact of an economic downturn on our overall financial results.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Due to our industry’s sensitivity to economic factors, the inherent difficulty in forecasting the direction and strength of the economy and the short-term nature of staffing assignments, it is difficult to forecast future demand for our services with absolute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business is organized and managed primarily on a geographic basis, with Right Management currently operating as a separate global business unit. Each country and business unit generally has its own distinct operations and management team, providing services under our global brands.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7" w:right="239" w:bottom="1440" w:gutter="0" w:footer="0" w:header="0"/>
        </w:sectPr>
      </w:pPr>
    </w:p>
    <w:bookmarkStart w:id="42" w:name="page43"/>
    <w:bookmarkEnd w:id="42"/>
    <w:p>
      <w:pPr>
        <w:ind w:right="160"/>
        <w:spacing w:after="0" w:line="259" w:lineRule="auto"/>
        <w:rPr>
          <w:sz w:val="20"/>
          <w:szCs w:val="20"/>
          <w:color w:val="auto"/>
        </w:rPr>
      </w:pPr>
      <w:r>
        <w:rPr>
          <w:rFonts w:ascii="Arial" w:cs="Arial" w:eastAsia="Arial" w:hAnsi="Arial"/>
          <w:sz w:val="18"/>
          <w:szCs w:val="18"/>
          <w:color w:val="auto"/>
        </w:rPr>
        <w:t>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(Asia Pacific Middle East); and Right Management.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TBO, MSP, RPO, BTS and SWC. Right Management’s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comprises a significant portion of revenues for us as a whole or for any segment.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86B6A5"/>
        </w:rPr>
        <w:t>Financial Measures — Constant Currency and Organic Constant Currency</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pages 35 and 36.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86B6A5"/>
        </w:rPr>
        <w:t>Results of Operations — Years Ended December 31, 2012, 2011 and 2010</w:t>
      </w:r>
    </w:p>
    <w:p>
      <w:pPr>
        <w:spacing w:after="0" w:line="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2012, we saw revenue slow in several of our markets, which unfavorably impacted our operating leverage and profitability. The decline in revenues in 2012 from 2011 was due to the economic uncertainty primarily in Europe and the United States. We saw slowing in our staffing/interim and our permanent recruitment businesses, as both declined from the prior year. Our ManpowerGroup Solutions business showed solid growth over 2011. At Right Management, we saw a decrease in demand for the talent management services, as clients have delayed their discretionary spending, but an increase in demand for our counter-cyclical outplacement services.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saw a decrease in our gross profit margin in 2012 compared to 2011 mostly due to the decline in our staffing/interim and permanent recruitment businesses, offset by the growth in our higher-margin ManpowerGroup Solutions business and Right Management’s outplacement services. We saw a deleveraging of our expenses as we did not decrease expenses as quickly as revenues declined during 2012. We incurred $48.8 million of reorganization charges in 2012, $26.6 million of which occurred in the fourth quarter, as we further streamline and simplify our organization.</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countries and territories in which we operate. Slowing economic growth or economic contraction typically results in decreasing demand for labor, resulting in less demand for our staffing services. This slowdown typically impacts our operating profit unfavorably as we may experience a deleveraging of our selling and administrative expense base as expenses may not change at the same pace as revenues.</w:t>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3" w:name="page44"/>
    <w:bookmarkEnd w:id="43"/>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CONSOLIDATED RESULTS — 2012 COMPARED TO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2012 as compared to 2011.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shd w:val="clear" w:color="auto" w:fill="86B6A5"/>
          </w:tcPr>
          <w:p>
            <w:pPr>
              <w:spacing w:after="0"/>
              <w:rPr>
                <w:sz w:val="14"/>
                <w:szCs w:val="14"/>
                <w:color w:val="auto"/>
              </w:rPr>
            </w:pPr>
          </w:p>
        </w:tc>
        <w:tc>
          <w:tcPr>
            <w:tcW w:w="960" w:type="dxa"/>
            <w:vAlign w:val="bottom"/>
            <w:shd w:val="clear" w:color="auto" w:fill="86B6A5"/>
          </w:tcPr>
          <w:p>
            <w:pPr>
              <w:spacing w:after="0"/>
              <w:rPr>
                <w:sz w:val="14"/>
                <w:szCs w:val="14"/>
                <w:color w:val="auto"/>
              </w:rPr>
            </w:pPr>
          </w:p>
        </w:tc>
        <w:tc>
          <w:tcPr>
            <w:tcW w:w="200" w:type="dxa"/>
            <w:vAlign w:val="bottom"/>
            <w:shd w:val="clear" w:color="auto" w:fill="86B6A5"/>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338"/>
              <w:spacing w:after="0"/>
              <w:rPr>
                <w:sz w:val="20"/>
                <w:szCs w:val="20"/>
                <w:color w:val="auto"/>
              </w:rPr>
            </w:pPr>
            <w:r>
              <w:rPr>
                <w:rFonts w:ascii="Arial" w:cs="Arial" w:eastAsia="Arial" w:hAnsi="Arial"/>
                <w:sz w:val="14"/>
                <w:szCs w:val="14"/>
                <w:b w:val="1"/>
                <w:bCs w:val="1"/>
                <w:color w:val="86B6A5"/>
              </w:rPr>
              <w:t>Variance in</w:t>
            </w:r>
          </w:p>
        </w:tc>
        <w:tc>
          <w:tcPr>
            <w:tcW w:w="1480" w:type="dxa"/>
            <w:vAlign w:val="bottom"/>
          </w:tcPr>
          <w:p>
            <w:pPr>
              <w:jc w:val="right"/>
              <w:ind w:right="161"/>
              <w:spacing w:after="0"/>
              <w:rPr>
                <w:sz w:val="20"/>
                <w:szCs w:val="20"/>
                <w:color w:val="auto"/>
              </w:rPr>
            </w:pPr>
            <w:r>
              <w:rPr>
                <w:rFonts w:ascii="Arial" w:cs="Arial" w:eastAsia="Arial" w:hAnsi="Arial"/>
                <w:sz w:val="14"/>
                <w:szCs w:val="14"/>
                <w:b w:val="1"/>
                <w:bCs w:val="1"/>
                <w:color w:val="86B6A5"/>
              </w:rPr>
              <w:t>Variance in</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60" w:type="dxa"/>
            <w:vAlign w:val="bottom"/>
            <w:shd w:val="clear" w:color="auto" w:fill="86B6A5"/>
          </w:tcPr>
          <w:p>
            <w:pPr>
              <w:spacing w:after="0"/>
              <w:rPr>
                <w:sz w:val="12"/>
                <w:szCs w:val="12"/>
                <w:color w:val="auto"/>
              </w:rPr>
            </w:pPr>
          </w:p>
        </w:tc>
        <w:tc>
          <w:tcPr>
            <w:tcW w:w="200" w:type="dxa"/>
            <w:vAlign w:val="bottom"/>
            <w:shd w:val="clear" w:color="auto" w:fill="86B6A5"/>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86B6A5"/>
              </w:rPr>
              <w:t>Reported</w:t>
            </w:r>
          </w:p>
        </w:tc>
        <w:tc>
          <w:tcPr>
            <w:tcW w:w="1300" w:type="dxa"/>
            <w:vAlign w:val="bottom"/>
          </w:tcPr>
          <w:p>
            <w:pPr>
              <w:jc w:val="right"/>
              <w:ind w:right="338"/>
              <w:spacing w:after="0" w:line="149" w:lineRule="exact"/>
              <w:rPr>
                <w:sz w:val="20"/>
                <w:szCs w:val="20"/>
                <w:color w:val="auto"/>
              </w:rPr>
            </w:pPr>
            <w:r>
              <w:rPr>
                <w:rFonts w:ascii="Arial" w:cs="Arial" w:eastAsia="Arial" w:hAnsi="Arial"/>
                <w:sz w:val="14"/>
                <w:szCs w:val="14"/>
                <w:b w:val="1"/>
                <w:bCs w:val="1"/>
                <w:color w:val="86B6A5"/>
              </w:rPr>
              <w:t>Constant</w:t>
            </w:r>
          </w:p>
        </w:tc>
        <w:tc>
          <w:tcPr>
            <w:tcW w:w="148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86B6A5"/>
              </w:rPr>
              <w:t>Organic Constant</w:t>
            </w:r>
          </w:p>
        </w:tc>
      </w:tr>
      <w:tr>
        <w:trPr>
          <w:trHeight w:val="161"/>
        </w:trPr>
        <w:tc>
          <w:tcPr>
            <w:tcW w:w="464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(in millions, except per share data)</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gridSpan w:val="2"/>
            <w:shd w:val="clear" w:color="auto" w:fill="86B6A5"/>
          </w:tcPr>
          <w:p>
            <w:pPr>
              <w:jc w:val="right"/>
              <w:ind w:right="200"/>
              <w:spacing w:after="0"/>
              <w:rPr>
                <w:sz w:val="20"/>
                <w:szCs w:val="20"/>
                <w:color w:val="auto"/>
              </w:rPr>
            </w:pPr>
            <w:r>
              <w:rPr>
                <w:rFonts w:ascii="Arial" w:cs="Arial" w:eastAsia="Arial" w:hAnsi="Arial"/>
                <w:sz w:val="14"/>
                <w:szCs w:val="14"/>
                <w:b w:val="1"/>
                <w:bCs w:val="1"/>
                <w:color w:val="FFFFFF"/>
              </w:rPr>
              <w:t>2012</w:t>
            </w:r>
          </w:p>
        </w:tc>
        <w:tc>
          <w:tcPr>
            <w:tcW w:w="280" w:type="dxa"/>
            <w:vAlign w:val="bottom"/>
            <w:tcBorders>
              <w:bottom w:val="single" w:sz="8" w:color="86B6A5"/>
            </w:tcBorders>
          </w:tcPr>
          <w:p>
            <w:pPr>
              <w:spacing w:after="0"/>
              <w:rPr>
                <w:sz w:val="14"/>
                <w:szCs w:val="14"/>
                <w:color w:val="auto"/>
              </w:rPr>
            </w:pPr>
          </w:p>
        </w:tc>
        <w:tc>
          <w:tcPr>
            <w:tcW w:w="1220" w:type="dxa"/>
            <w:vAlign w:val="bottom"/>
            <w:tcBorders>
              <w:bottom w:val="single" w:sz="8" w:color="86B6A5"/>
            </w:tcBorders>
          </w:tcPr>
          <w:p>
            <w:pPr>
              <w:jc w:val="right"/>
              <w:ind w:right="353"/>
              <w:spacing w:after="0"/>
              <w:rPr>
                <w:sz w:val="20"/>
                <w:szCs w:val="20"/>
                <w:color w:val="auto"/>
              </w:rPr>
            </w:pPr>
            <w:r>
              <w:rPr>
                <w:rFonts w:ascii="Arial" w:cs="Arial" w:eastAsia="Arial" w:hAnsi="Arial"/>
                <w:sz w:val="14"/>
                <w:szCs w:val="14"/>
                <w:b w:val="1"/>
                <w:bCs w:val="1"/>
                <w:color w:val="86B6A5"/>
              </w:rPr>
              <w:t>2011</w:t>
            </w:r>
          </w:p>
        </w:tc>
        <w:tc>
          <w:tcPr>
            <w:tcW w:w="1240" w:type="dxa"/>
            <w:vAlign w:val="bottom"/>
            <w:tcBorders>
              <w:bottom w:val="single" w:sz="8" w:color="86B6A5"/>
            </w:tcBorders>
          </w:tcPr>
          <w:p>
            <w:pPr>
              <w:jc w:val="right"/>
              <w:ind w:right="315"/>
              <w:spacing w:after="0"/>
              <w:rPr>
                <w:sz w:val="20"/>
                <w:szCs w:val="20"/>
                <w:color w:val="auto"/>
              </w:rPr>
            </w:pPr>
            <w:r>
              <w:rPr>
                <w:rFonts w:ascii="Arial" w:cs="Arial" w:eastAsia="Arial" w:hAnsi="Arial"/>
                <w:sz w:val="14"/>
                <w:szCs w:val="14"/>
                <w:b w:val="1"/>
                <w:bCs w:val="1"/>
                <w:color w:val="86B6A5"/>
              </w:rPr>
              <w:t>Variance</w:t>
            </w:r>
          </w:p>
        </w:tc>
        <w:tc>
          <w:tcPr>
            <w:tcW w:w="1300" w:type="dxa"/>
            <w:vAlign w:val="bottom"/>
            <w:tcBorders>
              <w:bottom w:val="single" w:sz="8" w:color="86B6A5"/>
            </w:tcBorders>
          </w:tcPr>
          <w:p>
            <w:pPr>
              <w:jc w:val="right"/>
              <w:ind w:right="338"/>
              <w:spacing w:after="0"/>
              <w:rPr>
                <w:sz w:val="20"/>
                <w:szCs w:val="20"/>
                <w:color w:val="auto"/>
              </w:rPr>
            </w:pPr>
            <w:r>
              <w:rPr>
                <w:rFonts w:ascii="Arial" w:cs="Arial" w:eastAsia="Arial" w:hAnsi="Arial"/>
                <w:sz w:val="14"/>
                <w:szCs w:val="14"/>
                <w:b w:val="1"/>
                <w:bCs w:val="1"/>
                <w:color w:val="86B6A5"/>
              </w:rPr>
              <w:t>Currency</w:t>
            </w:r>
          </w:p>
        </w:tc>
        <w:tc>
          <w:tcPr>
            <w:tcW w:w="1480" w:type="dxa"/>
            <w:vAlign w:val="bottom"/>
            <w:tcBorders>
              <w:bottom w:val="single" w:sz="8" w:color="86B6A5"/>
            </w:tcBorders>
          </w:tcPr>
          <w:p>
            <w:pPr>
              <w:jc w:val="right"/>
              <w:ind w:right="161"/>
              <w:spacing w:after="0"/>
              <w:rPr>
                <w:sz w:val="20"/>
                <w:szCs w:val="20"/>
                <w:color w:val="auto"/>
              </w:rPr>
            </w:pPr>
            <w:r>
              <w:rPr>
                <w:rFonts w:ascii="Arial" w:cs="Arial" w:eastAsia="Arial" w:hAnsi="Arial"/>
                <w:sz w:val="14"/>
                <w:szCs w:val="14"/>
                <w:b w:val="1"/>
                <w:bCs w:val="1"/>
                <w:color w:val="86B6A5"/>
              </w:rPr>
              <w:t>Currency</w:t>
            </w: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20,678.0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22,006.0</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(6.0)%</w:t>
            </w:r>
          </w:p>
        </w:tc>
        <w:tc>
          <w:tcPr>
            <w:tcW w:w="1300" w:type="dxa"/>
            <w:vAlign w:val="bottom"/>
          </w:tcPr>
          <w:p>
            <w:pPr>
              <w:jc w:val="right"/>
              <w:ind w:right="138"/>
              <w:spacing w:after="0"/>
              <w:rPr>
                <w:sz w:val="20"/>
                <w:szCs w:val="20"/>
                <w:color w:val="auto"/>
              </w:rPr>
            </w:pPr>
            <w:r>
              <w:rPr>
                <w:rFonts w:ascii="Arial" w:cs="Arial" w:eastAsia="Arial" w:hAnsi="Arial"/>
                <w:sz w:val="18"/>
                <w:szCs w:val="18"/>
                <w:color w:val="auto"/>
              </w:rPr>
              <w:t>(1.4)%</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17,236.0</w:t>
            </w: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18,299.7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(5.8)</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939598"/>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939598"/>
            </w:tcBorders>
            <w:shd w:val="clear" w:color="auto" w:fill="E3F1DA"/>
          </w:tcPr>
          <w:p>
            <w:pPr>
              <w:spacing w:after="0"/>
              <w:rPr>
                <w:sz w:val="18"/>
                <w:szCs w:val="18"/>
                <w:color w:val="auto"/>
              </w:rPr>
            </w:pPr>
          </w:p>
        </w:tc>
        <w:tc>
          <w:tcPr>
            <w:tcW w:w="1160" w:type="dxa"/>
            <w:vAlign w:val="bottom"/>
            <w:tcBorders>
              <w:top w:val="single" w:sz="8" w:color="939598"/>
            </w:tcBorders>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3,442.0</w:t>
            </w:r>
          </w:p>
        </w:tc>
        <w:tc>
          <w:tcPr>
            <w:tcW w:w="280" w:type="dxa"/>
            <w:vAlign w:val="bottom"/>
            <w:tcBorders>
              <w:top w:val="single" w:sz="8" w:color="939598"/>
            </w:tcBorders>
          </w:tcPr>
          <w:p>
            <w:pPr>
              <w:spacing w:after="0"/>
              <w:rPr>
                <w:sz w:val="18"/>
                <w:szCs w:val="18"/>
                <w:color w:val="auto"/>
              </w:rPr>
            </w:pPr>
          </w:p>
        </w:tc>
        <w:tc>
          <w:tcPr>
            <w:tcW w:w="1220" w:type="dxa"/>
            <w:vAlign w:val="bottom"/>
            <w:tcBorders>
              <w:top w:val="single" w:sz="8" w:color="939598"/>
            </w:tcBorders>
          </w:tcPr>
          <w:p>
            <w:pPr>
              <w:jc w:val="right"/>
              <w:ind w:right="353"/>
              <w:spacing w:after="0"/>
              <w:rPr>
                <w:sz w:val="20"/>
                <w:szCs w:val="20"/>
                <w:color w:val="auto"/>
              </w:rPr>
            </w:pPr>
            <w:r>
              <w:rPr>
                <w:rFonts w:ascii="Arial" w:cs="Arial" w:eastAsia="Arial" w:hAnsi="Arial"/>
                <w:sz w:val="18"/>
                <w:szCs w:val="18"/>
                <w:color w:val="auto"/>
              </w:rPr>
              <w:t>3,706.3</w:t>
            </w:r>
          </w:p>
        </w:tc>
        <w:tc>
          <w:tcPr>
            <w:tcW w:w="1240" w:type="dxa"/>
            <w:vAlign w:val="bottom"/>
            <w:tcBorders>
              <w:top w:val="single" w:sz="8" w:color="939598"/>
            </w:tcBorders>
          </w:tcPr>
          <w:p>
            <w:pPr>
              <w:jc w:val="right"/>
              <w:ind w:right="255"/>
              <w:spacing w:after="0"/>
              <w:rPr>
                <w:sz w:val="20"/>
                <w:szCs w:val="20"/>
                <w:color w:val="auto"/>
              </w:rPr>
            </w:pPr>
            <w:r>
              <w:rPr>
                <w:rFonts w:ascii="Arial" w:cs="Arial" w:eastAsia="Arial" w:hAnsi="Arial"/>
                <w:sz w:val="18"/>
                <w:szCs w:val="18"/>
                <w:color w:val="auto"/>
              </w:rPr>
              <w:t>(7.1)</w:t>
            </w:r>
          </w:p>
        </w:tc>
        <w:tc>
          <w:tcPr>
            <w:tcW w:w="1300" w:type="dxa"/>
            <w:vAlign w:val="bottom"/>
            <w:tcBorders>
              <w:top w:val="single" w:sz="8" w:color="939598"/>
            </w:tcBorders>
          </w:tcPr>
          <w:p>
            <w:pPr>
              <w:jc w:val="right"/>
              <w:ind w:right="278"/>
              <w:spacing w:after="0"/>
              <w:rPr>
                <w:sz w:val="20"/>
                <w:szCs w:val="20"/>
                <w:color w:val="auto"/>
              </w:rPr>
            </w:pPr>
            <w:r>
              <w:rPr>
                <w:rFonts w:ascii="Arial" w:cs="Arial" w:eastAsia="Arial" w:hAnsi="Arial"/>
                <w:sz w:val="18"/>
                <w:szCs w:val="18"/>
                <w:color w:val="auto"/>
              </w:rPr>
              <w:t>(3.0)</w:t>
            </w:r>
          </w:p>
        </w:tc>
        <w:tc>
          <w:tcPr>
            <w:tcW w:w="1480" w:type="dxa"/>
            <w:vAlign w:val="bottom"/>
            <w:tcBorders>
              <w:top w:val="single" w:sz="8" w:color="939598"/>
            </w:tcBorders>
          </w:tcPr>
          <w:p>
            <w:pPr>
              <w:jc w:val="right"/>
              <w:ind w:right="101"/>
              <w:spacing w:after="0"/>
              <w:rPr>
                <w:sz w:val="20"/>
                <w:szCs w:val="20"/>
                <w:color w:val="auto"/>
              </w:rPr>
            </w:pPr>
            <w:r>
              <w:rPr>
                <w:rFonts w:ascii="Arial" w:cs="Arial" w:eastAsia="Arial" w:hAnsi="Arial"/>
                <w:sz w:val="18"/>
                <w:szCs w:val="18"/>
                <w:color w:val="auto"/>
              </w:rPr>
              <w:t>(3.7)</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Gross profit margin</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i w:val="1"/>
                <w:iCs w:val="1"/>
                <w:color w:val="auto"/>
              </w:rPr>
              <w:t>16.6%</w:t>
            </w:r>
          </w:p>
        </w:tc>
        <w:tc>
          <w:tcPr>
            <w:tcW w:w="28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i w:val="1"/>
                <w:iCs w:val="1"/>
                <w:color w:val="auto"/>
              </w:rPr>
              <w:t>16.8</w:t>
            </w: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8"/>
        </w:trPr>
        <w:tc>
          <w:tcPr>
            <w:tcW w:w="464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E3F1DA"/>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3,182.1</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(4.8)</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(0.8)</w:t>
            </w:r>
          </w:p>
        </w:tc>
        <w:tc>
          <w:tcPr>
            <w:tcW w:w="1480" w:type="dxa"/>
            <w:vAlign w:val="bottom"/>
          </w:tcPr>
          <w:p>
            <w:pPr>
              <w:jc w:val="right"/>
              <w:ind w:right="101"/>
              <w:spacing w:after="0"/>
              <w:rPr>
                <w:sz w:val="20"/>
                <w:szCs w:val="20"/>
                <w:color w:val="auto"/>
              </w:rPr>
            </w:pPr>
            <w:r>
              <w:rPr>
                <w:rFonts w:ascii="Arial" w:cs="Arial" w:eastAsia="Arial" w:hAnsi="Arial"/>
                <w:sz w:val="18"/>
                <w:szCs w:val="18"/>
                <w:color w:val="auto"/>
              </w:rPr>
              <w:t>(1.5)</w:t>
            </w:r>
          </w:p>
        </w:tc>
      </w:tr>
      <w:tr>
        <w:trPr>
          <w:trHeight w:val="223"/>
        </w:trPr>
        <w:tc>
          <w:tcPr>
            <w:tcW w:w="464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i w:val="1"/>
                <w:iCs w:val="1"/>
                <w:color w:val="auto"/>
              </w:rPr>
              <w:t>Selling and administrative expenses as a % of revenues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gridSpan w:val="2"/>
          </w:tcPr>
          <w:p>
            <w:pPr>
              <w:jc w:val="right"/>
              <w:ind w:right="60"/>
              <w:spacing w:after="0"/>
              <w:rPr>
                <w:sz w:val="20"/>
                <w:szCs w:val="20"/>
                <w:color w:val="auto"/>
              </w:rPr>
            </w:pPr>
            <w:r>
              <w:rPr>
                <w:rFonts w:ascii="Arial" w:cs="Arial" w:eastAsia="Arial" w:hAnsi="Arial"/>
                <w:sz w:val="18"/>
                <w:szCs w:val="18"/>
                <w:i w:val="1"/>
                <w:iCs w:val="1"/>
                <w:color w:val="auto"/>
              </w:rPr>
              <w:t>14.7%</w:t>
            </w:r>
          </w:p>
        </w:tc>
        <w:tc>
          <w:tcPr>
            <w:tcW w:w="280" w:type="dxa"/>
            <w:vAlign w:val="bottom"/>
            <w:tcBorders>
              <w:bottom w:val="single" w:sz="8" w:color="939598"/>
            </w:tcBorders>
          </w:tcPr>
          <w:p>
            <w:pPr>
              <w:spacing w:after="0"/>
              <w:rPr>
                <w:sz w:val="19"/>
                <w:szCs w:val="19"/>
                <w:color w:val="auto"/>
              </w:rPr>
            </w:pPr>
          </w:p>
        </w:tc>
        <w:tc>
          <w:tcPr>
            <w:tcW w:w="1220" w:type="dxa"/>
            <w:vAlign w:val="bottom"/>
            <w:tcBorders>
              <w:bottom w:val="single" w:sz="8" w:color="939598"/>
            </w:tcBorders>
          </w:tcPr>
          <w:p>
            <w:pPr>
              <w:jc w:val="right"/>
              <w:ind w:right="213"/>
              <w:spacing w:after="0"/>
              <w:rPr>
                <w:sz w:val="20"/>
                <w:szCs w:val="20"/>
                <w:color w:val="auto"/>
              </w:rPr>
            </w:pPr>
            <w:r>
              <w:rPr>
                <w:rFonts w:ascii="Arial" w:cs="Arial" w:eastAsia="Arial" w:hAnsi="Arial"/>
                <w:sz w:val="18"/>
                <w:szCs w:val="18"/>
                <w:i w:val="1"/>
                <w:iCs w:val="1"/>
                <w:color w:val="auto"/>
              </w:rPr>
              <w:t>14.5</w:t>
            </w:r>
            <w:r>
              <w:rPr>
                <w:rFonts w:ascii="Arial" w:cs="Arial" w:eastAsia="Arial" w:hAnsi="Arial"/>
                <w:sz w:val="18"/>
                <w:szCs w:val="18"/>
                <w:color w:val="auto"/>
              </w:rPr>
              <w:t>%</w:t>
            </w:r>
          </w:p>
        </w:tc>
        <w:tc>
          <w:tcPr>
            <w:tcW w:w="1240" w:type="dxa"/>
            <w:vAlign w:val="bottom"/>
            <w:tcBorders>
              <w:bottom w:val="single" w:sz="8" w:color="939598"/>
            </w:tcBorders>
          </w:tcPr>
          <w:p>
            <w:pPr>
              <w:spacing w:after="0"/>
              <w:rPr>
                <w:sz w:val="19"/>
                <w:szCs w:val="19"/>
                <w:color w:val="auto"/>
              </w:rPr>
            </w:pPr>
          </w:p>
        </w:tc>
        <w:tc>
          <w:tcPr>
            <w:tcW w:w="1300" w:type="dxa"/>
            <w:vAlign w:val="bottom"/>
            <w:tcBorders>
              <w:bottom w:val="single" w:sz="8" w:color="939598"/>
            </w:tcBorders>
          </w:tcPr>
          <w:p>
            <w:pPr>
              <w:spacing w:after="0"/>
              <w:rPr>
                <w:sz w:val="19"/>
                <w:szCs w:val="19"/>
                <w:color w:val="auto"/>
              </w:rPr>
            </w:pPr>
          </w:p>
        </w:tc>
        <w:tc>
          <w:tcPr>
            <w:tcW w:w="1480" w:type="dxa"/>
            <w:vAlign w:val="bottom"/>
            <w:tcBorders>
              <w:bottom w:val="single" w:sz="8" w:color="939598"/>
            </w:tcBorders>
          </w:tcPr>
          <w:p>
            <w:pPr>
              <w:spacing w:after="0"/>
              <w:rPr>
                <w:sz w:val="19"/>
                <w:szCs w:val="19"/>
                <w:color w:val="auto"/>
              </w:rPr>
            </w:pPr>
          </w:p>
        </w:tc>
      </w:tr>
      <w:tr>
        <w:trPr>
          <w:trHeight w:val="211"/>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411.7</w:t>
            </w: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524.2</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(21.5)</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(16.5)</w:t>
            </w:r>
          </w:p>
        </w:tc>
        <w:tc>
          <w:tcPr>
            <w:tcW w:w="1480" w:type="dxa"/>
            <w:vAlign w:val="bottom"/>
          </w:tcPr>
          <w:p>
            <w:pPr>
              <w:jc w:val="right"/>
              <w:ind w:right="101"/>
              <w:spacing w:after="0"/>
              <w:rPr>
                <w:sz w:val="20"/>
                <w:szCs w:val="20"/>
                <w:color w:val="auto"/>
              </w:rPr>
            </w:pPr>
            <w:r>
              <w:rPr>
                <w:rFonts w:ascii="Arial" w:cs="Arial" w:eastAsia="Arial" w:hAnsi="Arial"/>
                <w:sz w:val="18"/>
                <w:szCs w:val="18"/>
                <w:color w:val="auto"/>
              </w:rPr>
              <w:t>(17.2)</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Operating profit margin</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i w:val="1"/>
                <w:iCs w:val="1"/>
                <w:color w:val="auto"/>
              </w:rPr>
              <w:t>2.0%</w:t>
            </w:r>
          </w:p>
        </w:tc>
        <w:tc>
          <w:tcPr>
            <w:tcW w:w="280" w:type="dxa"/>
            <w:vAlign w:val="bottom"/>
          </w:tcPr>
          <w:p>
            <w:pPr>
              <w:spacing w:after="0"/>
              <w:rPr>
                <w:sz w:val="18"/>
                <w:szCs w:val="18"/>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i w:val="1"/>
                <w:iCs w:val="1"/>
                <w:color w:val="auto"/>
              </w:rPr>
              <w:t>2.4</w:t>
            </w: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E3F1DA"/>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35.5</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(0.8)</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939598"/>
            </w:tcBorders>
            <w:shd w:val="clear" w:color="auto" w:fill="E3F1DA"/>
          </w:tcPr>
          <w:p>
            <w:pPr>
              <w:spacing w:after="0"/>
              <w:rPr>
                <w:sz w:val="19"/>
                <w:szCs w:val="19"/>
                <w:color w:val="auto"/>
              </w:rPr>
            </w:pP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939598"/>
            </w:tcBorders>
            <w:shd w:val="clear" w:color="auto" w:fill="E3F1DA"/>
          </w:tcPr>
          <w:p>
            <w:pPr>
              <w:spacing w:after="0"/>
              <w:rPr>
                <w:sz w:val="19"/>
                <w:szCs w:val="19"/>
                <w:color w:val="auto"/>
              </w:rPr>
            </w:pPr>
          </w:p>
        </w:tc>
        <w:tc>
          <w:tcPr>
            <w:tcW w:w="280" w:type="dxa"/>
            <w:vAlign w:val="bottom"/>
            <w:tcBorders>
              <w:bottom w:val="single" w:sz="8" w:color="939598"/>
            </w:tcBorders>
          </w:tcPr>
          <w:p>
            <w:pPr>
              <w:spacing w:after="0"/>
              <w:rPr>
                <w:sz w:val="19"/>
                <w:szCs w:val="19"/>
                <w:color w:val="auto"/>
              </w:rPr>
            </w:pPr>
          </w:p>
        </w:tc>
        <w:tc>
          <w:tcPr>
            <w:tcW w:w="1220" w:type="dxa"/>
            <w:vAlign w:val="bottom"/>
            <w:tcBorders>
              <w:bottom w:val="single" w:sz="8" w:color="939598"/>
            </w:tcBorders>
          </w:tcPr>
          <w:p>
            <w:pPr>
              <w:jc w:val="right"/>
              <w:ind w:right="353"/>
              <w:spacing w:after="0"/>
              <w:rPr>
                <w:sz w:val="20"/>
                <w:szCs w:val="20"/>
                <w:color w:val="auto"/>
              </w:rPr>
            </w:pPr>
            <w:r>
              <w:rPr>
                <w:rFonts w:ascii="Arial" w:cs="Arial" w:eastAsia="Arial" w:hAnsi="Arial"/>
                <w:sz w:val="18"/>
                <w:szCs w:val="18"/>
                <w:color w:val="auto"/>
              </w:rPr>
              <w:t>8.8</w:t>
            </w:r>
          </w:p>
        </w:tc>
        <w:tc>
          <w:tcPr>
            <w:tcW w:w="124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(8.2)</w:t>
            </w:r>
          </w:p>
        </w:tc>
        <w:tc>
          <w:tcPr>
            <w:tcW w:w="1300" w:type="dxa"/>
            <w:vAlign w:val="bottom"/>
            <w:tcBorders>
              <w:bottom w:val="single" w:sz="8" w:color="939598"/>
            </w:tcBorders>
          </w:tcPr>
          <w:p>
            <w:pPr>
              <w:spacing w:after="0"/>
              <w:rPr>
                <w:sz w:val="19"/>
                <w:szCs w:val="19"/>
                <w:color w:val="auto"/>
              </w:rPr>
            </w:pPr>
          </w:p>
        </w:tc>
        <w:tc>
          <w:tcPr>
            <w:tcW w:w="1480" w:type="dxa"/>
            <w:vAlign w:val="bottom"/>
            <w:tcBorders>
              <w:bottom w:val="single" w:sz="8" w:color="939598"/>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368.4</w:t>
            </w: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479.9</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(23.2)</w:t>
            </w:r>
          </w:p>
        </w:tc>
        <w:tc>
          <w:tcPr>
            <w:tcW w:w="1300" w:type="dxa"/>
            <w:vAlign w:val="bottom"/>
          </w:tcPr>
          <w:p>
            <w:pPr>
              <w:jc w:val="right"/>
              <w:ind w:right="278"/>
              <w:spacing w:after="0"/>
              <w:rPr>
                <w:sz w:val="20"/>
                <w:szCs w:val="20"/>
                <w:color w:val="auto"/>
              </w:rPr>
            </w:pPr>
            <w:r>
              <w:rPr>
                <w:rFonts w:ascii="Arial" w:cs="Arial" w:eastAsia="Arial" w:hAnsi="Arial"/>
                <w:sz w:val="18"/>
                <w:szCs w:val="18"/>
                <w:color w:val="auto"/>
              </w:rPr>
              <w:t>(18.2)</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E3F1DA"/>
          </w:tcPr>
          <w:p>
            <w:pPr>
              <w:spacing w:after="0"/>
              <w:rPr>
                <w:sz w:val="18"/>
                <w:szCs w:val="18"/>
                <w:color w:val="auto"/>
              </w:rPr>
            </w:pPr>
          </w:p>
        </w:tc>
        <w:tc>
          <w:tcPr>
            <w:tcW w:w="9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170.8</w:t>
            </w:r>
          </w:p>
        </w:tc>
        <w:tc>
          <w:tcPr>
            <w:tcW w:w="20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228.3</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(25.2)</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i w:val="1"/>
                <w:iCs w:val="1"/>
                <w:color w:val="auto"/>
              </w:rPr>
              <w:t>Effective income tax rate</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gridSpan w:val="2"/>
          </w:tcPr>
          <w:p>
            <w:pPr>
              <w:jc w:val="right"/>
              <w:ind w:right="60"/>
              <w:spacing w:after="0"/>
              <w:rPr>
                <w:sz w:val="20"/>
                <w:szCs w:val="20"/>
                <w:color w:val="auto"/>
              </w:rPr>
            </w:pPr>
            <w:r>
              <w:rPr>
                <w:rFonts w:ascii="Arial" w:cs="Arial" w:eastAsia="Arial" w:hAnsi="Arial"/>
                <w:sz w:val="18"/>
                <w:szCs w:val="18"/>
                <w:i w:val="1"/>
                <w:iCs w:val="1"/>
                <w:color w:val="auto"/>
              </w:rPr>
              <w:t>46.4%</w:t>
            </w:r>
          </w:p>
        </w:tc>
        <w:tc>
          <w:tcPr>
            <w:tcW w:w="280" w:type="dxa"/>
            <w:vAlign w:val="bottom"/>
            <w:tcBorders>
              <w:bottom w:val="single" w:sz="8" w:color="939598"/>
            </w:tcBorders>
          </w:tcPr>
          <w:p>
            <w:pPr>
              <w:spacing w:after="0"/>
              <w:rPr>
                <w:sz w:val="18"/>
                <w:szCs w:val="18"/>
                <w:color w:val="auto"/>
              </w:rPr>
            </w:pPr>
          </w:p>
        </w:tc>
        <w:tc>
          <w:tcPr>
            <w:tcW w:w="1220" w:type="dxa"/>
            <w:vAlign w:val="bottom"/>
            <w:tcBorders>
              <w:bottom w:val="single" w:sz="8" w:color="939598"/>
            </w:tcBorders>
          </w:tcPr>
          <w:p>
            <w:pPr>
              <w:jc w:val="right"/>
              <w:ind w:right="213"/>
              <w:spacing w:after="0"/>
              <w:rPr>
                <w:sz w:val="20"/>
                <w:szCs w:val="20"/>
                <w:color w:val="auto"/>
              </w:rPr>
            </w:pPr>
            <w:r>
              <w:rPr>
                <w:rFonts w:ascii="Arial" w:cs="Arial" w:eastAsia="Arial" w:hAnsi="Arial"/>
                <w:sz w:val="18"/>
                <w:szCs w:val="18"/>
                <w:i w:val="1"/>
                <w:iCs w:val="1"/>
                <w:color w:val="auto"/>
              </w:rPr>
              <w:t>47.6</w:t>
            </w:r>
            <w:r>
              <w:rPr>
                <w:rFonts w:ascii="Arial" w:cs="Arial" w:eastAsia="Arial" w:hAnsi="Arial"/>
                <w:sz w:val="18"/>
                <w:szCs w:val="18"/>
                <w:color w:val="auto"/>
              </w:rPr>
              <w:t>%</w:t>
            </w:r>
          </w:p>
        </w:tc>
        <w:tc>
          <w:tcPr>
            <w:tcW w:w="1240" w:type="dxa"/>
            <w:vAlign w:val="bottom"/>
            <w:tcBorders>
              <w:bottom w:val="single" w:sz="8" w:color="939598"/>
            </w:tcBorders>
          </w:tcPr>
          <w:p>
            <w:pPr>
              <w:spacing w:after="0"/>
              <w:rPr>
                <w:sz w:val="18"/>
                <w:szCs w:val="18"/>
                <w:color w:val="auto"/>
              </w:rPr>
            </w:pPr>
          </w:p>
        </w:tc>
        <w:tc>
          <w:tcPr>
            <w:tcW w:w="1300" w:type="dxa"/>
            <w:vAlign w:val="bottom"/>
            <w:tcBorders>
              <w:bottom w:val="single" w:sz="8" w:color="939598"/>
            </w:tcBorders>
          </w:tcPr>
          <w:p>
            <w:pPr>
              <w:spacing w:after="0"/>
              <w:rPr>
                <w:sz w:val="18"/>
                <w:szCs w:val="18"/>
                <w:color w:val="auto"/>
              </w:rPr>
            </w:pPr>
          </w:p>
        </w:tc>
        <w:tc>
          <w:tcPr>
            <w:tcW w:w="1480" w:type="dxa"/>
            <w:vAlign w:val="bottom"/>
            <w:tcBorders>
              <w:bottom w:val="single" w:sz="8" w:color="939598"/>
            </w:tcBorders>
          </w:tcPr>
          <w:p>
            <w:pPr>
              <w:spacing w:after="0"/>
              <w:rPr>
                <w:sz w:val="18"/>
                <w:szCs w:val="18"/>
                <w:color w:val="auto"/>
              </w:rPr>
            </w:pPr>
          </w:p>
        </w:tc>
      </w:tr>
      <w:tr>
        <w:trPr>
          <w:trHeight w:val="210"/>
        </w:trPr>
        <w:tc>
          <w:tcPr>
            <w:tcW w:w="20" w:type="dxa"/>
            <w:vAlign w:val="bottom"/>
            <w:tcBorders>
              <w:bottom w:val="single" w:sz="8" w:color="939598"/>
            </w:tcBorders>
          </w:tcPr>
          <w:p>
            <w:pPr>
              <w:spacing w:after="0"/>
              <w:rPr>
                <w:sz w:val="18"/>
                <w:szCs w:val="18"/>
                <w:color w:val="auto"/>
              </w:rPr>
            </w:pPr>
          </w:p>
        </w:tc>
        <w:tc>
          <w:tcPr>
            <w:tcW w:w="46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Net earnings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8"/>
                <w:szCs w:val="18"/>
                <w:color w:val="auto"/>
              </w:rPr>
              <w:t>197.6</w:t>
            </w:r>
          </w:p>
        </w:tc>
        <w:tc>
          <w:tcPr>
            <w:tcW w:w="28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939598"/>
            </w:tcBorders>
          </w:tcPr>
          <w:p>
            <w:pPr>
              <w:jc w:val="right"/>
              <w:ind w:right="353"/>
              <w:spacing w:after="0"/>
              <w:rPr>
                <w:sz w:val="20"/>
                <w:szCs w:val="20"/>
                <w:color w:val="auto"/>
              </w:rPr>
            </w:pPr>
            <w:r>
              <w:rPr>
                <w:rFonts w:ascii="Arial" w:cs="Arial" w:eastAsia="Arial" w:hAnsi="Arial"/>
                <w:sz w:val="18"/>
                <w:szCs w:val="18"/>
                <w:color w:val="auto"/>
              </w:rPr>
              <w:t>251.6</w:t>
            </w:r>
          </w:p>
        </w:tc>
        <w:tc>
          <w:tcPr>
            <w:tcW w:w="124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939598"/>
            </w:tcBorders>
          </w:tcPr>
          <w:p>
            <w:pPr>
              <w:jc w:val="right"/>
              <w:ind w:right="278"/>
              <w:spacing w:after="0"/>
              <w:rPr>
                <w:sz w:val="20"/>
                <w:szCs w:val="20"/>
                <w:color w:val="auto"/>
              </w:rPr>
            </w:pPr>
            <w:r>
              <w:rPr>
                <w:rFonts w:ascii="Arial" w:cs="Arial" w:eastAsia="Arial" w:hAnsi="Arial"/>
                <w:sz w:val="18"/>
                <w:szCs w:val="18"/>
                <w:color w:val="auto"/>
              </w:rPr>
              <w:t>(16.3)</w:t>
            </w:r>
          </w:p>
        </w:tc>
        <w:tc>
          <w:tcPr>
            <w:tcW w:w="1480" w:type="dxa"/>
            <w:vAlign w:val="bottom"/>
            <w:tcBorders>
              <w:bottom w:val="single" w:sz="8" w:color="939598"/>
            </w:tcBorders>
          </w:tcPr>
          <w:p>
            <w:pPr>
              <w:spacing w:after="0"/>
              <w:rPr>
                <w:sz w:val="18"/>
                <w:szCs w:val="18"/>
                <w:color w:val="auto"/>
              </w:rPr>
            </w:pPr>
          </w:p>
        </w:tc>
      </w:tr>
      <w:tr>
        <w:trPr>
          <w:trHeight w:val="210"/>
        </w:trPr>
        <w:tc>
          <w:tcPr>
            <w:tcW w:w="464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939598"/>
            </w:tcBorders>
          </w:tcPr>
          <w:p>
            <w:pPr>
              <w:jc w:val="right"/>
              <w:ind w:right="353"/>
              <w:spacing w:after="0"/>
              <w:rPr>
                <w:sz w:val="20"/>
                <w:szCs w:val="20"/>
                <w:color w:val="auto"/>
              </w:rPr>
            </w:pPr>
            <w:r>
              <w:rPr>
                <w:rFonts w:ascii="Arial" w:cs="Arial" w:eastAsia="Arial" w:hAnsi="Arial"/>
                <w:sz w:val="18"/>
                <w:szCs w:val="18"/>
                <w:color w:val="auto"/>
              </w:rPr>
              <w:t>3.04</w:t>
            </w:r>
          </w:p>
        </w:tc>
        <w:tc>
          <w:tcPr>
            <w:tcW w:w="124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(18.8)</w:t>
            </w:r>
          </w:p>
        </w:tc>
        <w:tc>
          <w:tcPr>
            <w:tcW w:w="1300" w:type="dxa"/>
            <w:vAlign w:val="bottom"/>
            <w:tcBorders>
              <w:bottom w:val="single" w:sz="8" w:color="939598"/>
            </w:tcBorders>
          </w:tcPr>
          <w:p>
            <w:pPr>
              <w:jc w:val="right"/>
              <w:ind w:right="278"/>
              <w:spacing w:after="0"/>
              <w:rPr>
                <w:sz w:val="20"/>
                <w:szCs w:val="20"/>
                <w:color w:val="auto"/>
              </w:rPr>
            </w:pPr>
            <w:r>
              <w:rPr>
                <w:rFonts w:ascii="Arial" w:cs="Arial" w:eastAsia="Arial" w:hAnsi="Arial"/>
                <w:sz w:val="18"/>
                <w:szCs w:val="18"/>
                <w:color w:val="auto"/>
              </w:rPr>
              <w:t>(14.1)</w:t>
            </w:r>
          </w:p>
        </w:tc>
        <w:tc>
          <w:tcPr>
            <w:tcW w:w="1480" w:type="dxa"/>
            <w:vAlign w:val="bottom"/>
            <w:tcBorders>
              <w:bottom w:val="single" w:sz="8" w:color="939598"/>
            </w:tcBorders>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E3F1DA"/>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82.8</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(3.3)%</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960" w:type="dxa"/>
            <w:vAlign w:val="bottom"/>
            <w:shd w:val="clear" w:color="auto" w:fill="939598"/>
          </w:tcPr>
          <w:p>
            <w:pPr>
              <w:spacing w:after="0" w:line="20" w:lineRule="exact"/>
              <w:rPr>
                <w:sz w:val="1"/>
                <w:szCs w:val="1"/>
                <w:color w:val="auto"/>
              </w:rPr>
            </w:pPr>
          </w:p>
        </w:tc>
        <w:tc>
          <w:tcPr>
            <w:tcW w:w="200" w:type="dxa"/>
            <w:vAlign w:val="bottom"/>
            <w:shd w:val="clear" w:color="auto" w:fill="939598"/>
          </w:tcPr>
          <w:p>
            <w:pPr>
              <w:spacing w:after="0" w:line="20" w:lineRule="exact"/>
              <w:rPr>
                <w:sz w:val="1"/>
                <w:szCs w:val="1"/>
                <w:color w:val="auto"/>
              </w:rPr>
            </w:pPr>
          </w:p>
        </w:tc>
        <w:tc>
          <w:tcPr>
            <w:tcW w:w="280" w:type="dxa"/>
            <w:vAlign w:val="bottom"/>
            <w:shd w:val="clear" w:color="auto" w:fill="939598"/>
          </w:tcPr>
          <w:p>
            <w:pPr>
              <w:spacing w:after="0" w:line="20" w:lineRule="exact"/>
              <w:rPr>
                <w:sz w:val="1"/>
                <w:szCs w:val="1"/>
                <w:color w:val="auto"/>
              </w:rPr>
            </w:pPr>
          </w:p>
        </w:tc>
        <w:tc>
          <w:tcPr>
            <w:tcW w:w="1220" w:type="dxa"/>
            <w:vAlign w:val="bottom"/>
            <w:shd w:val="clear" w:color="auto" w:fill="939598"/>
          </w:tcPr>
          <w:p>
            <w:pPr>
              <w:spacing w:after="0" w:line="20" w:lineRule="exact"/>
              <w:rPr>
                <w:sz w:val="1"/>
                <w:szCs w:val="1"/>
                <w:color w:val="auto"/>
              </w:rPr>
            </w:pPr>
          </w:p>
        </w:tc>
        <w:tc>
          <w:tcPr>
            <w:tcW w:w="1240" w:type="dxa"/>
            <w:vAlign w:val="bottom"/>
            <w:shd w:val="clear" w:color="auto" w:fill="939598"/>
          </w:tcPr>
          <w:p>
            <w:pPr>
              <w:spacing w:after="0" w:line="20" w:lineRule="exact"/>
              <w:rPr>
                <w:sz w:val="1"/>
                <w:szCs w:val="1"/>
                <w:color w:val="auto"/>
              </w:rPr>
            </w:pPr>
          </w:p>
        </w:tc>
        <w:tc>
          <w:tcPr>
            <w:tcW w:w="1300" w:type="dxa"/>
            <w:vAlign w:val="bottom"/>
            <w:shd w:val="clear" w:color="auto" w:fill="939598"/>
          </w:tcPr>
          <w:p>
            <w:pPr>
              <w:spacing w:after="0" w:line="20" w:lineRule="exact"/>
              <w:rPr>
                <w:sz w:val="1"/>
                <w:szCs w:val="1"/>
                <w:color w:val="auto"/>
              </w:rPr>
            </w:pPr>
          </w:p>
        </w:tc>
        <w:tc>
          <w:tcPr>
            <w:tcW w:w="148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-1834515</wp:posOffset>
            </wp:positionV>
            <wp:extent cx="737235"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7235" cy="42037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-1276985</wp:posOffset>
            </wp:positionV>
            <wp:extent cx="600075"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42037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-719455</wp:posOffset>
            </wp:positionV>
            <wp:extent cx="737235" cy="720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7235" cy="7200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6.0% (–1.4% in constant currency and –2.0% on an organic constant currency basis) was attributed to:</w:t>
      </w:r>
    </w:p>
    <w:p>
      <w:pPr>
        <w:spacing w:after="0" w:line="46" w:lineRule="exact"/>
        <w:rPr>
          <w:sz w:val="20"/>
          <w:szCs w:val="20"/>
          <w:color w:val="auto"/>
        </w:rPr>
      </w:pPr>
    </w:p>
    <w:p>
      <w:pPr>
        <w:jc w:val="both"/>
        <w:ind w:left="580" w:hanging="572"/>
        <w:spacing w:after="0" w:line="298" w:lineRule="auto"/>
        <w:tabs>
          <w:tab w:leader="none" w:pos="580" w:val="left"/>
        </w:tabs>
        <w:numPr>
          <w:ilvl w:val="0"/>
          <w:numId w:val="46"/>
        </w:numPr>
        <w:rPr>
          <w:rFonts w:ascii="Arial" w:cs="Arial" w:eastAsia="Arial" w:hAnsi="Arial"/>
          <w:sz w:val="16"/>
          <w:szCs w:val="16"/>
          <w:color w:val="4D8ABE"/>
        </w:rPr>
      </w:pPr>
      <w:r>
        <w:rPr>
          <w:rFonts w:ascii="Arial" w:cs="Arial" w:eastAsia="Arial" w:hAnsi="Arial"/>
          <w:sz w:val="16"/>
          <w:szCs w:val="16"/>
          <w:color w:val="auto"/>
        </w:rPr>
        <w:t>decreased demand for services in several of our markets within Southern Europe and Northern Europe, where revenues decreased 11.7% (–4.2% in constant currency and –5.3% on an organic constant currency basis) and 6.3% (–1.3% on a constant currency basis), respectively. Several of our larger markets such as France and Italy experienced revenue declines of 12.2% (–4.6% in constant currency and –6.1% on an organic constant currency basis) and 15.8% (–8.9% on a constant currency basis), respectively, due to the current economic environment in these countries;</w:t>
      </w:r>
    </w:p>
    <w:p>
      <w:pPr>
        <w:spacing w:after="0" w:line="99" w:lineRule="exact"/>
        <w:rPr>
          <w:rFonts w:ascii="Arial" w:cs="Arial" w:eastAsia="Arial" w:hAnsi="Arial"/>
          <w:sz w:val="16"/>
          <w:szCs w:val="16"/>
          <w:color w:val="4D8ABE"/>
        </w:rPr>
      </w:pPr>
    </w:p>
    <w:p>
      <w:pPr>
        <w:ind w:left="580" w:hanging="572"/>
        <w:spacing w:after="0" w:line="268" w:lineRule="auto"/>
        <w:tabs>
          <w:tab w:leader="none" w:pos="580" w:val="left"/>
        </w:tabs>
        <w:numPr>
          <w:ilvl w:val="0"/>
          <w:numId w:val="46"/>
        </w:numPr>
        <w:rPr>
          <w:rFonts w:ascii="Arial" w:cs="Arial" w:eastAsia="Arial" w:hAnsi="Arial"/>
          <w:sz w:val="18"/>
          <w:szCs w:val="18"/>
          <w:color w:val="4D8ABE"/>
        </w:rPr>
      </w:pPr>
      <w:r>
        <w:rPr>
          <w:rFonts w:ascii="Arial" w:cs="Arial" w:eastAsia="Arial" w:hAnsi="Arial"/>
          <w:sz w:val="18"/>
          <w:szCs w:val="18"/>
          <w:color w:val="auto"/>
        </w:rPr>
        <w:t>revenue decline in the United States of 4.0% primarily due to a decrease of our key account client revenues because of softening demand as well as stronger pricing discipline on new business opportunities;</w:t>
      </w:r>
    </w:p>
    <w:p>
      <w:pPr>
        <w:spacing w:after="0" w:line="118" w:lineRule="exact"/>
        <w:rPr>
          <w:rFonts w:ascii="Arial" w:cs="Arial" w:eastAsia="Arial" w:hAnsi="Arial"/>
          <w:sz w:val="18"/>
          <w:szCs w:val="18"/>
          <w:color w:val="4D8ABE"/>
        </w:rPr>
      </w:pPr>
    </w:p>
    <w:p>
      <w:pPr>
        <w:ind w:left="580" w:hanging="572"/>
        <w:spacing w:after="0" w:line="268" w:lineRule="auto"/>
        <w:tabs>
          <w:tab w:leader="none" w:pos="580" w:val="left"/>
        </w:tabs>
        <w:numPr>
          <w:ilvl w:val="0"/>
          <w:numId w:val="46"/>
        </w:numPr>
        <w:rPr>
          <w:rFonts w:ascii="Arial" w:cs="Arial" w:eastAsia="Arial" w:hAnsi="Arial"/>
          <w:sz w:val="18"/>
          <w:szCs w:val="18"/>
          <w:color w:val="4D8ABE"/>
        </w:rPr>
      </w:pPr>
      <w:r>
        <w:rPr>
          <w:rFonts w:ascii="Arial" w:cs="Arial" w:eastAsia="Arial" w:hAnsi="Arial"/>
          <w:sz w:val="18"/>
          <w:szCs w:val="18"/>
          <w:color w:val="auto"/>
        </w:rPr>
        <w:t>decreased demand for talent management services at Right Management, where these revenues decreased 12.8% (–11.2% on a constant currency basis); and</w:t>
      </w:r>
    </w:p>
    <w:p>
      <w:pPr>
        <w:spacing w:after="0" w:line="118" w:lineRule="exact"/>
        <w:rPr>
          <w:rFonts w:ascii="Arial" w:cs="Arial" w:eastAsia="Arial" w:hAnsi="Arial"/>
          <w:sz w:val="18"/>
          <w:szCs w:val="18"/>
          <w:color w:val="4D8ABE"/>
        </w:rPr>
      </w:pPr>
    </w:p>
    <w:p>
      <w:pPr>
        <w:ind w:left="580" w:hanging="572"/>
        <w:spacing w:after="0"/>
        <w:tabs>
          <w:tab w:leader="none" w:pos="580" w:val="left"/>
        </w:tabs>
        <w:numPr>
          <w:ilvl w:val="0"/>
          <w:numId w:val="46"/>
        </w:numPr>
        <w:rPr>
          <w:rFonts w:ascii="Arial" w:cs="Arial" w:eastAsia="Arial" w:hAnsi="Arial"/>
          <w:sz w:val="18"/>
          <w:szCs w:val="18"/>
          <w:color w:val="4D8ABE"/>
        </w:rPr>
      </w:pPr>
      <w:r>
        <w:rPr>
          <w:rFonts w:ascii="Arial" w:cs="Arial" w:eastAsia="Arial" w:hAnsi="Arial"/>
          <w:sz w:val="18"/>
          <w:szCs w:val="18"/>
          <w:color w:val="auto"/>
        </w:rPr>
        <w:t>a 4.6% decrease due to the impact of currency exchange rates; partially offset by</w:t>
      </w:r>
    </w:p>
    <w:p>
      <w:pPr>
        <w:spacing w:after="0" w:line="157" w:lineRule="exact"/>
        <w:rPr>
          <w:rFonts w:ascii="Arial" w:cs="Arial" w:eastAsia="Arial" w:hAnsi="Arial"/>
          <w:sz w:val="18"/>
          <w:szCs w:val="18"/>
          <w:color w:val="4D8ABE"/>
        </w:rPr>
      </w:pPr>
    </w:p>
    <w:p>
      <w:pPr>
        <w:ind w:left="580" w:hanging="572"/>
        <w:spacing w:after="0" w:line="332" w:lineRule="auto"/>
        <w:tabs>
          <w:tab w:leader="none" w:pos="580" w:val="left"/>
        </w:tabs>
        <w:numPr>
          <w:ilvl w:val="0"/>
          <w:numId w:val="46"/>
        </w:numPr>
        <w:rPr>
          <w:rFonts w:ascii="Arial" w:cs="Arial" w:eastAsia="Arial" w:hAnsi="Arial"/>
          <w:sz w:val="16"/>
          <w:szCs w:val="16"/>
          <w:color w:val="4D8ABE"/>
        </w:rPr>
      </w:pPr>
      <w:r>
        <w:rPr>
          <w:rFonts w:ascii="Arial" w:cs="Arial" w:eastAsia="Arial" w:hAnsi="Arial"/>
          <w:sz w:val="16"/>
          <w:szCs w:val="16"/>
          <w:color w:val="auto"/>
        </w:rPr>
        <w:t>our acquisitions of three entities in APME during April 2011, two acquisitions in Southern Europe at the end of September 2011 and in April 2012, and one acquisition in the Americas during April 2012, which combined to add 0.6% of revenue growth to our consolidated results;</w:t>
      </w:r>
    </w:p>
    <w:p>
      <w:pPr>
        <w:spacing w:after="0" w:line="71" w:lineRule="exact"/>
        <w:rPr>
          <w:rFonts w:ascii="Arial" w:cs="Arial" w:eastAsia="Arial" w:hAnsi="Arial"/>
          <w:sz w:val="16"/>
          <w:szCs w:val="16"/>
          <w:color w:val="4D8ABE"/>
        </w:rPr>
      </w:pPr>
    </w:p>
    <w:p>
      <w:pPr>
        <w:ind w:left="580" w:hanging="572"/>
        <w:spacing w:after="0"/>
        <w:tabs>
          <w:tab w:leader="none" w:pos="580" w:val="left"/>
        </w:tabs>
        <w:numPr>
          <w:ilvl w:val="0"/>
          <w:numId w:val="46"/>
        </w:numPr>
        <w:rPr>
          <w:rFonts w:ascii="Arial" w:cs="Arial" w:eastAsia="Arial" w:hAnsi="Arial"/>
          <w:sz w:val="18"/>
          <w:szCs w:val="18"/>
          <w:color w:val="4D8ABE"/>
        </w:rPr>
      </w:pPr>
      <w:r>
        <w:rPr>
          <w:rFonts w:ascii="Arial" w:cs="Arial" w:eastAsia="Arial" w:hAnsi="Arial"/>
          <w:sz w:val="18"/>
          <w:szCs w:val="18"/>
          <w:color w:val="auto"/>
        </w:rPr>
        <w:t>Other Americas and APME experienced revenue growth of 9.6% and 1.6%, respectively, on an organic constant currency basis; and</w:t>
      </w:r>
    </w:p>
    <w:p>
      <w:pPr>
        <w:spacing w:after="0" w:line="157" w:lineRule="exact"/>
        <w:rPr>
          <w:rFonts w:ascii="Arial" w:cs="Arial" w:eastAsia="Arial" w:hAnsi="Arial"/>
          <w:sz w:val="18"/>
          <w:szCs w:val="18"/>
          <w:color w:val="4D8ABE"/>
        </w:rPr>
      </w:pPr>
    </w:p>
    <w:p>
      <w:pPr>
        <w:ind w:left="580" w:hanging="572"/>
        <w:spacing w:after="0"/>
        <w:tabs>
          <w:tab w:leader="none" w:pos="580" w:val="left"/>
        </w:tabs>
        <w:numPr>
          <w:ilvl w:val="0"/>
          <w:numId w:val="46"/>
        </w:numPr>
        <w:rPr>
          <w:rFonts w:ascii="Arial" w:cs="Arial" w:eastAsia="Arial" w:hAnsi="Arial"/>
          <w:sz w:val="16"/>
          <w:szCs w:val="16"/>
          <w:color w:val="4D8ABE"/>
        </w:rPr>
      </w:pPr>
      <w:r>
        <w:rPr>
          <w:rFonts w:ascii="Arial" w:cs="Arial" w:eastAsia="Arial" w:hAnsi="Arial"/>
          <w:sz w:val="16"/>
          <w:szCs w:val="16"/>
          <w:color w:val="auto"/>
        </w:rPr>
        <w:t>increased demand for our outplacement services at Right Management, where these revenues increased 10.1% (12.2% on a constant currency basis).</w:t>
      </w:r>
    </w:p>
    <w:p>
      <w:pPr>
        <w:spacing w:after="0" w:line="28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year-over-year 20 basis point (–0.20%) decrease in gross profit margin was primarily attributed to:</w:t>
      </w:r>
    </w:p>
    <w:p>
      <w:pPr>
        <w:spacing w:after="0" w:line="23" w:lineRule="exact"/>
        <w:rPr>
          <w:sz w:val="20"/>
          <w:szCs w:val="20"/>
          <w:color w:val="auto"/>
        </w:rPr>
      </w:pPr>
    </w:p>
    <w:p>
      <w:pPr>
        <w:ind w:left="580" w:hanging="572"/>
        <w:spacing w:after="0" w:line="268" w:lineRule="auto"/>
        <w:tabs>
          <w:tab w:leader="none" w:pos="580" w:val="left"/>
        </w:tabs>
        <w:numPr>
          <w:ilvl w:val="0"/>
          <w:numId w:val="47"/>
        </w:numPr>
        <w:rPr>
          <w:rFonts w:ascii="Arial" w:cs="Arial" w:eastAsia="Arial" w:hAnsi="Arial"/>
          <w:sz w:val="18"/>
          <w:szCs w:val="18"/>
          <w:color w:val="4D8ABE"/>
        </w:rPr>
      </w:pPr>
      <w:r>
        <w:rPr>
          <w:rFonts w:ascii="Arial" w:cs="Arial" w:eastAsia="Arial" w:hAnsi="Arial"/>
          <w:sz w:val="18"/>
          <w:szCs w:val="18"/>
          <w:color w:val="auto"/>
        </w:rPr>
        <w:t>a 40 basis point (–0.40%) decline from our staffing/interim business primarily related to pricing pressures in some of our European markets and within the Experis business line in the United States; partially offset by</w:t>
      </w:r>
    </w:p>
    <w:p>
      <w:pPr>
        <w:spacing w:after="0" w:line="118" w:lineRule="exact"/>
        <w:rPr>
          <w:rFonts w:ascii="Arial" w:cs="Arial" w:eastAsia="Arial" w:hAnsi="Arial"/>
          <w:sz w:val="18"/>
          <w:szCs w:val="18"/>
          <w:color w:val="4D8ABE"/>
        </w:rPr>
      </w:pPr>
    </w:p>
    <w:p>
      <w:pPr>
        <w:ind w:left="580" w:hanging="572"/>
        <w:spacing w:after="0"/>
        <w:tabs>
          <w:tab w:leader="none" w:pos="580" w:val="left"/>
        </w:tabs>
        <w:numPr>
          <w:ilvl w:val="0"/>
          <w:numId w:val="47"/>
        </w:numPr>
        <w:rPr>
          <w:rFonts w:ascii="Arial" w:cs="Arial" w:eastAsia="Arial" w:hAnsi="Arial"/>
          <w:sz w:val="16"/>
          <w:szCs w:val="16"/>
          <w:color w:val="4D8ABE"/>
        </w:rPr>
      </w:pPr>
      <w:r>
        <w:rPr>
          <w:rFonts w:ascii="Arial" w:cs="Arial" w:eastAsia="Arial" w:hAnsi="Arial"/>
          <w:sz w:val="16"/>
          <w:szCs w:val="16"/>
          <w:color w:val="auto"/>
        </w:rPr>
        <w:t>a 10 basis point (0.10%) favorable impact from strong growth and improved margins in Right Management’s higher-margin outplacement services; and</w:t>
      </w:r>
    </w:p>
    <w:p>
      <w:pPr>
        <w:spacing w:after="0" w:line="180" w:lineRule="exact"/>
        <w:rPr>
          <w:rFonts w:ascii="Arial" w:cs="Arial" w:eastAsia="Arial" w:hAnsi="Arial"/>
          <w:sz w:val="16"/>
          <w:szCs w:val="16"/>
          <w:color w:val="4D8ABE"/>
        </w:rPr>
      </w:pPr>
    </w:p>
    <w:p>
      <w:pPr>
        <w:ind w:left="580" w:hanging="572"/>
        <w:spacing w:after="0"/>
        <w:tabs>
          <w:tab w:leader="none" w:pos="580" w:val="left"/>
        </w:tabs>
        <w:numPr>
          <w:ilvl w:val="0"/>
          <w:numId w:val="47"/>
        </w:numPr>
        <w:rPr>
          <w:rFonts w:ascii="Arial" w:cs="Arial" w:eastAsia="Arial" w:hAnsi="Arial"/>
          <w:sz w:val="18"/>
          <w:szCs w:val="18"/>
          <w:color w:val="4D8ABE"/>
        </w:rPr>
      </w:pPr>
      <w:r>
        <w:rPr>
          <w:rFonts w:ascii="Arial" w:cs="Arial" w:eastAsia="Arial" w:hAnsi="Arial"/>
          <w:sz w:val="18"/>
          <w:szCs w:val="18"/>
          <w:color w:val="auto"/>
        </w:rPr>
        <w:t>a 10 basis point (0.10%) increase due to the impact of currency exchange rates.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4.8% decline in selling and administrative expenses in 2012 (–0.8% in constant currency and –1.5% in organic constant currency) was attributed to:</w:t>
      </w:r>
    </w:p>
    <w:p>
      <w:pPr>
        <w:spacing w:after="0" w:line="181"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4D8ABE"/>
        </w:rPr>
      </w:pPr>
      <w:r>
        <w:rPr>
          <w:rFonts w:ascii="Arial" w:cs="Arial" w:eastAsia="Arial" w:hAnsi="Arial"/>
          <w:sz w:val="18"/>
          <w:szCs w:val="18"/>
          <w:color w:val="auto"/>
        </w:rPr>
        <w:t>a decrease in our organic salary-related costs, because of lower headcount and lower variable incentive-based costs;</w:t>
      </w:r>
    </w:p>
    <w:p>
      <w:pPr>
        <w:spacing w:after="0" w:line="157" w:lineRule="exact"/>
        <w:rPr>
          <w:rFonts w:ascii="Arial" w:cs="Arial" w:eastAsia="Arial" w:hAnsi="Arial"/>
          <w:sz w:val="18"/>
          <w:szCs w:val="18"/>
          <w:color w:val="4D8ABE"/>
        </w:rPr>
      </w:pPr>
    </w:p>
    <w:p>
      <w:pPr>
        <w:ind w:left="580" w:hanging="572"/>
        <w:spacing w:after="0"/>
        <w:tabs>
          <w:tab w:leader="none" w:pos="580" w:val="left"/>
        </w:tabs>
        <w:numPr>
          <w:ilvl w:val="0"/>
          <w:numId w:val="48"/>
        </w:numPr>
        <w:rPr>
          <w:rFonts w:ascii="Arial" w:cs="Arial" w:eastAsia="Arial" w:hAnsi="Arial"/>
          <w:sz w:val="18"/>
          <w:szCs w:val="18"/>
          <w:color w:val="4D8ABE"/>
        </w:rPr>
      </w:pPr>
      <w:r>
        <w:rPr>
          <w:rFonts w:ascii="Arial" w:cs="Arial" w:eastAsia="Arial" w:hAnsi="Arial"/>
          <w:sz w:val="18"/>
          <w:szCs w:val="18"/>
          <w:color w:val="auto"/>
        </w:rPr>
        <w:t>a 4.0% decrease due to the impact of currency exchange rates; partially offset by</w:t>
      </w:r>
    </w:p>
    <w:p>
      <w:pPr>
        <w:spacing w:after="0" w:line="157" w:lineRule="exact"/>
        <w:rPr>
          <w:rFonts w:ascii="Arial" w:cs="Arial" w:eastAsia="Arial" w:hAnsi="Arial"/>
          <w:sz w:val="18"/>
          <w:szCs w:val="18"/>
          <w:color w:val="4D8ABE"/>
        </w:rPr>
      </w:pPr>
    </w:p>
    <w:p>
      <w:pPr>
        <w:ind w:left="580" w:right="20" w:hanging="572"/>
        <w:spacing w:after="0" w:line="268" w:lineRule="auto"/>
        <w:tabs>
          <w:tab w:leader="none" w:pos="580" w:val="left"/>
        </w:tabs>
        <w:numPr>
          <w:ilvl w:val="0"/>
          <w:numId w:val="48"/>
        </w:numPr>
        <w:rPr>
          <w:rFonts w:ascii="Arial" w:cs="Arial" w:eastAsia="Arial" w:hAnsi="Arial"/>
          <w:sz w:val="18"/>
          <w:szCs w:val="18"/>
          <w:color w:val="4D8ABE"/>
        </w:rPr>
      </w:pPr>
      <w:r>
        <w:rPr>
          <w:rFonts w:ascii="Arial" w:cs="Arial" w:eastAsia="Arial" w:hAnsi="Arial"/>
          <w:sz w:val="18"/>
          <w:szCs w:val="18"/>
          <w:color w:val="auto"/>
        </w:rPr>
        <w:t>reorganization costs of $48.8 million, comprised of $9.8 million in the Americas, $3.8 million in Southern Europe, $13.2 million in Northern Europe, $0.7 million in APME, $10.9 million at Right Management and $10.4 million in corporate expenses;</w:t>
      </w:r>
    </w:p>
    <w:p>
      <w:pPr>
        <w:spacing w:after="0" w:line="118" w:lineRule="exact"/>
        <w:rPr>
          <w:rFonts w:ascii="Arial" w:cs="Arial" w:eastAsia="Arial" w:hAnsi="Arial"/>
          <w:sz w:val="18"/>
          <w:szCs w:val="18"/>
          <w:color w:val="4D8ABE"/>
        </w:rPr>
      </w:pPr>
    </w:p>
    <w:p>
      <w:pPr>
        <w:ind w:left="580" w:hanging="572"/>
        <w:spacing w:after="0" w:line="268" w:lineRule="auto"/>
        <w:tabs>
          <w:tab w:leader="none" w:pos="580" w:val="left"/>
        </w:tabs>
        <w:numPr>
          <w:ilvl w:val="0"/>
          <w:numId w:val="48"/>
        </w:numPr>
        <w:rPr>
          <w:rFonts w:ascii="Arial" w:cs="Arial" w:eastAsia="Arial" w:hAnsi="Arial"/>
          <w:sz w:val="18"/>
          <w:szCs w:val="18"/>
          <w:color w:val="4D8ABE"/>
        </w:rPr>
      </w:pPr>
      <w:r>
        <w:rPr>
          <w:rFonts w:ascii="Arial" w:cs="Arial" w:eastAsia="Arial" w:hAnsi="Arial"/>
          <w:sz w:val="18"/>
          <w:szCs w:val="18"/>
          <w:color w:val="auto"/>
        </w:rPr>
        <w:t>legal costs of $10.0 million in the United States, primarily related to a settlement agreement in connection with a lawsuit involving allegations regarding the Company’s vacation pay practices in Illinois; and</w:t>
      </w:r>
    </w:p>
    <w:p>
      <w:pPr>
        <w:spacing w:after="0" w:line="118" w:lineRule="exact"/>
        <w:rPr>
          <w:rFonts w:ascii="Arial" w:cs="Arial" w:eastAsia="Arial" w:hAnsi="Arial"/>
          <w:sz w:val="18"/>
          <w:szCs w:val="18"/>
          <w:color w:val="4D8ABE"/>
        </w:rPr>
      </w:pPr>
    </w:p>
    <w:p>
      <w:pPr>
        <w:ind w:left="580" w:hanging="572"/>
        <w:spacing w:after="0"/>
        <w:tabs>
          <w:tab w:leader="none" w:pos="580" w:val="left"/>
        </w:tabs>
        <w:numPr>
          <w:ilvl w:val="0"/>
          <w:numId w:val="48"/>
        </w:numPr>
        <w:rPr>
          <w:rFonts w:ascii="Arial" w:cs="Arial" w:eastAsia="Arial" w:hAnsi="Arial"/>
          <w:sz w:val="18"/>
          <w:szCs w:val="18"/>
          <w:color w:val="4D8ABE"/>
        </w:rPr>
      </w:pPr>
      <w:r>
        <w:rPr>
          <w:rFonts w:ascii="Arial" w:cs="Arial" w:eastAsia="Arial" w:hAnsi="Arial"/>
          <w:sz w:val="18"/>
          <w:szCs w:val="18"/>
          <w:color w:val="auto"/>
        </w:rPr>
        <w:t>the additional recurring selling and administrative costs as a result of the acquisitions in Southern Europe, APME and the Americas.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Selling and administrative expenses as a percent of revenues increased 20 basis points (0.20%) in 2012 compared to 2011. The change in selling and administrative expense as a percent of revenues consists of:</w:t>
      </w:r>
    </w:p>
    <w:p>
      <w:pPr>
        <w:spacing w:after="0" w:line="118"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4D8ABE"/>
        </w:rPr>
      </w:pPr>
      <w:r>
        <w:rPr>
          <w:rFonts w:ascii="Arial" w:cs="Arial" w:eastAsia="Arial" w:hAnsi="Arial"/>
          <w:sz w:val="18"/>
          <w:szCs w:val="18"/>
          <w:color w:val="auto"/>
        </w:rPr>
        <w:t>a 15 basis point (0.15%) increase due to the reorganization costs of $48.8 million in 2012 compared to $23.1 million in 2011; and</w:t>
      </w:r>
    </w:p>
    <w:p>
      <w:pPr>
        <w:spacing w:after="0" w:line="157" w:lineRule="exact"/>
        <w:rPr>
          <w:rFonts w:ascii="Arial" w:cs="Arial" w:eastAsia="Arial" w:hAnsi="Arial"/>
          <w:sz w:val="18"/>
          <w:szCs w:val="18"/>
          <w:color w:val="4D8ABE"/>
        </w:rPr>
      </w:pPr>
    </w:p>
    <w:p>
      <w:pPr>
        <w:ind w:left="580" w:hanging="572"/>
        <w:spacing w:after="0"/>
        <w:tabs>
          <w:tab w:leader="none" w:pos="580" w:val="left"/>
        </w:tabs>
        <w:numPr>
          <w:ilvl w:val="0"/>
          <w:numId w:val="49"/>
        </w:numPr>
        <w:rPr>
          <w:rFonts w:ascii="Arial" w:cs="Arial" w:eastAsia="Arial" w:hAnsi="Arial"/>
          <w:sz w:val="18"/>
          <w:szCs w:val="18"/>
          <w:color w:val="4D8ABE"/>
        </w:rPr>
      </w:pPr>
      <w:r>
        <w:rPr>
          <w:rFonts w:ascii="Arial" w:cs="Arial" w:eastAsia="Arial" w:hAnsi="Arial"/>
          <w:sz w:val="18"/>
          <w:szCs w:val="18"/>
          <w:color w:val="auto"/>
        </w:rPr>
        <w:t>a 5 basis point (0.05%) increase due to the legal costs of $10.0 million in the United States as noted above.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$43.3 million in 2012 compared to $44.3 million in 2011. Net interest expense decreased $0.3 million in 2012 to $35.2 million from $35.5 million in 2011 due to lower interest rates. Other expenses decreased $0.7 million in 2012 due primarily to a $1.9 million decrease in translation losses.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recorded an income tax expense at an effective rate of 46.4% for 2012, as compared to an effective rate of 47.6% for 2011. The 2012 tax rate is lower than the 2011 rate due to the benefits resulting from the changes in our legal entity structure. The 46.4% effective tax rate is higher than the United States Federal statutory rate of 35% due primarily to valuation allowances, other permanent items, discrete items related to reorganization costs described further in Note 1 to the Consolidated Financial Statements, and the French business tax. Excluding the impact of the discrete items and the French business tax, our tax rate for 2012 and 2011 would have been approximately 33% and 36%, respectively. The 2012 tax rate, excluding the discrete items and French business tax, is lower than the 2011 rate due to the benefits resulting from the changes in our legal entity structure. The United States Federal Work Opportunity Tax Credit (“WOTC”) was retroactively reinstated to January 1, 2012 as part of the American Taxpayer Relief Act, which was enacted on January 2, 2013. The $7.0 million tax benefit related to 2012 will be recognized by the Company during the first quarter of 2013, the period during which the law was enacted. The American Taxpayer Relief Act also extended the WOTC through December 31, 2013.</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earnings per share — diluted was $2.47 in 2012 compared to $3.04 in 2011. Foreign currency exchange rates unfavorably impacted net earnings per share — diluted by approximately $0.14 per share in 2012.</w:t>
      </w:r>
    </w:p>
    <w:p>
      <w:pPr>
        <w:spacing w:after="0" w:line="18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Weighted average shares — diluted decreased 3.3% to 80.1 million in 2012 from 82.8 million in 2011. This decrease was primarily a result of the repurchase of 3.6 million shares in 2012.</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45" w:name="page46"/>
    <w:bookmarkEnd w:id="45"/>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CONSOLIDATED RESULTS — 2011 COMPARED TO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2011 as compared to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shd w:val="clear" w:color="auto" w:fill="86B6A5"/>
          </w:tcPr>
          <w:p>
            <w:pPr>
              <w:spacing w:after="0"/>
              <w:rPr>
                <w:sz w:val="14"/>
                <w:szCs w:val="14"/>
                <w:color w:val="auto"/>
              </w:rPr>
            </w:pPr>
          </w:p>
        </w:tc>
        <w:tc>
          <w:tcPr>
            <w:tcW w:w="960" w:type="dxa"/>
            <w:vAlign w:val="bottom"/>
            <w:shd w:val="clear" w:color="auto" w:fill="86B6A5"/>
          </w:tcPr>
          <w:p>
            <w:pPr>
              <w:spacing w:after="0"/>
              <w:rPr>
                <w:sz w:val="14"/>
                <w:szCs w:val="14"/>
                <w:color w:val="auto"/>
              </w:rPr>
            </w:pPr>
          </w:p>
        </w:tc>
        <w:tc>
          <w:tcPr>
            <w:tcW w:w="200" w:type="dxa"/>
            <w:vAlign w:val="bottom"/>
            <w:shd w:val="clear" w:color="auto" w:fill="86B6A5"/>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jc w:val="right"/>
              <w:ind w:right="302"/>
              <w:spacing w:after="0"/>
              <w:rPr>
                <w:sz w:val="20"/>
                <w:szCs w:val="20"/>
                <w:color w:val="auto"/>
              </w:rPr>
            </w:pPr>
            <w:r>
              <w:rPr>
                <w:rFonts w:ascii="Arial" w:cs="Arial" w:eastAsia="Arial" w:hAnsi="Arial"/>
                <w:sz w:val="14"/>
                <w:szCs w:val="14"/>
                <w:b w:val="1"/>
                <w:bCs w:val="1"/>
                <w:color w:val="86B6A5"/>
              </w:rPr>
              <w:t>Variance in</w:t>
            </w:r>
          </w:p>
        </w:tc>
        <w:tc>
          <w:tcPr>
            <w:tcW w:w="1520" w:type="dxa"/>
            <w:vAlign w:val="bottom"/>
          </w:tcPr>
          <w:p>
            <w:pPr>
              <w:jc w:val="right"/>
              <w:ind w:right="162"/>
              <w:spacing w:after="0"/>
              <w:rPr>
                <w:sz w:val="20"/>
                <w:szCs w:val="20"/>
                <w:color w:val="auto"/>
              </w:rPr>
            </w:pPr>
            <w:r>
              <w:rPr>
                <w:rFonts w:ascii="Arial" w:cs="Arial" w:eastAsia="Arial" w:hAnsi="Arial"/>
                <w:sz w:val="14"/>
                <w:szCs w:val="14"/>
                <w:b w:val="1"/>
                <w:bCs w:val="1"/>
                <w:color w:val="86B6A5"/>
              </w:rPr>
              <w:t>Variance in</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60" w:type="dxa"/>
            <w:vAlign w:val="bottom"/>
            <w:shd w:val="clear" w:color="auto" w:fill="86B6A5"/>
          </w:tcPr>
          <w:p>
            <w:pPr>
              <w:spacing w:after="0"/>
              <w:rPr>
                <w:sz w:val="12"/>
                <w:szCs w:val="12"/>
                <w:color w:val="auto"/>
              </w:rPr>
            </w:pPr>
          </w:p>
        </w:tc>
        <w:tc>
          <w:tcPr>
            <w:tcW w:w="200" w:type="dxa"/>
            <w:vAlign w:val="bottom"/>
            <w:shd w:val="clear" w:color="auto" w:fill="86B6A5"/>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86B6A5"/>
              </w:rPr>
              <w:t>Reported</w:t>
            </w:r>
          </w:p>
        </w:tc>
        <w:tc>
          <w:tcPr>
            <w:tcW w:w="128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86B6A5"/>
              </w:rPr>
              <w:t>Constant</w:t>
            </w:r>
          </w:p>
        </w:tc>
        <w:tc>
          <w:tcPr>
            <w:tcW w:w="152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86B6A5"/>
              </w:rPr>
              <w:t>Organic Constant</w:t>
            </w:r>
          </w:p>
        </w:tc>
      </w:tr>
      <w:tr>
        <w:trPr>
          <w:trHeight w:val="161"/>
        </w:trPr>
        <w:tc>
          <w:tcPr>
            <w:tcW w:w="464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(in millions, except per share data)</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gridSpan w:val="2"/>
            <w:shd w:val="clear" w:color="auto" w:fill="86B6A5"/>
          </w:tcPr>
          <w:p>
            <w:pPr>
              <w:jc w:val="right"/>
              <w:ind w:right="200"/>
              <w:spacing w:after="0"/>
              <w:rPr>
                <w:sz w:val="20"/>
                <w:szCs w:val="20"/>
                <w:color w:val="auto"/>
              </w:rPr>
            </w:pPr>
            <w:r>
              <w:rPr>
                <w:rFonts w:ascii="Arial" w:cs="Arial" w:eastAsia="Arial" w:hAnsi="Arial"/>
                <w:sz w:val="14"/>
                <w:szCs w:val="14"/>
                <w:b w:val="1"/>
                <w:bCs w:val="1"/>
                <w:color w:val="FFFFFF"/>
              </w:rPr>
              <w:t>2011</w:t>
            </w:r>
          </w:p>
        </w:tc>
        <w:tc>
          <w:tcPr>
            <w:tcW w:w="280" w:type="dxa"/>
            <w:vAlign w:val="bottom"/>
            <w:tcBorders>
              <w:bottom w:val="single" w:sz="8" w:color="86B6A5"/>
            </w:tcBorders>
          </w:tcPr>
          <w:p>
            <w:pPr>
              <w:spacing w:after="0"/>
              <w:rPr>
                <w:sz w:val="14"/>
                <w:szCs w:val="14"/>
                <w:color w:val="auto"/>
              </w:rPr>
            </w:pPr>
          </w:p>
        </w:tc>
        <w:tc>
          <w:tcPr>
            <w:tcW w:w="1260" w:type="dxa"/>
            <w:vAlign w:val="bottom"/>
            <w:tcBorders>
              <w:bottom w:val="single" w:sz="8" w:color="86B6A5"/>
            </w:tcBorders>
          </w:tcPr>
          <w:p>
            <w:pPr>
              <w:jc w:val="right"/>
              <w:ind w:right="393"/>
              <w:spacing w:after="0"/>
              <w:rPr>
                <w:sz w:val="20"/>
                <w:szCs w:val="20"/>
                <w:color w:val="auto"/>
              </w:rPr>
            </w:pPr>
            <w:r>
              <w:rPr>
                <w:rFonts w:ascii="Arial" w:cs="Arial" w:eastAsia="Arial" w:hAnsi="Arial"/>
                <w:sz w:val="14"/>
                <w:szCs w:val="14"/>
                <w:b w:val="1"/>
                <w:bCs w:val="1"/>
                <w:color w:val="86B6A5"/>
              </w:rPr>
              <w:t>2010</w:t>
            </w:r>
          </w:p>
        </w:tc>
        <w:tc>
          <w:tcPr>
            <w:tcW w:w="1180" w:type="dxa"/>
            <w:vAlign w:val="bottom"/>
            <w:tcBorders>
              <w:bottom w:val="single" w:sz="8" w:color="86B6A5"/>
            </w:tcBorders>
          </w:tcPr>
          <w:p>
            <w:pPr>
              <w:jc w:val="right"/>
              <w:ind w:right="297"/>
              <w:spacing w:after="0"/>
              <w:rPr>
                <w:sz w:val="20"/>
                <w:szCs w:val="20"/>
                <w:color w:val="auto"/>
              </w:rPr>
            </w:pPr>
            <w:r>
              <w:rPr>
                <w:rFonts w:ascii="Arial" w:cs="Arial" w:eastAsia="Arial" w:hAnsi="Arial"/>
                <w:sz w:val="14"/>
                <w:szCs w:val="14"/>
                <w:b w:val="1"/>
                <w:bCs w:val="1"/>
                <w:color w:val="86B6A5"/>
              </w:rPr>
              <w:t>Variance</w:t>
            </w:r>
          </w:p>
        </w:tc>
        <w:tc>
          <w:tcPr>
            <w:tcW w:w="1280" w:type="dxa"/>
            <w:vAlign w:val="bottom"/>
            <w:tcBorders>
              <w:bottom w:val="single" w:sz="8" w:color="86B6A5"/>
            </w:tcBorders>
          </w:tcPr>
          <w:p>
            <w:pPr>
              <w:jc w:val="right"/>
              <w:ind w:right="302"/>
              <w:spacing w:after="0"/>
              <w:rPr>
                <w:sz w:val="20"/>
                <w:szCs w:val="20"/>
                <w:color w:val="auto"/>
              </w:rPr>
            </w:pPr>
            <w:r>
              <w:rPr>
                <w:rFonts w:ascii="Arial" w:cs="Arial" w:eastAsia="Arial" w:hAnsi="Arial"/>
                <w:sz w:val="14"/>
                <w:szCs w:val="14"/>
                <w:b w:val="1"/>
                <w:bCs w:val="1"/>
                <w:color w:val="86B6A5"/>
              </w:rPr>
              <w:t>Currency</w:t>
            </w:r>
          </w:p>
        </w:tc>
        <w:tc>
          <w:tcPr>
            <w:tcW w:w="1520" w:type="dxa"/>
            <w:vAlign w:val="bottom"/>
            <w:tcBorders>
              <w:bottom w:val="single" w:sz="8" w:color="86B6A5"/>
            </w:tcBorders>
          </w:tcPr>
          <w:p>
            <w:pPr>
              <w:jc w:val="right"/>
              <w:ind w:right="162"/>
              <w:spacing w:after="0"/>
              <w:rPr>
                <w:sz w:val="20"/>
                <w:szCs w:val="20"/>
                <w:color w:val="auto"/>
              </w:rPr>
            </w:pPr>
            <w:r>
              <w:rPr>
                <w:rFonts w:ascii="Arial" w:cs="Arial" w:eastAsia="Arial" w:hAnsi="Arial"/>
                <w:sz w:val="14"/>
                <w:szCs w:val="14"/>
                <w:b w:val="1"/>
                <w:bCs w:val="1"/>
                <w:color w:val="86B6A5"/>
              </w:rPr>
              <w:t>Currency</w:t>
            </w: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22,006.0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18,866.5</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16.6%</w:t>
            </w:r>
          </w:p>
        </w:tc>
        <w:tc>
          <w:tcPr>
            <w:tcW w:w="1280" w:type="dxa"/>
            <w:vAlign w:val="bottom"/>
          </w:tcPr>
          <w:p>
            <w:pPr>
              <w:jc w:val="right"/>
              <w:ind w:right="162"/>
              <w:spacing w:after="0"/>
              <w:rPr>
                <w:sz w:val="20"/>
                <w:szCs w:val="20"/>
                <w:color w:val="auto"/>
              </w:rPr>
            </w:pPr>
            <w:r>
              <w:rPr>
                <w:rFonts w:ascii="Arial" w:cs="Arial" w:eastAsia="Arial" w:hAnsi="Arial"/>
                <w:sz w:val="18"/>
                <w:szCs w:val="18"/>
                <w:color w:val="auto"/>
              </w:rPr>
              <w:t>11.6%</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9.7%</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18,299.7</w:t>
            </w: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15,621.1</w:t>
            </w:r>
          </w:p>
        </w:tc>
        <w:tc>
          <w:tcPr>
            <w:tcW w:w="1180" w:type="dxa"/>
            <w:vAlign w:val="bottom"/>
          </w:tcPr>
          <w:p>
            <w:pPr>
              <w:jc w:val="right"/>
              <w:ind w:right="297"/>
              <w:spacing w:after="0"/>
              <w:rPr>
                <w:sz w:val="20"/>
                <w:szCs w:val="20"/>
                <w:color w:val="auto"/>
              </w:rPr>
            </w:pPr>
            <w:r>
              <w:rPr>
                <w:rFonts w:ascii="Arial" w:cs="Arial" w:eastAsia="Arial" w:hAnsi="Arial"/>
                <w:sz w:val="18"/>
                <w:szCs w:val="18"/>
                <w:color w:val="auto"/>
              </w:rPr>
              <w:t>17.1</w:t>
            </w: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939598"/>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939598"/>
            </w:tcBorders>
            <w:shd w:val="clear" w:color="auto" w:fill="E3F1DA"/>
          </w:tcPr>
          <w:p>
            <w:pPr>
              <w:spacing w:after="0"/>
              <w:rPr>
                <w:sz w:val="18"/>
                <w:szCs w:val="18"/>
                <w:color w:val="auto"/>
              </w:rPr>
            </w:pPr>
          </w:p>
        </w:tc>
        <w:tc>
          <w:tcPr>
            <w:tcW w:w="1160" w:type="dxa"/>
            <w:vAlign w:val="bottom"/>
            <w:tcBorders>
              <w:top w:val="single" w:sz="8" w:color="939598"/>
            </w:tcBorders>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3,706.3</w:t>
            </w:r>
          </w:p>
        </w:tc>
        <w:tc>
          <w:tcPr>
            <w:tcW w:w="280" w:type="dxa"/>
            <w:vAlign w:val="bottom"/>
            <w:tcBorders>
              <w:top w:val="single" w:sz="8" w:color="939598"/>
            </w:tcBorders>
          </w:tcPr>
          <w:p>
            <w:pPr>
              <w:spacing w:after="0"/>
              <w:rPr>
                <w:sz w:val="18"/>
                <w:szCs w:val="18"/>
                <w:color w:val="auto"/>
              </w:rPr>
            </w:pPr>
          </w:p>
        </w:tc>
        <w:tc>
          <w:tcPr>
            <w:tcW w:w="1260" w:type="dxa"/>
            <w:vAlign w:val="bottom"/>
            <w:tcBorders>
              <w:top w:val="single" w:sz="8" w:color="939598"/>
            </w:tcBorders>
          </w:tcPr>
          <w:p>
            <w:pPr>
              <w:jc w:val="right"/>
              <w:ind w:right="393"/>
              <w:spacing w:after="0"/>
              <w:rPr>
                <w:sz w:val="20"/>
                <w:szCs w:val="20"/>
                <w:color w:val="auto"/>
              </w:rPr>
            </w:pPr>
            <w:r>
              <w:rPr>
                <w:rFonts w:ascii="Arial" w:cs="Arial" w:eastAsia="Arial" w:hAnsi="Arial"/>
                <w:sz w:val="18"/>
                <w:szCs w:val="18"/>
                <w:color w:val="auto"/>
              </w:rPr>
              <w:t>3,245.4</w:t>
            </w:r>
          </w:p>
        </w:tc>
        <w:tc>
          <w:tcPr>
            <w:tcW w:w="1180" w:type="dxa"/>
            <w:vAlign w:val="bottom"/>
            <w:tcBorders>
              <w:top w:val="single" w:sz="8" w:color="939598"/>
            </w:tcBorders>
          </w:tcPr>
          <w:p>
            <w:pPr>
              <w:jc w:val="right"/>
              <w:ind w:right="297"/>
              <w:spacing w:after="0"/>
              <w:rPr>
                <w:sz w:val="20"/>
                <w:szCs w:val="20"/>
                <w:color w:val="auto"/>
              </w:rPr>
            </w:pPr>
            <w:r>
              <w:rPr>
                <w:rFonts w:ascii="Arial" w:cs="Arial" w:eastAsia="Arial" w:hAnsi="Arial"/>
                <w:sz w:val="18"/>
                <w:szCs w:val="18"/>
                <w:color w:val="auto"/>
              </w:rPr>
              <w:t>14.2</w:t>
            </w:r>
          </w:p>
        </w:tc>
        <w:tc>
          <w:tcPr>
            <w:tcW w:w="1280" w:type="dxa"/>
            <w:vAlign w:val="bottom"/>
            <w:tcBorders>
              <w:top w:val="single" w:sz="8" w:color="939598"/>
            </w:tcBorders>
          </w:tcPr>
          <w:p>
            <w:pPr>
              <w:jc w:val="right"/>
              <w:ind w:right="302"/>
              <w:spacing w:after="0"/>
              <w:rPr>
                <w:sz w:val="20"/>
                <w:szCs w:val="20"/>
                <w:color w:val="auto"/>
              </w:rPr>
            </w:pPr>
            <w:r>
              <w:rPr>
                <w:rFonts w:ascii="Arial" w:cs="Arial" w:eastAsia="Arial" w:hAnsi="Arial"/>
                <w:sz w:val="18"/>
                <w:szCs w:val="18"/>
                <w:color w:val="auto"/>
              </w:rPr>
              <w:t>9.4</w:t>
            </w:r>
          </w:p>
        </w:tc>
        <w:tc>
          <w:tcPr>
            <w:tcW w:w="1520" w:type="dxa"/>
            <w:vAlign w:val="bottom"/>
            <w:tcBorders>
              <w:top w:val="single" w:sz="8" w:color="939598"/>
            </w:tcBorders>
          </w:tcPr>
          <w:p>
            <w:pPr>
              <w:jc w:val="right"/>
              <w:ind w:right="162"/>
              <w:spacing w:after="0"/>
              <w:rPr>
                <w:sz w:val="20"/>
                <w:szCs w:val="20"/>
                <w:color w:val="auto"/>
              </w:rPr>
            </w:pPr>
            <w:r>
              <w:rPr>
                <w:rFonts w:ascii="Arial" w:cs="Arial" w:eastAsia="Arial" w:hAnsi="Arial"/>
                <w:sz w:val="18"/>
                <w:szCs w:val="18"/>
                <w:color w:val="auto"/>
              </w:rPr>
              <w:t>7.4</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Gross profit margin</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i w:val="1"/>
                <w:iCs w:val="1"/>
                <w:color w:val="auto"/>
              </w:rPr>
              <w:t>16.8%</w:t>
            </w:r>
          </w:p>
        </w:tc>
        <w:tc>
          <w:tcPr>
            <w:tcW w:w="280" w:type="dxa"/>
            <w:vAlign w:val="bottom"/>
          </w:tcPr>
          <w:p>
            <w:pPr>
              <w:spacing w:after="0"/>
              <w:rPr>
                <w:sz w:val="18"/>
                <w:szCs w:val="18"/>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i w:val="1"/>
                <w:iCs w:val="1"/>
                <w:color w:val="auto"/>
              </w:rPr>
              <w:t>17.2</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5"/>
              </w:rPr>
              <w:t>Selling and administrative expenses, excluding impairment</w:t>
            </w:r>
          </w:p>
        </w:tc>
        <w:tc>
          <w:tcPr>
            <w:tcW w:w="100" w:type="dxa"/>
            <w:vAlign w:val="bottom"/>
            <w:shd w:val="clear" w:color="auto" w:fill="E3F1DA"/>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E3F1DA"/>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3,182.1</w:t>
            </w:r>
          </w:p>
        </w:tc>
        <w:tc>
          <w:tcPr>
            <w:tcW w:w="20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2,938.6</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Goodwill and intangible asset impairment charges</w:t>
            </w:r>
          </w:p>
        </w:tc>
        <w:tc>
          <w:tcPr>
            <w:tcW w:w="100" w:type="dxa"/>
            <w:vAlign w:val="bottom"/>
            <w:tcBorders>
              <w:bottom w:val="single" w:sz="8" w:color="939598"/>
            </w:tcBorders>
            <w:shd w:val="clear" w:color="auto" w:fill="E3F1DA"/>
          </w:tcPr>
          <w:p>
            <w:pPr>
              <w:spacing w:after="0"/>
              <w:rPr>
                <w:sz w:val="19"/>
                <w:szCs w:val="19"/>
                <w:color w:val="auto"/>
              </w:rPr>
            </w:pP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39598"/>
            </w:tcBorders>
            <w:shd w:val="clear" w:color="auto" w:fill="E3F1DA"/>
          </w:tcPr>
          <w:p>
            <w:pPr>
              <w:spacing w:after="0"/>
              <w:rPr>
                <w:sz w:val="19"/>
                <w:szCs w:val="19"/>
                <w:color w:val="auto"/>
              </w:rPr>
            </w:pPr>
          </w:p>
        </w:tc>
        <w:tc>
          <w:tcPr>
            <w:tcW w:w="280" w:type="dxa"/>
            <w:vAlign w:val="bottom"/>
            <w:tcBorders>
              <w:bottom w:val="single" w:sz="8" w:color="939598"/>
            </w:tcBorders>
          </w:tcPr>
          <w:p>
            <w:pPr>
              <w:spacing w:after="0"/>
              <w:rPr>
                <w:sz w:val="19"/>
                <w:szCs w:val="19"/>
                <w:color w:val="auto"/>
              </w:rPr>
            </w:pPr>
          </w:p>
        </w:tc>
        <w:tc>
          <w:tcPr>
            <w:tcW w:w="1260" w:type="dxa"/>
            <w:vAlign w:val="bottom"/>
            <w:tcBorders>
              <w:bottom w:val="single" w:sz="8" w:color="939598"/>
            </w:tcBorders>
          </w:tcPr>
          <w:p>
            <w:pPr>
              <w:jc w:val="right"/>
              <w:ind w:right="393"/>
              <w:spacing w:after="0"/>
              <w:rPr>
                <w:sz w:val="20"/>
                <w:szCs w:val="20"/>
                <w:color w:val="auto"/>
              </w:rPr>
            </w:pPr>
            <w:r>
              <w:rPr>
                <w:rFonts w:ascii="Arial" w:cs="Arial" w:eastAsia="Arial" w:hAnsi="Arial"/>
                <w:sz w:val="18"/>
                <w:szCs w:val="18"/>
                <w:color w:val="auto"/>
              </w:rPr>
              <w:t>428.8</w:t>
            </w:r>
          </w:p>
        </w:tc>
        <w:tc>
          <w:tcPr>
            <w:tcW w:w="1180" w:type="dxa"/>
            <w:vAlign w:val="bottom"/>
            <w:tcBorders>
              <w:bottom w:val="single" w:sz="8" w:color="939598"/>
            </w:tcBorders>
          </w:tcPr>
          <w:p>
            <w:pPr>
              <w:spacing w:after="0"/>
              <w:rPr>
                <w:sz w:val="19"/>
                <w:szCs w:val="19"/>
                <w:color w:val="auto"/>
              </w:rPr>
            </w:pPr>
          </w:p>
        </w:tc>
        <w:tc>
          <w:tcPr>
            <w:tcW w:w="1280" w:type="dxa"/>
            <w:vAlign w:val="bottom"/>
            <w:tcBorders>
              <w:bottom w:val="single" w:sz="8" w:color="939598"/>
            </w:tcBorders>
          </w:tcPr>
          <w:p>
            <w:pPr>
              <w:spacing w:after="0"/>
              <w:rPr>
                <w:sz w:val="19"/>
                <w:szCs w:val="19"/>
                <w:color w:val="auto"/>
              </w:rPr>
            </w:pPr>
          </w:p>
        </w:tc>
        <w:tc>
          <w:tcPr>
            <w:tcW w:w="1520" w:type="dxa"/>
            <w:vAlign w:val="bottom"/>
            <w:tcBorders>
              <w:bottom w:val="single" w:sz="8" w:color="939598"/>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3,182.1</w:t>
            </w: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3,367.4</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(5.5)</w:t>
            </w:r>
          </w:p>
        </w:tc>
        <w:tc>
          <w:tcPr>
            <w:tcW w:w="1280" w:type="dxa"/>
            <w:vAlign w:val="bottom"/>
          </w:tcPr>
          <w:p>
            <w:pPr>
              <w:jc w:val="right"/>
              <w:ind w:right="242"/>
              <w:spacing w:after="0"/>
              <w:rPr>
                <w:sz w:val="20"/>
                <w:szCs w:val="20"/>
                <w:color w:val="auto"/>
              </w:rPr>
            </w:pPr>
            <w:r>
              <w:rPr>
                <w:rFonts w:ascii="Arial" w:cs="Arial" w:eastAsia="Arial" w:hAnsi="Arial"/>
                <w:sz w:val="18"/>
                <w:szCs w:val="18"/>
                <w:color w:val="auto"/>
              </w:rPr>
              <w:t>(9.2)</w:t>
            </w:r>
          </w:p>
        </w:tc>
        <w:tc>
          <w:tcPr>
            <w:tcW w:w="1520" w:type="dxa"/>
            <w:vAlign w:val="bottom"/>
          </w:tcPr>
          <w:p>
            <w:pPr>
              <w:jc w:val="right"/>
              <w:ind w:right="102"/>
              <w:spacing w:after="0"/>
              <w:rPr>
                <w:sz w:val="20"/>
                <w:szCs w:val="20"/>
                <w:color w:val="auto"/>
              </w:rPr>
            </w:pPr>
            <w:r>
              <w:rPr>
                <w:rFonts w:ascii="Arial" w:cs="Arial" w:eastAsia="Arial" w:hAnsi="Arial"/>
                <w:sz w:val="18"/>
                <w:szCs w:val="18"/>
                <w:color w:val="auto"/>
              </w:rPr>
              <w:t>(10.7)</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Selling and administrative expenses as a % of revenues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i w:val="1"/>
                <w:iCs w:val="1"/>
                <w:color w:val="auto"/>
              </w:rPr>
              <w:t>14.5%</w:t>
            </w:r>
          </w:p>
        </w:tc>
        <w:tc>
          <w:tcPr>
            <w:tcW w:w="280" w:type="dxa"/>
            <w:vAlign w:val="bottom"/>
          </w:tcPr>
          <w:p>
            <w:pPr>
              <w:spacing w:after="0"/>
              <w:rPr>
                <w:sz w:val="18"/>
                <w:szCs w:val="18"/>
                <w:color w:val="auto"/>
              </w:rPr>
            </w:pPr>
          </w:p>
        </w:tc>
        <w:tc>
          <w:tcPr>
            <w:tcW w:w="1260" w:type="dxa"/>
            <w:vAlign w:val="bottom"/>
          </w:tcPr>
          <w:p>
            <w:pPr>
              <w:jc w:val="right"/>
              <w:ind w:right="253"/>
              <w:spacing w:after="0"/>
              <w:rPr>
                <w:sz w:val="20"/>
                <w:szCs w:val="20"/>
                <w:color w:val="auto"/>
              </w:rPr>
            </w:pPr>
            <w:r>
              <w:rPr>
                <w:rFonts w:ascii="Arial" w:cs="Arial" w:eastAsia="Arial" w:hAnsi="Arial"/>
                <w:sz w:val="18"/>
                <w:szCs w:val="18"/>
                <w:i w:val="1"/>
                <w:iCs w:val="1"/>
                <w:color w:val="auto"/>
              </w:rPr>
              <w:t>17.8</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shd w:val="clear" w:color="auto" w:fill="E3F1DA"/>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(122.0)</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Operating profit margin</w:t>
            </w:r>
          </w:p>
        </w:tc>
        <w:tc>
          <w:tcPr>
            <w:tcW w:w="100" w:type="dxa"/>
            <w:vAlign w:val="bottom"/>
            <w:shd w:val="clear" w:color="auto" w:fill="E3F1DA"/>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2.4%</w:t>
            </w:r>
          </w:p>
        </w:tc>
        <w:tc>
          <w:tcPr>
            <w:tcW w:w="280" w:type="dxa"/>
            <w:vAlign w:val="bottom"/>
          </w:tcPr>
          <w:p>
            <w:pPr>
              <w:spacing w:after="0"/>
              <w:rPr>
                <w:sz w:val="18"/>
                <w:szCs w:val="18"/>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i w:val="1"/>
                <w:iCs w:val="1"/>
                <w:color w:val="auto"/>
              </w:rPr>
              <w:t>(0.6</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E3F1DA"/>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37.5</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(5.4)</w:t>
            </w: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939598"/>
            </w:tcBorders>
          </w:tcPr>
          <w:p>
            <w:pPr>
              <w:spacing w:after="0"/>
              <w:rPr>
                <w:sz w:val="19"/>
                <w:szCs w:val="19"/>
                <w:color w:val="auto"/>
              </w:rPr>
            </w:pPr>
          </w:p>
        </w:tc>
        <w:tc>
          <w:tcPr>
            <w:tcW w:w="1260" w:type="dxa"/>
            <w:vAlign w:val="bottom"/>
            <w:tcBorders>
              <w:bottom w:val="single" w:sz="8" w:color="939598"/>
            </w:tcBorders>
          </w:tcPr>
          <w:p>
            <w:pPr>
              <w:jc w:val="right"/>
              <w:ind w:right="393"/>
              <w:spacing w:after="0"/>
              <w:rPr>
                <w:sz w:val="20"/>
                <w:szCs w:val="20"/>
                <w:color w:val="auto"/>
              </w:rPr>
            </w:pPr>
            <w:r>
              <w:rPr>
                <w:rFonts w:ascii="Arial" w:cs="Arial" w:eastAsia="Arial" w:hAnsi="Arial"/>
                <w:sz w:val="18"/>
                <w:szCs w:val="18"/>
                <w:color w:val="auto"/>
              </w:rPr>
              <w:t>5.7</w:t>
            </w:r>
          </w:p>
        </w:tc>
        <w:tc>
          <w:tcPr>
            <w:tcW w:w="1180" w:type="dxa"/>
            <w:vAlign w:val="bottom"/>
            <w:tcBorders>
              <w:bottom w:val="single" w:sz="8" w:color="939598"/>
            </w:tcBorders>
          </w:tcPr>
          <w:p>
            <w:pPr>
              <w:jc w:val="right"/>
              <w:ind w:right="297"/>
              <w:spacing w:after="0"/>
              <w:rPr>
                <w:sz w:val="20"/>
                <w:szCs w:val="20"/>
                <w:color w:val="auto"/>
              </w:rPr>
            </w:pPr>
            <w:r>
              <w:rPr>
                <w:rFonts w:ascii="Arial" w:cs="Arial" w:eastAsia="Arial" w:hAnsi="Arial"/>
                <w:sz w:val="18"/>
                <w:szCs w:val="18"/>
                <w:color w:val="auto"/>
              </w:rPr>
              <w:t>55.1</w:t>
            </w:r>
          </w:p>
        </w:tc>
        <w:tc>
          <w:tcPr>
            <w:tcW w:w="1280" w:type="dxa"/>
            <w:vAlign w:val="bottom"/>
            <w:tcBorders>
              <w:bottom w:val="single" w:sz="8" w:color="939598"/>
            </w:tcBorders>
          </w:tcPr>
          <w:p>
            <w:pPr>
              <w:spacing w:after="0"/>
              <w:rPr>
                <w:sz w:val="19"/>
                <w:szCs w:val="19"/>
                <w:color w:val="auto"/>
              </w:rPr>
            </w:pPr>
          </w:p>
        </w:tc>
        <w:tc>
          <w:tcPr>
            <w:tcW w:w="1520" w:type="dxa"/>
            <w:vAlign w:val="bottom"/>
            <w:tcBorders>
              <w:bottom w:val="single" w:sz="8" w:color="939598"/>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shd w:val="clear" w:color="auto" w:fill="E3F1DA"/>
          </w:tcPr>
          <w:p>
            <w:pPr>
              <w:spacing w:after="0"/>
              <w:rPr>
                <w:sz w:val="18"/>
                <w:szCs w:val="18"/>
                <w:color w:val="auto"/>
              </w:rPr>
            </w:pPr>
          </w:p>
        </w:tc>
        <w:tc>
          <w:tcPr>
            <w:tcW w:w="1160" w:type="dxa"/>
            <w:vAlign w:val="bottom"/>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479.9</w:t>
            </w:r>
          </w:p>
        </w:tc>
        <w:tc>
          <w:tcPr>
            <w:tcW w:w="280" w:type="dxa"/>
            <w:vAlign w:val="bottom"/>
          </w:tcPr>
          <w:p>
            <w:pPr>
              <w:spacing w:after="0"/>
              <w:rPr>
                <w:sz w:val="18"/>
                <w:szCs w:val="18"/>
                <w:color w:val="auto"/>
              </w:rPr>
            </w:pPr>
          </w:p>
        </w:tc>
        <w:tc>
          <w:tcPr>
            <w:tcW w:w="1260" w:type="dxa"/>
            <w:vAlign w:val="bottom"/>
          </w:tcPr>
          <w:p>
            <w:pPr>
              <w:jc w:val="right"/>
              <w:ind w:right="333"/>
              <w:spacing w:after="0"/>
              <w:rPr>
                <w:sz w:val="20"/>
                <w:szCs w:val="20"/>
                <w:color w:val="auto"/>
              </w:rPr>
            </w:pPr>
            <w:r>
              <w:rPr>
                <w:rFonts w:ascii="Arial" w:cs="Arial" w:eastAsia="Arial" w:hAnsi="Arial"/>
                <w:sz w:val="18"/>
                <w:szCs w:val="18"/>
                <w:color w:val="auto"/>
              </w:rPr>
              <w:t>(165.2)</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E3F1DA"/>
          </w:tcPr>
          <w:p>
            <w:pPr>
              <w:spacing w:after="0"/>
              <w:rPr>
                <w:sz w:val="18"/>
                <w:szCs w:val="18"/>
                <w:color w:val="auto"/>
              </w:rPr>
            </w:pPr>
          </w:p>
        </w:tc>
        <w:tc>
          <w:tcPr>
            <w:tcW w:w="9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228.3</w:t>
            </w:r>
          </w:p>
        </w:tc>
        <w:tc>
          <w:tcPr>
            <w:tcW w:w="20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98.4</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i w:val="1"/>
                <w:iCs w:val="1"/>
                <w:color w:val="auto"/>
              </w:rPr>
              <w:t>Effective income tax rate</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gridSpan w:val="2"/>
          </w:tcPr>
          <w:p>
            <w:pPr>
              <w:jc w:val="right"/>
              <w:ind w:right="60"/>
              <w:spacing w:after="0"/>
              <w:rPr>
                <w:sz w:val="20"/>
                <w:szCs w:val="20"/>
                <w:color w:val="auto"/>
              </w:rPr>
            </w:pPr>
            <w:r>
              <w:rPr>
                <w:rFonts w:ascii="Arial" w:cs="Arial" w:eastAsia="Arial" w:hAnsi="Arial"/>
                <w:sz w:val="18"/>
                <w:szCs w:val="18"/>
                <w:i w:val="1"/>
                <w:iCs w:val="1"/>
                <w:color w:val="auto"/>
              </w:rPr>
              <w:t>47.6%</w:t>
            </w:r>
          </w:p>
        </w:tc>
        <w:tc>
          <w:tcPr>
            <w:tcW w:w="280" w:type="dxa"/>
            <w:vAlign w:val="bottom"/>
            <w:tcBorders>
              <w:bottom w:val="single" w:sz="8" w:color="939598"/>
            </w:tcBorders>
          </w:tcPr>
          <w:p>
            <w:pPr>
              <w:spacing w:after="0"/>
              <w:rPr>
                <w:sz w:val="18"/>
                <w:szCs w:val="18"/>
                <w:color w:val="auto"/>
              </w:rPr>
            </w:pPr>
          </w:p>
        </w:tc>
        <w:tc>
          <w:tcPr>
            <w:tcW w:w="126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i w:val="1"/>
                <w:iCs w:val="1"/>
                <w:color w:val="auto"/>
              </w:rPr>
              <w:t>59.5</w:t>
            </w:r>
            <w:r>
              <w:rPr>
                <w:rFonts w:ascii="Arial" w:cs="Arial" w:eastAsia="Arial" w:hAnsi="Arial"/>
                <w:sz w:val="18"/>
                <w:szCs w:val="18"/>
                <w:color w:val="auto"/>
              </w:rPr>
              <w:t>%</w:t>
            </w:r>
          </w:p>
        </w:tc>
        <w:tc>
          <w:tcPr>
            <w:tcW w:w="118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1520" w:type="dxa"/>
            <w:vAlign w:val="bottom"/>
            <w:tcBorders>
              <w:bottom w:val="single" w:sz="8" w:color="939598"/>
            </w:tcBorders>
          </w:tcPr>
          <w:p>
            <w:pPr>
              <w:spacing w:after="0"/>
              <w:rPr>
                <w:sz w:val="18"/>
                <w:szCs w:val="18"/>
                <w:color w:val="auto"/>
              </w:rPr>
            </w:pPr>
          </w:p>
        </w:tc>
      </w:tr>
      <w:tr>
        <w:trPr>
          <w:trHeight w:val="210"/>
        </w:trPr>
        <w:tc>
          <w:tcPr>
            <w:tcW w:w="20" w:type="dxa"/>
            <w:vAlign w:val="bottom"/>
            <w:tcBorders>
              <w:bottom w:val="single" w:sz="8" w:color="939598"/>
            </w:tcBorders>
          </w:tcPr>
          <w:p>
            <w:pPr>
              <w:spacing w:after="0"/>
              <w:rPr>
                <w:sz w:val="18"/>
                <w:szCs w:val="18"/>
                <w:color w:val="auto"/>
              </w:rPr>
            </w:pPr>
          </w:p>
        </w:tc>
        <w:tc>
          <w:tcPr>
            <w:tcW w:w="46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8"/>
                <w:szCs w:val="18"/>
                <w:color w:val="auto"/>
              </w:rPr>
              <w:t>251.6</w:t>
            </w:r>
          </w:p>
        </w:tc>
        <w:tc>
          <w:tcPr>
            <w:tcW w:w="28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939598"/>
            </w:tcBorders>
          </w:tcPr>
          <w:p>
            <w:pPr>
              <w:jc w:val="right"/>
              <w:ind w:right="333"/>
              <w:spacing w:after="0"/>
              <w:rPr>
                <w:sz w:val="20"/>
                <w:szCs w:val="20"/>
                <w:color w:val="auto"/>
              </w:rPr>
            </w:pPr>
            <w:r>
              <w:rPr>
                <w:rFonts w:ascii="Arial" w:cs="Arial" w:eastAsia="Arial" w:hAnsi="Arial"/>
                <w:sz w:val="18"/>
                <w:szCs w:val="18"/>
                <w:color w:val="auto"/>
              </w:rPr>
              <w:t>(263.6)</w:t>
            </w:r>
          </w:p>
        </w:tc>
        <w:tc>
          <w:tcPr>
            <w:tcW w:w="118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1520" w:type="dxa"/>
            <w:vAlign w:val="bottom"/>
            <w:tcBorders>
              <w:bottom w:val="single" w:sz="8" w:color="939598"/>
            </w:tcBorders>
          </w:tcPr>
          <w:p>
            <w:pPr>
              <w:spacing w:after="0"/>
              <w:rPr>
                <w:sz w:val="18"/>
                <w:szCs w:val="18"/>
                <w:color w:val="auto"/>
              </w:rPr>
            </w:pPr>
          </w:p>
        </w:tc>
      </w:tr>
      <w:tr>
        <w:trPr>
          <w:trHeight w:val="210"/>
        </w:trPr>
        <w:tc>
          <w:tcPr>
            <w:tcW w:w="464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Net earnings (loss) per share — diluted</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8"/>
                <w:szCs w:val="18"/>
                <w:color w:val="auto"/>
              </w:rPr>
              <w:t>3.04</w:t>
            </w:r>
          </w:p>
        </w:tc>
        <w:tc>
          <w:tcPr>
            <w:tcW w:w="28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939598"/>
            </w:tcBorders>
          </w:tcPr>
          <w:p>
            <w:pPr>
              <w:jc w:val="right"/>
              <w:ind w:right="333"/>
              <w:spacing w:after="0"/>
              <w:rPr>
                <w:sz w:val="20"/>
                <w:szCs w:val="20"/>
                <w:color w:val="auto"/>
              </w:rPr>
            </w:pPr>
            <w:r>
              <w:rPr>
                <w:rFonts w:ascii="Arial" w:cs="Arial" w:eastAsia="Arial" w:hAnsi="Arial"/>
                <w:sz w:val="18"/>
                <w:szCs w:val="18"/>
                <w:color w:val="auto"/>
              </w:rPr>
              <w:t>(3.26)</w:t>
            </w:r>
          </w:p>
        </w:tc>
        <w:tc>
          <w:tcPr>
            <w:tcW w:w="118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1520" w:type="dxa"/>
            <w:vAlign w:val="bottom"/>
            <w:tcBorders>
              <w:bottom w:val="single" w:sz="8" w:color="939598"/>
            </w:tcBorders>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E3F1DA"/>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8"/>
                <w:szCs w:val="18"/>
                <w:color w:val="auto"/>
              </w:rPr>
              <w:t>81.0</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2.3%</w:t>
            </w: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960" w:type="dxa"/>
            <w:vAlign w:val="bottom"/>
            <w:shd w:val="clear" w:color="auto" w:fill="939598"/>
          </w:tcPr>
          <w:p>
            <w:pPr>
              <w:spacing w:after="0" w:line="20" w:lineRule="exact"/>
              <w:rPr>
                <w:sz w:val="1"/>
                <w:szCs w:val="1"/>
                <w:color w:val="auto"/>
              </w:rPr>
            </w:pPr>
          </w:p>
        </w:tc>
        <w:tc>
          <w:tcPr>
            <w:tcW w:w="200" w:type="dxa"/>
            <w:vAlign w:val="bottom"/>
            <w:shd w:val="clear" w:color="auto" w:fill="939598"/>
          </w:tcPr>
          <w:p>
            <w:pPr>
              <w:spacing w:after="0" w:line="20" w:lineRule="exact"/>
              <w:rPr>
                <w:sz w:val="1"/>
                <w:szCs w:val="1"/>
                <w:color w:val="auto"/>
              </w:rPr>
            </w:pPr>
          </w:p>
        </w:tc>
        <w:tc>
          <w:tcPr>
            <w:tcW w:w="280" w:type="dxa"/>
            <w:vAlign w:val="bottom"/>
            <w:shd w:val="clear" w:color="auto" w:fill="939598"/>
          </w:tcPr>
          <w:p>
            <w:pPr>
              <w:spacing w:after="0" w:line="20" w:lineRule="exact"/>
              <w:rPr>
                <w:sz w:val="1"/>
                <w:szCs w:val="1"/>
                <w:color w:val="auto"/>
              </w:rPr>
            </w:pPr>
          </w:p>
        </w:tc>
        <w:tc>
          <w:tcPr>
            <w:tcW w:w="1260" w:type="dxa"/>
            <w:vAlign w:val="bottom"/>
            <w:shd w:val="clear" w:color="auto" w:fill="939598"/>
          </w:tcPr>
          <w:p>
            <w:pPr>
              <w:spacing w:after="0" w:line="20" w:lineRule="exact"/>
              <w:rPr>
                <w:sz w:val="1"/>
                <w:szCs w:val="1"/>
                <w:color w:val="auto"/>
              </w:rPr>
            </w:pPr>
          </w:p>
        </w:tc>
        <w:tc>
          <w:tcPr>
            <w:tcW w:w="1180" w:type="dxa"/>
            <w:vAlign w:val="bottom"/>
            <w:shd w:val="clear" w:color="auto" w:fill="939598"/>
          </w:tcPr>
          <w:p>
            <w:pPr>
              <w:spacing w:after="0" w:line="20" w:lineRule="exact"/>
              <w:rPr>
                <w:sz w:val="1"/>
                <w:szCs w:val="1"/>
                <w:color w:val="auto"/>
              </w:rPr>
            </w:pPr>
          </w:p>
        </w:tc>
        <w:tc>
          <w:tcPr>
            <w:tcW w:w="1280" w:type="dxa"/>
            <w:vAlign w:val="bottom"/>
            <w:shd w:val="clear" w:color="auto" w:fill="939598"/>
          </w:tcPr>
          <w:p>
            <w:pPr>
              <w:spacing w:after="0" w:line="20" w:lineRule="exact"/>
              <w:rPr>
                <w:sz w:val="1"/>
                <w:szCs w:val="1"/>
                <w:color w:val="auto"/>
              </w:rPr>
            </w:pPr>
          </w:p>
        </w:tc>
        <w:tc>
          <w:tcPr>
            <w:tcW w:w="152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-2245995</wp:posOffset>
            </wp:positionV>
            <wp:extent cx="600075"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-1551305</wp:posOffset>
            </wp:positionV>
            <wp:extent cx="737235" cy="1551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7235" cy="155194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3" w:lineRule="exact"/>
        <w:rPr>
          <w:sz w:val="20"/>
          <w:szCs w:val="20"/>
          <w:color w:val="auto"/>
        </w:rPr>
      </w:pPr>
    </w:p>
    <w:p>
      <w:pPr>
        <w:ind w:left="580" w:hanging="572"/>
        <w:spacing w:after="0" w:line="268" w:lineRule="auto"/>
        <w:tabs>
          <w:tab w:leader="none" w:pos="580" w:val="left"/>
        </w:tabs>
        <w:numPr>
          <w:ilvl w:val="0"/>
          <w:numId w:val="50"/>
        </w:numPr>
        <w:rPr>
          <w:rFonts w:ascii="Arial" w:cs="Arial" w:eastAsia="Arial" w:hAnsi="Arial"/>
          <w:sz w:val="18"/>
          <w:szCs w:val="18"/>
          <w:color w:val="4D8ABE"/>
        </w:rPr>
      </w:pPr>
      <w:r>
        <w:rPr>
          <w:rFonts w:ascii="Arial" w:cs="Arial" w:eastAsia="Arial" w:hAnsi="Arial"/>
          <w:sz w:val="18"/>
          <w:szCs w:val="18"/>
          <w:color w:val="auto"/>
        </w:rPr>
        <w:t>increased demand for services in most of our markets, including the Americas, Southern Europe, Northern Europe and APME, where revenues increased 14.5%, 12.3%, 9.3% and 14.2%, respectively, on a constant currency basis;</w:t>
      </w:r>
    </w:p>
    <w:p>
      <w:pPr>
        <w:spacing w:after="0" w:line="118" w:lineRule="exact"/>
        <w:rPr>
          <w:rFonts w:ascii="Arial" w:cs="Arial" w:eastAsia="Arial" w:hAnsi="Arial"/>
          <w:sz w:val="18"/>
          <w:szCs w:val="18"/>
          <w:color w:val="4D8ABE"/>
        </w:rPr>
      </w:pPr>
    </w:p>
    <w:p>
      <w:pPr>
        <w:ind w:left="580" w:hanging="572"/>
        <w:spacing w:after="0" w:line="332" w:lineRule="auto"/>
        <w:tabs>
          <w:tab w:leader="none" w:pos="580" w:val="left"/>
        </w:tabs>
        <w:numPr>
          <w:ilvl w:val="0"/>
          <w:numId w:val="50"/>
        </w:numPr>
        <w:rPr>
          <w:rFonts w:ascii="Arial" w:cs="Arial" w:eastAsia="Arial" w:hAnsi="Arial"/>
          <w:sz w:val="16"/>
          <w:szCs w:val="16"/>
          <w:color w:val="4D8ABE"/>
        </w:rPr>
      </w:pPr>
      <w:r>
        <w:rPr>
          <w:rFonts w:ascii="Arial" w:cs="Arial" w:eastAsia="Arial" w:hAnsi="Arial"/>
          <w:sz w:val="16"/>
          <w:szCs w:val="16"/>
          <w:color w:val="auto"/>
        </w:rPr>
        <w:t>our acquisition of COMSYS in April 2010, which added approximately 1.0% revenue growth to our consolidated results in 2011. In 2011, the United States and the Americas experienced revenue growth of approximately 6.0% and 10.0%, respectively, on an organic constant currency basis;</w:t>
      </w:r>
    </w:p>
    <w:p>
      <w:pPr>
        <w:spacing w:after="0" w:line="71" w:lineRule="exact"/>
        <w:rPr>
          <w:rFonts w:ascii="Arial" w:cs="Arial" w:eastAsia="Arial" w:hAnsi="Arial"/>
          <w:sz w:val="16"/>
          <w:szCs w:val="16"/>
          <w:color w:val="4D8ABE"/>
        </w:rPr>
      </w:pPr>
    </w:p>
    <w:p>
      <w:pPr>
        <w:jc w:val="both"/>
        <w:ind w:left="580" w:hanging="572"/>
        <w:spacing w:after="0" w:line="259" w:lineRule="auto"/>
        <w:tabs>
          <w:tab w:leader="none" w:pos="580" w:val="left"/>
        </w:tabs>
        <w:numPr>
          <w:ilvl w:val="0"/>
          <w:numId w:val="50"/>
        </w:numPr>
        <w:rPr>
          <w:rFonts w:ascii="Arial" w:cs="Arial" w:eastAsia="Arial" w:hAnsi="Arial"/>
          <w:sz w:val="18"/>
          <w:szCs w:val="18"/>
          <w:color w:val="4D8ABE"/>
        </w:rPr>
      </w:pPr>
      <w:r>
        <w:rPr>
          <w:rFonts w:ascii="Arial" w:cs="Arial" w:eastAsia="Arial" w:hAnsi="Arial"/>
          <w:sz w:val="18"/>
          <w:szCs w:val="18"/>
          <w:color w:val="auto"/>
        </w:rPr>
        <w:t>our acquisition of three entities in APME during April 2011 and Proservia in Southern Europe during September 2011, which added 0.9% revenue growth to our consolidated results. In 2011, APME and Southern Europe experienced revenue growth of 7.6% and 11.9%, respectively, on an organic constant currency basis; and</w:t>
      </w:r>
    </w:p>
    <w:p>
      <w:pPr>
        <w:spacing w:after="0" w:line="126" w:lineRule="exact"/>
        <w:rPr>
          <w:rFonts w:ascii="Arial" w:cs="Arial" w:eastAsia="Arial" w:hAnsi="Arial"/>
          <w:sz w:val="18"/>
          <w:szCs w:val="18"/>
          <w:color w:val="4D8ABE"/>
        </w:rPr>
      </w:pPr>
    </w:p>
    <w:p>
      <w:pPr>
        <w:ind w:left="580" w:hanging="572"/>
        <w:spacing w:after="0"/>
        <w:tabs>
          <w:tab w:leader="none" w:pos="580" w:val="left"/>
        </w:tabs>
        <w:numPr>
          <w:ilvl w:val="0"/>
          <w:numId w:val="50"/>
        </w:numPr>
        <w:rPr>
          <w:rFonts w:ascii="Arial" w:cs="Arial" w:eastAsia="Arial" w:hAnsi="Arial"/>
          <w:sz w:val="18"/>
          <w:szCs w:val="18"/>
          <w:color w:val="4D8ABE"/>
        </w:rPr>
      </w:pPr>
      <w:r>
        <w:rPr>
          <w:rFonts w:ascii="Arial" w:cs="Arial" w:eastAsia="Arial" w:hAnsi="Arial"/>
          <w:sz w:val="18"/>
          <w:szCs w:val="18"/>
          <w:color w:val="auto"/>
        </w:rPr>
        <w:t>a 5.0% increase due to the impact of currency exchange rates; partially offset by</w:t>
      </w:r>
    </w:p>
    <w:p>
      <w:pPr>
        <w:spacing w:after="0" w:line="157" w:lineRule="exact"/>
        <w:rPr>
          <w:rFonts w:ascii="Arial" w:cs="Arial" w:eastAsia="Arial" w:hAnsi="Arial"/>
          <w:sz w:val="18"/>
          <w:szCs w:val="18"/>
          <w:color w:val="4D8ABE"/>
        </w:rPr>
      </w:pPr>
    </w:p>
    <w:p>
      <w:pPr>
        <w:ind w:left="580" w:hanging="572"/>
        <w:spacing w:after="0" w:line="268" w:lineRule="auto"/>
        <w:tabs>
          <w:tab w:leader="none" w:pos="580" w:val="left"/>
        </w:tabs>
        <w:numPr>
          <w:ilvl w:val="0"/>
          <w:numId w:val="50"/>
        </w:numPr>
        <w:rPr>
          <w:rFonts w:ascii="Arial" w:cs="Arial" w:eastAsia="Arial" w:hAnsi="Arial"/>
          <w:sz w:val="18"/>
          <w:szCs w:val="18"/>
          <w:color w:val="4D8ABE"/>
        </w:rPr>
      </w:pPr>
      <w:r>
        <w:rPr>
          <w:rFonts w:ascii="Arial" w:cs="Arial" w:eastAsia="Arial" w:hAnsi="Arial"/>
          <w:sz w:val="18"/>
          <w:szCs w:val="18"/>
          <w:color w:val="auto"/>
        </w:rPr>
        <w:t>decreased demand for services for Right Management, where revenues decreased 16.6%, on a constant currency basis, including a 25.9% decline on a constant currency basis in our outplacement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overall 40 basis point (–0.40%) decrease in gross profit margin was attributed to:</w:t>
      </w:r>
    </w:p>
    <w:p>
      <w:pPr>
        <w:spacing w:after="0" w:line="158" w:lineRule="exact"/>
        <w:rPr>
          <w:sz w:val="20"/>
          <w:szCs w:val="20"/>
          <w:color w:val="auto"/>
        </w:rPr>
      </w:pPr>
    </w:p>
    <w:p>
      <w:pPr>
        <w:ind w:left="580" w:hanging="572"/>
        <w:spacing w:after="0" w:line="268" w:lineRule="auto"/>
        <w:tabs>
          <w:tab w:leader="none" w:pos="580" w:val="left"/>
        </w:tabs>
        <w:numPr>
          <w:ilvl w:val="0"/>
          <w:numId w:val="51"/>
        </w:numPr>
        <w:rPr>
          <w:rFonts w:ascii="Arial" w:cs="Arial" w:eastAsia="Arial" w:hAnsi="Arial"/>
          <w:sz w:val="18"/>
          <w:szCs w:val="18"/>
          <w:color w:val="4D8ABE"/>
        </w:rPr>
      </w:pPr>
      <w:r>
        <w:rPr>
          <w:rFonts w:ascii="Arial" w:cs="Arial" w:eastAsia="Arial" w:hAnsi="Arial"/>
          <w:sz w:val="18"/>
          <w:szCs w:val="18"/>
          <w:color w:val="auto"/>
        </w:rPr>
        <w:t>a 30 basis point (–0.30%) decline due to the outplacement revenue decline of Right Management, where the gross profit margin was higher than our Company average;</w:t>
      </w:r>
    </w:p>
    <w:p>
      <w:pPr>
        <w:spacing w:after="0" w:line="118" w:lineRule="exact"/>
        <w:rPr>
          <w:rFonts w:ascii="Arial" w:cs="Arial" w:eastAsia="Arial" w:hAnsi="Arial"/>
          <w:sz w:val="18"/>
          <w:szCs w:val="18"/>
          <w:color w:val="4D8ABE"/>
        </w:rPr>
      </w:pPr>
    </w:p>
    <w:p>
      <w:pPr>
        <w:ind w:left="580" w:hanging="572"/>
        <w:spacing w:after="0" w:line="268" w:lineRule="auto"/>
        <w:tabs>
          <w:tab w:leader="none" w:pos="580" w:val="left"/>
        </w:tabs>
        <w:numPr>
          <w:ilvl w:val="0"/>
          <w:numId w:val="51"/>
        </w:numPr>
        <w:rPr>
          <w:rFonts w:ascii="Arial" w:cs="Arial" w:eastAsia="Arial" w:hAnsi="Arial"/>
          <w:sz w:val="18"/>
          <w:szCs w:val="18"/>
          <w:color w:val="4D8ABE"/>
        </w:rPr>
      </w:pPr>
      <w:r>
        <w:rPr>
          <w:rFonts w:ascii="Arial" w:cs="Arial" w:eastAsia="Arial" w:hAnsi="Arial"/>
          <w:sz w:val="18"/>
          <w:szCs w:val="18"/>
          <w:color w:val="auto"/>
        </w:rPr>
        <w:t>a 10 basis point (–0.10%) decline from our staffing/interim business, because of pricing pressures during the latter part of 2011 due to the economic environment and a decrease in French payroll tax subsidies; and</w:t>
      </w:r>
    </w:p>
    <w:p>
      <w:pPr>
        <w:spacing w:after="0" w:line="118" w:lineRule="exact"/>
        <w:rPr>
          <w:rFonts w:ascii="Arial" w:cs="Arial" w:eastAsia="Arial" w:hAnsi="Arial"/>
          <w:sz w:val="18"/>
          <w:szCs w:val="18"/>
          <w:color w:val="4D8ABE"/>
        </w:rPr>
      </w:pPr>
    </w:p>
    <w:p>
      <w:pPr>
        <w:ind w:left="580" w:hanging="572"/>
        <w:spacing w:after="0"/>
        <w:tabs>
          <w:tab w:leader="none" w:pos="580" w:val="left"/>
        </w:tabs>
        <w:numPr>
          <w:ilvl w:val="0"/>
          <w:numId w:val="51"/>
        </w:numPr>
        <w:rPr>
          <w:rFonts w:ascii="Arial" w:cs="Arial" w:eastAsia="Arial" w:hAnsi="Arial"/>
          <w:sz w:val="18"/>
          <w:szCs w:val="18"/>
          <w:color w:val="4D8ABE"/>
        </w:rPr>
      </w:pPr>
      <w:r>
        <w:rPr>
          <w:rFonts w:ascii="Arial" w:cs="Arial" w:eastAsia="Arial" w:hAnsi="Arial"/>
          <w:sz w:val="18"/>
          <w:szCs w:val="18"/>
          <w:color w:val="auto"/>
        </w:rPr>
        <w:t>a 10 basis point (–0.10%) decline due to our acquisitions in APME; partially offset by</w:t>
      </w:r>
    </w:p>
    <w:p>
      <w:pPr>
        <w:spacing w:after="0" w:line="157" w:lineRule="exact"/>
        <w:rPr>
          <w:rFonts w:ascii="Arial" w:cs="Arial" w:eastAsia="Arial" w:hAnsi="Arial"/>
          <w:sz w:val="18"/>
          <w:szCs w:val="18"/>
          <w:color w:val="4D8ABE"/>
        </w:rPr>
      </w:pPr>
    </w:p>
    <w:p>
      <w:pPr>
        <w:ind w:left="580" w:hanging="572"/>
        <w:spacing w:after="0"/>
        <w:tabs>
          <w:tab w:leader="none" w:pos="580" w:val="left"/>
        </w:tabs>
        <w:numPr>
          <w:ilvl w:val="0"/>
          <w:numId w:val="51"/>
        </w:numPr>
        <w:rPr>
          <w:rFonts w:ascii="Arial" w:cs="Arial" w:eastAsia="Arial" w:hAnsi="Arial"/>
          <w:sz w:val="18"/>
          <w:szCs w:val="18"/>
          <w:color w:val="4D8ABE"/>
        </w:rPr>
      </w:pPr>
      <w:r>
        <w:rPr>
          <w:rFonts w:ascii="Arial" w:cs="Arial" w:eastAsia="Arial" w:hAnsi="Arial"/>
          <w:sz w:val="18"/>
          <w:szCs w:val="18"/>
          <w:color w:val="auto"/>
        </w:rPr>
        <w:t>a 10 basis point (0.10%) favorable impact due to the growth in our permanent recruitment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5.5% decrease in selling and administrative expenses in 2011 (9.2% decrease in constant currency) was attributed to:</w:t>
      </w:r>
    </w:p>
    <w:p>
      <w:pPr>
        <w:spacing w:after="0" w:line="158" w:lineRule="exact"/>
        <w:rPr>
          <w:sz w:val="20"/>
          <w:szCs w:val="20"/>
          <w:color w:val="auto"/>
        </w:rPr>
      </w:pPr>
    </w:p>
    <w:p>
      <w:pPr>
        <w:ind w:left="580" w:right="20" w:hanging="572"/>
        <w:spacing w:after="0" w:line="268" w:lineRule="auto"/>
        <w:tabs>
          <w:tab w:leader="none" w:pos="580" w:val="left"/>
        </w:tabs>
        <w:numPr>
          <w:ilvl w:val="0"/>
          <w:numId w:val="52"/>
        </w:numPr>
        <w:rPr>
          <w:rFonts w:ascii="Arial" w:cs="Arial" w:eastAsia="Arial" w:hAnsi="Arial"/>
          <w:sz w:val="18"/>
          <w:szCs w:val="18"/>
          <w:color w:val="4D8ABE"/>
        </w:rPr>
      </w:pPr>
      <w:r>
        <w:rPr>
          <w:rFonts w:ascii="Arial" w:cs="Arial" w:eastAsia="Arial" w:hAnsi="Arial"/>
          <w:sz w:val="18"/>
          <w:szCs w:val="18"/>
          <w:color w:val="auto"/>
        </w:rPr>
        <w:t>a $428.8 million goodwill and intangible asset impairment charge in the fourth quarter of 2010 related to Right Management and Jefferson Wells as compared to no impairment charge recorded in 2011; partially offset by</w:t>
      </w:r>
    </w:p>
    <w:p>
      <w:pPr>
        <w:spacing w:after="0" w:line="118" w:lineRule="exact"/>
        <w:rPr>
          <w:rFonts w:ascii="Arial" w:cs="Arial" w:eastAsia="Arial" w:hAnsi="Arial"/>
          <w:sz w:val="18"/>
          <w:szCs w:val="18"/>
          <w:color w:val="4D8ABE"/>
        </w:rPr>
      </w:pPr>
    </w:p>
    <w:p>
      <w:pPr>
        <w:ind w:left="580" w:hanging="572"/>
        <w:spacing w:after="0" w:line="268" w:lineRule="auto"/>
        <w:tabs>
          <w:tab w:leader="none" w:pos="580" w:val="left"/>
        </w:tabs>
        <w:numPr>
          <w:ilvl w:val="0"/>
          <w:numId w:val="52"/>
        </w:numPr>
        <w:rPr>
          <w:rFonts w:ascii="Arial" w:cs="Arial" w:eastAsia="Arial" w:hAnsi="Arial"/>
          <w:sz w:val="18"/>
          <w:szCs w:val="18"/>
          <w:color w:val="4D8ABE"/>
        </w:rPr>
      </w:pPr>
      <w:r>
        <w:rPr>
          <w:rFonts w:ascii="Arial" w:cs="Arial" w:eastAsia="Arial" w:hAnsi="Arial"/>
          <w:sz w:val="18"/>
          <w:szCs w:val="18"/>
          <w:color w:val="auto"/>
        </w:rPr>
        <w:t>an increase in our organic salary-related costs due to salary increases, and an increase in headcount in certain markets in response to the increased demand;</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46" w:name="page47"/>
    <w:bookmarkEnd w:id="46"/>
    <w:p>
      <w:pPr>
        <w:ind w:left="580" w:hanging="572"/>
        <w:spacing w:after="0" w:line="268" w:lineRule="auto"/>
        <w:tabs>
          <w:tab w:leader="none" w:pos="580" w:val="left"/>
        </w:tabs>
        <w:numPr>
          <w:ilvl w:val="0"/>
          <w:numId w:val="53"/>
        </w:numPr>
        <w:rPr>
          <w:rFonts w:ascii="Arial" w:cs="Arial" w:eastAsia="Arial" w:hAnsi="Arial"/>
          <w:sz w:val="18"/>
          <w:szCs w:val="18"/>
          <w:color w:val="4D8ABE"/>
        </w:rPr>
      </w:pPr>
      <w:r>
        <w:rPr>
          <w:rFonts w:ascii="Arial" w:cs="Arial" w:eastAsia="Arial" w:hAnsi="Arial"/>
          <w:sz w:val="18"/>
          <w:szCs w:val="18"/>
          <w:color w:val="auto"/>
        </w:rPr>
        <w:t>the additional recurring selling and administrative costs as a result of the acquisitions of COMSYS in April 2010, and the APME and Proservia acquisitions in 2011; and</w:t>
      </w:r>
    </w:p>
    <w:p>
      <w:pPr>
        <w:spacing w:after="0" w:line="118" w:lineRule="exact"/>
        <w:rPr>
          <w:rFonts w:ascii="Arial" w:cs="Arial" w:eastAsia="Arial" w:hAnsi="Arial"/>
          <w:sz w:val="18"/>
          <w:szCs w:val="18"/>
          <w:color w:val="4D8ABE"/>
        </w:rPr>
      </w:pPr>
    </w:p>
    <w:p>
      <w:pPr>
        <w:ind w:left="580" w:hanging="572"/>
        <w:spacing w:after="0"/>
        <w:tabs>
          <w:tab w:leader="none" w:pos="580" w:val="left"/>
        </w:tabs>
        <w:numPr>
          <w:ilvl w:val="0"/>
          <w:numId w:val="53"/>
        </w:numPr>
        <w:rPr>
          <w:rFonts w:ascii="Arial" w:cs="Arial" w:eastAsia="Arial" w:hAnsi="Arial"/>
          <w:sz w:val="18"/>
          <w:szCs w:val="18"/>
          <w:color w:val="4D8ABE"/>
        </w:rPr>
      </w:pPr>
      <w:r>
        <w:rPr>
          <w:rFonts w:ascii="Arial" w:cs="Arial" w:eastAsia="Arial" w:hAnsi="Arial"/>
          <w:sz w:val="18"/>
          <w:szCs w:val="18"/>
          <w:color w:val="auto"/>
        </w:rPr>
        <w:t>a 3.7% increase due to the impact of currency exchange rates.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Selling and administrative expenses as a percent of revenues decreased 330 basis points (–3.30%) in 2011 compared to 2010. The change in selling and administrative expenses as a percent of revenues consists of:</w:t>
      </w:r>
    </w:p>
    <w:p>
      <w:pPr>
        <w:spacing w:after="0" w:line="118" w:lineRule="exact"/>
        <w:rPr>
          <w:sz w:val="20"/>
          <w:szCs w:val="20"/>
          <w:color w:val="auto"/>
        </w:rPr>
      </w:pPr>
    </w:p>
    <w:p>
      <w:pPr>
        <w:ind w:left="580" w:hanging="572"/>
        <w:spacing w:after="0" w:line="268" w:lineRule="auto"/>
        <w:tabs>
          <w:tab w:leader="none" w:pos="580" w:val="left"/>
        </w:tabs>
        <w:numPr>
          <w:ilvl w:val="0"/>
          <w:numId w:val="54"/>
        </w:numPr>
        <w:rPr>
          <w:rFonts w:ascii="Arial" w:cs="Arial" w:eastAsia="Arial" w:hAnsi="Arial"/>
          <w:sz w:val="18"/>
          <w:szCs w:val="18"/>
          <w:color w:val="4D8ABE"/>
        </w:rPr>
      </w:pPr>
      <w:r>
        <w:rPr>
          <w:rFonts w:ascii="Arial" w:cs="Arial" w:eastAsia="Arial" w:hAnsi="Arial"/>
          <w:sz w:val="18"/>
          <w:szCs w:val="18"/>
          <w:color w:val="auto"/>
        </w:rPr>
        <w:t>a 230 basis point (–2.30%) decrease due to the goodwill and intangible asset impairment charge recorded in 2010 as compared to no impairment charge recorded in 2011; and</w:t>
      </w:r>
    </w:p>
    <w:p>
      <w:pPr>
        <w:spacing w:after="0" w:line="118" w:lineRule="exact"/>
        <w:rPr>
          <w:rFonts w:ascii="Arial" w:cs="Arial" w:eastAsia="Arial" w:hAnsi="Arial"/>
          <w:sz w:val="18"/>
          <w:szCs w:val="18"/>
          <w:color w:val="4D8ABE"/>
        </w:rPr>
      </w:pPr>
    </w:p>
    <w:p>
      <w:pPr>
        <w:jc w:val="both"/>
        <w:ind w:left="580" w:hanging="572"/>
        <w:spacing w:after="0" w:line="259" w:lineRule="auto"/>
        <w:tabs>
          <w:tab w:leader="none" w:pos="580" w:val="left"/>
        </w:tabs>
        <w:numPr>
          <w:ilvl w:val="0"/>
          <w:numId w:val="54"/>
        </w:numPr>
        <w:rPr>
          <w:rFonts w:ascii="Arial" w:cs="Arial" w:eastAsia="Arial" w:hAnsi="Arial"/>
          <w:sz w:val="18"/>
          <w:szCs w:val="18"/>
          <w:color w:val="4D8ABE"/>
        </w:rPr>
      </w:pPr>
      <w:r>
        <w:rPr>
          <w:rFonts w:ascii="Arial" w:cs="Arial" w:eastAsia="Arial" w:hAnsi="Arial"/>
          <w:sz w:val="18"/>
          <w:szCs w:val="18"/>
          <w:color w:val="auto"/>
        </w:rPr>
        <w:t>a 100 basis point (–1.00%) decrease due primarily to productivity enhancements and expense leveraging, as an 8.3% (or 4.1% in constant currency) increase in expense, excluding the 2010 goodwill and intangible asset impairment charge, supported the 16.6% increase in revenues (or 11.6% in constant currency).</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$44.3 million in 2011 compared to $43.2 million in 2010. Net interest expense decreased $2.0 million in 2011 to $35.5 million from $37.5 million in 2010 due primarily to the $2.2 million of interest expense we incurred in 2010 related to the write-off of COMSYS’s deferred financing costs. Other expenses increased $3.1 million in 2011 due primarily to an increase in expenses related to the noncontrolling interests in our majority-owned subsidiaries as a result of an increase in their earnings and current year acquisitions. Offsetting this increase was a decrease in translation losses of $0.5 million in 2011. This decrease was primarily related to a $1.2 million translation loss in January 2010 for Venezuela as a result of the Venezuela reporting unit’s currency (Bolivar Fuerte) being devalued and our changing the functional currency of our Venezuela reporting unit to the United States dollar as the result of its economy being deemed hyperinflationary.</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recorded an income tax expense at an effective rate of 47.6% for 2011 compared to an income tax expense at an effective rate of 59.5% for 2010. The change in rate was due to the non-deductibility of the goodwill impairment charges in 2010 related to Right Management and Jefferson Wells as well as a significant change in the amount and mix of non-United States earnings and related cash repatriations and other permanent items. The 2011 rate was favorably impacted by the overall mix of earnings, primarily an increase in non-United States income. The 2011 rate is higher than the United States Federal statutory rate of 35% due primarily to the impact of non-United States income taxes, other permanent items and the French business tax.</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earnings (loss) per share — diluted was earnings of $3.04 in 2011 compared to a loss of ($3.26) in 2010. This increase was primarily related to the impact from the goodwill and intangible asset impairment charge ($384.3 million, net of tax, or $4.73 per diluted share) in 2010 that did not occur in 2011, an increase in operating earnings (excluding the impairment) and a $0.22 per share favorable impact from changes in currency exchange rates.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Weighted average shares — diluted increased 2.3% to 82.8 million in 2011 from 81.0 million in 2010. This increase was primarily a result of a fewer antidilutive shares excluded from the calculation in 2011 compared to 2010. In 2011, only those stock-based awards with exercise prices greater than the average market price of the common shares during 2011 were excluded from the weighted average shares — diluted calculation. Due to the net loss in 2010, all of the stock-based awards were antidilutive and therefore were excluded from the weighted average shares — diluted calculation.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SEGMENT RESULTS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939598"/>
        </w:rPr>
        <w:t xml:space="preserve">Americas </w:t>
      </w:r>
      <w:r>
        <w:rPr>
          <w:rFonts w:ascii="Arial" w:cs="Arial" w:eastAsia="Arial" w:hAnsi="Arial"/>
          <w:sz w:val="16"/>
          <w:szCs w:val="16"/>
          <w:color w:val="000000"/>
        </w:rPr>
        <w:t>— The Americas segment is comprised of 794 Company-owned branch offices and 175 stand-alone franchise offices. In the Americas, revenues from</w:t>
      </w:r>
      <w:r>
        <w:rPr>
          <w:rFonts w:ascii="Arial" w:cs="Arial" w:eastAsia="Arial" w:hAnsi="Arial"/>
          <w:sz w:val="16"/>
          <w:szCs w:val="16"/>
          <w:b w:val="1"/>
          <w:bCs w:val="1"/>
          <w:color w:val="939598"/>
        </w:rPr>
        <w:t xml:space="preserve"> </w:t>
      </w:r>
      <w:r>
        <w:rPr>
          <w:rFonts w:ascii="Arial" w:cs="Arial" w:eastAsia="Arial" w:hAnsi="Arial"/>
          <w:sz w:val="16"/>
          <w:szCs w:val="16"/>
          <w:color w:val="000000"/>
        </w:rPr>
        <w:t>services decreased 1.2% (0.5% increase in constant currency and 0.4% increase in organic constant currency) in 2012 compared to 2011. In the United States, revenues from services declined 4.0% in 2012 compared to 2011. The revenue decline in the United States was attributable to staffing/interim services within the Manpower and Experis business lines as demand from our larger strategic accounts softened in 2012 compared to 2011, and we maintained stronger pricing discipline on new business opportunities. These declines were partially offset by an increase in United States permanent recruitment revenues of 17.3% in 2012 compared to 2011. In Other Americas, revenues from services improved 4.8% (9.9% in constant currency and 9.6% on an organic constant currency basis) in 2012 compared to 2011, led by revenue growth in Canada, Mexico and Argentina of 19.2%, 10.0% and 8.2%, respectively, in constant currency (16.2% growth in Canada on an organic constant currency basis).</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3" w:right="239" w:bottom="1440" w:gutter="0" w:footer="0" w:header="0"/>
        </w:sectPr>
      </w:pPr>
    </w:p>
    <w:bookmarkStart w:id="47" w:name="page48"/>
    <w:bookmarkEnd w:id="47"/>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05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30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05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30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2011, revenues from services in the Americas increased 14.8% (14.5% in constant currency and approximately 10.0% in organic constant currency) compared to 2010. In the United States, revenues from services improved 12.7% (approximately 6.0% in organic growth) in 2011 compared to 2010. The organic growth for the Americas and the United States was primarily due to an increase in volume in our core temporary staffing business as a result of the economic improvement. In Other Americas, revenues from services improved 19.5%, or 18.4% in constant currency, in 2011 compared to 2010, led by revenue growth in Mexico and Argentina. While Mexico saw a consistent increase in demand throughout the year, Argentina’s revenue increase was primarily due to inflation.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margin increased slightly in 2012 compared to 2011 as the increase in our permanent recruitment business was partially offset by the negative impact from our interim business due to pricing pressures, an increase in unbillable time and a decrease due to the reduced FICA taxes from the one-time Hire Act credits in the United States in 2011 that did not occur in 2012. In 2011, gross profit margin increased due to the impact on the first quarter from the annualization of the COMSYS acquisition, an improvement in our United States’ staffing/interim margins due to the relatively higher growth in our Experis business and reduced FICA taxes as a result of the Hire Act, and the increase in our permanent recruitment business. The SUTA tax increases in the United States, which were effective in 2011, did not negatively impact margins, as we were able to increase our bill rates to cover the increases.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2012, selling and administrative expenses increased 5.7% in constant currency due mostly to $9.8 million of reorganization costs and $10.0 million of legal costs incurred in 2012 as well as an increase in bad debt expense in Other Americas as a result of some uncollectible accounts receivable. The increase was also due to additional headcount in Mexico, Canada and Brazil to meet the increased demand in those countries and high inflation in Argentina. Partially offsetting these increases was a decrease in the United States, excluding the reorganization and legal costs, due primarily to a decrease in variable incentive-based compensation and lower office lease costs. In 2011, selling and administrative expenses increased 11.0% in constant currency due primarily to an increase in our organic salary-related costs, as we added headcount to support the increased demand, as well as increased variable incentive-based costs as a result of the improved profitability.</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OUP margin in the Americas was 2.4%, 3.1% and 2.0% for 2012, 2011 and 2010, respectively. The changes in 2012 and 2011 were primarily due to the United States, where OUP margin was 2.0%, 3.0% and 1.5% in 2012, 2011 and 2010, respectively. The margin decrease in 2012 in the United States was due to the reorganization and legal costs noted above, as well as expense deleveraging as we did not decrease expenses as quickly as revenues declined. Other Americas OUP margin was 3.2%, 3.2% and 2.9% in 2012, 2011 and 2010, respectively. The margin increase in the Americas in 2011 resulted from the higher revenue and gross margin levels coupled with the improved leveraging of expenses.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939598"/>
        </w:rPr>
        <w:t xml:space="preserve">Southern Europe </w:t>
      </w:r>
      <w:r>
        <w:rPr>
          <w:rFonts w:ascii="Arial" w:cs="Arial" w:eastAsia="Arial" w:hAnsi="Arial"/>
          <w:sz w:val="16"/>
          <w:szCs w:val="16"/>
          <w:color w:val="000000"/>
        </w:rPr>
        <w:t>— In 2012, revenues from services in Southern Europe, which includes operations in France and Italy, decreased 11.7% (–4.2% in constant</w:t>
      </w:r>
      <w:r>
        <w:rPr>
          <w:rFonts w:ascii="Arial" w:cs="Arial" w:eastAsia="Arial" w:hAnsi="Arial"/>
          <w:sz w:val="16"/>
          <w:szCs w:val="16"/>
          <w:b w:val="1"/>
          <w:bCs w:val="1"/>
          <w:color w:val="939598"/>
        </w:rPr>
        <w:t xml:space="preserve"> </w:t>
      </w:r>
      <w:r>
        <w:rPr>
          <w:rFonts w:ascii="Arial" w:cs="Arial" w:eastAsia="Arial" w:hAnsi="Arial"/>
          <w:sz w:val="16"/>
          <w:szCs w:val="16"/>
          <w:color w:val="000000"/>
        </w:rPr>
        <w:t>currency and –5.3% on an organic constant currency basis) compared to 2011. In 2012, revenues from services decreased 6.1% in organic constant currency in France (which represents 74.8% of Southern Europe’s revenues) and decreased 8.9% in constant currency in Italy (which represents 14.6% of Southern Europe’s revenues) and 1.1% (6.9% increase in constant currency) in Other Southern Europe compared to 2011. These decreases in France and Italy were due primarily to a softening demand in the staffing/interim business as well as a 21.2% decline in constant currency in our permanent recruitment business, mostly driven by the further winding down of the Pole Emploi contract in France.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2011, revenues from services in Southern Europe increased 18.1% (12.3% in constant currency and 11.9% in organic constant currency) compared to 2010.In 2011, revenues from services increased 12.1% in organic constant currency in France, 14.2% in constant currency in Italy and 6.8% in constant currency in Other Southern Europe compared to 2011. These increases resulted from strong growth in the staffing/interim business, and a 17.4% constant currency increase in permanent recruitment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Europe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14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302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Europe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ectPr>
          <w:pgSz w:w="11900" w:h="16838" w:orient="portrait"/>
          <w:cols w:equalWidth="0" w:num="1">
            <w:col w:w="11420"/>
          </w:cols>
          <w:pgMar w:left="240" w:top="1010" w:right="239" w:bottom="128" w:gutter="0" w:footer="0" w:header="0"/>
        </w:sectPr>
      </w:pPr>
    </w:p>
    <w:bookmarkStart w:id="48" w:name="page49"/>
    <w:bookmarkEnd w:id="48"/>
    <w:p>
      <w:pPr>
        <w:spacing w:after="0"/>
        <w:tabs>
          <w:tab w:leader="none" w:pos="56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2"/>
          <w:szCs w:val="12"/>
          <w:color w:val="auto"/>
        </w:rPr>
        <w:t xml:space="preserve">ManpowerGroup 2012 Annual Report  </w:t>
      </w:r>
      <w:r>
        <w:rPr>
          <w:rFonts w:ascii="Arial" w:cs="Arial" w:eastAsia="Arial" w:hAnsi="Arial"/>
          <w:sz w:val="12"/>
          <w:szCs w:val="12"/>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10" w:right="1440"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color w:val="auto"/>
        </w:rPr>
        <w:t>Gross profit margin remained flat in 2012 compared to 2011 as the improvement related to our two acquisitions in France was offset by the decrease in our permanent recruitment business, including the further wind down of the Pole Emploi contract in France, and pricing pressures in Italy that unfavorably impacted staffing/interim gross margins. In 2011, gross profit margin decreased due primarily to the legislative reduction in French payroll tax subsidies that was effective in January 2011.</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2012, selling and administrative expenses decreased 7.6% (–0.1% in constant currency and –2.4% on an organic constant currency basis) compared to 2011. The decrease in selling and administrative expenses was due to lower organic salary-related costs as headcount was reduced, partially offset by the additional costs from the Proservia and Damilo acquisitions, additional bad debt expense incurred in France and Italy as a result of collection issues with certain clients, and $3.8 million of reorganization costs in 2012 compared to $1.5 million in 2011. In 2011, selling and administrative expenses increased 8.3% (an increase of 3.3% in constant currency) compared to 2010. The increase in selling and administrative expenses was due primarily to an increase in the number of employees, resulting primarily from the acquisition of Proservia, as well as increased variable incentive-based costs due to the improved profitability.</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OUP margin in Southern Europe was 1.5%, 2.1% and 1.5% for 2012, 2011 and 2010, respectively. OUP margin decreased in 2012 primarily due to France, where the OUP margin was 1.0%, 1.4%, and 0.9% in 2012, 2011, and 2010, respectively, as the increase in the gross profit margin did not fully compensate for the deleveraging of expenses as we did not decrease selling and administrative expenses to the extent of the revenue decline. Italy’s OUP margin was 4.3%, 5.9% and 4.5% in 2012, 2011 and 2010, respectively. Italy’s margin decrease in 2012 was due to the decrease in gross profit margin and deleveraging of expenses. Other Southern Europe’s OUP margin was 1.3%, 1.4% and 1.0% in 2012, 2011 and 2010, respectively.</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939598"/>
        </w:rPr>
        <w:t xml:space="preserve">Northern Europe </w:t>
      </w:r>
      <w:r>
        <w:rPr>
          <w:rFonts w:ascii="Arial" w:cs="Arial" w:eastAsia="Arial" w:hAnsi="Arial"/>
          <w:sz w:val="18"/>
          <w:szCs w:val="18"/>
          <w:color w:val="000000"/>
        </w:rPr>
        <w:t>— In Northern Europe, which includes operations in the United Kingdom, the Nordics, Germany and the Netherlands (comprising 25.9%,</w:t>
      </w:r>
      <w:r>
        <w:rPr>
          <w:rFonts w:ascii="Arial" w:cs="Arial" w:eastAsia="Arial" w:hAnsi="Arial"/>
          <w:sz w:val="18"/>
          <w:szCs w:val="18"/>
          <w:b w:val="1"/>
          <w:bCs w:val="1"/>
          <w:color w:val="939598"/>
        </w:rPr>
        <w:t xml:space="preserve"> </w:t>
      </w:r>
      <w:r>
        <w:rPr>
          <w:rFonts w:ascii="Arial" w:cs="Arial" w:eastAsia="Arial" w:hAnsi="Arial"/>
          <w:sz w:val="18"/>
          <w:szCs w:val="18"/>
          <w:color w:val="000000"/>
        </w:rPr>
        <w:t>23.5%, 13.0%, and 9.6%, respectively, of Northern Europe’s revenues), revenues from services decreased 6.3% (–1.3% in constant currency) in 2012 as compared to 2011. The decrease in revenues was primarily attributable to declines in our Experis business line, which saw softening demand in both our interim and permanent recruitment, as well as a decline in our ManpowerGroup Solutions business. This decline was partially offset by growth in our Manpower business line, primarily in the 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Europe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Europe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40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30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2011, revenues from services in Northern Europe increased 15.3% (9.3% in constant currency) as compared to 2010. The growth came from our staffing/ interim business and our permanent recruitment business, which increased revenues 19.1% in constant currency.</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decreased in 2012 due to the decline in our staffing/interim margins as we had an increase of unbillable labor due to lower bench utilization and higher vacation pay in Germany and Sweden, and general pricing pressures in the Netherlands. The decrease is also due to the business mix changes in our revenues, as staffing/interim revenue growth came from our lower-margin United Kingdom market, and our higher-margin permanent recruitment and ManpowerGroup Solutions revenues declined. In 2011, gross profit margin decreased primarily due to a decrease in staffing/interim margins partly due to increased unbillable labor, and changes in our mix of business across the segment.</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2012, selling and administrative expenses decreased 9.6% (–4.4% in constant currency) compared to 2011. The decrease in selling and administrative expenses was due primarily to lower headcount, which reduced compensation-related expenses such as salaries and variable incentive-based costs, and overall tighter expense controls. In 2011, selling and administrative expenses increased 8.6% (an increase of 2.8% in constant currency) compared to 2010. The increase in selling and administrative expenses was due primarily to salary increases, additional headcount required to meet the higher demand for our services in certain markets and business lines, and $10.0 million of severances and office closure costs as we streamlined our single brand Experis strategy to drive productivity and efficiency.</w:t>
      </w:r>
    </w:p>
    <w:p>
      <w:pPr>
        <w:spacing w:after="0" w:line="2"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0" w:name="page51"/>
    <w:bookmarkEnd w:id="50"/>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OUP margin for Northern Europe was 2.8%, 3.5% and 2.8% in 2012, 2011 and 2010, respectively. The OUP margin decline in 2012 was primarily due to the decline in revenue and gross profit margin. The margin increase in 2011 was the result of gaining operating leverage to support higher revenue levels without a similar increase in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APME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23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APME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14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302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939598"/>
        </w:rPr>
        <w:t xml:space="preserve">APME </w:t>
      </w:r>
      <w:r>
        <w:rPr>
          <w:rFonts w:ascii="Arial" w:cs="Arial" w:eastAsia="Arial" w:hAnsi="Arial"/>
          <w:sz w:val="16"/>
          <w:szCs w:val="16"/>
          <w:color w:val="000000"/>
        </w:rPr>
        <w:t>— In 2012, revenues from services for APME increased 2.5% (3.1% in constant currency and 1.6% on an organic constant currency basis) compared to</w:t>
      </w:r>
      <w:r>
        <w:rPr>
          <w:rFonts w:ascii="Arial" w:cs="Arial" w:eastAsia="Arial" w:hAnsi="Arial"/>
          <w:sz w:val="16"/>
          <w:szCs w:val="16"/>
          <w:b w:val="1"/>
          <w:bCs w:val="1"/>
          <w:color w:val="939598"/>
        </w:rPr>
        <w:t xml:space="preserve"> </w:t>
      </w:r>
      <w:r>
        <w:rPr>
          <w:rFonts w:ascii="Arial" w:cs="Arial" w:eastAsia="Arial" w:hAnsi="Arial"/>
          <w:sz w:val="16"/>
          <w:szCs w:val="16"/>
          <w:color w:val="000000"/>
        </w:rPr>
        <w:t>2011. China and India both made acquisitions in 2011, which significantly increased their revenues. Excluding acquisitions, revenue growth in constant currency for 2012 in China and India was 11.4% and 17.5%, respectively. In Japan (which represents 42.9% of APME’s revenues), we saw a slight decrease of 0.2% on a constant currency basis for 2012 due to declining demand for our staffing services within our Manpower business line, offset by a 16.6% increase in the combined Experis and ManpowerGroup Solutions business lines, compared to 2011. In Australia, revenues were down 6.0% in constant currency for 2012 compared to 2011 due to the decreased demand resulting from their economic slowdown.</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2011, revenues from services increased 24.0% (14.2% in constant currency and 7.6% on an organic constant currency basis) compared to 2010. In 2011, China and India both made acquisitions, which significantly increased their revenues. Excluding acquisitions, revenue growth in constant currency was 81.7% and 18.1% for China and India, respectively. Australia also experienced strong revenue growth in their staffing/interim business, which resulted in growth of 13.2% in constant currency in 2011 compared to 2010. This was offset, in part, by Japan where revenues from services were flat in constant currency in 2011 compared to 2010 as a 33.9% increase in the ManpowerGroup Solutions business offset the decline in their staffing/interim business.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Gross profit margin decreased in 2012 compared to 2011 due to the margin declines in our higher-margin ManpowerGroup Solutions business as well as a slight margin decline in our lower-margin staffing/interim business. In 2011, gross profit margin decreased due to the changes in business mix that were impacted, in part, by growth in several larger clients with lower margin business and by the lower-margin business in one of our China acquisitions.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and administrative expenses decreased 3.6% (–3.5% in constant currency) in 2012 compared to 2011 due to productivity improvements along with tighter expense controls. In 2011, selling and administrative expenses increased compared to 2010 due to the addition of recurring selling and administrative costs of the China and India acquisitions and increased compensation costs arising from headcount increases to support the growth in organic revenues and an increase in variable incentive-based compensation as a result of improved results.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OUP margin for APME was 3.3%, 3.0%, and 2.2% in 2012, 2011 and 2010, respectively. The OUP margin increase in 2012 was due to productivity improvements and tighter expense controls as we were able to decrease our selling and administrative expenses while revenues increased. The improvement in 2011 was due to the increase in revenues and gross profit margin without the corresponding increase in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Management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23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Management Operating Unit Profit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23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3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939598"/>
        </w:rPr>
        <w:t xml:space="preserve">Right Management </w:t>
      </w:r>
      <w:r>
        <w:rPr>
          <w:rFonts w:ascii="Arial" w:cs="Arial" w:eastAsia="Arial" w:hAnsi="Arial"/>
          <w:sz w:val="18"/>
          <w:szCs w:val="18"/>
          <w:color w:val="000000"/>
        </w:rPr>
        <w:t>— Right Management is a leading global provider of talent and career management workforce solutions operating in over 130 offices in</w:t>
      </w:r>
      <w:r>
        <w:rPr>
          <w:rFonts w:ascii="Arial" w:cs="Arial" w:eastAsia="Arial" w:hAnsi="Arial"/>
          <w:sz w:val="18"/>
          <w:szCs w:val="18"/>
          <w:b w:val="1"/>
          <w:bCs w:val="1"/>
          <w:color w:val="939598"/>
        </w:rPr>
        <w:t xml:space="preserve"> </w:t>
      </w:r>
      <w:r>
        <w:rPr>
          <w:rFonts w:ascii="Arial" w:cs="Arial" w:eastAsia="Arial" w:hAnsi="Arial"/>
          <w:sz w:val="18"/>
          <w:szCs w:val="18"/>
          <w:color w:val="000000"/>
        </w:rPr>
        <w:t>more than 50 countries and territories.</w:t>
      </w:r>
    </w:p>
    <w:p>
      <w:pPr>
        <w:sectPr>
          <w:pgSz w:w="11900" w:h="16838" w:orient="portrait"/>
          <w:cols w:equalWidth="0" w:num="1">
            <w:col w:w="11420"/>
          </w:cols>
          <w:pgMar w:left="240" w:top="1010" w:right="239" w:bottom="0" w:gutter="0" w:footer="0" w:header="0"/>
        </w:sectPr>
      </w:pPr>
    </w:p>
    <w:bookmarkStart w:id="51" w:name="page52"/>
    <w:bookmarkEnd w:id="51"/>
    <w:p>
      <w:pPr>
        <w:jc w:val="both"/>
        <w:spacing w:after="0" w:line="306" w:lineRule="auto"/>
        <w:rPr>
          <w:sz w:val="20"/>
          <w:szCs w:val="20"/>
          <w:color w:val="auto"/>
        </w:rPr>
      </w:pPr>
      <w:r>
        <w:rPr>
          <w:rFonts w:ascii="Arial" w:cs="Arial" w:eastAsia="Arial" w:hAnsi="Arial"/>
          <w:sz w:val="16"/>
          <w:szCs w:val="16"/>
          <w:color w:val="auto"/>
        </w:rPr>
        <w:t>In 2012, revenues from services increased 1.5% (3.4% in constant currency). The increase was due to the growth in our counter-cyclical outplacement services, which were up 10.1% (12.2% in constant currency) in 2012 compared to 2011, partially offset by a 12.8% (11.2% in constant currency) decline in demand for our talent management business, as we are seeing a longer sales cycle as clients defer their discretionary spending.</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revenues from services decreased 13.6% (–16.6% in constant currency). This decrease was due primarily to the decline in the demand for the counter-cyclical outplacement services, where revenues generally decline as we experience an economic recovery. The 25.9% decline in outplacement services was partially offset by an increase of 6.1% in constant currency in our talent management business.</w:t>
      </w:r>
    </w:p>
    <w:p>
      <w:pPr>
        <w:spacing w:after="0" w:line="19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Gross profit margin increased in 2012 compared to 2011 due to the margin improvement in each business line and the business mix changes in our revenues, as we saw an increase in the higher-margin outplacement services and a decrease</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both"/>
        <w:spacing w:after="0" w:line="268" w:lineRule="auto"/>
        <w:rPr>
          <w:sz w:val="20"/>
          <w:szCs w:val="20"/>
          <w:color w:val="auto"/>
        </w:rPr>
      </w:pPr>
      <w:r>
        <w:rPr>
          <w:rFonts w:ascii="Arial" w:cs="Arial" w:eastAsia="Arial" w:hAnsi="Arial"/>
          <w:sz w:val="18"/>
          <w:szCs w:val="18"/>
          <w:color w:val="auto"/>
        </w:rPr>
        <w:t>in the lower-margin talent management business. In 2011, gross profit margin decreased due to the business mix change, as we saw declines in the higher margin outplacement services.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2012, selling and administrative expenses decreased 1.7% (0.4% increase in constant currency) compared to 2011 as the cost savings from the reorganization plan to streamline the office infrastructure and management organization favorably impacted expense levels. In 2011, selling and administrative expenses decreased 16.5% in constant currency compared to 2010 as costs were reduced in response to the lower 2011 revenue volumes.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OUP margin for Right Management was 4.1%, –0.4% and 0.9% for 2012, 2011 and 2010, respectively. The OUP margin for 2012 was higher due to the greater mix of outplacement business compared to 2011 as well as the decrease in selling and administrative expenses due to cost savings from the reorganization plan noted above, offset, in part, by the $10.9 million of reorganization costs incurred in 2012 compared to $5.5 million in 2011. OUP margin in 2011 was unfavorably impacted by the significant decrease in our career management business as well as the reorganization costs incurred during the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6B6A5"/>
        </w:rPr>
        <w:t>Financial Measures — Constant Currency and Organic</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Constant Currency Reconciliation</w:t>
      </w:r>
    </w:p>
    <w:p>
      <w:pPr>
        <w:jc w:val="both"/>
        <w:spacing w:after="0" w:line="278"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annual financial results is provided below. (See Constant Currency and Organic Constant Currency on page 27 for further information.)</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86B6A5"/>
              </w:rPr>
              <w:t>Impact of</w:t>
            </w:r>
          </w:p>
        </w:tc>
        <w:tc>
          <w:tcPr>
            <w:tcW w:w="10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86B6A5"/>
              </w:rPr>
              <w:t>Organic</w:t>
            </w: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86B6A5"/>
              </w:rPr>
              <w:t>Reported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86B6A5"/>
              </w:rPr>
              <w:t>Variance</w:t>
            </w:r>
          </w:p>
        </w:tc>
        <w:tc>
          <w:tcPr>
            <w:tcW w:w="132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86B6A5"/>
              </w:rPr>
              <w:t>Acquisitions</w:t>
            </w:r>
          </w:p>
        </w:tc>
        <w:tc>
          <w:tcPr>
            <w:tcW w:w="10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86B6A5"/>
              </w:rPr>
              <w:t>Constant</w:t>
            </w:r>
          </w:p>
        </w:tc>
      </w:tr>
      <w:tr>
        <w:trPr>
          <w:trHeight w:val="149"/>
        </w:trPr>
        <w:tc>
          <w:tcPr>
            <w:tcW w:w="3420" w:type="dxa"/>
            <w:vAlign w:val="bottom"/>
            <w:gridSpan w:val="3"/>
          </w:tcPr>
          <w:p>
            <w:pPr>
              <w:spacing w:after="0" w:line="149" w:lineRule="exact"/>
              <w:rPr>
                <w:sz w:val="20"/>
                <w:szCs w:val="20"/>
                <w:color w:val="auto"/>
              </w:rPr>
            </w:pPr>
            <w:r>
              <w:rPr>
                <w:rFonts w:ascii="Arial" w:cs="Arial" w:eastAsia="Arial" w:hAnsi="Arial"/>
                <w:sz w:val="14"/>
                <w:szCs w:val="14"/>
                <w:b w:val="1"/>
                <w:bCs w:val="1"/>
                <w:color w:val="86B6A5"/>
              </w:rPr>
              <w:t>Amounts represent 2012</w:t>
            </w:r>
          </w:p>
        </w:tc>
        <w:tc>
          <w:tcPr>
            <w:tcW w:w="740" w:type="dxa"/>
            <w:vAlign w:val="bottom"/>
          </w:tcPr>
          <w:p>
            <w:pPr>
              <w:spacing w:after="0"/>
              <w:rPr>
                <w:sz w:val="12"/>
                <w:szCs w:val="12"/>
                <w:color w:val="auto"/>
              </w:rPr>
            </w:pPr>
          </w:p>
        </w:tc>
        <w:tc>
          <w:tcPr>
            <w:tcW w:w="112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86B6A5"/>
              </w:rPr>
              <w:t>Amount</w:t>
            </w: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86B6A5"/>
              </w:rPr>
              <w:t>Reported</w:t>
            </w:r>
          </w:p>
        </w:tc>
        <w:tc>
          <w:tcPr>
            <w:tcW w:w="1300" w:type="dxa"/>
            <w:vAlign w:val="bottom"/>
          </w:tcPr>
          <w:p>
            <w:pPr>
              <w:jc w:val="right"/>
              <w:ind w:right="314"/>
              <w:spacing w:after="0" w:line="149" w:lineRule="exact"/>
              <w:rPr>
                <w:sz w:val="20"/>
                <w:szCs w:val="20"/>
                <w:color w:val="auto"/>
              </w:rPr>
            </w:pPr>
            <w:r>
              <w:rPr>
                <w:rFonts w:ascii="Arial" w:cs="Arial" w:eastAsia="Arial" w:hAnsi="Arial"/>
                <w:sz w:val="14"/>
                <w:szCs w:val="14"/>
                <w:b w:val="1"/>
                <w:bCs w:val="1"/>
                <w:color w:val="86B6A5"/>
              </w:rPr>
              <w:t>Impact of</w:t>
            </w:r>
          </w:p>
        </w:tc>
        <w:tc>
          <w:tcPr>
            <w:tcW w:w="124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86B6A5"/>
              </w:rPr>
              <w:t>in Constant</w:t>
            </w:r>
          </w:p>
        </w:tc>
        <w:tc>
          <w:tcPr>
            <w:tcW w:w="132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86B6A5"/>
              </w:rPr>
              <w:t>(in Constant</w:t>
            </w:r>
          </w:p>
        </w:tc>
        <w:tc>
          <w:tcPr>
            <w:tcW w:w="10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86B6A5"/>
              </w:rPr>
              <w:t>Currency</w:t>
            </w:r>
          </w:p>
        </w:tc>
      </w:t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86B6A5"/>
              </w:rPr>
              <w:t>Percentages represent 2012 compared to 2011</w:t>
            </w:r>
          </w:p>
        </w:tc>
        <w:tc>
          <w:tcPr>
            <w:tcW w:w="7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86B6A5"/>
                <w:w w:val="94"/>
              </w:rPr>
              <w:t>(in millions)</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86B6A5"/>
              </w:rPr>
              <w:t>Variance</w:t>
            </w:r>
          </w:p>
        </w:tc>
        <w:tc>
          <w:tcPr>
            <w:tcW w:w="1300" w:type="dxa"/>
            <w:vAlign w:val="bottom"/>
          </w:tcPr>
          <w:p>
            <w:pPr>
              <w:jc w:val="right"/>
              <w:ind w:right="314"/>
              <w:spacing w:after="0"/>
              <w:rPr>
                <w:sz w:val="20"/>
                <w:szCs w:val="20"/>
                <w:color w:val="auto"/>
              </w:rPr>
            </w:pPr>
            <w:r>
              <w:rPr>
                <w:rFonts w:ascii="Arial" w:cs="Arial" w:eastAsia="Arial" w:hAnsi="Arial"/>
                <w:sz w:val="14"/>
                <w:szCs w:val="14"/>
                <w:b w:val="1"/>
                <w:bCs w:val="1"/>
                <w:color w:val="86B6A5"/>
              </w:rPr>
              <w:t>Currency</w:t>
            </w:r>
          </w:p>
        </w:tc>
        <w:tc>
          <w:tcPr>
            <w:tcW w:w="1240" w:type="dxa"/>
            <w:vAlign w:val="bottom"/>
          </w:tcPr>
          <w:p>
            <w:pPr>
              <w:jc w:val="right"/>
              <w:ind w:right="295"/>
              <w:spacing w:after="0"/>
              <w:rPr>
                <w:sz w:val="20"/>
                <w:szCs w:val="20"/>
                <w:color w:val="auto"/>
              </w:rPr>
            </w:pPr>
            <w:r>
              <w:rPr>
                <w:rFonts w:ascii="Arial" w:cs="Arial" w:eastAsia="Arial" w:hAnsi="Arial"/>
                <w:sz w:val="14"/>
                <w:szCs w:val="14"/>
                <w:b w:val="1"/>
                <w:bCs w:val="1"/>
                <w:color w:val="86B6A5"/>
              </w:rPr>
              <w:t>Currency</w:t>
            </w:r>
          </w:p>
        </w:tc>
        <w:tc>
          <w:tcPr>
            <w:tcW w:w="1320" w:type="dxa"/>
            <w:vAlign w:val="bottom"/>
          </w:tcPr>
          <w:p>
            <w:pPr>
              <w:jc w:val="right"/>
              <w:ind w:right="355"/>
              <w:spacing w:after="0"/>
              <w:rPr>
                <w:sz w:val="20"/>
                <w:szCs w:val="20"/>
                <w:color w:val="auto"/>
              </w:rPr>
            </w:pPr>
            <w:r>
              <w:rPr>
                <w:rFonts w:ascii="Arial" w:cs="Arial" w:eastAsia="Arial" w:hAnsi="Arial"/>
                <w:sz w:val="14"/>
                <w:szCs w:val="14"/>
                <w:b w:val="1"/>
                <w:bCs w:val="1"/>
                <w:color w:val="86B6A5"/>
              </w:rPr>
              <w:t>Currency)</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86B6A5"/>
              </w:rPr>
              <w:t>Variance</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86B6A5"/>
            </w:tcBorders>
            <w:gridSpan w:val="2"/>
            <w:shd w:val="clear" w:color="auto" w:fill="E3F1DA"/>
          </w:tcPr>
          <w:p>
            <w:pPr>
              <w:spacing w:after="0"/>
              <w:rPr>
                <w:sz w:val="20"/>
                <w:szCs w:val="20"/>
                <w:color w:val="auto"/>
              </w:rPr>
            </w:pPr>
            <w:r>
              <w:rPr>
                <w:rFonts w:ascii="Arial" w:cs="Arial" w:eastAsia="Arial" w:hAnsi="Arial"/>
                <w:sz w:val="18"/>
                <w:szCs w:val="18"/>
                <w:b w:val="1"/>
                <w:bCs w:val="1"/>
                <w:color w:val="939598"/>
              </w:rPr>
              <w:t>Revenues from Services</w:t>
            </w:r>
          </w:p>
        </w:tc>
        <w:tc>
          <w:tcPr>
            <w:tcW w:w="740" w:type="dxa"/>
            <w:vAlign w:val="bottom"/>
            <w:tcBorders>
              <w:top w:val="single" w:sz="8" w:color="86B6A5"/>
            </w:tcBorders>
            <w:shd w:val="clear" w:color="auto" w:fill="E3F1DA"/>
          </w:tcPr>
          <w:p>
            <w:pPr>
              <w:spacing w:after="0"/>
              <w:rPr>
                <w:sz w:val="18"/>
                <w:szCs w:val="18"/>
                <w:color w:val="auto"/>
              </w:rPr>
            </w:pPr>
          </w:p>
        </w:tc>
        <w:tc>
          <w:tcPr>
            <w:tcW w:w="1120" w:type="dxa"/>
            <w:vAlign w:val="bottom"/>
            <w:tcBorders>
              <w:top w:val="single" w:sz="8" w:color="86B6A5"/>
            </w:tcBorders>
            <w:shd w:val="clear" w:color="auto" w:fill="E3F1DA"/>
          </w:tcPr>
          <w:p>
            <w:pPr>
              <w:spacing w:after="0"/>
              <w:rPr>
                <w:sz w:val="18"/>
                <w:szCs w:val="18"/>
                <w:color w:val="auto"/>
              </w:rPr>
            </w:pPr>
          </w:p>
        </w:tc>
        <w:tc>
          <w:tcPr>
            <w:tcW w:w="880" w:type="dxa"/>
            <w:vAlign w:val="bottom"/>
            <w:tcBorders>
              <w:top w:val="single" w:sz="8" w:color="86B6A5"/>
            </w:tcBorders>
            <w:shd w:val="clear" w:color="auto" w:fill="E3F1DA"/>
          </w:tcPr>
          <w:p>
            <w:pPr>
              <w:spacing w:after="0"/>
              <w:rPr>
                <w:sz w:val="18"/>
                <w:szCs w:val="18"/>
                <w:color w:val="auto"/>
              </w:rPr>
            </w:pPr>
          </w:p>
        </w:tc>
        <w:tc>
          <w:tcPr>
            <w:tcW w:w="340" w:type="dxa"/>
            <w:vAlign w:val="bottom"/>
            <w:tcBorders>
              <w:top w:val="single" w:sz="8" w:color="939598"/>
            </w:tcBorders>
            <w:shd w:val="clear" w:color="auto" w:fill="E3F1DA"/>
          </w:tcPr>
          <w:p>
            <w:pPr>
              <w:spacing w:after="0"/>
              <w:rPr>
                <w:sz w:val="18"/>
                <w:szCs w:val="18"/>
                <w:color w:val="auto"/>
              </w:rPr>
            </w:pPr>
          </w:p>
        </w:tc>
        <w:tc>
          <w:tcPr>
            <w:tcW w:w="1300" w:type="dxa"/>
            <w:vAlign w:val="bottom"/>
            <w:tcBorders>
              <w:top w:val="single" w:sz="8" w:color="86B6A5"/>
            </w:tcBorders>
            <w:shd w:val="clear" w:color="auto" w:fill="E3F1DA"/>
          </w:tcPr>
          <w:p>
            <w:pPr>
              <w:spacing w:after="0"/>
              <w:rPr>
                <w:sz w:val="18"/>
                <w:szCs w:val="18"/>
                <w:color w:val="auto"/>
              </w:rPr>
            </w:pPr>
          </w:p>
        </w:tc>
        <w:tc>
          <w:tcPr>
            <w:tcW w:w="1240" w:type="dxa"/>
            <w:vAlign w:val="bottom"/>
            <w:tcBorders>
              <w:top w:val="single" w:sz="8" w:color="86B6A5"/>
            </w:tcBorders>
            <w:shd w:val="clear" w:color="auto" w:fill="E3F1DA"/>
          </w:tcPr>
          <w:p>
            <w:pPr>
              <w:spacing w:after="0"/>
              <w:rPr>
                <w:sz w:val="18"/>
                <w:szCs w:val="18"/>
                <w:color w:val="auto"/>
              </w:rPr>
            </w:pPr>
          </w:p>
        </w:tc>
        <w:tc>
          <w:tcPr>
            <w:tcW w:w="1320" w:type="dxa"/>
            <w:vAlign w:val="bottom"/>
            <w:tcBorders>
              <w:top w:val="single" w:sz="8" w:color="86B6A5"/>
            </w:tcBorders>
            <w:shd w:val="clear" w:color="auto" w:fill="E3F1DA"/>
          </w:tcPr>
          <w:p>
            <w:pPr>
              <w:spacing w:after="0"/>
              <w:rPr>
                <w:sz w:val="18"/>
                <w:szCs w:val="18"/>
                <w:color w:val="auto"/>
              </w:rPr>
            </w:pPr>
          </w:p>
        </w:tc>
        <w:tc>
          <w:tcPr>
            <w:tcW w:w="106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E3F1DA"/>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3,010.5</w:t>
            </w:r>
          </w:p>
        </w:tc>
        <w:tc>
          <w:tcPr>
            <w:tcW w:w="1220" w:type="dxa"/>
            <w:vAlign w:val="bottom"/>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(4.0)%</w:t>
            </w:r>
          </w:p>
        </w:tc>
        <w:tc>
          <w:tcPr>
            <w:tcW w:w="1300" w:type="dxa"/>
            <w:vAlign w:val="bottom"/>
            <w:shd w:val="clear" w:color="auto" w:fill="E3F1DA"/>
          </w:tcPr>
          <w:p>
            <w:pPr>
              <w:ind w:left="7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(4.0)%</w:t>
            </w:r>
          </w:p>
        </w:tc>
        <w:tc>
          <w:tcPr>
            <w:tcW w:w="1320" w:type="dxa"/>
            <w:vAlign w:val="bottom"/>
            <w:shd w:val="clear" w:color="auto" w:fill="E3F1DA"/>
          </w:tcPr>
          <w:p>
            <w:pPr>
              <w:jc w:val="right"/>
              <w:ind w:right="2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Other Americas</w:t>
            </w:r>
          </w:p>
        </w:tc>
        <w:tc>
          <w:tcPr>
            <w:tcW w:w="74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75"/>
              <w:spacing w:after="0"/>
              <w:rPr>
                <w:sz w:val="20"/>
                <w:szCs w:val="20"/>
                <w:color w:val="auto"/>
              </w:rPr>
            </w:pPr>
            <w:r>
              <w:rPr>
                <w:rFonts w:ascii="Arial" w:cs="Arial" w:eastAsia="Arial" w:hAnsi="Arial"/>
                <w:sz w:val="18"/>
                <w:szCs w:val="18"/>
                <w:color w:val="auto"/>
              </w:rPr>
              <w:t>1,585.4</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939598"/>
            </w:tcBorders>
          </w:tcPr>
          <w:p>
            <w:pPr>
              <w:spacing w:after="0"/>
              <w:rPr>
                <w:sz w:val="18"/>
                <w:szCs w:val="18"/>
                <w:color w:val="auto"/>
              </w:rPr>
            </w:pPr>
          </w:p>
        </w:tc>
        <w:tc>
          <w:tcPr>
            <w:tcW w:w="1300" w:type="dxa"/>
            <w:vAlign w:val="bottom"/>
            <w:tcBorders>
              <w:bottom w:val="single" w:sz="8" w:color="939598"/>
            </w:tcBorders>
          </w:tcPr>
          <w:p>
            <w:pPr>
              <w:ind w:left="640"/>
              <w:spacing w:after="0"/>
              <w:rPr>
                <w:sz w:val="20"/>
                <w:szCs w:val="20"/>
                <w:color w:val="auto"/>
              </w:rPr>
            </w:pPr>
            <w:r>
              <w:rPr>
                <w:rFonts w:ascii="Arial" w:cs="Arial" w:eastAsia="Arial" w:hAnsi="Arial"/>
                <w:sz w:val="18"/>
                <w:szCs w:val="18"/>
                <w:color w:val="auto"/>
              </w:rPr>
              <w:t>(5.1)</w:t>
            </w:r>
          </w:p>
        </w:tc>
        <w:tc>
          <w:tcPr>
            <w:tcW w:w="124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9.9</w:t>
            </w:r>
          </w:p>
        </w:tc>
        <w:tc>
          <w:tcPr>
            <w:tcW w:w="132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939598"/>
            </w:tcBorders>
          </w:tcPr>
          <w:p>
            <w:pPr>
              <w:jc w:val="right"/>
              <w:ind w:right="135"/>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939598"/>
            </w:tcBorders>
            <w:shd w:val="clear" w:color="auto" w:fill="E3F1DA"/>
          </w:tcPr>
          <w:p>
            <w:pPr>
              <w:spacing w:after="0"/>
              <w:rPr>
                <w:sz w:val="18"/>
                <w:szCs w:val="18"/>
                <w:color w:val="auto"/>
              </w:rPr>
            </w:pPr>
          </w:p>
        </w:tc>
        <w:tc>
          <w:tcPr>
            <w:tcW w:w="288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4,595.9</w:t>
            </w:r>
          </w:p>
        </w:tc>
        <w:tc>
          <w:tcPr>
            <w:tcW w:w="1220" w:type="dxa"/>
            <w:vAlign w:val="bottom"/>
            <w:tcBorders>
              <w:bottom w:val="single" w:sz="8" w:color="939598"/>
            </w:tcBorders>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(1.2)</w:t>
            </w: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939598"/>
            </w:tcBorders>
            <w:shd w:val="clear" w:color="auto" w:fill="E3F1DA"/>
          </w:tcPr>
          <w:p>
            <w:pPr>
              <w:jc w:val="right"/>
              <w:ind w:right="135"/>
              <w:spacing w:after="0"/>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Southern Europe:</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3F1DA"/>
          </w:tcPr>
          <w:p>
            <w:pPr>
              <w:spacing w:after="0"/>
              <w:rPr>
                <w:sz w:val="20"/>
                <w:szCs w:val="20"/>
                <w:color w:val="auto"/>
              </w:rPr>
            </w:pPr>
            <w:r>
              <w:rPr>
                <w:rFonts w:ascii="Arial" w:cs="Arial" w:eastAsia="Arial" w:hAnsi="Arial"/>
                <w:sz w:val="18"/>
                <w:szCs w:val="18"/>
                <w:color w:val="auto"/>
                <w:w w:val="89"/>
              </w:rPr>
              <w:t>France</w:t>
            </w:r>
          </w:p>
        </w:tc>
        <w:tc>
          <w:tcPr>
            <w:tcW w:w="288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5,425.6</w:t>
            </w:r>
          </w:p>
        </w:tc>
        <w:tc>
          <w:tcPr>
            <w:tcW w:w="1220" w:type="dxa"/>
            <w:vAlign w:val="bottom"/>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(12.2)</w:t>
            </w:r>
          </w:p>
        </w:tc>
        <w:tc>
          <w:tcPr>
            <w:tcW w:w="1300" w:type="dxa"/>
            <w:vAlign w:val="bottom"/>
            <w:shd w:val="clear" w:color="auto" w:fill="E3F1DA"/>
          </w:tcPr>
          <w:p>
            <w:pPr>
              <w:ind w:left="640"/>
              <w:spacing w:after="0"/>
              <w:rPr>
                <w:sz w:val="20"/>
                <w:szCs w:val="20"/>
                <w:color w:val="auto"/>
              </w:rPr>
            </w:pPr>
            <w:r>
              <w:rPr>
                <w:rFonts w:ascii="Arial" w:cs="Arial" w:eastAsia="Arial" w:hAnsi="Arial"/>
                <w:sz w:val="18"/>
                <w:szCs w:val="18"/>
                <w:color w:val="auto"/>
              </w:rPr>
              <w:t>(7.6)</w:t>
            </w:r>
          </w:p>
        </w:tc>
        <w:tc>
          <w:tcPr>
            <w:tcW w:w="124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(4.6)</w:t>
            </w:r>
          </w:p>
        </w:tc>
        <w:tc>
          <w:tcPr>
            <w:tcW w:w="132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1.5</w:t>
            </w:r>
          </w:p>
        </w:tc>
        <w:tc>
          <w:tcPr>
            <w:tcW w:w="106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Italy</w:t>
            </w: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1,056.8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300" w:type="dxa"/>
            <w:vAlign w:val="bottom"/>
          </w:tcPr>
          <w:p>
            <w:pPr>
              <w:ind w:left="640"/>
              <w:spacing w:after="0"/>
              <w:rPr>
                <w:sz w:val="20"/>
                <w:szCs w:val="20"/>
                <w:color w:val="auto"/>
              </w:rPr>
            </w:pPr>
            <w:r>
              <w:rPr>
                <w:rFonts w:ascii="Arial" w:cs="Arial" w:eastAsia="Arial" w:hAnsi="Arial"/>
                <w:sz w:val="18"/>
                <w:szCs w:val="18"/>
                <w:color w:val="auto"/>
              </w:rPr>
              <w:t>(6.9)</w:t>
            </w:r>
          </w:p>
        </w:tc>
        <w:tc>
          <w:tcPr>
            <w:tcW w:w="1240" w:type="dxa"/>
            <w:vAlign w:val="bottom"/>
          </w:tcPr>
          <w:p>
            <w:pPr>
              <w:jc w:val="right"/>
              <w:ind w:right="235"/>
              <w:spacing w:after="0"/>
              <w:rPr>
                <w:sz w:val="20"/>
                <w:szCs w:val="20"/>
                <w:color w:val="auto"/>
              </w:rPr>
            </w:pPr>
            <w:r>
              <w:rPr>
                <w:rFonts w:ascii="Arial" w:cs="Arial" w:eastAsia="Arial" w:hAnsi="Arial"/>
                <w:sz w:val="18"/>
                <w:szCs w:val="18"/>
                <w:color w:val="auto"/>
              </w:rPr>
              <w:t>(8.9)</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shd w:val="clear" w:color="auto" w:fill="E3F1DA"/>
          </w:tcPr>
          <w:p>
            <w:pPr>
              <w:spacing w:after="0"/>
              <w:rPr>
                <w:sz w:val="20"/>
                <w:szCs w:val="20"/>
                <w:color w:val="auto"/>
              </w:rPr>
            </w:pPr>
            <w:r>
              <w:rPr>
                <w:rFonts w:ascii="Arial" w:cs="Arial" w:eastAsia="Arial" w:hAnsi="Arial"/>
                <w:sz w:val="18"/>
                <w:szCs w:val="18"/>
                <w:color w:val="auto"/>
              </w:rPr>
              <w:t>Other Southern Europe</w:t>
            </w:r>
          </w:p>
        </w:tc>
        <w:tc>
          <w:tcPr>
            <w:tcW w:w="740" w:type="dxa"/>
            <w:vAlign w:val="bottom"/>
            <w:tcBorders>
              <w:bottom w:val="single" w:sz="8" w:color="939598"/>
            </w:tcBorders>
            <w:shd w:val="clear" w:color="auto" w:fill="E3F1DA"/>
          </w:tcPr>
          <w:p>
            <w:pPr>
              <w:spacing w:after="0"/>
              <w:rPr>
                <w:sz w:val="18"/>
                <w:szCs w:val="18"/>
                <w:color w:val="auto"/>
              </w:rPr>
            </w:pP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768.5</w:t>
            </w:r>
          </w:p>
        </w:tc>
        <w:tc>
          <w:tcPr>
            <w:tcW w:w="1220" w:type="dxa"/>
            <w:vAlign w:val="bottom"/>
            <w:tcBorders>
              <w:bottom w:val="single" w:sz="8" w:color="939598"/>
            </w:tcBorders>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6.9</w:t>
            </w:r>
          </w:p>
        </w:tc>
        <w:tc>
          <w:tcPr>
            <w:tcW w:w="132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shd w:val="clear" w:color="auto" w:fill="E3F1DA"/>
          </w:tcPr>
          <w:p>
            <w:pPr>
              <w:jc w:val="right"/>
              <w:ind w:right="135"/>
              <w:spacing w:after="0"/>
              <w:rPr>
                <w:sz w:val="20"/>
                <w:szCs w:val="20"/>
                <w:color w:val="auto"/>
              </w:rPr>
            </w:pPr>
            <w:r>
              <w:rPr>
                <w:rFonts w:ascii="Arial" w:cs="Arial" w:eastAsia="Arial" w:hAnsi="Arial"/>
                <w:sz w:val="18"/>
                <w:szCs w:val="18"/>
                <w:color w:val="auto"/>
              </w:rPr>
              <w:t>6.9</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28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75"/>
              <w:spacing w:after="0"/>
              <w:rPr>
                <w:sz w:val="20"/>
                <w:szCs w:val="20"/>
                <w:color w:val="auto"/>
              </w:rPr>
            </w:pPr>
            <w:r>
              <w:rPr>
                <w:rFonts w:ascii="Arial" w:cs="Arial" w:eastAsia="Arial" w:hAnsi="Arial"/>
                <w:sz w:val="18"/>
                <w:szCs w:val="18"/>
                <w:color w:val="auto"/>
              </w:rPr>
              <w:t>7,250.9</w:t>
            </w:r>
          </w:p>
        </w:tc>
        <w:tc>
          <w:tcPr>
            <w:tcW w:w="1220" w:type="dxa"/>
            <w:vAlign w:val="bottom"/>
            <w:tcBorders>
              <w:bottom w:val="single" w:sz="8" w:color="939598"/>
            </w:tcBorders>
            <w:gridSpan w:val="2"/>
          </w:tcPr>
          <w:p>
            <w:pPr>
              <w:jc w:val="right"/>
              <w:ind w:right="280"/>
              <w:spacing w:after="0"/>
              <w:rPr>
                <w:sz w:val="20"/>
                <w:szCs w:val="20"/>
                <w:color w:val="auto"/>
              </w:rPr>
            </w:pPr>
            <w:r>
              <w:rPr>
                <w:rFonts w:ascii="Arial" w:cs="Arial" w:eastAsia="Arial" w:hAnsi="Arial"/>
                <w:sz w:val="18"/>
                <w:szCs w:val="18"/>
                <w:color w:val="auto"/>
              </w:rPr>
              <w:t>(11.7)</w:t>
            </w:r>
          </w:p>
        </w:tc>
        <w:tc>
          <w:tcPr>
            <w:tcW w:w="1300" w:type="dxa"/>
            <w:vAlign w:val="bottom"/>
            <w:tcBorders>
              <w:bottom w:val="single" w:sz="8" w:color="939598"/>
            </w:tcBorders>
          </w:tcPr>
          <w:p>
            <w:pPr>
              <w:ind w:left="640"/>
              <w:spacing w:after="0"/>
              <w:rPr>
                <w:sz w:val="20"/>
                <w:szCs w:val="20"/>
                <w:color w:val="auto"/>
              </w:rPr>
            </w:pPr>
            <w:r>
              <w:rPr>
                <w:rFonts w:ascii="Arial" w:cs="Arial" w:eastAsia="Arial" w:hAnsi="Arial"/>
                <w:sz w:val="18"/>
                <w:szCs w:val="18"/>
                <w:color w:val="auto"/>
              </w:rPr>
              <w:t>(7.5)</w:t>
            </w:r>
          </w:p>
        </w:tc>
        <w:tc>
          <w:tcPr>
            <w:tcW w:w="124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(4.2)</w:t>
            </w:r>
          </w:p>
        </w:tc>
        <w:tc>
          <w:tcPr>
            <w:tcW w:w="132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939598"/>
            </w:tcBorders>
          </w:tcPr>
          <w:p>
            <w:pPr>
              <w:jc w:val="right"/>
              <w:ind w:right="95"/>
              <w:spacing w:after="0"/>
              <w:rPr>
                <w:sz w:val="20"/>
                <w:szCs w:val="20"/>
                <w:color w:val="auto"/>
              </w:rPr>
            </w:pPr>
            <w:r>
              <w:rPr>
                <w:rFonts w:ascii="Arial" w:cs="Arial" w:eastAsia="Arial" w:hAnsi="Arial"/>
                <w:sz w:val="18"/>
                <w:szCs w:val="18"/>
                <w:color w:val="auto"/>
              </w:rPr>
              <w:t>(5.3)</w:t>
            </w:r>
          </w:p>
        </w:tc>
      </w:tr>
      <w:tr>
        <w:trPr>
          <w:trHeight w:val="210"/>
        </w:trPr>
        <w:tc>
          <w:tcPr>
            <w:tcW w:w="20" w:type="dxa"/>
            <w:vAlign w:val="bottom"/>
          </w:tcPr>
          <w:p>
            <w:pPr>
              <w:spacing w:after="0"/>
              <w:rPr>
                <w:sz w:val="18"/>
                <w:szCs w:val="18"/>
                <w:color w:val="auto"/>
              </w:rPr>
            </w:pPr>
          </w:p>
        </w:tc>
        <w:tc>
          <w:tcPr>
            <w:tcW w:w="3400" w:type="dxa"/>
            <w:vAlign w:val="bottom"/>
            <w:gridSpan w:val="2"/>
            <w:shd w:val="clear" w:color="auto" w:fill="E3F1DA"/>
          </w:tcPr>
          <w:p>
            <w:pPr>
              <w:spacing w:after="0"/>
              <w:rPr>
                <w:sz w:val="20"/>
                <w:szCs w:val="20"/>
                <w:color w:val="auto"/>
              </w:rPr>
            </w:pPr>
            <w:r>
              <w:rPr>
                <w:rFonts w:ascii="Arial" w:cs="Arial" w:eastAsia="Arial" w:hAnsi="Arial"/>
                <w:sz w:val="18"/>
                <w:szCs w:val="18"/>
                <w:color w:val="auto"/>
              </w:rPr>
              <w:t>Northern Europe</w:t>
            </w: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5,773.9</w:t>
            </w:r>
          </w:p>
        </w:tc>
        <w:tc>
          <w:tcPr>
            <w:tcW w:w="1220" w:type="dxa"/>
            <w:vAlign w:val="bottom"/>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(6.3)</w:t>
            </w:r>
          </w:p>
        </w:tc>
        <w:tc>
          <w:tcPr>
            <w:tcW w:w="1300" w:type="dxa"/>
            <w:vAlign w:val="bottom"/>
            <w:shd w:val="clear" w:color="auto" w:fill="E3F1DA"/>
          </w:tcPr>
          <w:p>
            <w:pPr>
              <w:ind w:left="64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(1.3)</w:t>
            </w:r>
          </w:p>
        </w:tc>
        <w:tc>
          <w:tcPr>
            <w:tcW w:w="132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7"/>
              </w:rPr>
              <w:t>APME</w:t>
            </w: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2,728.8</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300" w:type="dxa"/>
            <w:vAlign w:val="bottom"/>
          </w:tcPr>
          <w:p>
            <w:pPr>
              <w:ind w:left="640"/>
              <w:spacing w:after="0"/>
              <w:rPr>
                <w:sz w:val="20"/>
                <w:szCs w:val="20"/>
                <w:color w:val="auto"/>
              </w:rPr>
            </w:pPr>
            <w:r>
              <w:rPr>
                <w:rFonts w:ascii="Arial" w:cs="Arial" w:eastAsia="Arial" w:hAnsi="Arial"/>
                <w:sz w:val="18"/>
                <w:szCs w:val="18"/>
                <w:color w:val="auto"/>
              </w:rPr>
              <w:t>(0.6)</w:t>
            </w: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3.1</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1.5</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shd w:val="clear" w:color="auto" w:fill="E3F1DA"/>
          </w:tcPr>
          <w:p>
            <w:pPr>
              <w:spacing w:after="0"/>
              <w:rPr>
                <w:sz w:val="20"/>
                <w:szCs w:val="20"/>
                <w:color w:val="auto"/>
              </w:rPr>
            </w:pPr>
            <w:r>
              <w:rPr>
                <w:rFonts w:ascii="Arial" w:cs="Arial" w:eastAsia="Arial" w:hAnsi="Arial"/>
                <w:sz w:val="18"/>
                <w:szCs w:val="18"/>
                <w:color w:val="auto"/>
              </w:rPr>
              <w:t>Right Management</w:t>
            </w:r>
          </w:p>
        </w:tc>
        <w:tc>
          <w:tcPr>
            <w:tcW w:w="740" w:type="dxa"/>
            <w:vAlign w:val="bottom"/>
            <w:tcBorders>
              <w:bottom w:val="single" w:sz="8" w:color="939598"/>
            </w:tcBorders>
            <w:shd w:val="clear" w:color="auto" w:fill="E3F1DA"/>
          </w:tcPr>
          <w:p>
            <w:pPr>
              <w:spacing w:after="0"/>
              <w:rPr>
                <w:sz w:val="18"/>
                <w:szCs w:val="18"/>
                <w:color w:val="auto"/>
              </w:rPr>
            </w:pP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328.5</w:t>
            </w:r>
          </w:p>
        </w:tc>
        <w:tc>
          <w:tcPr>
            <w:tcW w:w="8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939598"/>
            </w:tcBorders>
            <w:shd w:val="clear" w:color="auto" w:fill="E3F1DA"/>
          </w:tcPr>
          <w:p>
            <w:pPr>
              <w:spacing w:after="0"/>
              <w:rPr>
                <w:sz w:val="18"/>
                <w:szCs w:val="18"/>
                <w:color w:val="auto"/>
              </w:rPr>
            </w:pP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3.4</w:t>
            </w:r>
          </w:p>
        </w:tc>
        <w:tc>
          <w:tcPr>
            <w:tcW w:w="132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shd w:val="clear" w:color="auto" w:fill="E3F1DA"/>
          </w:tcPr>
          <w:p>
            <w:pPr>
              <w:jc w:val="right"/>
              <w:ind w:right="135"/>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34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ManpowerGroup</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939598"/>
            </w:tcBorders>
          </w:tcPr>
          <w:p>
            <w:pPr>
              <w:jc w:val="right"/>
              <w:ind w:right="275"/>
              <w:spacing w:after="0"/>
              <w:rPr>
                <w:sz w:val="20"/>
                <w:szCs w:val="20"/>
                <w:color w:val="auto"/>
              </w:rPr>
            </w:pPr>
            <w:r>
              <w:rPr>
                <w:rFonts w:ascii="Arial" w:cs="Arial" w:eastAsia="Arial" w:hAnsi="Arial"/>
                <w:sz w:val="18"/>
                <w:szCs w:val="18"/>
                <w:color w:val="auto"/>
              </w:rPr>
              <w:t>20,678.0</w:t>
            </w:r>
          </w:p>
        </w:tc>
        <w:tc>
          <w:tcPr>
            <w:tcW w:w="1220" w:type="dxa"/>
            <w:vAlign w:val="bottom"/>
            <w:tcBorders>
              <w:bottom w:val="single" w:sz="8" w:color="939598"/>
            </w:tcBorders>
            <w:gridSpan w:val="2"/>
          </w:tcPr>
          <w:p>
            <w:pPr>
              <w:jc w:val="right"/>
              <w:ind w:right="120"/>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939598"/>
            </w:tcBorders>
          </w:tcPr>
          <w:p>
            <w:pPr>
              <w:ind w:left="640"/>
              <w:spacing w:after="0"/>
              <w:rPr>
                <w:sz w:val="20"/>
                <w:szCs w:val="20"/>
                <w:color w:val="auto"/>
              </w:rPr>
            </w:pPr>
            <w:r>
              <w:rPr>
                <w:rFonts w:ascii="Arial" w:cs="Arial" w:eastAsia="Arial" w:hAnsi="Arial"/>
                <w:sz w:val="18"/>
                <w:szCs w:val="18"/>
                <w:color w:val="auto"/>
              </w:rPr>
              <w:t>(4.6)%</w:t>
            </w:r>
          </w:p>
        </w:tc>
        <w:tc>
          <w:tcPr>
            <w:tcW w:w="1240" w:type="dxa"/>
            <w:vAlign w:val="bottom"/>
            <w:tcBorders>
              <w:bottom w:val="single" w:sz="8" w:color="939598"/>
            </w:tcBorders>
          </w:tcPr>
          <w:p>
            <w:pPr>
              <w:jc w:val="right"/>
              <w:ind w:right="95"/>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939598"/>
            </w:tcBorders>
          </w:tcPr>
          <w:p>
            <w:pPr>
              <w:jc w:val="right"/>
              <w:ind w:right="215"/>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3400" w:type="dxa"/>
            <w:vAlign w:val="bottom"/>
            <w:gridSpan w:val="2"/>
            <w:shd w:val="clear" w:color="auto" w:fill="E3F1DA"/>
          </w:tcPr>
          <w:p>
            <w:pPr>
              <w:spacing w:after="0"/>
              <w:rPr>
                <w:sz w:val="20"/>
                <w:szCs w:val="20"/>
                <w:color w:val="auto"/>
              </w:rPr>
            </w:pPr>
            <w:r>
              <w:rPr>
                <w:rFonts w:ascii="Arial" w:cs="Arial" w:eastAsia="Arial" w:hAnsi="Arial"/>
                <w:sz w:val="18"/>
                <w:szCs w:val="18"/>
                <w:b w:val="1"/>
                <w:bCs w:val="1"/>
                <w:color w:val="939598"/>
              </w:rPr>
              <w:t>Gross Profit — ManpowerGroup</w:t>
            </w:r>
          </w:p>
        </w:tc>
        <w:tc>
          <w:tcPr>
            <w:tcW w:w="7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3,442.0</w:t>
            </w:r>
          </w:p>
        </w:tc>
        <w:tc>
          <w:tcPr>
            <w:tcW w:w="1220" w:type="dxa"/>
            <w:vAlign w:val="bottom"/>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(7.1)%</w:t>
            </w:r>
          </w:p>
        </w:tc>
        <w:tc>
          <w:tcPr>
            <w:tcW w:w="1300" w:type="dxa"/>
            <w:vAlign w:val="bottom"/>
            <w:shd w:val="clear" w:color="auto" w:fill="E3F1DA"/>
          </w:tcPr>
          <w:p>
            <w:pPr>
              <w:ind w:left="640"/>
              <w:spacing w:after="0"/>
              <w:rPr>
                <w:sz w:val="20"/>
                <w:szCs w:val="20"/>
                <w:color w:val="auto"/>
              </w:rPr>
            </w:pPr>
            <w:r>
              <w:rPr>
                <w:rFonts w:ascii="Arial" w:cs="Arial" w:eastAsia="Arial" w:hAnsi="Arial"/>
                <w:sz w:val="18"/>
                <w:szCs w:val="18"/>
                <w:color w:val="auto"/>
              </w:rPr>
              <w:t>(4.1)%</w:t>
            </w:r>
          </w:p>
        </w:tc>
        <w:tc>
          <w:tcPr>
            <w:tcW w:w="124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E3F1DA"/>
          </w:tcPr>
          <w:p>
            <w:pPr>
              <w:jc w:val="right"/>
              <w:ind w:right="215"/>
              <w:spacing w:after="0"/>
              <w:rPr>
                <w:sz w:val="20"/>
                <w:szCs w:val="20"/>
                <w:color w:val="auto"/>
              </w:rPr>
            </w:pPr>
            <w:r>
              <w:rPr>
                <w:rFonts w:ascii="Arial" w:cs="Arial" w:eastAsia="Arial" w:hAnsi="Arial"/>
                <w:sz w:val="18"/>
                <w:szCs w:val="18"/>
                <w:color w:val="auto"/>
              </w:rPr>
              <w:t>0.7%</w:t>
            </w:r>
          </w:p>
        </w:tc>
        <w:tc>
          <w:tcPr>
            <w:tcW w:w="10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939598"/>
              </w:rPr>
              <w:t>Operating Unit Profit</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E3F1DA"/>
          </w:tcPr>
          <w:p>
            <w:pPr>
              <w:spacing w:after="0"/>
              <w:rPr>
                <w:sz w:val="20"/>
                <w:szCs w:val="20"/>
                <w:color w:val="auto"/>
              </w:rPr>
            </w:pPr>
            <w:r>
              <w:rPr>
                <w:rFonts w:ascii="Arial" w:cs="Arial" w:eastAsia="Arial" w:hAnsi="Arial"/>
                <w:sz w:val="18"/>
                <w:szCs w:val="18"/>
                <w:color w:val="auto"/>
              </w:rPr>
              <w:t>Americas:</w:t>
            </w: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spacing w:after="0"/>
              <w:rPr>
                <w:sz w:val="18"/>
                <w:szCs w:val="18"/>
                <w:color w:val="auto"/>
              </w:rPr>
            </w:pPr>
          </w:p>
        </w:tc>
        <w:tc>
          <w:tcPr>
            <w:tcW w:w="88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1300" w:type="dxa"/>
            <w:vAlign w:val="bottom"/>
            <w:shd w:val="clear" w:color="auto" w:fill="E3F1DA"/>
          </w:tcPr>
          <w:p>
            <w:pPr>
              <w:spacing w:after="0"/>
              <w:rPr>
                <w:sz w:val="18"/>
                <w:szCs w:val="18"/>
                <w:color w:val="auto"/>
              </w:rPr>
            </w:pPr>
          </w:p>
        </w:tc>
        <w:tc>
          <w:tcPr>
            <w:tcW w:w="1240" w:type="dxa"/>
            <w:vAlign w:val="bottom"/>
            <w:shd w:val="clear" w:color="auto" w:fill="E3F1DA"/>
          </w:tcPr>
          <w:p>
            <w:pPr>
              <w:spacing w:after="0"/>
              <w:rPr>
                <w:sz w:val="18"/>
                <w:szCs w:val="18"/>
                <w:color w:val="auto"/>
              </w:rPr>
            </w:pPr>
          </w:p>
        </w:tc>
        <w:tc>
          <w:tcPr>
            <w:tcW w:w="1320" w:type="dxa"/>
            <w:vAlign w:val="bottom"/>
            <w:shd w:val="clear" w:color="auto" w:fill="E3F1DA"/>
          </w:tcPr>
          <w:p>
            <w:pPr>
              <w:spacing w:after="0"/>
              <w:rPr>
                <w:sz w:val="18"/>
                <w:szCs w:val="18"/>
                <w:color w:val="auto"/>
              </w:rPr>
            </w:pPr>
          </w:p>
        </w:tc>
        <w:tc>
          <w:tcPr>
            <w:tcW w:w="10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60.8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300" w:type="dxa"/>
            <w:vAlign w:val="bottom"/>
          </w:tcPr>
          <w:p>
            <w:pPr>
              <w:ind w:left="7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(35.4)%</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shd w:val="clear" w:color="auto" w:fill="E3F1DA"/>
          </w:tcPr>
          <w:p>
            <w:pPr>
              <w:spacing w:after="0"/>
              <w:rPr>
                <w:sz w:val="20"/>
                <w:szCs w:val="20"/>
                <w:color w:val="auto"/>
              </w:rPr>
            </w:pPr>
            <w:r>
              <w:rPr>
                <w:rFonts w:ascii="Arial" w:cs="Arial" w:eastAsia="Arial" w:hAnsi="Arial"/>
                <w:sz w:val="18"/>
                <w:szCs w:val="18"/>
                <w:color w:val="auto"/>
              </w:rPr>
              <w:t>Other Americas</w:t>
            </w:r>
          </w:p>
        </w:tc>
        <w:tc>
          <w:tcPr>
            <w:tcW w:w="740" w:type="dxa"/>
            <w:vAlign w:val="bottom"/>
            <w:tcBorders>
              <w:bottom w:val="single" w:sz="8" w:color="939598"/>
            </w:tcBorders>
            <w:shd w:val="clear" w:color="auto" w:fill="E3F1DA"/>
          </w:tcPr>
          <w:p>
            <w:pPr>
              <w:spacing w:after="0"/>
              <w:rPr>
                <w:sz w:val="18"/>
                <w:szCs w:val="18"/>
                <w:color w:val="auto"/>
              </w:rPr>
            </w:pP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50.6</w:t>
            </w:r>
          </w:p>
        </w:tc>
        <w:tc>
          <w:tcPr>
            <w:tcW w:w="8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939598"/>
            </w:tcBorders>
            <w:shd w:val="clear" w:color="auto" w:fill="E3F1DA"/>
          </w:tcPr>
          <w:p>
            <w:pPr>
              <w:spacing w:after="0"/>
              <w:rPr>
                <w:sz w:val="18"/>
                <w:szCs w:val="18"/>
                <w:color w:val="auto"/>
              </w:rPr>
            </w:pP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(3.4)</w:t>
            </w:r>
          </w:p>
        </w:tc>
        <w:tc>
          <w:tcPr>
            <w:tcW w:w="124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9.1</w:t>
            </w:r>
          </w:p>
        </w:tc>
        <w:tc>
          <w:tcPr>
            <w:tcW w:w="132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939598"/>
            </w:tcBorders>
            <w:shd w:val="clear" w:color="auto" w:fill="E3F1DA"/>
          </w:tcPr>
          <w:p>
            <w:pPr>
              <w:jc w:val="right"/>
              <w:ind w:right="135"/>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28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75"/>
              <w:spacing w:after="0"/>
              <w:rPr>
                <w:sz w:val="20"/>
                <w:szCs w:val="20"/>
                <w:color w:val="auto"/>
              </w:rPr>
            </w:pPr>
            <w:r>
              <w:rPr>
                <w:rFonts w:ascii="Arial" w:cs="Arial" w:eastAsia="Arial" w:hAnsi="Arial"/>
                <w:sz w:val="18"/>
                <w:szCs w:val="18"/>
                <w:color w:val="auto"/>
              </w:rPr>
              <w:t>111.4</w:t>
            </w:r>
          </w:p>
        </w:tc>
        <w:tc>
          <w:tcPr>
            <w:tcW w:w="1220" w:type="dxa"/>
            <w:vAlign w:val="bottom"/>
            <w:tcBorders>
              <w:bottom w:val="single" w:sz="8" w:color="939598"/>
            </w:tcBorders>
            <w:gridSpan w:val="2"/>
          </w:tcPr>
          <w:p>
            <w:pPr>
              <w:jc w:val="right"/>
              <w:ind w:right="280"/>
              <w:spacing w:after="0"/>
              <w:rPr>
                <w:sz w:val="20"/>
                <w:szCs w:val="20"/>
                <w:color w:val="auto"/>
              </w:rPr>
            </w:pPr>
            <w:r>
              <w:rPr>
                <w:rFonts w:ascii="Arial" w:cs="Arial" w:eastAsia="Arial" w:hAnsi="Arial"/>
                <w:sz w:val="18"/>
                <w:szCs w:val="18"/>
                <w:color w:val="auto"/>
              </w:rPr>
              <w:t>(21.6)</w:t>
            </w:r>
          </w:p>
        </w:tc>
        <w:tc>
          <w:tcPr>
            <w:tcW w:w="1300" w:type="dxa"/>
            <w:vAlign w:val="bottom"/>
            <w:tcBorders>
              <w:bottom w:val="single" w:sz="8" w:color="939598"/>
            </w:tcBorders>
          </w:tcPr>
          <w:p>
            <w:pPr>
              <w:ind w:left="640"/>
              <w:spacing w:after="0"/>
              <w:rPr>
                <w:sz w:val="20"/>
                <w:szCs w:val="20"/>
                <w:color w:val="auto"/>
              </w:rPr>
            </w:pPr>
            <w:r>
              <w:rPr>
                <w:rFonts w:ascii="Arial" w:cs="Arial" w:eastAsia="Arial" w:hAnsi="Arial"/>
                <w:sz w:val="18"/>
                <w:szCs w:val="18"/>
                <w:color w:val="auto"/>
              </w:rPr>
              <w:t>(1.2)</w:t>
            </w:r>
          </w:p>
        </w:tc>
        <w:tc>
          <w:tcPr>
            <w:tcW w:w="124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(20.4)</w:t>
            </w:r>
          </w:p>
        </w:tc>
        <w:tc>
          <w:tcPr>
            <w:tcW w:w="132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939598"/>
            </w:tcBorders>
          </w:tcPr>
          <w:p>
            <w:pPr>
              <w:jc w:val="right"/>
              <w:ind w:right="95"/>
              <w:spacing w:after="0"/>
              <w:rPr>
                <w:sz w:val="20"/>
                <w:szCs w:val="20"/>
                <w:color w:val="auto"/>
              </w:rPr>
            </w:pPr>
            <w:r>
              <w:rPr>
                <w:rFonts w:ascii="Arial" w:cs="Arial" w:eastAsia="Arial" w:hAnsi="Arial"/>
                <w:sz w:val="18"/>
                <w:szCs w:val="18"/>
                <w:color w:val="auto"/>
              </w:rPr>
              <w:t>(20.8)</w:t>
            </w:r>
          </w:p>
        </w:tc>
      </w:tr>
      <w:tr>
        <w:trPr>
          <w:trHeight w:val="210"/>
        </w:trPr>
        <w:tc>
          <w:tcPr>
            <w:tcW w:w="20" w:type="dxa"/>
            <w:vAlign w:val="bottom"/>
          </w:tcPr>
          <w:p>
            <w:pPr>
              <w:spacing w:after="0"/>
              <w:rPr>
                <w:sz w:val="18"/>
                <w:szCs w:val="18"/>
                <w:color w:val="auto"/>
              </w:rPr>
            </w:pPr>
          </w:p>
        </w:tc>
        <w:tc>
          <w:tcPr>
            <w:tcW w:w="3400" w:type="dxa"/>
            <w:vAlign w:val="bottom"/>
            <w:gridSpan w:val="2"/>
            <w:shd w:val="clear" w:color="auto" w:fill="E3F1DA"/>
          </w:tcPr>
          <w:p>
            <w:pPr>
              <w:spacing w:after="0"/>
              <w:rPr>
                <w:sz w:val="20"/>
                <w:szCs w:val="20"/>
                <w:color w:val="auto"/>
              </w:rPr>
            </w:pPr>
            <w:r>
              <w:rPr>
                <w:rFonts w:ascii="Arial" w:cs="Arial" w:eastAsia="Arial" w:hAnsi="Arial"/>
                <w:sz w:val="18"/>
                <w:szCs w:val="18"/>
                <w:color w:val="auto"/>
              </w:rPr>
              <w:t>Southern Europe:</w:t>
            </w: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spacing w:after="0"/>
              <w:rPr>
                <w:sz w:val="18"/>
                <w:szCs w:val="18"/>
                <w:color w:val="auto"/>
              </w:rPr>
            </w:pPr>
          </w:p>
        </w:tc>
        <w:tc>
          <w:tcPr>
            <w:tcW w:w="88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1300" w:type="dxa"/>
            <w:vAlign w:val="bottom"/>
            <w:shd w:val="clear" w:color="auto" w:fill="E3F1DA"/>
          </w:tcPr>
          <w:p>
            <w:pPr>
              <w:spacing w:after="0"/>
              <w:rPr>
                <w:sz w:val="18"/>
                <w:szCs w:val="18"/>
                <w:color w:val="auto"/>
              </w:rPr>
            </w:pPr>
          </w:p>
        </w:tc>
        <w:tc>
          <w:tcPr>
            <w:tcW w:w="1240" w:type="dxa"/>
            <w:vAlign w:val="bottom"/>
            <w:shd w:val="clear" w:color="auto" w:fill="E3F1DA"/>
          </w:tcPr>
          <w:p>
            <w:pPr>
              <w:spacing w:after="0"/>
              <w:rPr>
                <w:sz w:val="18"/>
                <w:szCs w:val="18"/>
                <w:color w:val="auto"/>
              </w:rPr>
            </w:pPr>
          </w:p>
        </w:tc>
        <w:tc>
          <w:tcPr>
            <w:tcW w:w="1320" w:type="dxa"/>
            <w:vAlign w:val="bottom"/>
            <w:shd w:val="clear" w:color="auto" w:fill="E3F1DA"/>
          </w:tcPr>
          <w:p>
            <w:pPr>
              <w:spacing w:after="0"/>
              <w:rPr>
                <w:sz w:val="18"/>
                <w:szCs w:val="18"/>
                <w:color w:val="auto"/>
              </w:rPr>
            </w:pPr>
          </w:p>
        </w:tc>
        <w:tc>
          <w:tcPr>
            <w:tcW w:w="10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89"/>
              </w:rPr>
              <w:t>France</w:t>
            </w: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56.7</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300" w:type="dxa"/>
            <w:vAlign w:val="bottom"/>
          </w:tcPr>
          <w:p>
            <w:pPr>
              <w:ind w:left="640"/>
              <w:spacing w:after="0"/>
              <w:rPr>
                <w:sz w:val="20"/>
                <w:szCs w:val="20"/>
                <w:color w:val="auto"/>
              </w:rPr>
            </w:pPr>
            <w:r>
              <w:rPr>
                <w:rFonts w:ascii="Arial" w:cs="Arial" w:eastAsia="Arial" w:hAnsi="Arial"/>
                <w:sz w:val="18"/>
                <w:szCs w:val="18"/>
                <w:color w:val="auto"/>
              </w:rPr>
              <w:t>(6.8)</w:t>
            </w:r>
          </w:p>
        </w:tc>
        <w:tc>
          <w:tcPr>
            <w:tcW w:w="1240" w:type="dxa"/>
            <w:vAlign w:val="bottom"/>
          </w:tcPr>
          <w:p>
            <w:pPr>
              <w:jc w:val="right"/>
              <w:ind w:right="235"/>
              <w:spacing w:after="0"/>
              <w:rPr>
                <w:sz w:val="20"/>
                <w:szCs w:val="20"/>
                <w:color w:val="auto"/>
              </w:rPr>
            </w:pPr>
            <w:r>
              <w:rPr>
                <w:rFonts w:ascii="Arial" w:cs="Arial" w:eastAsia="Arial" w:hAnsi="Arial"/>
                <w:sz w:val="18"/>
                <w:szCs w:val="18"/>
                <w:color w:val="auto"/>
              </w:rPr>
              <w:t>(26.6)</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520" w:type="dxa"/>
            <w:vAlign w:val="bottom"/>
            <w:shd w:val="clear" w:color="auto" w:fill="E3F1DA"/>
          </w:tcPr>
          <w:p>
            <w:pPr>
              <w:spacing w:after="0"/>
              <w:rPr>
                <w:sz w:val="20"/>
                <w:szCs w:val="20"/>
                <w:color w:val="auto"/>
              </w:rPr>
            </w:pPr>
            <w:r>
              <w:rPr>
                <w:rFonts w:ascii="Arial" w:cs="Arial" w:eastAsia="Arial" w:hAnsi="Arial"/>
                <w:sz w:val="18"/>
                <w:szCs w:val="18"/>
                <w:color w:val="auto"/>
              </w:rPr>
              <w:t>Italy</w:t>
            </w:r>
          </w:p>
        </w:tc>
        <w:tc>
          <w:tcPr>
            <w:tcW w:w="288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45.4</w:t>
            </w:r>
          </w:p>
        </w:tc>
        <w:tc>
          <w:tcPr>
            <w:tcW w:w="1220" w:type="dxa"/>
            <w:vAlign w:val="bottom"/>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(38.7)</w:t>
            </w:r>
          </w:p>
        </w:tc>
        <w:tc>
          <w:tcPr>
            <w:tcW w:w="1300" w:type="dxa"/>
            <w:vAlign w:val="bottom"/>
            <w:shd w:val="clear" w:color="auto" w:fill="E3F1DA"/>
          </w:tcPr>
          <w:p>
            <w:pPr>
              <w:ind w:left="640"/>
              <w:spacing w:after="0"/>
              <w:rPr>
                <w:sz w:val="20"/>
                <w:szCs w:val="20"/>
                <w:color w:val="auto"/>
              </w:rPr>
            </w:pPr>
            <w:r>
              <w:rPr>
                <w:rFonts w:ascii="Arial" w:cs="Arial" w:eastAsia="Arial" w:hAnsi="Arial"/>
                <w:sz w:val="18"/>
                <w:szCs w:val="18"/>
                <w:color w:val="auto"/>
              </w:rPr>
              <w:t>(5.3)</w:t>
            </w:r>
          </w:p>
        </w:tc>
        <w:tc>
          <w:tcPr>
            <w:tcW w:w="124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(33.4)</w:t>
            </w:r>
          </w:p>
        </w:tc>
        <w:tc>
          <w:tcPr>
            <w:tcW w:w="132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Other Southern Europe</w:t>
            </w:r>
          </w:p>
        </w:tc>
        <w:tc>
          <w:tcPr>
            <w:tcW w:w="74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75"/>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939598"/>
            </w:tcBorders>
            <w:gridSpan w:val="2"/>
          </w:tcPr>
          <w:p>
            <w:pPr>
              <w:jc w:val="right"/>
              <w:ind w:right="280"/>
              <w:spacing w:after="0"/>
              <w:rPr>
                <w:sz w:val="20"/>
                <w:szCs w:val="20"/>
                <w:color w:val="auto"/>
              </w:rPr>
            </w:pPr>
            <w:r>
              <w:rPr>
                <w:rFonts w:ascii="Arial" w:cs="Arial" w:eastAsia="Arial" w:hAnsi="Arial"/>
                <w:sz w:val="18"/>
                <w:szCs w:val="18"/>
                <w:color w:val="auto"/>
              </w:rPr>
              <w:t>(6.8)</w:t>
            </w:r>
          </w:p>
        </w:tc>
        <w:tc>
          <w:tcPr>
            <w:tcW w:w="1300" w:type="dxa"/>
            <w:vAlign w:val="bottom"/>
            <w:tcBorders>
              <w:bottom w:val="single" w:sz="8" w:color="939598"/>
            </w:tcBorders>
          </w:tcPr>
          <w:p>
            <w:pPr>
              <w:ind w:left="640"/>
              <w:spacing w:after="0"/>
              <w:rPr>
                <w:sz w:val="20"/>
                <w:szCs w:val="20"/>
                <w:color w:val="auto"/>
              </w:rPr>
            </w:pPr>
            <w:r>
              <w:rPr>
                <w:rFonts w:ascii="Arial" w:cs="Arial" w:eastAsia="Arial" w:hAnsi="Arial"/>
                <w:sz w:val="18"/>
                <w:szCs w:val="18"/>
                <w:color w:val="auto"/>
              </w:rPr>
              <w:t>(7.8)</w:t>
            </w:r>
          </w:p>
        </w:tc>
        <w:tc>
          <w:tcPr>
            <w:tcW w:w="124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tcPr>
          <w:p>
            <w:pPr>
              <w:jc w:val="right"/>
              <w:ind w:right="135"/>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939598"/>
            </w:tcBorders>
            <w:shd w:val="clear" w:color="auto" w:fill="E3F1DA"/>
          </w:tcPr>
          <w:p>
            <w:pPr>
              <w:spacing w:after="0"/>
              <w:rPr>
                <w:sz w:val="18"/>
                <w:szCs w:val="18"/>
                <w:color w:val="auto"/>
              </w:rPr>
            </w:pPr>
          </w:p>
        </w:tc>
        <w:tc>
          <w:tcPr>
            <w:tcW w:w="288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112.2</w:t>
            </w:r>
          </w:p>
        </w:tc>
        <w:tc>
          <w:tcPr>
            <w:tcW w:w="1220" w:type="dxa"/>
            <w:vAlign w:val="bottom"/>
            <w:tcBorders>
              <w:bottom w:val="single" w:sz="8" w:color="939598"/>
            </w:tcBorders>
            <w:gridSpan w:val="2"/>
            <w:shd w:val="clear" w:color="auto" w:fill="E3F1DA"/>
          </w:tcPr>
          <w:p>
            <w:pPr>
              <w:jc w:val="right"/>
              <w:ind w:right="280"/>
              <w:spacing w:after="0"/>
              <w:rPr>
                <w:sz w:val="20"/>
                <w:szCs w:val="20"/>
                <w:color w:val="auto"/>
              </w:rPr>
            </w:pPr>
            <w:r>
              <w:rPr>
                <w:rFonts w:ascii="Arial" w:cs="Arial" w:eastAsia="Arial" w:hAnsi="Arial"/>
                <w:sz w:val="18"/>
                <w:szCs w:val="18"/>
                <w:color w:val="auto"/>
              </w:rPr>
              <w:t>(34.0)</w:t>
            </w: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(6.2)</w:t>
            </w:r>
          </w:p>
        </w:tc>
        <w:tc>
          <w:tcPr>
            <w:tcW w:w="124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(27.8)</w:t>
            </w:r>
          </w:p>
        </w:tc>
        <w:tc>
          <w:tcPr>
            <w:tcW w:w="132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939598"/>
            </w:tcBorders>
            <w:shd w:val="clear" w:color="auto" w:fill="E3F1DA"/>
          </w:tcPr>
          <w:p>
            <w:pPr>
              <w:jc w:val="right"/>
              <w:ind w:right="95"/>
              <w:spacing w:after="0"/>
              <w:rPr>
                <w:sz w:val="20"/>
                <w:szCs w:val="20"/>
                <w:color w:val="auto"/>
              </w:rPr>
            </w:pPr>
            <w:r>
              <w:rPr>
                <w:rFonts w:ascii="Arial" w:cs="Arial" w:eastAsia="Arial" w:hAnsi="Arial"/>
                <w:sz w:val="18"/>
                <w:szCs w:val="18"/>
                <w:color w:val="auto"/>
              </w:rPr>
              <w:t>(28.9)</w:t>
            </w: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Northern Europe</w:t>
            </w:r>
          </w:p>
        </w:tc>
        <w:tc>
          <w:tcPr>
            <w:tcW w:w="74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159.8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1300" w:type="dxa"/>
            <w:vAlign w:val="bottom"/>
          </w:tcPr>
          <w:p>
            <w:pPr>
              <w:ind w:left="640"/>
              <w:spacing w:after="0"/>
              <w:rPr>
                <w:sz w:val="20"/>
                <w:szCs w:val="20"/>
                <w:color w:val="auto"/>
              </w:rPr>
            </w:pPr>
            <w:r>
              <w:rPr>
                <w:rFonts w:ascii="Arial" w:cs="Arial" w:eastAsia="Arial" w:hAnsi="Arial"/>
                <w:sz w:val="18"/>
                <w:szCs w:val="18"/>
                <w:color w:val="auto"/>
              </w:rPr>
              <w:t>(3.8)</w:t>
            </w:r>
          </w:p>
        </w:tc>
        <w:tc>
          <w:tcPr>
            <w:tcW w:w="1240" w:type="dxa"/>
            <w:vAlign w:val="bottom"/>
          </w:tcPr>
          <w:p>
            <w:pPr>
              <w:jc w:val="right"/>
              <w:ind w:right="235"/>
              <w:spacing w:after="0"/>
              <w:rPr>
                <w:sz w:val="20"/>
                <w:szCs w:val="20"/>
                <w:color w:val="auto"/>
              </w:rPr>
            </w:pPr>
            <w:r>
              <w:rPr>
                <w:rFonts w:ascii="Arial" w:cs="Arial" w:eastAsia="Arial" w:hAnsi="Arial"/>
                <w:sz w:val="18"/>
                <w:szCs w:val="18"/>
                <w:color w:val="auto"/>
              </w:rPr>
              <w:t>(21.0)</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520" w:type="dxa"/>
            <w:vAlign w:val="bottom"/>
            <w:shd w:val="clear" w:color="auto" w:fill="E3F1DA"/>
          </w:tcPr>
          <w:p>
            <w:pPr>
              <w:spacing w:after="0"/>
              <w:rPr>
                <w:sz w:val="20"/>
                <w:szCs w:val="20"/>
                <w:color w:val="auto"/>
              </w:rPr>
            </w:pPr>
            <w:r>
              <w:rPr>
                <w:rFonts w:ascii="Arial" w:cs="Arial" w:eastAsia="Arial" w:hAnsi="Arial"/>
                <w:sz w:val="18"/>
                <w:szCs w:val="18"/>
                <w:color w:val="auto"/>
                <w:w w:val="97"/>
              </w:rPr>
              <w:t>APME</w:t>
            </w:r>
          </w:p>
        </w:tc>
        <w:tc>
          <w:tcPr>
            <w:tcW w:w="288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1120" w:type="dxa"/>
            <w:vAlign w:val="bottom"/>
            <w:shd w:val="clear" w:color="auto" w:fill="E3F1DA"/>
          </w:tcPr>
          <w:p>
            <w:pPr>
              <w:jc w:val="right"/>
              <w:ind w:right="275"/>
              <w:spacing w:after="0"/>
              <w:rPr>
                <w:sz w:val="20"/>
                <w:szCs w:val="20"/>
                <w:color w:val="auto"/>
              </w:rPr>
            </w:pPr>
            <w:r>
              <w:rPr>
                <w:rFonts w:ascii="Arial" w:cs="Arial" w:eastAsia="Arial" w:hAnsi="Arial"/>
                <w:sz w:val="18"/>
                <w:szCs w:val="18"/>
                <w:color w:val="auto"/>
              </w:rPr>
              <w:t>90.7</w:t>
            </w:r>
          </w:p>
        </w:tc>
        <w:tc>
          <w:tcPr>
            <w:tcW w:w="8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E3F1DA"/>
          </w:tcPr>
          <w:p>
            <w:pPr>
              <w:spacing w:after="0"/>
              <w:rPr>
                <w:sz w:val="18"/>
                <w:szCs w:val="18"/>
                <w:color w:val="auto"/>
              </w:rPr>
            </w:pPr>
          </w:p>
        </w:tc>
        <w:tc>
          <w:tcPr>
            <w:tcW w:w="1300" w:type="dxa"/>
            <w:vAlign w:val="bottom"/>
            <w:shd w:val="clear" w:color="auto" w:fill="E3F1DA"/>
          </w:tcPr>
          <w:p>
            <w:pPr>
              <w:ind w:left="64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16.2</w:t>
            </w:r>
          </w:p>
        </w:tc>
        <w:tc>
          <w:tcPr>
            <w:tcW w:w="132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E3F1DA"/>
          </w:tcPr>
          <w:p>
            <w:pPr>
              <w:jc w:val="right"/>
              <w:ind w:right="135"/>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740" w:type="dxa"/>
            <w:vAlign w:val="bottom"/>
          </w:tcPr>
          <w:p>
            <w:pPr>
              <w:spacing w:after="0"/>
              <w:rPr>
                <w:sz w:val="18"/>
                <w:szCs w:val="18"/>
                <w:color w:val="auto"/>
              </w:rPr>
            </w:pP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13.4</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939598"/>
            </w:tcBorders>
            <w:gridSpan w:val="2"/>
            <w:shd w:val="clear" w:color="auto" w:fill="E3F1DA"/>
          </w:tcPr>
          <w:p>
            <w:pPr>
              <w:spacing w:after="0"/>
              <w:rPr>
                <w:sz w:val="20"/>
                <w:szCs w:val="20"/>
                <w:color w:val="auto"/>
              </w:rPr>
            </w:pPr>
            <w:r>
              <w:rPr>
                <w:rFonts w:ascii="Arial" w:cs="Arial" w:eastAsia="Arial" w:hAnsi="Arial"/>
                <w:sz w:val="18"/>
                <w:szCs w:val="18"/>
                <w:b w:val="1"/>
                <w:bCs w:val="1"/>
                <w:color w:val="939598"/>
              </w:rPr>
              <w:t>Operating Profit — ManpowerGroup</w:t>
            </w:r>
          </w:p>
        </w:tc>
        <w:tc>
          <w:tcPr>
            <w:tcW w:w="7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939598"/>
            </w:tcBorders>
            <w:shd w:val="clear" w:color="auto" w:fill="E3F1DA"/>
          </w:tcPr>
          <w:p>
            <w:pPr>
              <w:jc w:val="right"/>
              <w:ind w:right="275"/>
              <w:spacing w:after="0"/>
              <w:rPr>
                <w:sz w:val="20"/>
                <w:szCs w:val="20"/>
                <w:color w:val="auto"/>
              </w:rPr>
            </w:pPr>
            <w:r>
              <w:rPr>
                <w:rFonts w:ascii="Arial" w:cs="Arial" w:eastAsia="Arial" w:hAnsi="Arial"/>
                <w:sz w:val="18"/>
                <w:szCs w:val="18"/>
                <w:color w:val="auto"/>
              </w:rPr>
              <w:t>411.7</w:t>
            </w:r>
          </w:p>
        </w:tc>
        <w:tc>
          <w:tcPr>
            <w:tcW w:w="1220" w:type="dxa"/>
            <w:vAlign w:val="bottom"/>
            <w:tcBorders>
              <w:bottom w:val="single" w:sz="8" w:color="939598"/>
            </w:tcBorders>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939598"/>
            </w:tcBorders>
            <w:shd w:val="clear" w:color="auto" w:fill="E3F1DA"/>
          </w:tcPr>
          <w:p>
            <w:pPr>
              <w:ind w:left="640"/>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939598"/>
            </w:tcBorders>
            <w:shd w:val="clear" w:color="auto" w:fill="E3F1DA"/>
          </w:tcPr>
          <w:p>
            <w:pPr>
              <w:jc w:val="right"/>
              <w:ind w:right="95"/>
              <w:spacing w:after="0"/>
              <w:rPr>
                <w:sz w:val="20"/>
                <w:szCs w:val="20"/>
                <w:color w:val="auto"/>
              </w:rPr>
            </w:pPr>
            <w:r>
              <w:rPr>
                <w:rFonts w:ascii="Arial" w:cs="Arial" w:eastAsia="Arial" w:hAnsi="Arial"/>
                <w:sz w:val="18"/>
                <w:szCs w:val="18"/>
                <w:color w:val="auto"/>
              </w:rPr>
              <w:t>(16.5)%</w:t>
            </w:r>
          </w:p>
        </w:tc>
        <w:tc>
          <w:tcPr>
            <w:tcW w:w="1320" w:type="dxa"/>
            <w:vAlign w:val="bottom"/>
            <w:tcBorders>
              <w:bottom w:val="single" w:sz="8" w:color="939598"/>
            </w:tcBorders>
            <w:shd w:val="clear" w:color="auto" w:fill="E3F1DA"/>
          </w:tcPr>
          <w:p>
            <w:pPr>
              <w:jc w:val="right"/>
              <w:ind w:right="215"/>
              <w:spacing w:after="0"/>
              <w:rPr>
                <w:sz w:val="20"/>
                <w:szCs w:val="20"/>
                <w:color w:val="auto"/>
              </w:rPr>
            </w:pPr>
            <w:r>
              <w:rPr>
                <w:rFonts w:ascii="Arial" w:cs="Arial" w:eastAsia="Arial" w:hAnsi="Arial"/>
                <w:sz w:val="18"/>
                <w:szCs w:val="18"/>
                <w:color w:val="auto"/>
              </w:rPr>
              <w:t>0.7%</w:t>
            </w:r>
          </w:p>
        </w:tc>
        <w:tc>
          <w:tcPr>
            <w:tcW w:w="106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(17.2)%</w:t>
            </w:r>
          </w:p>
        </w:tc>
      </w:tr>
      <w:tr>
        <w:trPr>
          <w:trHeight w:val="412"/>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35</w:t>
            </w:r>
          </w:p>
        </w:tc>
        <w:tc>
          <w:tcPr>
            <w:tcW w:w="4740" w:type="dxa"/>
            <w:vAlign w:val="bottom"/>
            <w:gridSpan w:val="3"/>
          </w:tcPr>
          <w:p>
            <w:pPr>
              <w:jc w:val="right"/>
              <w:ind w:right="275"/>
              <w:spacing w:after="0"/>
              <w:rPr>
                <w:sz w:val="20"/>
                <w:szCs w:val="20"/>
                <w:color w:val="auto"/>
              </w:rPr>
            </w:pPr>
            <w:r>
              <w:rPr>
                <w:rFonts w:ascii="Arial" w:cs="Arial" w:eastAsia="Arial" w:hAnsi="Arial"/>
                <w:sz w:val="14"/>
                <w:szCs w:val="14"/>
                <w:color w:val="auto"/>
                <w:w w:val="88"/>
              </w:rPr>
              <w:t xml:space="preserve">ManpowerGroup 2012 Annual Report  </w:t>
            </w:r>
            <w:r>
              <w:rPr>
                <w:rFonts w:ascii="Arial" w:cs="Arial" w:eastAsia="Arial" w:hAnsi="Arial"/>
                <w:sz w:val="14"/>
                <w:szCs w:val="14"/>
                <w:b w:val="1"/>
                <w:bCs w:val="1"/>
                <w:color w:val="939598"/>
                <w:w w:val="88"/>
              </w:rPr>
              <w:t>Management’s Discussion &amp; Analysis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2"/>
        </w:trPr>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3" w:name="page54"/>
    <w:bookmarkEnd w:id="53"/>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jc w:val="right"/>
              <w:ind w:right="355"/>
              <w:spacing w:after="0"/>
              <w:rPr>
                <w:sz w:val="20"/>
                <w:szCs w:val="20"/>
                <w:color w:val="auto"/>
              </w:rPr>
            </w:pPr>
            <w:r>
              <w:rPr>
                <w:rFonts w:ascii="Arial" w:cs="Arial" w:eastAsia="Arial" w:hAnsi="Arial"/>
                <w:sz w:val="14"/>
                <w:szCs w:val="14"/>
                <w:b w:val="1"/>
                <w:bCs w:val="1"/>
                <w:color w:val="86B6A5"/>
              </w:rPr>
              <w:t>Impact of</w:t>
            </w: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86B6A5"/>
              </w:rPr>
              <w:t>Organic</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86B6A5"/>
              </w:rPr>
              <w:t>Reported</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86B6A5"/>
              </w:rPr>
              <w:t>Variance in</w:t>
            </w:r>
          </w:p>
        </w:tc>
        <w:tc>
          <w:tcPr>
            <w:tcW w:w="136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86B6A5"/>
              </w:rPr>
              <w:t>Acquisitions</w:t>
            </w:r>
          </w:p>
        </w:tc>
        <w:tc>
          <w:tcPr>
            <w:tcW w:w="100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86B6A5"/>
              </w:rPr>
              <w:t>Constant</w:t>
            </w:r>
          </w:p>
        </w:tc>
      </w:tr>
      <w:tr>
        <w:trPr>
          <w:trHeight w:val="149"/>
        </w:trPr>
        <w:tc>
          <w:tcPr>
            <w:tcW w:w="3440" w:type="dxa"/>
            <w:vAlign w:val="bottom"/>
            <w:gridSpan w:val="2"/>
          </w:tcPr>
          <w:p>
            <w:pPr>
              <w:spacing w:after="0" w:line="149" w:lineRule="exact"/>
              <w:rPr>
                <w:sz w:val="20"/>
                <w:szCs w:val="20"/>
                <w:color w:val="auto"/>
              </w:rPr>
            </w:pPr>
            <w:r>
              <w:rPr>
                <w:rFonts w:ascii="Arial" w:cs="Arial" w:eastAsia="Arial" w:hAnsi="Arial"/>
                <w:sz w:val="14"/>
                <w:szCs w:val="14"/>
                <w:b w:val="1"/>
                <w:bCs w:val="1"/>
                <w:color w:val="86B6A5"/>
              </w:rPr>
              <w:t>Amounts represent 2011</w:t>
            </w:r>
          </w:p>
        </w:tc>
        <w:tc>
          <w:tcPr>
            <w:tcW w:w="740" w:type="dxa"/>
            <w:vAlign w:val="bottom"/>
          </w:tcPr>
          <w:p>
            <w:pPr>
              <w:spacing w:after="0"/>
              <w:rPr>
                <w:sz w:val="12"/>
                <w:szCs w:val="12"/>
                <w:color w:val="auto"/>
              </w:rPr>
            </w:pPr>
          </w:p>
        </w:tc>
        <w:tc>
          <w:tcPr>
            <w:tcW w:w="116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86B6A5"/>
              </w:rPr>
              <w:t>Amount</w:t>
            </w:r>
          </w:p>
        </w:tc>
        <w:tc>
          <w:tcPr>
            <w:tcW w:w="128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86B6A5"/>
              </w:rPr>
              <w:t>Reported</w:t>
            </w:r>
          </w:p>
        </w:tc>
        <w:tc>
          <w:tcPr>
            <w:tcW w:w="122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86B6A5"/>
              </w:rPr>
              <w:t>Impact of</w:t>
            </w:r>
          </w:p>
        </w:tc>
        <w:tc>
          <w:tcPr>
            <w:tcW w:w="122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86B6A5"/>
              </w:rPr>
              <w:t>Constant</w:t>
            </w:r>
          </w:p>
        </w:tc>
        <w:tc>
          <w:tcPr>
            <w:tcW w:w="136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86B6A5"/>
              </w:rPr>
              <w:t>(in Constant</w:t>
            </w:r>
          </w:p>
        </w:tc>
        <w:tc>
          <w:tcPr>
            <w:tcW w:w="100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86B6A5"/>
              </w:rPr>
              <w:t>Currency</w:t>
            </w:r>
          </w:p>
        </w:tc>
      </w:t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86B6A5"/>
              </w:rPr>
              <w:t>Percentages represent 2011 compared to 2010</w:t>
            </w:r>
          </w:p>
        </w:tc>
        <w:tc>
          <w:tcPr>
            <w:tcW w:w="740" w:type="dxa"/>
            <w:vAlign w:val="bottom"/>
          </w:tcPr>
          <w:p>
            <w:pPr>
              <w:spacing w:after="0"/>
              <w:rPr>
                <w:sz w:val="14"/>
                <w:szCs w:val="14"/>
                <w:color w:val="auto"/>
              </w:rPr>
            </w:pPr>
          </w:p>
        </w:tc>
        <w:tc>
          <w:tcPr>
            <w:tcW w:w="1160" w:type="dxa"/>
            <w:vAlign w:val="bottom"/>
          </w:tcPr>
          <w:p>
            <w:pPr>
              <w:jc w:val="right"/>
              <w:ind w:right="295"/>
              <w:spacing w:after="0"/>
              <w:rPr>
                <w:sz w:val="20"/>
                <w:szCs w:val="20"/>
                <w:color w:val="auto"/>
              </w:rPr>
            </w:pPr>
            <w:r>
              <w:rPr>
                <w:rFonts w:ascii="Arial" w:cs="Arial" w:eastAsia="Arial" w:hAnsi="Arial"/>
                <w:sz w:val="14"/>
                <w:szCs w:val="14"/>
                <w:b w:val="1"/>
                <w:bCs w:val="1"/>
                <w:color w:val="86B6A5"/>
                <w:w w:val="96"/>
              </w:rPr>
              <w:t>(in millions)</w:t>
            </w:r>
          </w:p>
        </w:tc>
        <w:tc>
          <w:tcPr>
            <w:tcW w:w="1280" w:type="dxa"/>
            <w:vAlign w:val="bottom"/>
          </w:tcPr>
          <w:p>
            <w:pPr>
              <w:jc w:val="right"/>
              <w:ind w:right="334"/>
              <w:spacing w:after="0"/>
              <w:rPr>
                <w:sz w:val="20"/>
                <w:szCs w:val="20"/>
                <w:color w:val="auto"/>
              </w:rPr>
            </w:pPr>
            <w:r>
              <w:rPr>
                <w:rFonts w:ascii="Arial" w:cs="Arial" w:eastAsia="Arial" w:hAnsi="Arial"/>
                <w:sz w:val="14"/>
                <w:szCs w:val="14"/>
                <w:b w:val="1"/>
                <w:bCs w:val="1"/>
                <w:color w:val="86B6A5"/>
              </w:rPr>
              <w:t>Variance</w:t>
            </w: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86B6A5"/>
              </w:rPr>
              <w:t>Currency</w:t>
            </w: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86B6A5"/>
              </w:rPr>
              <w:t>Currency</w:t>
            </w:r>
          </w:p>
        </w:tc>
        <w:tc>
          <w:tcPr>
            <w:tcW w:w="1360" w:type="dxa"/>
            <w:vAlign w:val="bottom"/>
          </w:tcPr>
          <w:p>
            <w:pPr>
              <w:jc w:val="right"/>
              <w:ind w:right="355"/>
              <w:spacing w:after="0"/>
              <w:rPr>
                <w:sz w:val="20"/>
                <w:szCs w:val="20"/>
                <w:color w:val="auto"/>
              </w:rPr>
            </w:pPr>
            <w:r>
              <w:rPr>
                <w:rFonts w:ascii="Arial" w:cs="Arial" w:eastAsia="Arial" w:hAnsi="Arial"/>
                <w:sz w:val="14"/>
                <w:szCs w:val="14"/>
                <w:b w:val="1"/>
                <w:bCs w:val="1"/>
                <w:color w:val="86B6A5"/>
              </w:rPr>
              <w:t>Currency)</w:t>
            </w: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86B6A5"/>
              </w:rPr>
              <w:t>Variance</w:t>
            </w:r>
          </w:p>
        </w:tc>
      </w:tr>
      <w:tr>
        <w:trPr>
          <w:trHeight w:val="210"/>
        </w:trPr>
        <w:tc>
          <w:tcPr>
            <w:tcW w:w="20" w:type="dxa"/>
            <w:vAlign w:val="bottom"/>
          </w:tcPr>
          <w:p>
            <w:pPr>
              <w:spacing w:after="0"/>
              <w:rPr>
                <w:sz w:val="18"/>
                <w:szCs w:val="18"/>
                <w:color w:val="auto"/>
              </w:rPr>
            </w:pPr>
          </w:p>
        </w:tc>
        <w:tc>
          <w:tcPr>
            <w:tcW w:w="342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Revenues from Services</w:t>
            </w:r>
          </w:p>
        </w:tc>
        <w:tc>
          <w:tcPr>
            <w:tcW w:w="740" w:type="dxa"/>
            <w:vAlign w:val="bottom"/>
            <w:tcBorders>
              <w:top w:val="single" w:sz="8" w:color="86B6A5"/>
            </w:tcBorders>
            <w:shd w:val="clear" w:color="auto" w:fill="E3F1DA"/>
          </w:tcPr>
          <w:p>
            <w:pPr>
              <w:spacing w:after="0"/>
              <w:rPr>
                <w:sz w:val="18"/>
                <w:szCs w:val="18"/>
                <w:color w:val="auto"/>
              </w:rPr>
            </w:pPr>
          </w:p>
        </w:tc>
        <w:tc>
          <w:tcPr>
            <w:tcW w:w="1160" w:type="dxa"/>
            <w:vAlign w:val="bottom"/>
            <w:tcBorders>
              <w:top w:val="single" w:sz="8" w:color="86B6A5"/>
            </w:tcBorders>
            <w:shd w:val="clear" w:color="auto" w:fill="E3F1DA"/>
          </w:tcPr>
          <w:p>
            <w:pPr>
              <w:spacing w:after="0"/>
              <w:rPr>
                <w:sz w:val="18"/>
                <w:szCs w:val="18"/>
                <w:color w:val="auto"/>
              </w:rPr>
            </w:pPr>
          </w:p>
        </w:tc>
        <w:tc>
          <w:tcPr>
            <w:tcW w:w="1280" w:type="dxa"/>
            <w:vAlign w:val="bottom"/>
            <w:tcBorders>
              <w:top w:val="single" w:sz="8" w:color="86B6A5"/>
            </w:tcBorders>
            <w:shd w:val="clear" w:color="auto" w:fill="E3F1DA"/>
          </w:tcPr>
          <w:p>
            <w:pPr>
              <w:spacing w:after="0"/>
              <w:rPr>
                <w:sz w:val="18"/>
                <w:szCs w:val="18"/>
                <w:color w:val="auto"/>
              </w:rPr>
            </w:pPr>
          </w:p>
        </w:tc>
        <w:tc>
          <w:tcPr>
            <w:tcW w:w="1220" w:type="dxa"/>
            <w:vAlign w:val="bottom"/>
            <w:tcBorders>
              <w:top w:val="single" w:sz="8" w:color="86B6A5"/>
            </w:tcBorders>
            <w:shd w:val="clear" w:color="auto" w:fill="E3F1DA"/>
          </w:tcPr>
          <w:p>
            <w:pPr>
              <w:spacing w:after="0"/>
              <w:rPr>
                <w:sz w:val="18"/>
                <w:szCs w:val="18"/>
                <w:color w:val="auto"/>
              </w:rPr>
            </w:pPr>
          </w:p>
        </w:tc>
        <w:tc>
          <w:tcPr>
            <w:tcW w:w="1220" w:type="dxa"/>
            <w:vAlign w:val="bottom"/>
            <w:tcBorders>
              <w:top w:val="single" w:sz="8" w:color="86B6A5"/>
            </w:tcBorders>
            <w:shd w:val="clear" w:color="auto" w:fill="E3F1DA"/>
          </w:tcPr>
          <w:p>
            <w:pPr>
              <w:spacing w:after="0"/>
              <w:rPr>
                <w:sz w:val="18"/>
                <w:szCs w:val="18"/>
                <w:color w:val="auto"/>
              </w:rPr>
            </w:pPr>
          </w:p>
        </w:tc>
        <w:tc>
          <w:tcPr>
            <w:tcW w:w="1360" w:type="dxa"/>
            <w:vAlign w:val="bottom"/>
            <w:tcBorders>
              <w:top w:val="single" w:sz="8" w:color="86B6A5"/>
            </w:tcBorders>
            <w:shd w:val="clear" w:color="auto" w:fill="E3F1DA"/>
          </w:tcPr>
          <w:p>
            <w:pPr>
              <w:spacing w:after="0"/>
              <w:rPr>
                <w:sz w:val="18"/>
                <w:szCs w:val="18"/>
                <w:color w:val="auto"/>
              </w:rPr>
            </w:pPr>
          </w:p>
        </w:tc>
        <w:tc>
          <w:tcPr>
            <w:tcW w:w="100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Americas: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3,137.3</w:t>
            </w:r>
          </w:p>
        </w:tc>
        <w:tc>
          <w:tcPr>
            <w:tcW w:w="1280" w:type="dxa"/>
            <w:vAlign w:val="bottom"/>
            <w:shd w:val="clear" w:color="auto" w:fill="E3F1DA"/>
          </w:tcPr>
          <w:p>
            <w:pPr>
              <w:jc w:val="right"/>
              <w:ind w:right="174"/>
              <w:spacing w:after="0"/>
              <w:rPr>
                <w:sz w:val="20"/>
                <w:szCs w:val="20"/>
                <w:color w:val="auto"/>
              </w:rPr>
            </w:pPr>
            <w:r>
              <w:rPr>
                <w:rFonts w:ascii="Arial" w:cs="Arial" w:eastAsia="Arial" w:hAnsi="Arial"/>
                <w:sz w:val="18"/>
                <w:szCs w:val="18"/>
                <w:color w:val="auto"/>
              </w:rPr>
              <w:t>12.7%</w:t>
            </w:r>
          </w:p>
        </w:tc>
        <w:tc>
          <w:tcPr>
            <w:tcW w:w="1220" w:type="dxa"/>
            <w:vAlign w:val="bottom"/>
            <w:shd w:val="clear" w:color="auto" w:fill="E3F1DA"/>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E3F1DA"/>
          </w:tcPr>
          <w:p>
            <w:pPr>
              <w:jc w:val="right"/>
              <w:ind w:right="115"/>
              <w:spacing w:after="0"/>
              <w:rPr>
                <w:sz w:val="20"/>
                <w:szCs w:val="20"/>
                <w:color w:val="auto"/>
              </w:rPr>
            </w:pPr>
            <w:r>
              <w:rPr>
                <w:rFonts w:ascii="Arial" w:cs="Arial" w:eastAsia="Arial" w:hAnsi="Arial"/>
                <w:sz w:val="18"/>
                <w:szCs w:val="18"/>
                <w:color w:val="auto"/>
              </w:rPr>
              <w:t>12.7%</w:t>
            </w:r>
          </w:p>
        </w:tc>
        <w:tc>
          <w:tcPr>
            <w:tcW w:w="1360" w:type="dxa"/>
            <w:vAlign w:val="bottom"/>
            <w:shd w:val="clear" w:color="auto" w:fill="E3F1DA"/>
          </w:tcPr>
          <w:p>
            <w:pPr>
              <w:jc w:val="right"/>
              <w:ind w:right="215"/>
              <w:spacing w:after="0"/>
              <w:rPr>
                <w:sz w:val="20"/>
                <w:szCs w:val="20"/>
                <w:color w:val="auto"/>
              </w:rPr>
            </w:pPr>
            <w:r>
              <w:rPr>
                <w:rFonts w:ascii="Arial" w:cs="Arial" w:eastAsia="Arial" w:hAnsi="Arial"/>
                <w:sz w:val="18"/>
                <w:szCs w:val="18"/>
                <w:color w:val="auto"/>
              </w:rPr>
              <w:t>6.5%</w:t>
            </w:r>
          </w:p>
        </w:tc>
        <w:tc>
          <w:tcPr>
            <w:tcW w:w="10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Other Americas</w:t>
            </w:r>
          </w:p>
        </w:tc>
        <w:tc>
          <w:tcPr>
            <w:tcW w:w="740" w:type="dxa"/>
            <w:vAlign w:val="bottom"/>
            <w:tcBorders>
              <w:bottom w:val="single" w:sz="8" w:color="939598"/>
            </w:tcBorders>
          </w:tcPr>
          <w:p>
            <w:pPr>
              <w:spacing w:after="0"/>
              <w:rPr>
                <w:sz w:val="18"/>
                <w:szCs w:val="18"/>
                <w:color w:val="auto"/>
              </w:rPr>
            </w:pPr>
          </w:p>
        </w:tc>
        <w:tc>
          <w:tcPr>
            <w:tcW w:w="11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1,512.1</w:t>
            </w:r>
          </w:p>
        </w:tc>
        <w:tc>
          <w:tcPr>
            <w:tcW w:w="1280" w:type="dxa"/>
            <w:vAlign w:val="bottom"/>
            <w:tcBorders>
              <w:bottom w:val="single" w:sz="8" w:color="939598"/>
            </w:tcBorders>
          </w:tcPr>
          <w:p>
            <w:pPr>
              <w:jc w:val="right"/>
              <w:ind w:right="334"/>
              <w:spacing w:after="0"/>
              <w:rPr>
                <w:sz w:val="20"/>
                <w:szCs w:val="20"/>
                <w:color w:val="auto"/>
              </w:rPr>
            </w:pPr>
            <w:r>
              <w:rPr>
                <w:rFonts w:ascii="Arial" w:cs="Arial" w:eastAsia="Arial" w:hAnsi="Arial"/>
                <w:sz w:val="18"/>
                <w:szCs w:val="18"/>
                <w:color w:val="auto"/>
              </w:rPr>
              <w:t>19.5</w:t>
            </w:r>
          </w:p>
        </w:tc>
        <w:tc>
          <w:tcPr>
            <w:tcW w:w="1220" w:type="dxa"/>
            <w:vAlign w:val="bottom"/>
            <w:tcBorders>
              <w:bottom w:val="single" w:sz="8" w:color="939598"/>
            </w:tcBorders>
          </w:tcPr>
          <w:p>
            <w:pPr>
              <w:jc w:val="right"/>
              <w:ind w:right="294"/>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18.4</w:t>
            </w:r>
          </w:p>
        </w:tc>
        <w:tc>
          <w:tcPr>
            <w:tcW w:w="136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18.4</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4,649.4</w:t>
            </w:r>
          </w:p>
        </w:tc>
        <w:tc>
          <w:tcPr>
            <w:tcW w:w="1280" w:type="dxa"/>
            <w:vAlign w:val="bottom"/>
            <w:tcBorders>
              <w:bottom w:val="single" w:sz="8" w:color="939598"/>
            </w:tcBorders>
            <w:shd w:val="clear" w:color="auto" w:fill="E3F1DA"/>
          </w:tcPr>
          <w:p>
            <w:pPr>
              <w:jc w:val="right"/>
              <w:ind w:right="334"/>
              <w:spacing w:after="0"/>
              <w:rPr>
                <w:sz w:val="20"/>
                <w:szCs w:val="20"/>
                <w:color w:val="auto"/>
              </w:rPr>
            </w:pPr>
            <w:r>
              <w:rPr>
                <w:rFonts w:ascii="Arial" w:cs="Arial" w:eastAsia="Arial" w:hAnsi="Arial"/>
                <w:sz w:val="18"/>
                <w:szCs w:val="18"/>
                <w:color w:val="auto"/>
              </w:rPr>
              <w:t>14.8</w:t>
            </w:r>
          </w:p>
        </w:tc>
        <w:tc>
          <w:tcPr>
            <w:tcW w:w="12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14.5</w:t>
            </w:r>
          </w:p>
        </w:tc>
        <w:tc>
          <w:tcPr>
            <w:tcW w:w="136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9.9</w:t>
            </w: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Southern Europe:</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France</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6,179.1</w:t>
            </w:r>
          </w:p>
        </w:tc>
        <w:tc>
          <w:tcPr>
            <w:tcW w:w="1280" w:type="dxa"/>
            <w:vAlign w:val="bottom"/>
            <w:shd w:val="clear" w:color="auto" w:fill="E3F1DA"/>
          </w:tcPr>
          <w:p>
            <w:pPr>
              <w:jc w:val="right"/>
              <w:ind w:right="334"/>
              <w:spacing w:after="0"/>
              <w:rPr>
                <w:sz w:val="20"/>
                <w:szCs w:val="20"/>
                <w:color w:val="auto"/>
              </w:rPr>
            </w:pPr>
            <w:r>
              <w:rPr>
                <w:rFonts w:ascii="Arial" w:cs="Arial" w:eastAsia="Arial" w:hAnsi="Arial"/>
                <w:sz w:val="18"/>
                <w:szCs w:val="18"/>
                <w:color w:val="auto"/>
              </w:rPr>
              <w:t>18.6</w:t>
            </w:r>
          </w:p>
        </w:tc>
        <w:tc>
          <w:tcPr>
            <w:tcW w:w="12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6.0</w:t>
            </w:r>
          </w:p>
        </w:tc>
        <w:tc>
          <w:tcPr>
            <w:tcW w:w="122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12.6</w:t>
            </w:r>
          </w:p>
        </w:tc>
        <w:tc>
          <w:tcPr>
            <w:tcW w:w="136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Italy</w:t>
            </w:r>
          </w:p>
        </w:tc>
        <w:tc>
          <w:tcPr>
            <w:tcW w:w="74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1,255.8</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20.3</w:t>
            </w:r>
          </w:p>
        </w:tc>
        <w:tc>
          <w:tcPr>
            <w:tcW w:w="1220" w:type="dxa"/>
            <w:vAlign w:val="bottom"/>
          </w:tcPr>
          <w:p>
            <w:pPr>
              <w:jc w:val="right"/>
              <w:ind w:right="294"/>
              <w:spacing w:after="0"/>
              <w:rPr>
                <w:sz w:val="20"/>
                <w:szCs w:val="20"/>
                <w:color w:val="auto"/>
              </w:rPr>
            </w:pPr>
            <w:r>
              <w:rPr>
                <w:rFonts w:ascii="Arial" w:cs="Arial" w:eastAsia="Arial" w:hAnsi="Arial"/>
                <w:sz w:val="18"/>
                <w:szCs w:val="18"/>
                <w:color w:val="auto"/>
              </w:rPr>
              <w:t>6.1</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14.2</w:t>
            </w: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 Southern Europe</w:t>
            </w:r>
          </w:p>
        </w:tc>
        <w:tc>
          <w:tcPr>
            <w:tcW w:w="74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776.9</w:t>
            </w:r>
          </w:p>
        </w:tc>
        <w:tc>
          <w:tcPr>
            <w:tcW w:w="1280" w:type="dxa"/>
            <w:vAlign w:val="bottom"/>
            <w:tcBorders>
              <w:bottom w:val="single" w:sz="8" w:color="939598"/>
            </w:tcBorders>
            <w:shd w:val="clear" w:color="auto" w:fill="E3F1DA"/>
          </w:tcPr>
          <w:p>
            <w:pPr>
              <w:jc w:val="right"/>
              <w:ind w:right="334"/>
              <w:spacing w:after="0"/>
              <w:rPr>
                <w:sz w:val="20"/>
                <w:szCs w:val="20"/>
                <w:color w:val="auto"/>
              </w:rPr>
            </w:pPr>
            <w:r>
              <w:rPr>
                <w:rFonts w:ascii="Arial" w:cs="Arial" w:eastAsia="Arial" w:hAnsi="Arial"/>
                <w:sz w:val="18"/>
                <w:szCs w:val="18"/>
                <w:color w:val="auto"/>
              </w:rPr>
              <w:t>11.2</w:t>
            </w:r>
          </w:p>
        </w:tc>
        <w:tc>
          <w:tcPr>
            <w:tcW w:w="12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6.8</w:t>
            </w:r>
          </w:p>
        </w:tc>
        <w:tc>
          <w:tcPr>
            <w:tcW w:w="136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6.8</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11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8,211.8</w:t>
            </w:r>
          </w:p>
        </w:tc>
        <w:tc>
          <w:tcPr>
            <w:tcW w:w="1280" w:type="dxa"/>
            <w:vAlign w:val="bottom"/>
            <w:tcBorders>
              <w:bottom w:val="single" w:sz="8" w:color="939598"/>
            </w:tcBorders>
          </w:tcPr>
          <w:p>
            <w:pPr>
              <w:jc w:val="right"/>
              <w:ind w:right="334"/>
              <w:spacing w:after="0"/>
              <w:rPr>
                <w:sz w:val="20"/>
                <w:szCs w:val="20"/>
                <w:color w:val="auto"/>
              </w:rPr>
            </w:pPr>
            <w:r>
              <w:rPr>
                <w:rFonts w:ascii="Arial" w:cs="Arial" w:eastAsia="Arial" w:hAnsi="Arial"/>
                <w:sz w:val="18"/>
                <w:szCs w:val="18"/>
                <w:color w:val="auto"/>
              </w:rPr>
              <w:t>18.1</w:t>
            </w:r>
          </w:p>
        </w:tc>
        <w:tc>
          <w:tcPr>
            <w:tcW w:w="1220" w:type="dxa"/>
            <w:vAlign w:val="bottom"/>
            <w:tcBorders>
              <w:bottom w:val="single" w:sz="8" w:color="939598"/>
            </w:tcBorders>
          </w:tcPr>
          <w:p>
            <w:pPr>
              <w:jc w:val="right"/>
              <w:ind w:right="294"/>
              <w:spacing w:after="0"/>
              <w:rPr>
                <w:sz w:val="20"/>
                <w:szCs w:val="20"/>
                <w:color w:val="auto"/>
              </w:rPr>
            </w:pPr>
            <w:r>
              <w:rPr>
                <w:rFonts w:ascii="Arial" w:cs="Arial" w:eastAsia="Arial" w:hAnsi="Arial"/>
                <w:sz w:val="18"/>
                <w:szCs w:val="18"/>
                <w:color w:val="auto"/>
              </w:rPr>
              <w:t>5.8</w:t>
            </w:r>
          </w:p>
        </w:tc>
        <w:tc>
          <w:tcPr>
            <w:tcW w:w="122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12.3</w:t>
            </w:r>
          </w:p>
        </w:tc>
        <w:tc>
          <w:tcPr>
            <w:tcW w:w="136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11.9</w:t>
            </w:r>
          </w:p>
        </w:tc>
      </w:tr>
      <w:tr>
        <w:trPr>
          <w:trHeight w:val="210"/>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Northern Europe</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6,159.4</w:t>
            </w:r>
          </w:p>
        </w:tc>
        <w:tc>
          <w:tcPr>
            <w:tcW w:w="1280" w:type="dxa"/>
            <w:vAlign w:val="bottom"/>
            <w:shd w:val="clear" w:color="auto" w:fill="E3F1DA"/>
          </w:tcPr>
          <w:p>
            <w:pPr>
              <w:jc w:val="right"/>
              <w:ind w:right="334"/>
              <w:spacing w:after="0"/>
              <w:rPr>
                <w:sz w:val="20"/>
                <w:szCs w:val="20"/>
                <w:color w:val="auto"/>
              </w:rPr>
            </w:pPr>
            <w:r>
              <w:rPr>
                <w:rFonts w:ascii="Arial" w:cs="Arial" w:eastAsia="Arial" w:hAnsi="Arial"/>
                <w:sz w:val="18"/>
                <w:szCs w:val="18"/>
                <w:color w:val="auto"/>
              </w:rPr>
              <w:t>15.3</w:t>
            </w:r>
          </w:p>
        </w:tc>
        <w:tc>
          <w:tcPr>
            <w:tcW w:w="12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6.0</w:t>
            </w:r>
          </w:p>
        </w:tc>
        <w:tc>
          <w:tcPr>
            <w:tcW w:w="122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9.3</w:t>
            </w:r>
          </w:p>
        </w:tc>
        <w:tc>
          <w:tcPr>
            <w:tcW w:w="136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APME</w:t>
            </w:r>
          </w:p>
        </w:tc>
        <w:tc>
          <w:tcPr>
            <w:tcW w:w="74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2,661.7</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24.0</w:t>
            </w:r>
          </w:p>
        </w:tc>
        <w:tc>
          <w:tcPr>
            <w:tcW w:w="1220" w:type="dxa"/>
            <w:vAlign w:val="bottom"/>
          </w:tcPr>
          <w:p>
            <w:pPr>
              <w:jc w:val="right"/>
              <w:ind w:right="294"/>
              <w:spacing w:after="0"/>
              <w:rPr>
                <w:sz w:val="20"/>
                <w:szCs w:val="20"/>
                <w:color w:val="auto"/>
              </w:rPr>
            </w:pPr>
            <w:r>
              <w:rPr>
                <w:rFonts w:ascii="Arial" w:cs="Arial" w:eastAsia="Arial" w:hAnsi="Arial"/>
                <w:sz w:val="18"/>
                <w:szCs w:val="18"/>
                <w:color w:val="auto"/>
              </w:rPr>
              <w:t>9.8</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14.2</w:t>
            </w: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6.6</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Right Management</w:t>
            </w:r>
          </w:p>
        </w:tc>
        <w:tc>
          <w:tcPr>
            <w:tcW w:w="74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323.7</w:t>
            </w:r>
          </w:p>
        </w:tc>
        <w:tc>
          <w:tcPr>
            <w:tcW w:w="1280" w:type="dxa"/>
            <w:vAlign w:val="bottom"/>
            <w:tcBorders>
              <w:bottom w:val="single" w:sz="8" w:color="939598"/>
            </w:tcBorders>
            <w:shd w:val="clear" w:color="auto" w:fill="E3F1DA"/>
          </w:tcPr>
          <w:p>
            <w:pPr>
              <w:jc w:val="right"/>
              <w:ind w:right="274"/>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939598"/>
            </w:tcBorders>
            <w:shd w:val="clear" w:color="auto" w:fill="E3F1DA"/>
          </w:tcPr>
          <w:p>
            <w:pPr>
              <w:jc w:val="right"/>
              <w:ind w:right="195"/>
              <w:spacing w:after="0"/>
              <w:rPr>
                <w:sz w:val="20"/>
                <w:szCs w:val="20"/>
                <w:color w:val="auto"/>
              </w:rPr>
            </w:pPr>
            <w:r>
              <w:rPr>
                <w:rFonts w:ascii="Arial" w:cs="Arial" w:eastAsia="Arial" w:hAnsi="Arial"/>
                <w:sz w:val="18"/>
                <w:szCs w:val="18"/>
                <w:color w:val="auto"/>
              </w:rPr>
              <w:t>(16.6)</w:t>
            </w:r>
          </w:p>
        </w:tc>
        <w:tc>
          <w:tcPr>
            <w:tcW w:w="136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39598"/>
            </w:tcBorders>
            <w:shd w:val="clear" w:color="auto" w:fill="E3F1DA"/>
          </w:tcPr>
          <w:p>
            <w:pPr>
              <w:jc w:val="right"/>
              <w:ind w:right="15"/>
              <w:spacing w:after="0"/>
              <w:rPr>
                <w:sz w:val="20"/>
                <w:szCs w:val="20"/>
                <w:color w:val="auto"/>
              </w:rPr>
            </w:pPr>
            <w:r>
              <w:rPr>
                <w:rFonts w:ascii="Arial" w:cs="Arial" w:eastAsia="Arial" w:hAnsi="Arial"/>
                <w:sz w:val="18"/>
                <w:szCs w:val="18"/>
                <w:color w:val="auto"/>
              </w:rPr>
              <w:t>(16.6)</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ManpowerGroup</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22,006.0</w:t>
            </w:r>
          </w:p>
        </w:tc>
        <w:tc>
          <w:tcPr>
            <w:tcW w:w="1280" w:type="dxa"/>
            <w:vAlign w:val="bottom"/>
            <w:tcBorders>
              <w:bottom w:val="single" w:sz="8" w:color="939598"/>
            </w:tcBorders>
          </w:tcPr>
          <w:p>
            <w:pPr>
              <w:jc w:val="right"/>
              <w:ind w:right="174"/>
              <w:spacing w:after="0"/>
              <w:rPr>
                <w:sz w:val="20"/>
                <w:szCs w:val="20"/>
                <w:color w:val="auto"/>
              </w:rPr>
            </w:pPr>
            <w:r>
              <w:rPr>
                <w:rFonts w:ascii="Arial" w:cs="Arial" w:eastAsia="Arial" w:hAnsi="Arial"/>
                <w:sz w:val="18"/>
                <w:szCs w:val="18"/>
                <w:color w:val="auto"/>
              </w:rPr>
              <w:t>16.6%</w:t>
            </w:r>
          </w:p>
        </w:tc>
        <w:tc>
          <w:tcPr>
            <w:tcW w:w="1220" w:type="dxa"/>
            <w:vAlign w:val="bottom"/>
            <w:tcBorders>
              <w:bottom w:val="single" w:sz="8" w:color="939598"/>
            </w:tcBorders>
          </w:tcPr>
          <w:p>
            <w:pPr>
              <w:jc w:val="right"/>
              <w:ind w:right="154"/>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939598"/>
            </w:tcBorders>
          </w:tcPr>
          <w:p>
            <w:pPr>
              <w:jc w:val="right"/>
              <w:ind w:right="115"/>
              <w:spacing w:after="0"/>
              <w:rPr>
                <w:sz w:val="20"/>
                <w:szCs w:val="20"/>
                <w:color w:val="auto"/>
              </w:rPr>
            </w:pPr>
            <w:r>
              <w:rPr>
                <w:rFonts w:ascii="Arial" w:cs="Arial" w:eastAsia="Arial" w:hAnsi="Arial"/>
                <w:sz w:val="18"/>
                <w:szCs w:val="18"/>
                <w:color w:val="auto"/>
              </w:rPr>
              <w:t>11.6%</w:t>
            </w:r>
          </w:p>
        </w:tc>
        <w:tc>
          <w:tcPr>
            <w:tcW w:w="1360" w:type="dxa"/>
            <w:vAlign w:val="bottom"/>
            <w:tcBorders>
              <w:bottom w:val="single" w:sz="8" w:color="939598"/>
            </w:tcBorders>
          </w:tcPr>
          <w:p>
            <w:pPr>
              <w:jc w:val="right"/>
              <w:ind w:right="215"/>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b w:val="1"/>
                <w:bCs w:val="1"/>
                <w:color w:val="939598"/>
              </w:rPr>
              <w:t>Gross Profit — ManpowerGroup</w:t>
            </w:r>
          </w:p>
        </w:tc>
        <w:tc>
          <w:tcPr>
            <w:tcW w:w="7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3,706.3</w:t>
            </w:r>
          </w:p>
        </w:tc>
        <w:tc>
          <w:tcPr>
            <w:tcW w:w="1280" w:type="dxa"/>
            <w:vAlign w:val="bottom"/>
            <w:shd w:val="clear" w:color="auto" w:fill="E3F1DA"/>
          </w:tcPr>
          <w:p>
            <w:pPr>
              <w:jc w:val="right"/>
              <w:ind w:right="174"/>
              <w:spacing w:after="0"/>
              <w:rPr>
                <w:sz w:val="20"/>
                <w:szCs w:val="20"/>
                <w:color w:val="auto"/>
              </w:rPr>
            </w:pPr>
            <w:r>
              <w:rPr>
                <w:rFonts w:ascii="Arial" w:cs="Arial" w:eastAsia="Arial" w:hAnsi="Arial"/>
                <w:sz w:val="18"/>
                <w:szCs w:val="18"/>
                <w:color w:val="auto"/>
              </w:rPr>
              <w:t>14.2%</w:t>
            </w:r>
          </w:p>
        </w:tc>
        <w:tc>
          <w:tcPr>
            <w:tcW w:w="1220" w:type="dxa"/>
            <w:vAlign w:val="bottom"/>
            <w:shd w:val="clear" w:color="auto" w:fill="E3F1DA"/>
          </w:tcPr>
          <w:p>
            <w:pPr>
              <w:jc w:val="right"/>
              <w:ind w:right="154"/>
              <w:spacing w:after="0"/>
              <w:rPr>
                <w:sz w:val="20"/>
                <w:szCs w:val="20"/>
                <w:color w:val="auto"/>
              </w:rPr>
            </w:pPr>
            <w:r>
              <w:rPr>
                <w:rFonts w:ascii="Arial" w:cs="Arial" w:eastAsia="Arial" w:hAnsi="Arial"/>
                <w:sz w:val="18"/>
                <w:szCs w:val="18"/>
                <w:color w:val="auto"/>
              </w:rPr>
              <w:t>4.8%</w:t>
            </w:r>
          </w:p>
        </w:tc>
        <w:tc>
          <w:tcPr>
            <w:tcW w:w="1220" w:type="dxa"/>
            <w:vAlign w:val="bottom"/>
            <w:shd w:val="clear" w:color="auto" w:fill="E3F1DA"/>
          </w:tcPr>
          <w:p>
            <w:pPr>
              <w:jc w:val="right"/>
              <w:ind w:right="115"/>
              <w:spacing w:after="0"/>
              <w:rPr>
                <w:sz w:val="20"/>
                <w:szCs w:val="20"/>
                <w:color w:val="auto"/>
              </w:rPr>
            </w:pPr>
            <w:r>
              <w:rPr>
                <w:rFonts w:ascii="Arial" w:cs="Arial" w:eastAsia="Arial" w:hAnsi="Arial"/>
                <w:sz w:val="18"/>
                <w:szCs w:val="18"/>
                <w:color w:val="auto"/>
              </w:rPr>
              <w:t>9.4%</w:t>
            </w:r>
          </w:p>
        </w:tc>
        <w:tc>
          <w:tcPr>
            <w:tcW w:w="1360" w:type="dxa"/>
            <w:vAlign w:val="bottom"/>
            <w:shd w:val="clear" w:color="auto" w:fill="E3F1DA"/>
          </w:tcPr>
          <w:p>
            <w:pPr>
              <w:jc w:val="right"/>
              <w:ind w:right="215"/>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939598"/>
              </w:rPr>
              <w:t>Operating Unit Profit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Americas:</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280" w:type="dxa"/>
            <w:vAlign w:val="bottom"/>
            <w:shd w:val="clear" w:color="auto" w:fill="E3F1DA"/>
          </w:tcPr>
          <w:p>
            <w:pPr>
              <w:spacing w:after="0"/>
              <w:rPr>
                <w:sz w:val="18"/>
                <w:szCs w:val="18"/>
                <w:color w:val="auto"/>
              </w:rPr>
            </w:pPr>
          </w:p>
        </w:tc>
        <w:tc>
          <w:tcPr>
            <w:tcW w:w="1220" w:type="dxa"/>
            <w:vAlign w:val="bottom"/>
            <w:shd w:val="clear" w:color="auto" w:fill="E3F1DA"/>
          </w:tcPr>
          <w:p>
            <w:pPr>
              <w:spacing w:after="0"/>
              <w:rPr>
                <w:sz w:val="18"/>
                <w:szCs w:val="18"/>
                <w:color w:val="auto"/>
              </w:rPr>
            </w:pPr>
          </w:p>
        </w:tc>
        <w:tc>
          <w:tcPr>
            <w:tcW w:w="1220" w:type="dxa"/>
            <w:vAlign w:val="bottom"/>
            <w:shd w:val="clear" w:color="auto" w:fill="E3F1DA"/>
          </w:tcPr>
          <w:p>
            <w:pPr>
              <w:spacing w:after="0"/>
              <w:rPr>
                <w:sz w:val="18"/>
                <w:szCs w:val="18"/>
                <w:color w:val="auto"/>
              </w:rPr>
            </w:pPr>
          </w:p>
        </w:tc>
        <w:tc>
          <w:tcPr>
            <w:tcW w:w="1360" w:type="dxa"/>
            <w:vAlign w:val="bottom"/>
            <w:shd w:val="clear" w:color="auto" w:fill="E3F1DA"/>
          </w:tcPr>
          <w:p>
            <w:pPr>
              <w:spacing w:after="0"/>
              <w:rPr>
                <w:sz w:val="18"/>
                <w:szCs w:val="18"/>
                <w:color w:val="auto"/>
              </w:rPr>
            </w:pPr>
          </w:p>
        </w:tc>
        <w:tc>
          <w:tcPr>
            <w:tcW w:w="100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United States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94.1</w:t>
            </w: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119.8%</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119.8%</w:t>
            </w:r>
          </w:p>
        </w:tc>
        <w:tc>
          <w:tcPr>
            <w:tcW w:w="1360" w:type="dxa"/>
            <w:vAlign w:val="bottom"/>
          </w:tcPr>
          <w:p>
            <w:pPr>
              <w:jc w:val="right"/>
              <w:ind w:right="215"/>
              <w:spacing w:after="0"/>
              <w:rPr>
                <w:sz w:val="20"/>
                <w:szCs w:val="20"/>
                <w:color w:val="auto"/>
              </w:rPr>
            </w:pPr>
            <w:r>
              <w:rPr>
                <w:rFonts w:ascii="Arial" w:cs="Arial" w:eastAsia="Arial" w:hAnsi="Arial"/>
                <w:sz w:val="18"/>
                <w:szCs w:val="18"/>
                <w:color w:val="auto"/>
              </w:rPr>
              <w:t>21.6%</w:t>
            </w:r>
          </w:p>
        </w:tc>
        <w:tc>
          <w:tcPr>
            <w:tcW w:w="100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 Americas</w:t>
            </w:r>
          </w:p>
        </w:tc>
        <w:tc>
          <w:tcPr>
            <w:tcW w:w="74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47.8</w:t>
            </w:r>
          </w:p>
        </w:tc>
        <w:tc>
          <w:tcPr>
            <w:tcW w:w="1280" w:type="dxa"/>
            <w:vAlign w:val="bottom"/>
            <w:tcBorders>
              <w:bottom w:val="single" w:sz="8" w:color="939598"/>
            </w:tcBorders>
            <w:shd w:val="clear" w:color="auto" w:fill="E3F1DA"/>
          </w:tcPr>
          <w:p>
            <w:pPr>
              <w:jc w:val="right"/>
              <w:ind w:right="334"/>
              <w:spacing w:after="0"/>
              <w:rPr>
                <w:sz w:val="20"/>
                <w:szCs w:val="20"/>
                <w:color w:val="auto"/>
              </w:rPr>
            </w:pPr>
            <w:r>
              <w:rPr>
                <w:rFonts w:ascii="Arial" w:cs="Arial" w:eastAsia="Arial" w:hAnsi="Arial"/>
                <w:sz w:val="18"/>
                <w:szCs w:val="18"/>
                <w:color w:val="auto"/>
              </w:rPr>
              <w:t>31.2</w:t>
            </w:r>
          </w:p>
        </w:tc>
        <w:tc>
          <w:tcPr>
            <w:tcW w:w="12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30.7</w:t>
            </w:r>
          </w:p>
        </w:tc>
        <w:tc>
          <w:tcPr>
            <w:tcW w:w="136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30.7</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11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141.9</w:t>
            </w:r>
          </w:p>
        </w:tc>
        <w:tc>
          <w:tcPr>
            <w:tcW w:w="1280" w:type="dxa"/>
            <w:vAlign w:val="bottom"/>
            <w:tcBorders>
              <w:bottom w:val="single" w:sz="8" w:color="939598"/>
            </w:tcBorders>
          </w:tcPr>
          <w:p>
            <w:pPr>
              <w:jc w:val="right"/>
              <w:ind w:right="334"/>
              <w:spacing w:after="0"/>
              <w:rPr>
                <w:sz w:val="20"/>
                <w:szCs w:val="20"/>
                <w:color w:val="auto"/>
              </w:rPr>
            </w:pPr>
            <w:r>
              <w:rPr>
                <w:rFonts w:ascii="Arial" w:cs="Arial" w:eastAsia="Arial" w:hAnsi="Arial"/>
                <w:sz w:val="18"/>
                <w:szCs w:val="18"/>
                <w:color w:val="auto"/>
              </w:rPr>
              <w:t>79.0</w:t>
            </w:r>
          </w:p>
        </w:tc>
        <w:tc>
          <w:tcPr>
            <w:tcW w:w="1220" w:type="dxa"/>
            <w:vAlign w:val="bottom"/>
            <w:tcBorders>
              <w:bottom w:val="single" w:sz="8" w:color="939598"/>
            </w:tcBorders>
          </w:tcPr>
          <w:p>
            <w:pPr>
              <w:jc w:val="right"/>
              <w:ind w:right="294"/>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78.8</w:t>
            </w:r>
          </w:p>
        </w:tc>
        <w:tc>
          <w:tcPr>
            <w:tcW w:w="136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68.8</w:t>
            </w:r>
          </w:p>
        </w:tc>
      </w:tr>
      <w:tr>
        <w:trPr>
          <w:trHeight w:val="210"/>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Southern Europe:</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280" w:type="dxa"/>
            <w:vAlign w:val="bottom"/>
            <w:shd w:val="clear" w:color="auto" w:fill="E3F1DA"/>
          </w:tcPr>
          <w:p>
            <w:pPr>
              <w:spacing w:after="0"/>
              <w:rPr>
                <w:sz w:val="18"/>
                <w:szCs w:val="18"/>
                <w:color w:val="auto"/>
              </w:rPr>
            </w:pPr>
          </w:p>
        </w:tc>
        <w:tc>
          <w:tcPr>
            <w:tcW w:w="1220" w:type="dxa"/>
            <w:vAlign w:val="bottom"/>
            <w:shd w:val="clear" w:color="auto" w:fill="E3F1DA"/>
          </w:tcPr>
          <w:p>
            <w:pPr>
              <w:spacing w:after="0"/>
              <w:rPr>
                <w:sz w:val="18"/>
                <w:szCs w:val="18"/>
                <w:color w:val="auto"/>
              </w:rPr>
            </w:pPr>
          </w:p>
        </w:tc>
        <w:tc>
          <w:tcPr>
            <w:tcW w:w="1220" w:type="dxa"/>
            <w:vAlign w:val="bottom"/>
            <w:shd w:val="clear" w:color="auto" w:fill="E3F1DA"/>
          </w:tcPr>
          <w:p>
            <w:pPr>
              <w:spacing w:after="0"/>
              <w:rPr>
                <w:sz w:val="18"/>
                <w:szCs w:val="18"/>
                <w:color w:val="auto"/>
              </w:rPr>
            </w:pPr>
          </w:p>
        </w:tc>
        <w:tc>
          <w:tcPr>
            <w:tcW w:w="1360" w:type="dxa"/>
            <w:vAlign w:val="bottom"/>
            <w:shd w:val="clear" w:color="auto" w:fill="E3F1DA"/>
          </w:tcPr>
          <w:p>
            <w:pPr>
              <w:spacing w:after="0"/>
              <w:rPr>
                <w:sz w:val="18"/>
                <w:szCs w:val="18"/>
                <w:color w:val="auto"/>
              </w:rPr>
            </w:pPr>
          </w:p>
        </w:tc>
        <w:tc>
          <w:tcPr>
            <w:tcW w:w="100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France</w:t>
            </w:r>
          </w:p>
        </w:tc>
        <w:tc>
          <w:tcPr>
            <w:tcW w:w="74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85.2</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80.7</w:t>
            </w:r>
          </w:p>
        </w:tc>
        <w:tc>
          <w:tcPr>
            <w:tcW w:w="1220" w:type="dxa"/>
            <w:vAlign w:val="bottom"/>
          </w:tcPr>
          <w:p>
            <w:pPr>
              <w:jc w:val="right"/>
              <w:ind w:right="294"/>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69.4</w:t>
            </w: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65.9</w:t>
            </w:r>
          </w:p>
        </w:tc>
      </w:tr>
      <w:tr>
        <w:trPr>
          <w:trHeight w:val="216"/>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Italy</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74.1</w:t>
            </w:r>
          </w:p>
        </w:tc>
        <w:tc>
          <w:tcPr>
            <w:tcW w:w="1280" w:type="dxa"/>
            <w:vAlign w:val="bottom"/>
            <w:shd w:val="clear" w:color="auto" w:fill="E3F1DA"/>
          </w:tcPr>
          <w:p>
            <w:pPr>
              <w:jc w:val="right"/>
              <w:ind w:right="334"/>
              <w:spacing w:after="0"/>
              <w:rPr>
                <w:sz w:val="20"/>
                <w:szCs w:val="20"/>
                <w:color w:val="auto"/>
              </w:rPr>
            </w:pPr>
            <w:r>
              <w:rPr>
                <w:rFonts w:ascii="Arial" w:cs="Arial" w:eastAsia="Arial" w:hAnsi="Arial"/>
                <w:sz w:val="18"/>
                <w:szCs w:val="18"/>
                <w:color w:val="auto"/>
              </w:rPr>
              <w:t>55.9</w:t>
            </w:r>
          </w:p>
        </w:tc>
        <w:tc>
          <w:tcPr>
            <w:tcW w:w="12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8.7</w:t>
            </w:r>
          </w:p>
        </w:tc>
        <w:tc>
          <w:tcPr>
            <w:tcW w:w="122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47.2</w:t>
            </w:r>
          </w:p>
        </w:tc>
        <w:tc>
          <w:tcPr>
            <w:tcW w:w="136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47.2</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Other Southern Europe</w:t>
            </w:r>
          </w:p>
        </w:tc>
        <w:tc>
          <w:tcPr>
            <w:tcW w:w="740" w:type="dxa"/>
            <w:vAlign w:val="bottom"/>
            <w:tcBorders>
              <w:bottom w:val="single" w:sz="8" w:color="939598"/>
            </w:tcBorders>
          </w:tcPr>
          <w:p>
            <w:pPr>
              <w:spacing w:after="0"/>
              <w:rPr>
                <w:sz w:val="18"/>
                <w:szCs w:val="18"/>
                <w:color w:val="auto"/>
              </w:rPr>
            </w:pPr>
          </w:p>
        </w:tc>
        <w:tc>
          <w:tcPr>
            <w:tcW w:w="11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10.8</w:t>
            </w:r>
          </w:p>
        </w:tc>
        <w:tc>
          <w:tcPr>
            <w:tcW w:w="1280" w:type="dxa"/>
            <w:vAlign w:val="bottom"/>
            <w:tcBorders>
              <w:bottom w:val="single" w:sz="8" w:color="939598"/>
            </w:tcBorders>
          </w:tcPr>
          <w:p>
            <w:pPr>
              <w:jc w:val="right"/>
              <w:ind w:right="334"/>
              <w:spacing w:after="0"/>
              <w:rPr>
                <w:sz w:val="20"/>
                <w:szCs w:val="20"/>
                <w:color w:val="auto"/>
              </w:rPr>
            </w:pPr>
            <w:r>
              <w:rPr>
                <w:rFonts w:ascii="Arial" w:cs="Arial" w:eastAsia="Arial" w:hAnsi="Arial"/>
                <w:sz w:val="18"/>
                <w:szCs w:val="18"/>
                <w:color w:val="auto"/>
              </w:rPr>
              <w:t>51.5</w:t>
            </w:r>
          </w:p>
        </w:tc>
        <w:tc>
          <w:tcPr>
            <w:tcW w:w="1220" w:type="dxa"/>
            <w:vAlign w:val="bottom"/>
            <w:tcBorders>
              <w:bottom w:val="single" w:sz="8" w:color="939598"/>
            </w:tcBorders>
          </w:tcPr>
          <w:p>
            <w:pPr>
              <w:jc w:val="right"/>
              <w:ind w:right="294"/>
              <w:spacing w:after="0"/>
              <w:rPr>
                <w:sz w:val="20"/>
                <w:szCs w:val="20"/>
                <w:color w:val="auto"/>
              </w:rPr>
            </w:pPr>
            <w:r>
              <w:rPr>
                <w:rFonts w:ascii="Arial" w:cs="Arial" w:eastAsia="Arial" w:hAnsi="Arial"/>
                <w:sz w:val="18"/>
                <w:szCs w:val="18"/>
                <w:color w:val="auto"/>
              </w:rPr>
              <w:t>4.0</w:t>
            </w:r>
          </w:p>
        </w:tc>
        <w:tc>
          <w:tcPr>
            <w:tcW w:w="1220" w:type="dxa"/>
            <w:vAlign w:val="bottom"/>
            <w:tcBorders>
              <w:bottom w:val="single" w:sz="8" w:color="939598"/>
            </w:tcBorders>
          </w:tcPr>
          <w:p>
            <w:pPr>
              <w:jc w:val="right"/>
              <w:ind w:right="255"/>
              <w:spacing w:after="0"/>
              <w:rPr>
                <w:sz w:val="20"/>
                <w:szCs w:val="20"/>
                <w:color w:val="auto"/>
              </w:rPr>
            </w:pPr>
            <w:r>
              <w:rPr>
                <w:rFonts w:ascii="Arial" w:cs="Arial" w:eastAsia="Arial" w:hAnsi="Arial"/>
                <w:sz w:val="18"/>
                <w:szCs w:val="18"/>
                <w:color w:val="auto"/>
              </w:rPr>
              <w:t>47.5</w:t>
            </w:r>
          </w:p>
        </w:tc>
        <w:tc>
          <w:tcPr>
            <w:tcW w:w="1360" w:type="dxa"/>
            <w:vAlign w:val="bottom"/>
            <w:tcBorders>
              <w:bottom w:val="single" w:sz="8" w:color="939598"/>
            </w:tcBorders>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47.5</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170.1</w:t>
            </w:r>
          </w:p>
        </w:tc>
        <w:tc>
          <w:tcPr>
            <w:tcW w:w="1280" w:type="dxa"/>
            <w:vAlign w:val="bottom"/>
            <w:tcBorders>
              <w:bottom w:val="single" w:sz="8" w:color="939598"/>
            </w:tcBorders>
            <w:shd w:val="clear" w:color="auto" w:fill="E3F1DA"/>
          </w:tcPr>
          <w:p>
            <w:pPr>
              <w:jc w:val="right"/>
              <w:ind w:right="334"/>
              <w:spacing w:after="0"/>
              <w:rPr>
                <w:sz w:val="20"/>
                <w:szCs w:val="20"/>
                <w:color w:val="auto"/>
              </w:rPr>
            </w:pPr>
            <w:r>
              <w:rPr>
                <w:rFonts w:ascii="Arial" w:cs="Arial" w:eastAsia="Arial" w:hAnsi="Arial"/>
                <w:sz w:val="18"/>
                <w:szCs w:val="18"/>
                <w:color w:val="auto"/>
              </w:rPr>
              <w:t>67.1</w:t>
            </w:r>
          </w:p>
        </w:tc>
        <w:tc>
          <w:tcPr>
            <w:tcW w:w="12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9.6</w:t>
            </w:r>
          </w:p>
        </w:tc>
        <w:tc>
          <w:tcPr>
            <w:tcW w:w="1220" w:type="dxa"/>
            <w:vAlign w:val="bottom"/>
            <w:tcBorders>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57.5</w:t>
            </w:r>
          </w:p>
        </w:tc>
        <w:tc>
          <w:tcPr>
            <w:tcW w:w="1360" w:type="dxa"/>
            <w:vAlign w:val="bottom"/>
            <w:tcBorders>
              <w:bottom w:val="single" w:sz="8" w:color="939598"/>
            </w:tcBorders>
            <w:shd w:val="clear" w:color="auto" w:fill="E3F1DA"/>
          </w:tcPr>
          <w:p>
            <w:pPr>
              <w:jc w:val="right"/>
              <w:ind w:right="355"/>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55.9</w:t>
            </w: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Northern Europe</w:t>
            </w:r>
          </w:p>
        </w:tc>
        <w:tc>
          <w:tcPr>
            <w:tcW w:w="74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212.6</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41.5</w:t>
            </w:r>
          </w:p>
        </w:tc>
        <w:tc>
          <w:tcPr>
            <w:tcW w:w="1220" w:type="dxa"/>
            <w:vAlign w:val="bottom"/>
          </w:tcPr>
          <w:p>
            <w:pPr>
              <w:jc w:val="right"/>
              <w:ind w:right="294"/>
              <w:spacing w:after="0"/>
              <w:rPr>
                <w:sz w:val="20"/>
                <w:szCs w:val="20"/>
                <w:color w:val="auto"/>
              </w:rPr>
            </w:pPr>
            <w:r>
              <w:rPr>
                <w:rFonts w:ascii="Arial" w:cs="Arial" w:eastAsia="Arial" w:hAnsi="Arial"/>
                <w:sz w:val="18"/>
                <w:szCs w:val="18"/>
                <w:color w:val="auto"/>
              </w:rPr>
              <w:t>8.7</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32.8</w:t>
            </w: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3420" w:type="dxa"/>
            <w:vAlign w:val="bottom"/>
            <w:shd w:val="clear" w:color="auto" w:fill="E3F1DA"/>
          </w:tcPr>
          <w:p>
            <w:pPr>
              <w:spacing w:after="0"/>
              <w:rPr>
                <w:sz w:val="20"/>
                <w:szCs w:val="20"/>
                <w:color w:val="auto"/>
              </w:rPr>
            </w:pPr>
            <w:r>
              <w:rPr>
                <w:rFonts w:ascii="Arial" w:cs="Arial" w:eastAsia="Arial" w:hAnsi="Arial"/>
                <w:sz w:val="18"/>
                <w:szCs w:val="18"/>
                <w:color w:val="auto"/>
              </w:rPr>
              <w:t>APME</w:t>
            </w:r>
          </w:p>
        </w:tc>
        <w:tc>
          <w:tcPr>
            <w:tcW w:w="74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78.8</w:t>
            </w:r>
          </w:p>
        </w:tc>
        <w:tc>
          <w:tcPr>
            <w:tcW w:w="1280" w:type="dxa"/>
            <w:vAlign w:val="bottom"/>
            <w:shd w:val="clear" w:color="auto" w:fill="E3F1DA"/>
          </w:tcPr>
          <w:p>
            <w:pPr>
              <w:jc w:val="right"/>
              <w:ind w:right="334"/>
              <w:spacing w:after="0"/>
              <w:rPr>
                <w:sz w:val="20"/>
                <w:szCs w:val="20"/>
                <w:color w:val="auto"/>
              </w:rPr>
            </w:pPr>
            <w:r>
              <w:rPr>
                <w:rFonts w:ascii="Arial" w:cs="Arial" w:eastAsia="Arial" w:hAnsi="Arial"/>
                <w:sz w:val="18"/>
                <w:szCs w:val="18"/>
                <w:color w:val="auto"/>
              </w:rPr>
              <w:t>66.7</w:t>
            </w:r>
          </w:p>
        </w:tc>
        <w:tc>
          <w:tcPr>
            <w:tcW w:w="12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11.9</w:t>
            </w:r>
          </w:p>
        </w:tc>
        <w:tc>
          <w:tcPr>
            <w:tcW w:w="122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54.8</w:t>
            </w:r>
          </w:p>
        </w:tc>
        <w:tc>
          <w:tcPr>
            <w:tcW w:w="1360" w:type="dxa"/>
            <w:vAlign w:val="bottom"/>
            <w:shd w:val="clear" w:color="auto" w:fill="E3F1DA"/>
          </w:tcPr>
          <w:p>
            <w:pPr>
              <w:jc w:val="right"/>
              <w:ind w:right="355"/>
              <w:spacing w:after="0"/>
              <w:rPr>
                <w:sz w:val="20"/>
                <w:szCs w:val="20"/>
                <w:color w:val="auto"/>
              </w:rPr>
            </w:pPr>
            <w:r>
              <w:rPr>
                <w:rFonts w:ascii="Arial" w:cs="Arial" w:eastAsia="Arial" w:hAnsi="Arial"/>
                <w:sz w:val="18"/>
                <w:szCs w:val="18"/>
                <w:color w:val="auto"/>
              </w:rPr>
              <w:t>10.6</w:t>
            </w:r>
          </w:p>
        </w:tc>
        <w:tc>
          <w:tcPr>
            <w:tcW w:w="100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44.2</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Right Management</w:t>
            </w:r>
          </w:p>
        </w:tc>
        <w:tc>
          <w:tcPr>
            <w:tcW w:w="740" w:type="dxa"/>
            <w:vAlign w:val="bottom"/>
          </w:tcPr>
          <w:p>
            <w:pPr>
              <w:spacing w:after="0"/>
              <w:rPr>
                <w:sz w:val="18"/>
                <w:szCs w:val="18"/>
                <w:color w:val="auto"/>
              </w:rPr>
            </w:pP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274"/>
              <w:spacing w:after="0"/>
              <w:rPr>
                <w:sz w:val="20"/>
                <w:szCs w:val="20"/>
                <w:color w:val="auto"/>
              </w:rPr>
            </w:pPr>
            <w:r>
              <w:rPr>
                <w:rFonts w:ascii="Arial" w:cs="Arial" w:eastAsia="Arial" w:hAnsi="Arial"/>
                <w:sz w:val="18"/>
                <w:szCs w:val="18"/>
                <w:color w:val="auto"/>
              </w:rPr>
              <w:t>(139.4)</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(2.7)</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(136.7)</w:t>
            </w: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(136.7)</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b w:val="1"/>
                <w:bCs w:val="1"/>
                <w:color w:val="939598"/>
              </w:rPr>
              <w:t>Operating Profit — ManpowerGroup</w:t>
            </w:r>
          </w:p>
        </w:tc>
        <w:tc>
          <w:tcPr>
            <w:tcW w:w="7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524.2</w:t>
            </w:r>
          </w:p>
        </w:tc>
        <w:tc>
          <w:tcPr>
            <w:tcW w:w="1280" w:type="dxa"/>
            <w:vAlign w:val="bottom"/>
            <w:tcBorders>
              <w:bottom w:val="single" w:sz="8" w:color="939598"/>
            </w:tcBorders>
            <w:shd w:val="clear" w:color="auto" w:fill="E3F1DA"/>
          </w:tcPr>
          <w:p>
            <w:pPr>
              <w:jc w:val="right"/>
              <w:ind w:right="174"/>
              <w:spacing w:after="0"/>
              <w:rPr>
                <w:sz w:val="20"/>
                <w:szCs w:val="20"/>
                <w:color w:val="auto"/>
              </w:rPr>
            </w:pPr>
            <w:r>
              <w:rPr>
                <w:rFonts w:ascii="Arial" w:cs="Arial" w:eastAsia="Arial" w:hAnsi="Arial"/>
                <w:sz w:val="18"/>
                <w:szCs w:val="18"/>
                <w:color w:val="auto"/>
              </w:rPr>
              <w:t>529.6%</w:t>
            </w:r>
          </w:p>
        </w:tc>
        <w:tc>
          <w:tcPr>
            <w:tcW w:w="1220" w:type="dxa"/>
            <w:vAlign w:val="bottom"/>
            <w:tcBorders>
              <w:bottom w:val="single" w:sz="8" w:color="939598"/>
            </w:tcBorders>
            <w:shd w:val="clear" w:color="auto" w:fill="E3F1DA"/>
          </w:tcPr>
          <w:p>
            <w:pPr>
              <w:jc w:val="right"/>
              <w:ind w:right="154"/>
              <w:spacing w:after="0"/>
              <w:rPr>
                <w:sz w:val="20"/>
                <w:szCs w:val="20"/>
                <w:color w:val="auto"/>
              </w:rPr>
            </w:pPr>
            <w:r>
              <w:rPr>
                <w:rFonts w:ascii="Arial" w:cs="Arial" w:eastAsia="Arial" w:hAnsi="Arial"/>
                <w:sz w:val="18"/>
                <w:szCs w:val="18"/>
                <w:color w:val="auto"/>
              </w:rPr>
              <w:t>27.1%</w:t>
            </w:r>
          </w:p>
        </w:tc>
        <w:tc>
          <w:tcPr>
            <w:tcW w:w="1220" w:type="dxa"/>
            <w:vAlign w:val="bottom"/>
            <w:tcBorders>
              <w:bottom w:val="single" w:sz="8" w:color="939598"/>
            </w:tcBorders>
            <w:shd w:val="clear" w:color="auto" w:fill="E3F1DA"/>
          </w:tcPr>
          <w:p>
            <w:pPr>
              <w:jc w:val="right"/>
              <w:ind w:right="115"/>
              <w:spacing w:after="0"/>
              <w:rPr>
                <w:sz w:val="20"/>
                <w:szCs w:val="20"/>
                <w:color w:val="auto"/>
              </w:rPr>
            </w:pPr>
            <w:r>
              <w:rPr>
                <w:rFonts w:ascii="Arial" w:cs="Arial" w:eastAsia="Arial" w:hAnsi="Arial"/>
                <w:sz w:val="18"/>
                <w:szCs w:val="18"/>
                <w:color w:val="auto"/>
              </w:rPr>
              <w:t>502.5%</w:t>
            </w:r>
          </w:p>
        </w:tc>
        <w:tc>
          <w:tcPr>
            <w:tcW w:w="1360" w:type="dxa"/>
            <w:vAlign w:val="bottom"/>
            <w:tcBorders>
              <w:bottom w:val="single" w:sz="8" w:color="939598"/>
            </w:tcBorders>
            <w:shd w:val="clear" w:color="auto" w:fill="E3F1DA"/>
          </w:tcPr>
          <w:p>
            <w:pPr>
              <w:jc w:val="right"/>
              <w:ind w:right="215"/>
              <w:spacing w:after="0"/>
              <w:rPr>
                <w:sz w:val="20"/>
                <w:szCs w:val="20"/>
                <w:color w:val="auto"/>
              </w:rPr>
            </w:pPr>
            <w:r>
              <w:rPr>
                <w:rFonts w:ascii="Arial" w:cs="Arial" w:eastAsia="Arial" w:hAnsi="Arial"/>
                <w:sz w:val="18"/>
                <w:szCs w:val="18"/>
                <w:color w:val="auto"/>
              </w:rPr>
              <w:t>7.2%</w:t>
            </w:r>
          </w:p>
        </w:tc>
        <w:tc>
          <w:tcPr>
            <w:tcW w:w="10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495.3%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86B6A5"/>
        </w:rPr>
        <w:t>Cash Sources and Uses</w:t>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2012, we had $423.7 million of cash held by foreign subsidiaries that was not available to fund domestic operations unless repatriated. We anticipate cash repatriations to the United States from certain international subsidiaries and have provided for deferred taxes related to those foreign earnings not considered to be permanently invested. As of December 31, 2012, we have identified approximately $341.1 million of non-United States funds that are not permanently invested. As of December 31, 2012 and 2011, we have recorded a deferred tax liability of $15.7 million and $22.0 million, respectively, related to these non-United States earnings that may be remitted.</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ongoing cash needs are to finance working capital, capital expenditures, debt payments, interest expense,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tabs>
          <w:tab w:leader="none" w:pos="56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8"/>
          <w:szCs w:val="18"/>
          <w:color w:val="auto"/>
        </w:rPr>
        <w:t>Cash provided by operating activities was $331.6 million, $69.2 million and $182.1 million for 2012, 2011 and 2010. The increase in cash generated from operating activities in 2012 from 2011 was primarily attributable to decreased working capital needs as a result of the declining revenues and a 1.2 day decrease in our Days Sales Outstanding (“DSO”). Changes in operating assets and liabilities utilized approximately $13.8 million of cash in 2012 as compared to $367.6 million in 2011 and $76.4 million in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were flat at $4,179.0 million as of December 31, 2012 compared to $4,181.3 million as of December 31, 2011, primarily due to the change in exchange rates. Utilizing exchange rates as of December 31, 2011, the December 31, 2012 balance would have been approximately $61.6 million lower than reported as demand decreased for our services.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$72.0 million, $64.9 million and $58.5 million during 2012, 2011 and 2010, respectively. These expenditures were primarily comprised of purchases of computer equipment, office furniture and other costs related to office openings and refurbishments, as well as capitalized software costs of $3.3 million, $0.4 million and $1.4 million in 2012, 2011 and 2010, respectively.</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April 16, 2012, we acquired Damilo Group (“Damilo”), a French firm specializing in IT design solutions, for total consideration, net of cash acquired, of €21.2 ($28.0) million. Goodwill arising from this transaction was €30.8 ($40.6) million. The related intangible assets were €6.3 ($8.0) million and €5.8 ($7.6) million as of April 16, 2012 and December 31, 2012, respectively. The assumed liabilities and acquired assets, net of goodwill, related intangible assets and cash arising from the transaction were €33.8 ($44.6) million and €17.9 ($23.6) million, respectively.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22, 2011, we acquired approximately 70% of the shares and voting rights of Proservia SA (“Proservia”), a provider of information technology and systems engineering solutions in France. We acquired the remaining shares and voting rights by the end of November 2011. The purchase price was €14.89 ($19.93) per share. The total consideration, net of cash acquired, was €21.6 ($29.4) million. Goodwill arising from this transaction was €20.7 ($27.7) million. The related intangible assets were €11.0 ($14.7) million, €10.8 ($14.0) million and €9.4 ($12.4) million as of September 22, 2011, December 31, 2011 and December 31, 2012, respectively.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2010, we acquired COMSYS IT Partners, Inc. (“COMSYS”), a leading professional staffing firm in the United States, from its existing shareholders. The value of the consideration for each outstanding share of COMSYS common stock was approximately $17.65, for a total enterprise value of $427.0 million, including debt of $47.1 million, which we repaid upon closing. The consideration was approximately 50% ManpowerGroup common stock (3.2 million shares with a fair value of $188.5 million upon closing) and approximately 50% cash (consideration of $191.4 million). In addition, we incurred approximately $10.8 million of transaction costs associated with the acquisition during the year ended December 31, 2010, which have been classified in selling and administrative expenses. Goodwill arising from this transaction was $278.0 million as of December 31, 2012 and 2011. Intangible assets related to this transaction were $67.1 million and $85.4 million as of December 31, 2012 and 2011, respectively.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acquire and invest in companies throughout the world, including franchises. Excluding Damilo, Proservia and COMSYS, the total cash consideration paid for acquisitions, net of cash acquired, for the years ended December 31, 2012, 2011 and 2010 was $21.0 million, $19.6 million and $32.3 million, respectively. Goodwill resulting from the remaining 2012 acquisitions was $5.6 million as of December 31, 2012. No intangible asset resulted from the remaining 2012 acquisitions.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debt borrowings were $41.7 million in 2012 compared to $15.3 million in 2011 and repayments of $14.9 million for 2010. We use excess cash to pay down borrowings under facilities when appropriate.</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2012, November 2011 and December 2010, the Board of Directors authorized the repurchase of 8.0 million, 3.0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In 2012, we repurchased a total of 3.6 million shares, comprised of 0.6 million shares under the 2010 authorization and 3.0 million shares under the 2011 authorization, at a total cost of $138.2 million. In 2011, we repurchased a total of 2.6 million shares, composed of 0.2 million shares under the 2007 authorization and 2.4 million shares under the 2010 authorization, at a total cost of $104.5 million. In 2010, we repurchased 0.9 million shares of common stock at a total cost of $34.8 million under the 2007 authorization. As of December 31, 2012, there were no shares remaining under the 2011, 2010 or 2007 authorization. No purchases were made under the 2012 authorization.</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5" w:name="page56"/>
    <w:bookmarkEnd w:id="55"/>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aggregate commitments of $1,963.1 million related to debt, operating leases, severances and office closure costs, and certain other commitments,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86B6A5"/>
              </w:rPr>
              <w:t>(in millions)</w:t>
            </w:r>
          </w:p>
        </w:tc>
        <w:tc>
          <w:tcPr>
            <w:tcW w:w="780" w:type="dxa"/>
            <w:vAlign w:val="bottom"/>
          </w:tcPr>
          <w:p>
            <w:pPr>
              <w:spacing w:after="0"/>
              <w:rPr>
                <w:sz w:val="14"/>
                <w:szCs w:val="14"/>
                <w:color w:val="auto"/>
              </w:rPr>
            </w:pPr>
          </w:p>
        </w:tc>
        <w:tc>
          <w:tcPr>
            <w:tcW w:w="1140" w:type="dxa"/>
            <w:vAlign w:val="bottom"/>
          </w:tcPr>
          <w:p>
            <w:pPr>
              <w:jc w:val="right"/>
              <w:ind w:right="95"/>
              <w:spacing w:after="0"/>
              <w:rPr>
                <w:sz w:val="20"/>
                <w:szCs w:val="20"/>
                <w:color w:val="auto"/>
              </w:rPr>
            </w:pPr>
            <w:r>
              <w:rPr>
                <w:rFonts w:ascii="Arial" w:cs="Arial" w:eastAsia="Arial" w:hAnsi="Arial"/>
                <w:sz w:val="14"/>
                <w:szCs w:val="14"/>
                <w:b w:val="1"/>
                <w:bCs w:val="1"/>
                <w:color w:val="86B6A5"/>
              </w:rPr>
              <w:t>Total</w:t>
            </w:r>
          </w:p>
        </w:tc>
        <w:tc>
          <w:tcPr>
            <w:tcW w:w="76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86B6A5"/>
              </w:rPr>
              <w:t>2013</w:t>
            </w:r>
          </w:p>
        </w:tc>
        <w:tc>
          <w:tcPr>
            <w:tcW w:w="660" w:type="dxa"/>
            <w:vAlign w:val="bottom"/>
          </w:tcPr>
          <w:p>
            <w:pPr>
              <w:spacing w:after="0"/>
              <w:rPr>
                <w:sz w:val="14"/>
                <w:szCs w:val="14"/>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86B6A5"/>
              </w:rPr>
              <w:t>2014-2015</w:t>
            </w:r>
          </w:p>
        </w:tc>
        <w:tc>
          <w:tcPr>
            <w:tcW w:w="680" w:type="dxa"/>
            <w:vAlign w:val="bottom"/>
          </w:tcPr>
          <w:p>
            <w:pPr>
              <w:spacing w:after="0"/>
              <w:rPr>
                <w:sz w:val="14"/>
                <w:szCs w:val="14"/>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86B6A5"/>
              </w:rPr>
              <w:t>2016-2017</w:t>
            </w:r>
          </w:p>
        </w:tc>
        <w:tc>
          <w:tcPr>
            <w:tcW w:w="660" w:type="dxa"/>
            <w:vAlign w:val="bottom"/>
          </w:tcPr>
          <w:p>
            <w:pPr>
              <w:spacing w:after="0"/>
              <w:rPr>
                <w:sz w:val="14"/>
                <w:szCs w:val="14"/>
                <w:color w:val="auto"/>
              </w:rPr>
            </w:pPr>
          </w:p>
        </w:tc>
        <w:tc>
          <w:tcPr>
            <w:tcW w:w="1160" w:type="dxa"/>
            <w:vAlign w:val="bottom"/>
          </w:tcPr>
          <w:p>
            <w:pPr>
              <w:jc w:val="right"/>
              <w:ind w:right="35"/>
              <w:spacing w:after="0"/>
              <w:rPr>
                <w:sz w:val="20"/>
                <w:szCs w:val="20"/>
                <w:color w:val="auto"/>
              </w:rPr>
            </w:pPr>
            <w:r>
              <w:rPr>
                <w:rFonts w:ascii="Arial" w:cs="Arial" w:eastAsia="Arial" w:hAnsi="Arial"/>
                <w:sz w:val="14"/>
                <w:szCs w:val="14"/>
                <w:b w:val="1"/>
                <w:bCs w:val="1"/>
                <w:color w:val="86B6A5"/>
              </w:rPr>
              <w:t>Thereafter</w:t>
            </w:r>
          </w:p>
        </w:tc>
      </w:tr>
      <w:tr>
        <w:trPr>
          <w:trHeight w:val="201"/>
        </w:trPr>
        <w:tc>
          <w:tcPr>
            <w:tcW w:w="20" w:type="dxa"/>
            <w:vAlign w:val="bottom"/>
          </w:tcPr>
          <w:p>
            <w:pPr>
              <w:spacing w:after="0"/>
              <w:rPr>
                <w:sz w:val="17"/>
                <w:szCs w:val="17"/>
                <w:color w:val="auto"/>
              </w:rPr>
            </w:pPr>
          </w:p>
        </w:tc>
        <w:tc>
          <w:tcPr>
            <w:tcW w:w="2160" w:type="dxa"/>
            <w:vAlign w:val="bottom"/>
            <w:tcBorders>
              <w:top w:val="single" w:sz="8" w:color="86B6A5"/>
            </w:tcBorders>
            <w:shd w:val="clear" w:color="auto" w:fill="E3F1DA"/>
          </w:tcPr>
          <w:p>
            <w:pPr>
              <w:spacing w:after="0" w:line="201" w:lineRule="exact"/>
              <w:rPr>
                <w:sz w:val="20"/>
                <w:szCs w:val="20"/>
                <w:color w:val="auto"/>
              </w:rPr>
            </w:pPr>
            <w:r>
              <w:rPr>
                <w:rFonts w:ascii="Arial" w:cs="Arial" w:eastAsia="Arial" w:hAnsi="Arial"/>
                <w:sz w:val="18"/>
                <w:szCs w:val="18"/>
                <w:color w:val="auto"/>
              </w:rPr>
              <w:t>Long-term debt including</w:t>
            </w:r>
          </w:p>
        </w:tc>
        <w:tc>
          <w:tcPr>
            <w:tcW w:w="780" w:type="dxa"/>
            <w:vAlign w:val="bottom"/>
            <w:tcBorders>
              <w:top w:val="single" w:sz="8" w:color="86B6A5"/>
            </w:tcBorders>
            <w:shd w:val="clear" w:color="auto" w:fill="E3F1DA"/>
          </w:tcPr>
          <w:p>
            <w:pPr>
              <w:spacing w:after="0"/>
              <w:rPr>
                <w:sz w:val="17"/>
                <w:szCs w:val="17"/>
                <w:color w:val="auto"/>
              </w:rPr>
            </w:pPr>
          </w:p>
        </w:tc>
        <w:tc>
          <w:tcPr>
            <w:tcW w:w="1140" w:type="dxa"/>
            <w:vAlign w:val="bottom"/>
            <w:tcBorders>
              <w:top w:val="single" w:sz="8" w:color="86B6A5"/>
            </w:tcBorders>
            <w:shd w:val="clear" w:color="auto" w:fill="E3F1DA"/>
          </w:tcPr>
          <w:p>
            <w:pPr>
              <w:spacing w:after="0"/>
              <w:rPr>
                <w:sz w:val="17"/>
                <w:szCs w:val="17"/>
                <w:color w:val="auto"/>
              </w:rPr>
            </w:pPr>
          </w:p>
        </w:tc>
        <w:tc>
          <w:tcPr>
            <w:tcW w:w="760" w:type="dxa"/>
            <w:vAlign w:val="bottom"/>
            <w:tcBorders>
              <w:top w:val="single" w:sz="8" w:color="86B6A5"/>
            </w:tcBorders>
            <w:shd w:val="clear" w:color="auto" w:fill="E3F1DA"/>
          </w:tcPr>
          <w:p>
            <w:pPr>
              <w:spacing w:after="0"/>
              <w:rPr>
                <w:sz w:val="17"/>
                <w:szCs w:val="17"/>
                <w:color w:val="auto"/>
              </w:rPr>
            </w:pPr>
          </w:p>
        </w:tc>
        <w:tc>
          <w:tcPr>
            <w:tcW w:w="1080" w:type="dxa"/>
            <w:vAlign w:val="bottom"/>
            <w:tcBorders>
              <w:top w:val="single" w:sz="8" w:color="86B6A5"/>
            </w:tcBorders>
            <w:shd w:val="clear" w:color="auto" w:fill="E3F1DA"/>
          </w:tcPr>
          <w:p>
            <w:pPr>
              <w:spacing w:after="0"/>
              <w:rPr>
                <w:sz w:val="17"/>
                <w:szCs w:val="17"/>
                <w:color w:val="auto"/>
              </w:rPr>
            </w:pPr>
          </w:p>
        </w:tc>
        <w:tc>
          <w:tcPr>
            <w:tcW w:w="660" w:type="dxa"/>
            <w:vAlign w:val="bottom"/>
            <w:tcBorders>
              <w:top w:val="single" w:sz="8" w:color="86B6A5"/>
            </w:tcBorders>
            <w:shd w:val="clear" w:color="auto" w:fill="E3F1DA"/>
          </w:tcPr>
          <w:p>
            <w:pPr>
              <w:spacing w:after="0"/>
              <w:rPr>
                <w:sz w:val="17"/>
                <w:szCs w:val="17"/>
                <w:color w:val="auto"/>
              </w:rPr>
            </w:pPr>
          </w:p>
        </w:tc>
        <w:tc>
          <w:tcPr>
            <w:tcW w:w="1160" w:type="dxa"/>
            <w:vAlign w:val="bottom"/>
            <w:tcBorders>
              <w:top w:val="single" w:sz="8" w:color="86B6A5"/>
            </w:tcBorders>
            <w:shd w:val="clear" w:color="auto" w:fill="E3F1DA"/>
          </w:tcPr>
          <w:p>
            <w:pPr>
              <w:spacing w:after="0"/>
              <w:rPr>
                <w:sz w:val="17"/>
                <w:szCs w:val="17"/>
                <w:color w:val="auto"/>
              </w:rPr>
            </w:pPr>
          </w:p>
        </w:tc>
        <w:tc>
          <w:tcPr>
            <w:tcW w:w="680" w:type="dxa"/>
            <w:vAlign w:val="bottom"/>
            <w:tcBorders>
              <w:top w:val="single" w:sz="8" w:color="86B6A5"/>
            </w:tcBorders>
            <w:shd w:val="clear" w:color="auto" w:fill="E3F1DA"/>
          </w:tcPr>
          <w:p>
            <w:pPr>
              <w:spacing w:after="0"/>
              <w:rPr>
                <w:sz w:val="17"/>
                <w:szCs w:val="17"/>
                <w:color w:val="auto"/>
              </w:rPr>
            </w:pPr>
          </w:p>
        </w:tc>
        <w:tc>
          <w:tcPr>
            <w:tcW w:w="1160" w:type="dxa"/>
            <w:vAlign w:val="bottom"/>
            <w:tcBorders>
              <w:top w:val="single" w:sz="8" w:color="86B6A5"/>
            </w:tcBorders>
            <w:shd w:val="clear" w:color="auto" w:fill="E3F1DA"/>
          </w:tcPr>
          <w:p>
            <w:pPr>
              <w:spacing w:after="0"/>
              <w:rPr>
                <w:sz w:val="17"/>
                <w:szCs w:val="17"/>
                <w:color w:val="auto"/>
              </w:rPr>
            </w:pPr>
          </w:p>
        </w:tc>
        <w:tc>
          <w:tcPr>
            <w:tcW w:w="660" w:type="dxa"/>
            <w:vAlign w:val="bottom"/>
            <w:tcBorders>
              <w:top w:val="single" w:sz="8" w:color="86B6A5"/>
            </w:tcBorders>
            <w:shd w:val="clear" w:color="auto" w:fill="E3F1DA"/>
          </w:tcPr>
          <w:p>
            <w:pPr>
              <w:spacing w:after="0"/>
              <w:rPr>
                <w:sz w:val="17"/>
                <w:szCs w:val="17"/>
                <w:color w:val="auto"/>
              </w:rPr>
            </w:pPr>
          </w:p>
        </w:tc>
        <w:tc>
          <w:tcPr>
            <w:tcW w:w="1160" w:type="dxa"/>
            <w:vAlign w:val="bottom"/>
            <w:tcBorders>
              <w:top w:val="single" w:sz="8" w:color="86B6A5"/>
            </w:tcBorders>
            <w:shd w:val="clear" w:color="auto" w:fill="E3F1DA"/>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E3F1DA"/>
          </w:tcPr>
          <w:p>
            <w:pPr>
              <w:ind w:left="140"/>
              <w:spacing w:after="0"/>
              <w:rPr>
                <w:sz w:val="20"/>
                <w:szCs w:val="20"/>
                <w:color w:val="auto"/>
              </w:rPr>
            </w:pPr>
            <w:r>
              <w:rPr>
                <w:rFonts w:ascii="Arial" w:cs="Arial" w:eastAsia="Arial" w:hAnsi="Arial"/>
                <w:sz w:val="18"/>
                <w:szCs w:val="18"/>
                <w:color w:val="auto"/>
              </w:rPr>
              <w:t>interest</w:t>
            </w:r>
          </w:p>
        </w:tc>
        <w:tc>
          <w:tcPr>
            <w:tcW w:w="780" w:type="dxa"/>
            <w:vAlign w:val="bottom"/>
            <w:shd w:val="clear" w:color="auto" w:fill="E3F1DA"/>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845.5</w:t>
            </w:r>
          </w:p>
        </w:tc>
        <w:tc>
          <w:tcPr>
            <w:tcW w:w="760" w:type="dxa"/>
            <w:vAlign w:val="bottom"/>
            <w:shd w:val="clear" w:color="auto" w:fill="E3F1DA"/>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291.1</w:t>
            </w:r>
          </w:p>
        </w:tc>
        <w:tc>
          <w:tcPr>
            <w:tcW w:w="660" w:type="dxa"/>
            <w:vAlign w:val="bottom"/>
            <w:shd w:val="clear" w:color="auto" w:fill="E3F1DA"/>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41.8</w:t>
            </w:r>
          </w:p>
        </w:tc>
        <w:tc>
          <w:tcPr>
            <w:tcW w:w="680" w:type="dxa"/>
            <w:vAlign w:val="bottom"/>
            <w:shd w:val="clear" w:color="auto" w:fill="E3F1DA"/>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41.4</w:t>
            </w:r>
          </w:p>
        </w:tc>
        <w:tc>
          <w:tcPr>
            <w:tcW w:w="660" w:type="dxa"/>
            <w:vAlign w:val="bottom"/>
            <w:shd w:val="clear" w:color="auto" w:fill="E3F1DA"/>
          </w:tcPr>
          <w:p>
            <w:pPr>
              <w:jc w:val="right"/>
              <w:ind w:right="3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E3F1DA"/>
          </w:tcPr>
          <w:p>
            <w:pPr>
              <w:jc w:val="right"/>
              <w:ind w:right="35"/>
              <w:spacing w:after="0"/>
              <w:rPr>
                <w:sz w:val="20"/>
                <w:szCs w:val="20"/>
                <w:color w:val="auto"/>
              </w:rPr>
            </w:pPr>
            <w:r>
              <w:rPr>
                <w:rFonts w:ascii="Arial" w:cs="Arial" w:eastAsia="Arial" w:hAnsi="Arial"/>
                <w:sz w:val="18"/>
                <w:szCs w:val="18"/>
                <w:color w:val="auto"/>
              </w:rPr>
              <w:t>471.2</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Short-term borrowings</w:t>
            </w:r>
          </w:p>
        </w:tc>
        <w:tc>
          <w:tcPr>
            <w:tcW w:w="78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43.3</w:t>
            </w:r>
          </w:p>
        </w:tc>
        <w:tc>
          <w:tcPr>
            <w:tcW w:w="76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43.3</w:t>
            </w:r>
          </w:p>
        </w:tc>
        <w:tc>
          <w:tcPr>
            <w:tcW w:w="66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shd w:val="clear" w:color="auto" w:fill="E3F1DA"/>
          </w:tcPr>
          <w:p>
            <w:pPr>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798.2</w:t>
            </w:r>
          </w:p>
        </w:tc>
        <w:tc>
          <w:tcPr>
            <w:tcW w:w="760" w:type="dxa"/>
            <w:vAlign w:val="bottom"/>
            <w:shd w:val="clear" w:color="auto" w:fill="E3F1DA"/>
          </w:tcPr>
          <w:p>
            <w:pPr>
              <w:spacing w:after="0"/>
              <w:rPr>
                <w:sz w:val="18"/>
                <w:szCs w:val="18"/>
                <w:color w:val="auto"/>
              </w:rPr>
            </w:pPr>
          </w:p>
        </w:tc>
        <w:tc>
          <w:tcPr>
            <w:tcW w:w="1080" w:type="dxa"/>
            <w:vAlign w:val="bottom"/>
            <w:shd w:val="clear" w:color="auto" w:fill="E3F1DA"/>
          </w:tcPr>
          <w:p>
            <w:pPr>
              <w:jc w:val="right"/>
              <w:ind w:right="95"/>
              <w:spacing w:after="0"/>
              <w:rPr>
                <w:sz w:val="20"/>
                <w:szCs w:val="20"/>
                <w:color w:val="auto"/>
              </w:rPr>
            </w:pPr>
            <w:r>
              <w:rPr>
                <w:rFonts w:ascii="Arial" w:cs="Arial" w:eastAsia="Arial" w:hAnsi="Arial"/>
                <w:sz w:val="18"/>
                <w:szCs w:val="18"/>
                <w:color w:val="auto"/>
              </w:rPr>
              <w:t>210.3</w:t>
            </w:r>
          </w:p>
        </w:tc>
        <w:tc>
          <w:tcPr>
            <w:tcW w:w="66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279.4</w:t>
            </w:r>
          </w:p>
        </w:tc>
        <w:tc>
          <w:tcPr>
            <w:tcW w:w="68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75"/>
              <w:spacing w:after="0"/>
              <w:rPr>
                <w:sz w:val="20"/>
                <w:szCs w:val="20"/>
                <w:color w:val="auto"/>
              </w:rPr>
            </w:pPr>
            <w:r>
              <w:rPr>
                <w:rFonts w:ascii="Arial" w:cs="Arial" w:eastAsia="Arial" w:hAnsi="Arial"/>
                <w:sz w:val="18"/>
                <w:szCs w:val="18"/>
                <w:color w:val="auto"/>
              </w:rPr>
              <w:t>153.9</w:t>
            </w:r>
          </w:p>
        </w:tc>
        <w:tc>
          <w:tcPr>
            <w:tcW w:w="66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35"/>
              <w:spacing w:after="0"/>
              <w:rPr>
                <w:sz w:val="20"/>
                <w:szCs w:val="20"/>
                <w:color w:val="auto"/>
              </w:rPr>
            </w:pPr>
            <w:r>
              <w:rPr>
                <w:rFonts w:ascii="Arial" w:cs="Arial" w:eastAsia="Arial" w:hAnsi="Arial"/>
                <w:sz w:val="18"/>
                <w:szCs w:val="18"/>
                <w:color w:val="auto"/>
              </w:rPr>
              <w:t>154.6</w:t>
            </w:r>
          </w:p>
        </w:tc>
      </w:tr>
      <w:tr>
        <w:trPr>
          <w:trHeight w:val="208"/>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5"/>
              </w:rPr>
              <w:t>Severances and other office</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Arial" w:cs="Arial" w:eastAsia="Arial" w:hAnsi="Arial"/>
                <w:sz w:val="18"/>
                <w:szCs w:val="18"/>
                <w:color w:val="auto"/>
              </w:rPr>
              <w:t>closure costs</w:t>
            </w:r>
          </w:p>
        </w:tc>
        <w:tc>
          <w:tcPr>
            <w:tcW w:w="78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41.4</w:t>
            </w:r>
          </w:p>
        </w:tc>
        <w:tc>
          <w:tcPr>
            <w:tcW w:w="76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30.8</w:t>
            </w:r>
          </w:p>
        </w:tc>
        <w:tc>
          <w:tcPr>
            <w:tcW w:w="6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216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jc w:val="right"/>
              <w:ind w:right="95"/>
              <w:spacing w:after="0"/>
              <w:rPr>
                <w:sz w:val="20"/>
                <w:szCs w:val="20"/>
                <w:color w:val="auto"/>
              </w:rPr>
            </w:pPr>
            <w:r>
              <w:rPr>
                <w:rFonts w:ascii="Arial" w:cs="Arial" w:eastAsia="Arial" w:hAnsi="Arial"/>
                <w:sz w:val="18"/>
                <w:szCs w:val="18"/>
                <w:color w:val="auto"/>
              </w:rPr>
              <w:t>234.7</w:t>
            </w:r>
          </w:p>
        </w:tc>
        <w:tc>
          <w:tcPr>
            <w:tcW w:w="760" w:type="dxa"/>
            <w:vAlign w:val="bottom"/>
            <w:tcBorders>
              <w:bottom w:val="single" w:sz="8" w:color="939598"/>
            </w:tcBorders>
            <w:shd w:val="clear" w:color="auto" w:fill="E3F1DA"/>
          </w:tcPr>
          <w:p>
            <w:pPr>
              <w:spacing w:after="0"/>
              <w:rPr>
                <w:sz w:val="18"/>
                <w:szCs w:val="18"/>
                <w:color w:val="auto"/>
              </w:rPr>
            </w:pPr>
          </w:p>
        </w:tc>
        <w:tc>
          <w:tcPr>
            <w:tcW w:w="1080" w:type="dxa"/>
            <w:vAlign w:val="bottom"/>
            <w:tcBorders>
              <w:bottom w:val="single" w:sz="8" w:color="939598"/>
            </w:tcBorders>
            <w:shd w:val="clear" w:color="auto" w:fill="E3F1DA"/>
          </w:tcPr>
          <w:p>
            <w:pPr>
              <w:jc w:val="right"/>
              <w:ind w:right="95"/>
              <w:spacing w:after="0"/>
              <w:rPr>
                <w:sz w:val="20"/>
                <w:szCs w:val="20"/>
                <w:color w:val="auto"/>
              </w:rPr>
            </w:pPr>
            <w:r>
              <w:rPr>
                <w:rFonts w:ascii="Arial" w:cs="Arial" w:eastAsia="Arial" w:hAnsi="Arial"/>
                <w:sz w:val="18"/>
                <w:szCs w:val="18"/>
                <w:color w:val="auto"/>
              </w:rPr>
              <w:t>74.2</w:t>
            </w:r>
          </w:p>
        </w:tc>
        <w:tc>
          <w:tcPr>
            <w:tcW w:w="66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81.3</w:t>
            </w:r>
          </w:p>
        </w:tc>
        <w:tc>
          <w:tcPr>
            <w:tcW w:w="68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75"/>
              <w:spacing w:after="0"/>
              <w:rPr>
                <w:sz w:val="20"/>
                <w:szCs w:val="20"/>
                <w:color w:val="auto"/>
              </w:rPr>
            </w:pPr>
            <w:r>
              <w:rPr>
                <w:rFonts w:ascii="Arial" w:cs="Arial" w:eastAsia="Arial" w:hAnsi="Arial"/>
                <w:sz w:val="18"/>
                <w:szCs w:val="18"/>
                <w:color w:val="auto"/>
              </w:rPr>
              <w:t>53.4</w:t>
            </w:r>
          </w:p>
        </w:tc>
        <w:tc>
          <w:tcPr>
            <w:tcW w:w="66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35"/>
              <w:spacing w:after="0"/>
              <w:rPr>
                <w:sz w:val="20"/>
                <w:szCs w:val="20"/>
                <w:color w:val="auto"/>
              </w:rPr>
            </w:pPr>
            <w:r>
              <w:rPr>
                <w:rFonts w:ascii="Arial" w:cs="Arial" w:eastAsia="Arial" w:hAnsi="Arial"/>
                <w:sz w:val="18"/>
                <w:szCs w:val="18"/>
                <w:color w:val="auto"/>
              </w:rPr>
              <w:t>25.8</w:t>
            </w:r>
          </w:p>
        </w:tc>
      </w:tr>
      <w:tr>
        <w:trPr>
          <w:trHeight w:val="210"/>
        </w:trPr>
        <w:tc>
          <w:tcPr>
            <w:tcW w:w="20" w:type="dxa"/>
            <w:vAlign w:val="bottom"/>
          </w:tcPr>
          <w:p>
            <w:pPr>
              <w:spacing w:after="0"/>
              <w:rPr>
                <w:sz w:val="18"/>
                <w:szCs w:val="18"/>
                <w:color w:val="auto"/>
              </w:rPr>
            </w:pPr>
          </w:p>
        </w:tc>
        <w:tc>
          <w:tcPr>
            <w:tcW w:w="216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tcPr>
          <w:p>
            <w:pPr>
              <w:jc w:val="right"/>
              <w:ind w:right="95"/>
              <w:spacing w:after="0"/>
              <w:rPr>
                <w:sz w:val="20"/>
                <w:szCs w:val="20"/>
                <w:color w:val="auto"/>
              </w:rPr>
            </w:pPr>
            <w:r>
              <w:rPr>
                <w:rFonts w:ascii="Arial" w:cs="Arial" w:eastAsia="Arial" w:hAnsi="Arial"/>
                <w:sz w:val="18"/>
                <w:szCs w:val="18"/>
                <w:color w:val="auto"/>
              </w:rPr>
              <w:t>1,963.1</w:t>
            </w:r>
          </w:p>
        </w:tc>
        <w:tc>
          <w:tcPr>
            <w:tcW w:w="760" w:type="dxa"/>
            <w:vAlign w:val="bottom"/>
            <w:tcBorders>
              <w:bottom w:val="single" w:sz="8" w:color="939598"/>
            </w:tcBorders>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ind w:right="95"/>
              <w:spacing w:after="0"/>
              <w:rPr>
                <w:sz w:val="20"/>
                <w:szCs w:val="20"/>
                <w:color w:val="auto"/>
              </w:rPr>
            </w:pPr>
            <w:r>
              <w:rPr>
                <w:rFonts w:ascii="Arial" w:cs="Arial" w:eastAsia="Arial" w:hAnsi="Arial"/>
                <w:sz w:val="18"/>
                <w:szCs w:val="18"/>
                <w:color w:val="auto"/>
              </w:rPr>
              <w:t>649.7</w:t>
            </w: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410.7</w:t>
            </w:r>
          </w:p>
        </w:tc>
        <w:tc>
          <w:tcPr>
            <w:tcW w:w="680" w:type="dxa"/>
            <w:vAlign w:val="bottom"/>
            <w:tcBorders>
              <w:bottom w:val="single" w:sz="8" w:color="939598"/>
            </w:tcBorders>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939598"/>
            </w:tcBorders>
          </w:tcPr>
          <w:p>
            <w:pPr>
              <w:jc w:val="right"/>
              <w:ind w:right="75"/>
              <w:spacing w:after="0"/>
              <w:rPr>
                <w:sz w:val="20"/>
                <w:szCs w:val="20"/>
                <w:color w:val="auto"/>
              </w:rPr>
            </w:pPr>
            <w:r>
              <w:rPr>
                <w:rFonts w:ascii="Arial" w:cs="Arial" w:eastAsia="Arial" w:hAnsi="Arial"/>
                <w:sz w:val="18"/>
                <w:szCs w:val="18"/>
                <w:color w:val="auto"/>
              </w:rPr>
              <w:t>251.1</w:t>
            </w:r>
          </w:p>
        </w:tc>
        <w:tc>
          <w:tcPr>
            <w:tcW w:w="660" w:type="dxa"/>
            <w:vAlign w:val="bottom"/>
            <w:tcBorders>
              <w:bottom w:val="single" w:sz="8" w:color="939598"/>
            </w:tcBorders>
          </w:tcPr>
          <w:p>
            <w:pPr>
              <w:jc w:val="right"/>
              <w:ind w:right="3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rPr>
              <w:t>651.6</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liability for unrecognized tax benefits, including related interest and penalties, of $26.0 million is excluded from the commitments above as we cannot determine the years in which these positions might ultimately be settled.</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net reorganization costs of $48.8 million, $23.1 million and $36.1 million in 2012, 2011 and 2010, respectively, in selling and administrative expenses, primarily related to severances and office closures and consolidations in multiple countries. These expenses are net of reversals of previous accruals resulting mainly from larger-than-estimated cost savings from subleasing and lease buyouts. During 2012, we made payments of $36.8 million out of our reorganization reserve. We expect a majority of the remaining $41.4 million reserve will be paid in 2013. (See Note 1 to the Consolidated Financial Statements for further information.)</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fourth quarter of 2012, we implemented a simplification plan that impacts all of our segments as well as our corporate functions. The goal of our plan is to simplify our organization by creating the right agility and speed, which allows us to move forward regardless of the economic challenges and focuses around four different areas: organization design, programs, delivery models, and technology structure. We estimate that the $26.6 million of reorganization costs we recorded in the fourth quarter of 2012 in connection with this plan will result in a reduction in selling and administrative expenses of approximately $52.0 million in 2013. We expect further reorganization costs, and estimate that we will achieve additional savings in selling and administrative expenses, in 2013 as we continue to execute our plan.</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$166.8 million and $174.0 million as of December 31, 2012 and 2011, respectively ($128.9 million and $135.4 million for guarantees, respectively, and $37.9 million and $38.6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million and $1.5 million in 2012 and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86B6A5"/>
        </w:rPr>
        <w:t>Capital Resources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Capitalization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573020" cy="848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capitalization as of December 31, 2012 was $3,270.9 million, comprised of $770.1 million in debt and $2,500.8 million in equity. Debt as a percentage of total capitalization was 24%, 22% and 23% as of December 31, 2012, 2011 and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EURO NOTES</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June 22, 2012, we offered and sold €350.0 million aggregate principal amount of the Company’s 4.50% notes due June 22, 2018 (the “€350.0 million Notes”). The net proceeds from the €350.0 million Notes of €348.7 million were used to repay borrowings under our $800.0 million revolving credit facility that were drawn in May to repay our €300.0 million notes that matured on June 1, 2012 and for general corporate purposes. The €350.0 million Notes were issued at a price of 99.974% to yield an effective interest rate of 4.505%. Interest on the €350.0 million Notes is payable in arrears on June 22 of each year.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€200.0 million aggregate principal amount of 4.75% notes due June 14, 2013 (the “€200.0 million Notes”). The €200.0 million Notes were issued at a price of 99.349% to yield an effective interest rate of 4.862%. The discount of €1.3 ($1.6) million is being amortized to interest expense over the term of the €200.0 million Notes. Interest on the €200.0 million Notes is payable in arrears on June 14 of each year.</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Both the €350.0 million Notes and the €200.0 million Notes are unsecured senior obligations and rank equally with all of our existing and future senior unsecured debt and other liabilities. We may redeem these notes, in whole but not in part, at our option at any time for a redemption price determined in accordance with the term of the notes. These notes also contain certain customary non-financial restrictive covenants and events of default.</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887"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When these notes mature, we plan to repay these amounts with available cash or borrowings under our $800.0 million revolving credit facility, or new borrowing.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credit terms, including interest rate and facility fees, of any replacement borrowings will be dependent upon the condition of the credit markets at that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anticipate any problems accessing the credit markets should we decide to replace our notes.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euro-denominated notes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income. (See Significant Matters Affecting Results of Operations and Notes 7 and 12 to the Consolidated Financial Statements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REVOLVING CREDIT AGREEMENT</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5, 2011, we entered into a $800.0 million Five-Year Credit Agreement (the “Agreement”) with a syndicate of commercial banks. This Agreement replaced our previous $400.0 million revolving credit facility. The Agreement allows for borrowing in various currencies and up to $150.0 million may be used for the issuance of stand-by letters of credit. The Agreement terminates in October 2016. Outstanding letters of credit issued under the Agreement totaled $0.9 million and $1.6 million as of December 31, 2012 and 2011, respectively. Additional borrowings of $799.1 million and $798.4 million were available to us under the Agreement as of December 31, 2012 and 2011, respectively.</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Agreement, a credit ratings-based pricing grid determines the facility fee and the credit spread that we add to the applicable interbank borrowing rate on all borrowings. At our current credit rating, the annual facility fee is 22.5 bps paid on the entire $800.0 million facility and the credit spread is 127.5 bps on any borrowings. Any downgrades from the credit rating agencies would unfavorably impact our facility fees and result in additional costs ranging from approximately $0.2 million to $0.4 million annually. We had no borrowings under this Agreement as of December 31, 2012 or 2011.</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Agreement contains customary restrictive covenants pertaining to our management and operations, including limitations on the amount of subsidiary debt that we may incur and limitations on our ability to pledge assets, as well as financial covenants, including covenants requiring, among other things, that we comply with a leverage ratio (net Debt-to-EBITDA) of not greater than 3.5 to 1 and a fixed charge coverage ratio of not less than 1.5 to 1. The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defined in the Agreement, we had a net Debt-to-EBITDA ratio of 0.97 to 1 (compared to the maximum allowable ratio of 3.5 to 1) and a Fixed Charge Coverage ratio of 2.84 to 1 (compared to the minimum required ratio of 1.5 to 1) as of December 31, 2012. Based on our current forecast, we expect to be in compliance with our financial covenants for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OTHER</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2012, such uncommitted credit lines totaled $379.4 million, of which $334.8 million was unused. Under the Agreement, total subsidiary borrowings cannot exceed $300.0 million in the first, second and fourth quarters, and $600.0 million in the third quarter of each year. Due to these limitations, additional borrowings of $255.4 million could have been made under these lines as of December 31, 2012.</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January 2013, Moody’s Investors Services lowered our credit outlook from positive to stable, while maintaining the Baa3 credit rating. Our credit rating from Standard and Poor’s is BBB- with a stable outlook.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7" w:name="page58"/>
    <w:bookmarkEnd w:id="57"/>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86B6A5"/>
        </w:rPr>
        <w:t>Application of Critical Accounting Policies</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ALLOWANCE FOR DOUBTFUL ACCOUNTS</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$29.2 million, $25.9 million and $28.9 million for 2012, 2011 and 2010,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$23.2 million, $25.0 million and $33.5 million for 2012, 2011 and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EMPLOYMENT-RELATED ITEMS</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939598"/>
        </w:rPr>
        <w:t>Defined Benefit Pension Plans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United Kingdom, the United States, the Netherlands and other European countries. Annual expense relating to these plans is recorded as selling and administrative expense and is estimated to be approximately $11.6 million in 2013, compared to $12.6 million, $9.7 million and $9.2 million in 2012, 2011 and 2010, respectively. Included in the 2013 expense estimate is a $2.3 million curtailment gain resulting from an amendment to a defined benefit plan in the Netherlands. Effective January 1, 2013, the defined benefit plan was frozen, and the participants were transitioned to a defined contribution plan.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calculations of annual pension expense and the pension liability required at year-end include various actuarial assumptions such as discount rates, expected rate of return on plan assets, compensation increases and employee turnover rates. We determine our assumption for the discount rate to be used for purposes of computing annual service and interest costs based on an index of high-quality corporate bond yields and matched-funding yield curve analysis as of the measurement date.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used a weighted-average discount rate of 3.7% for the United States plans and 4.2% for non-United States plans in determining the estimated pension expense for 2013. These rates compare to the weighted-average discount rate of 4.6% for the United States plans and 4.7% for non-United States plans in determining the estimated pension expense for 2012, and reflect the current interest rate environment. Absent any other changes, a 25 basis point increase and decrease in the weighted-average discount rate would impact 2013 consolidated pension expense by approximately $0.1 million and $0.8 million for the United States plans and non-United States plans, respectively. We have selected a weighted-average expected return on plan assets of 6.3% for the United States plans and 4.2% for the non-United States plans in determining the estimated pension expense for 2013. The comparable rates used for the calculation of the 2012 pension expense were 6.3% and 4.7% for the United States plans and non-United States plans, respectively. A 25 basis point change in the weighted-average expected return on plan assets would impact 2013 consolidated pension expense by approximately $0.1 million for the United States plans and $0.7 million for the non-United States plans.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939598"/>
        </w:rPr>
        <w:t>United States Workers’ Compensation</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we are under a self-insured retention program in most states covering workers’ compensation claims for our contingent workers. We determine the proper reserve balance using an actuarial valuation, which considers our historical payment experience and current employee demographics. Our reserve for such claims as of December 31, 2012 and 2011 was $74.8 million and $78.8 million, respectively. Workers’ compensation expense is recorded as a component of cost of services.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United States by approximately $3.1 million.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not had significant changes in our assumptions used in calculating our reserve balance or significant adjustments to our reserve level. We continue our focus on safety, which includes training of contingent workers and client site reviews. Given our current claims experience and cost per claim, we do not expect a significant change in our workers’ compensation reserve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939598"/>
        </w:rPr>
        <w:t>Social Program Remittances and Payroll Tax Audit Exposure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 routine basis, various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France, we currently maintain a reserve for 2007 through 2012, which has been estimated based on the results of past audits, changes in business volumes and the assessments related to the audit of 2007 through 2011. While some adjustment may be appropriate as we finalize the audits, we do not expect any significant adjustments to the recorded amount in the near term.</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United States Federal Work Opportunity Tax Credit (“WOTC”) was retroactively reinstated to January 1, 2012 as part of the American Taxpayer Relief Act, which was enacted on January 2, 2013. The $7.0 million tax benefit related to 2012 will be recognized by the Company during the first quarter of 2013, the period during which the law was enacted. The American Taxpayer Relief Act also extended the WOTC through December 31,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DEFERRED REVENUE</w:t>
      </w:r>
    </w:p>
    <w:p>
      <w:pPr>
        <w:spacing w:after="0" w:line="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recognize revenues under the current accounting guidance on revenue recognition. The accounting guidance generally provides that revenues for time-based services be recognized over the average length of the services being provided. For the outplacement line of business, we recognize revenues from individual programs over the estimated period in which services are rendered to candidates. For large projects within the outplacement line of business, we recognize revenues over the period in which the services are provided. In our consulting business, revenues are recognized upon the performance of the service under the consulting service contract. For performance-based contracts, we defer recognizing revenues until the performance criteria have been met.</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9" w:name="page60"/>
    <w:bookmarkEnd w:id="59"/>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Significant factors impacting deferred revenue are the type of programs and projects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2012 and 2011, the current portion of deferred revenue was $55.7 million and $54.3 million, respectively, and the long-term portion of deferred revenue was $17.1 million and $28.6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INCOME TAXES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one which does not meet the 50% threshold, will not be recognized in the financial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To the extent these items are settled for an amount different than we currently expect, the unrecognized tax benefit will be adjusted.</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GOODWILL AND INDEFINITE-LIVED INTANGIBLE ASSET IMPAIRMENT</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2012 and 2011, and there was no impairment of our goodwill or our indefinite-lived intangible assets.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2012 included: expected future revenue growth rates, operating unit profit margins, working capital levels, discount rates ranging from 10.6% to 16.9%,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0" w:name="page61"/>
    <w:bookmarkEnd w:id="60"/>
    <w:p>
      <w:pPr>
        <w:jc w:val="both"/>
        <w:ind w:right="20"/>
        <w:spacing w:after="0" w:line="25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2012. The reporting units included below represent 70% of our consolidated goodwill balance as of September 30, 2012.</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ind w:left="340"/>
              <w:spacing w:after="0" w:line="149" w:lineRule="exact"/>
              <w:rPr>
                <w:sz w:val="20"/>
                <w:szCs w:val="20"/>
                <w:color w:val="auto"/>
              </w:rPr>
            </w:pPr>
            <w:r>
              <w:rPr>
                <w:rFonts w:ascii="Arial" w:cs="Arial" w:eastAsia="Arial" w:hAnsi="Arial"/>
                <w:sz w:val="14"/>
                <w:szCs w:val="14"/>
                <w:b w:val="1"/>
                <w:bCs w:val="1"/>
                <w:color w:val="86B6A5"/>
              </w:rPr>
              <w:t>Netherlands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86B6A5"/>
              </w:rPr>
              <w:t>Right</w:t>
            </w:r>
          </w:p>
        </w:tc>
      </w:tr>
      <w:tr>
        <w:trPr>
          <w:trHeight w:val="161"/>
        </w:trPr>
        <w:tc>
          <w:tcPr>
            <w:tcW w:w="2880" w:type="dxa"/>
            <w:vAlign w:val="bottom"/>
            <w:gridSpan w:val="2"/>
          </w:tcPr>
          <w:p>
            <w:pPr>
              <w:spacing w:after="0"/>
              <w:rPr>
                <w:sz w:val="20"/>
                <w:szCs w:val="20"/>
                <w:color w:val="auto"/>
              </w:rPr>
            </w:pPr>
            <w:r>
              <w:rPr>
                <w:rFonts w:ascii="Arial" w:cs="Arial" w:eastAsia="Arial" w:hAnsi="Arial"/>
                <w:sz w:val="14"/>
                <w:szCs w:val="14"/>
                <w:b w:val="1"/>
                <w:bCs w:val="1"/>
                <w:color w:val="86B6A5"/>
              </w:rPr>
              <w:t>(in millions)</w:t>
            </w:r>
          </w:p>
        </w:tc>
        <w:tc>
          <w:tcPr>
            <w:tcW w:w="180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b w:val="1"/>
                <w:bCs w:val="1"/>
                <w:color w:val="86B6A5"/>
              </w:rPr>
              <w:t>United States</w:t>
            </w:r>
          </w:p>
        </w:tc>
        <w:tc>
          <w:tcPr>
            <w:tcW w:w="580" w:type="dxa"/>
            <w:vAlign w:val="bottom"/>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b w:val="1"/>
                <w:bCs w:val="1"/>
                <w:color w:val="86B6A5"/>
              </w:rPr>
              <w:t>(Vitae)</w:t>
            </w:r>
          </w:p>
        </w:tc>
        <w:tc>
          <w:tcPr>
            <w:tcW w:w="760" w:type="dxa"/>
            <w:vAlign w:val="bottom"/>
          </w:tcPr>
          <w:p>
            <w:pPr>
              <w:spacing w:after="0"/>
              <w:rPr>
                <w:sz w:val="14"/>
                <w:szCs w:val="14"/>
                <w:color w:val="auto"/>
              </w:rPr>
            </w:pPr>
          </w:p>
        </w:tc>
        <w:tc>
          <w:tcPr>
            <w:tcW w:w="1080" w:type="dxa"/>
            <w:vAlign w:val="bottom"/>
          </w:tcPr>
          <w:p>
            <w:pPr>
              <w:jc w:val="right"/>
              <w:ind w:right="79"/>
              <w:spacing w:after="0"/>
              <w:rPr>
                <w:sz w:val="20"/>
                <w:szCs w:val="20"/>
                <w:color w:val="auto"/>
              </w:rPr>
            </w:pPr>
            <w:r>
              <w:rPr>
                <w:rFonts w:ascii="Arial" w:cs="Arial" w:eastAsia="Arial" w:hAnsi="Arial"/>
                <w:sz w:val="14"/>
                <w:szCs w:val="14"/>
                <w:b w:val="1"/>
                <w:bCs w:val="1"/>
                <w:color w:val="86B6A5"/>
              </w:rPr>
              <w:t>France</w:t>
            </w:r>
          </w:p>
        </w:tc>
        <w:tc>
          <w:tcPr>
            <w:tcW w:w="60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86B6A5"/>
              </w:rPr>
              <w:t>Management</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color w:val="auto"/>
              </w:rPr>
              <w:t>Estimated fair values</w:t>
            </w:r>
          </w:p>
        </w:tc>
        <w:tc>
          <w:tcPr>
            <w:tcW w:w="1800" w:type="dxa"/>
            <w:vAlign w:val="bottom"/>
            <w:tcBorders>
              <w:top w:val="single" w:sz="8" w:color="86B6A5"/>
            </w:tcBorders>
            <w:shd w:val="clear" w:color="auto" w:fill="E3F1DA"/>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86B6A5"/>
            </w:tcBorders>
            <w:shd w:val="clear" w:color="auto" w:fill="E3F1DA"/>
          </w:tcPr>
          <w:p>
            <w:pPr>
              <w:jc w:val="right"/>
              <w:ind w:right="99"/>
              <w:spacing w:after="0"/>
              <w:rPr>
                <w:sz w:val="20"/>
                <w:szCs w:val="20"/>
                <w:color w:val="auto"/>
              </w:rPr>
            </w:pPr>
            <w:r>
              <w:rPr>
                <w:rFonts w:ascii="Arial" w:cs="Arial" w:eastAsia="Arial" w:hAnsi="Arial"/>
                <w:sz w:val="18"/>
                <w:szCs w:val="18"/>
                <w:color w:val="auto"/>
              </w:rPr>
              <w:t>1,233.4</w:t>
            </w:r>
          </w:p>
        </w:tc>
        <w:tc>
          <w:tcPr>
            <w:tcW w:w="580" w:type="dxa"/>
            <w:vAlign w:val="bottom"/>
            <w:tcBorders>
              <w:top w:val="single" w:sz="8" w:color="86B6A5"/>
            </w:tcBorders>
            <w:shd w:val="clear" w:color="auto" w:fill="E3F1DA"/>
          </w:tcPr>
          <w:p>
            <w:pPr>
              <w:jc w:val="right"/>
              <w:ind w:right="252"/>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86B6A5"/>
            </w:tcBorders>
            <w:shd w:val="clear" w:color="auto" w:fill="E3F1DA"/>
          </w:tcPr>
          <w:p>
            <w:pPr>
              <w:ind w:left="680"/>
              <w:spacing w:after="0"/>
              <w:rPr>
                <w:sz w:val="20"/>
                <w:szCs w:val="20"/>
                <w:color w:val="auto"/>
              </w:rPr>
            </w:pPr>
            <w:r>
              <w:rPr>
                <w:rFonts w:ascii="Arial" w:cs="Arial" w:eastAsia="Arial" w:hAnsi="Arial"/>
                <w:sz w:val="18"/>
                <w:szCs w:val="18"/>
                <w:color w:val="auto"/>
              </w:rPr>
              <w:t>177.8</w:t>
            </w:r>
          </w:p>
        </w:tc>
        <w:tc>
          <w:tcPr>
            <w:tcW w:w="760" w:type="dxa"/>
            <w:vAlign w:val="bottom"/>
            <w:tcBorders>
              <w:top w:val="single" w:sz="8" w:color="86B6A5"/>
            </w:tcBorders>
            <w:shd w:val="clear" w:color="auto" w:fill="E3F1DA"/>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86B6A5"/>
            </w:tcBorders>
            <w:shd w:val="clear" w:color="auto" w:fill="E3F1DA"/>
          </w:tcPr>
          <w:p>
            <w:pPr>
              <w:jc w:val="right"/>
              <w:ind w:right="79"/>
              <w:spacing w:after="0"/>
              <w:rPr>
                <w:sz w:val="20"/>
                <w:szCs w:val="20"/>
                <w:color w:val="auto"/>
              </w:rPr>
            </w:pPr>
            <w:r>
              <w:rPr>
                <w:rFonts w:ascii="Arial" w:cs="Arial" w:eastAsia="Arial" w:hAnsi="Arial"/>
                <w:sz w:val="18"/>
                <w:szCs w:val="18"/>
                <w:color w:val="auto"/>
              </w:rPr>
              <w:t>992.2</w:t>
            </w:r>
          </w:p>
        </w:tc>
        <w:tc>
          <w:tcPr>
            <w:tcW w:w="600" w:type="dxa"/>
            <w:vAlign w:val="bottom"/>
            <w:tcBorders>
              <w:top w:val="single" w:sz="8" w:color="86B6A5"/>
            </w:tcBorders>
            <w:shd w:val="clear" w:color="auto" w:fill="E3F1DA"/>
          </w:tcPr>
          <w:p>
            <w:pPr>
              <w:jc w:val="right"/>
              <w:ind w:right="252"/>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86B6A5"/>
            </w:tcBorders>
            <w:shd w:val="clear" w:color="auto" w:fill="E3F1DA"/>
          </w:tcPr>
          <w:p>
            <w:pPr>
              <w:jc w:val="right"/>
              <w:ind w:right="42"/>
              <w:spacing w:after="0"/>
              <w:rPr>
                <w:sz w:val="20"/>
                <w:szCs w:val="20"/>
                <w:color w:val="auto"/>
              </w:rPr>
            </w:pPr>
            <w:r>
              <w:rPr>
                <w:rFonts w:ascii="Arial" w:cs="Arial" w:eastAsia="Arial" w:hAnsi="Arial"/>
                <w:sz w:val="18"/>
                <w:szCs w:val="18"/>
                <w:color w:val="auto"/>
              </w:rPr>
              <w:t>175.5</w:t>
            </w:r>
          </w:p>
        </w:tc>
      </w:tr>
      <w:tr>
        <w:trPr>
          <w:trHeight w:val="216"/>
        </w:trPr>
        <w:tc>
          <w:tcPr>
            <w:tcW w:w="20" w:type="dxa"/>
            <w:vAlign w:val="bottom"/>
            <w:tcBorders>
              <w:bottom w:val="single" w:sz="8" w:color="939598"/>
            </w:tcBorders>
          </w:tcPr>
          <w:p>
            <w:pPr>
              <w:spacing w:after="0"/>
              <w:rPr>
                <w:sz w:val="18"/>
                <w:szCs w:val="18"/>
                <w:color w:val="auto"/>
              </w:rPr>
            </w:pPr>
          </w:p>
        </w:tc>
        <w:tc>
          <w:tcPr>
            <w:tcW w:w="2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Carrying values</w:t>
            </w:r>
          </w:p>
        </w:tc>
        <w:tc>
          <w:tcPr>
            <w:tcW w:w="1800" w:type="dxa"/>
            <w:vAlign w:val="bottom"/>
            <w:tcBorders>
              <w:bottom w:val="single" w:sz="8" w:color="939598"/>
            </w:tcBorders>
          </w:tcPr>
          <w:p>
            <w:pPr>
              <w:spacing w:after="0"/>
              <w:rPr>
                <w:sz w:val="18"/>
                <w:szCs w:val="18"/>
                <w:color w:val="auto"/>
              </w:rPr>
            </w:pPr>
          </w:p>
        </w:tc>
        <w:tc>
          <w:tcPr>
            <w:tcW w:w="1260" w:type="dxa"/>
            <w:vAlign w:val="bottom"/>
            <w:tcBorders>
              <w:bottom w:val="single" w:sz="8" w:color="939598"/>
            </w:tcBorders>
          </w:tcPr>
          <w:p>
            <w:pPr>
              <w:jc w:val="right"/>
              <w:ind w:right="99"/>
              <w:spacing w:after="0"/>
              <w:rPr>
                <w:sz w:val="20"/>
                <w:szCs w:val="20"/>
                <w:color w:val="auto"/>
              </w:rPr>
            </w:pPr>
            <w:r>
              <w:rPr>
                <w:rFonts w:ascii="Arial" w:cs="Arial" w:eastAsia="Arial" w:hAnsi="Arial"/>
                <w:sz w:val="18"/>
                <w:szCs w:val="18"/>
                <w:color w:val="auto"/>
              </w:rPr>
              <w:t>1,045.3</w:t>
            </w:r>
          </w:p>
        </w:tc>
        <w:tc>
          <w:tcPr>
            <w:tcW w:w="580" w:type="dxa"/>
            <w:vAlign w:val="bottom"/>
            <w:tcBorders>
              <w:bottom w:val="single" w:sz="8" w:color="939598"/>
            </w:tcBorders>
          </w:tcPr>
          <w:p>
            <w:pPr>
              <w:spacing w:after="0"/>
              <w:rPr>
                <w:sz w:val="18"/>
                <w:szCs w:val="18"/>
                <w:color w:val="auto"/>
              </w:rPr>
            </w:pPr>
          </w:p>
        </w:tc>
        <w:tc>
          <w:tcPr>
            <w:tcW w:w="1240" w:type="dxa"/>
            <w:vAlign w:val="bottom"/>
            <w:tcBorders>
              <w:bottom w:val="single" w:sz="8" w:color="939598"/>
            </w:tcBorders>
          </w:tcPr>
          <w:p>
            <w:pPr>
              <w:ind w:left="680"/>
              <w:spacing w:after="0"/>
              <w:rPr>
                <w:sz w:val="20"/>
                <w:szCs w:val="20"/>
                <w:color w:val="auto"/>
              </w:rPr>
            </w:pPr>
            <w:r>
              <w:rPr>
                <w:rFonts w:ascii="Arial" w:cs="Arial" w:eastAsia="Arial" w:hAnsi="Arial"/>
                <w:sz w:val="18"/>
                <w:szCs w:val="18"/>
                <w:color w:val="auto"/>
              </w:rPr>
              <w:t>122.4</w:t>
            </w:r>
          </w:p>
        </w:tc>
        <w:tc>
          <w:tcPr>
            <w:tcW w:w="76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8"/>
                <w:szCs w:val="18"/>
                <w:color w:val="auto"/>
              </w:rPr>
              <w:t>522.7</w:t>
            </w:r>
          </w:p>
        </w:tc>
        <w:tc>
          <w:tcPr>
            <w:tcW w:w="600" w:type="dxa"/>
            <w:vAlign w:val="bottom"/>
            <w:tcBorders>
              <w:bottom w:val="single" w:sz="8" w:color="939598"/>
            </w:tcBorders>
          </w:tcPr>
          <w:p>
            <w:pPr>
              <w:spacing w:after="0"/>
              <w:rPr>
                <w:sz w:val="18"/>
                <w:szCs w:val="18"/>
                <w:color w:val="auto"/>
              </w:rPr>
            </w:pPr>
          </w:p>
        </w:tc>
        <w:tc>
          <w:tcPr>
            <w:tcW w:w="1220" w:type="dxa"/>
            <w:vAlign w:val="bottom"/>
            <w:tcBorders>
              <w:bottom w:val="single" w:sz="8" w:color="939598"/>
            </w:tcBorders>
          </w:tcPr>
          <w:p>
            <w:pPr>
              <w:jc w:val="right"/>
              <w:ind w:right="42"/>
              <w:spacing w:after="0"/>
              <w:rPr>
                <w:sz w:val="20"/>
                <w:szCs w:val="20"/>
                <w:color w:val="auto"/>
              </w:rPr>
            </w:pPr>
            <w:r>
              <w:rPr>
                <w:rFonts w:ascii="Arial" w:cs="Arial" w:eastAsia="Arial" w:hAnsi="Arial"/>
                <w:sz w:val="18"/>
                <w:szCs w:val="18"/>
                <w:color w:val="auto"/>
              </w:rPr>
              <w:t>128.2</w:t>
            </w: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fourth quarter of 2010, two of our reporting units, Right Management and Jefferson Wells, each experienced strong indicators of impairment due to continued deterioration in market conditions. They each experienced further than anticipated profitability declines in the fourth quarter, which led us to adjust our long-term outlooks for each reporting unit. As a result, we performed an impairment test of our goodwill and indefinite-lived intangible assets during the fourth quarter of 2010, which resulted in a non-cash impairment charge of $311.6 million ($311.6 million after-tax) for goodwill associated with Right Management and Jefferson Wells. In addition, we incurred a non-cash impairment charge of $117.2 million ($72.7 million after-tax) for the tradenames associated with these two reporting units. The goodwill and intangible asset impairment charge was non-cash in nature and did not impact our liquidity, cash flows provided by operating activities or future operations. (See Note 1 to the Consolidated Financial Statements for further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86B6A5"/>
        </w:rPr>
        <w:t>Significant Matters Affecting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MARKET RISKS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939598"/>
        </w:rPr>
        <w:t xml:space="preserve">Exchange Rates </w:t>
      </w:r>
      <w:r>
        <w:rPr>
          <w:rFonts w:ascii="Arial" w:cs="Arial" w:eastAsia="Arial" w:hAnsi="Arial"/>
          <w:sz w:val="18"/>
          <w:szCs w:val="18"/>
          <w:color w:val="000000"/>
        </w:rPr>
        <w:t>— Our exposure to foreign currency exchange rates relates primarily to our foreign subsidiaries and our euro-denominated borrowings. For our</w:t>
      </w:r>
      <w:r>
        <w:rPr>
          <w:rFonts w:ascii="Arial" w:cs="Arial" w:eastAsia="Arial" w:hAnsi="Arial"/>
          <w:sz w:val="18"/>
          <w:szCs w:val="18"/>
          <w:b w:val="1"/>
          <w:bCs w:val="1"/>
          <w:color w:val="939598"/>
        </w:rPr>
        <w:t xml:space="preserve"> </w:t>
      </w:r>
      <w:r>
        <w:rPr>
          <w:rFonts w:ascii="Arial" w:cs="Arial" w:eastAsia="Arial" w:hAnsi="Arial"/>
          <w:sz w:val="18"/>
          <w:szCs w:val="18"/>
          <w:color w:val="000000"/>
        </w:rPr>
        <w:t>foreign subsidiaries, exchange rates impact the United States dollar value of our reported earnings, our investments in the subsidiaries and the intercompany transactions with the subsidiaries.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85% of our revenues and profits are generated outside of the United States, with approximately 44% generated from our European operations that use the euro as their 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monthly weighted-average exchange rates for the year. Consequently, as the value of the United States dollar changes relative to the currencies of our major markets, our reported results vary.</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Throughout 2012 and 2011, the United States dollar was volatile, but generally strengthened, against many of the currencies of our major markets. Revenues from services in constant currency were approximately 5.0% higher than reported in 2012, and 5.0% lower than reported in 2011. If the United States dollar had strengthened an additional 10% during 2012, revenues from services would have decreased by approximately 8.5% from the amounts reported. If the United States dollar had weakened an additional 10% during 2011, revenues from services would have increased by approximately 8.5% from the amounts reported.</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income. The United States dollar weakened relative to many foreign currencies as of December 31, 2012 compared to December 31, 2011. Consequently, shareholders’ equity increased by $8.0 million as a result of the foreign currency translation as of December 31, 2012. If the United States dollar had weakened an additional 10% as of December 31, 2012, resulting translation adjustments recorded in shareholders’ equity would have increased by approximately $47.0 million from the amounts reported.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2011, the United States dollar strengthened relative to many foreign currencies compared to December 31, 2010. Consequently, shareholders’ equity decreased by $42.3 million as a result of the foreign currency translation as of December 31, 2011. If the United States dollar had strengthened an additional 10% as of December 31, 2011, resulting translation adjustments recorded in shareholders’ equity would have increased by approximately $145.4 million from the amounts reported.</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61" w:name="page62"/>
    <w:bookmarkEnd w:id="61"/>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2012, there were £4.0 ($6.4) million of forward contracts that relate to cash flows owed to our foreign subsidiaries in 2013. Our forward contracts are not designated as hedges. Consequently, any gain or loss resulting from the change in fair value is recognized in the current period earnings as is the currency gain or loss on the amounts owed.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2012, we had outstanding $725.5 million in aggregate principal amount of notes denominated in euros (€550.0 million). These notes have been designated as a hedge of our net investment in subsidiaries with the euro-functional currency. Since our net investment in these subsidiaries exceeds the respective amount of the designated borrowings, translation gains or losses related to these borrowings are included as a component of accumulated other comprehensive income. Shareholders’ equity decreased by $7.9 million, net of tax, due to changes in accumulated other comprehensive income during the year due to the currency impact on these designated borrowings.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2010, Venezuela’s National Consumer Price Index for December 2009 was released, which noted that the cumulative three-year inflation rates for both of Venezuela’s inflation indices were over 100%. Under the current accounting guidance, since the country’s economy is considered highly inflationary, the functional currency of the foreign entity (Bolivar Fuerte) must be remeasured to the functional currency of the reporting entity (United States dollar) effective January 1, 2010. As such, all currency adjustments related to the assets and liabilities of our Venezuelan subsidiary are now reported as translation gains or losses in our Consolidated Statements of Operations.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939598"/>
        </w:rPr>
        <w:t xml:space="preserve">Interest Rates </w:t>
      </w:r>
      <w:r>
        <w:rPr>
          <w:rFonts w:ascii="Arial" w:cs="Arial" w:eastAsia="Arial" w:hAnsi="Arial"/>
          <w:sz w:val="18"/>
          <w:szCs w:val="18"/>
          <w:color w:val="000000"/>
        </w:rPr>
        <w:t>— Our exposure to market risk for changes in interest rates relates primarily to our variable rate long-term debt obligations. We have historically</w:t>
      </w:r>
      <w:r>
        <w:rPr>
          <w:rFonts w:ascii="Arial" w:cs="Arial" w:eastAsia="Arial" w:hAnsi="Arial"/>
          <w:sz w:val="18"/>
          <w:szCs w:val="18"/>
          <w:b w:val="1"/>
          <w:bCs w:val="1"/>
          <w:color w:val="939598"/>
        </w:rPr>
        <w:t xml:space="preserve"> </w:t>
      </w:r>
      <w:r>
        <w:rPr>
          <w:rFonts w:ascii="Arial" w:cs="Arial" w:eastAsia="Arial" w:hAnsi="Arial"/>
          <w:sz w:val="18"/>
          <w:szCs w:val="18"/>
          <w:color w:val="000000"/>
        </w:rPr>
        <w:t>managed interest rates through the use of a combination of fixed- and variable- rate borrowings and interest rate swap agreements. As of December 31, 2012, we had the following fixed- and variable- rate borrowings: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Weighted-</w:t>
            </w: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86B6A5"/>
              </w:rPr>
              <w:t>Average</w:t>
            </w: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b w:val="1"/>
                <w:bCs w:val="1"/>
                <w:color w:val="86B6A5"/>
              </w:rPr>
              <w:t>(in millions)</w:t>
            </w:r>
          </w:p>
        </w:tc>
        <w:tc>
          <w:tcPr>
            <w:tcW w:w="3560" w:type="dxa"/>
            <w:vAlign w:val="bottom"/>
          </w:tcPr>
          <w:p>
            <w:pPr>
              <w:spacing w:after="0"/>
              <w:rPr>
                <w:sz w:val="14"/>
                <w:szCs w:val="14"/>
                <w:color w:val="auto"/>
              </w:rPr>
            </w:pPr>
          </w:p>
        </w:tc>
        <w:tc>
          <w:tcPr>
            <w:tcW w:w="1280" w:type="dxa"/>
            <w:vAlign w:val="bottom"/>
          </w:tcPr>
          <w:p>
            <w:pPr>
              <w:jc w:val="right"/>
              <w:ind w:right="637"/>
              <w:spacing w:after="0"/>
              <w:rPr>
                <w:sz w:val="20"/>
                <w:szCs w:val="20"/>
                <w:color w:val="auto"/>
              </w:rPr>
            </w:pPr>
            <w:r>
              <w:rPr>
                <w:rFonts w:ascii="Arial" w:cs="Arial" w:eastAsia="Arial" w:hAnsi="Arial"/>
                <w:sz w:val="14"/>
                <w:szCs w:val="14"/>
                <w:b w:val="1"/>
                <w:bCs w:val="1"/>
                <w:color w:val="86B6A5"/>
              </w:rPr>
              <w:t>Amount</w:t>
            </w:r>
          </w:p>
        </w:tc>
        <w:tc>
          <w:tcPr>
            <w:tcW w:w="1460" w:type="dxa"/>
            <w:vAlign w:val="bottom"/>
          </w:tcPr>
          <w:p>
            <w:pPr>
              <w:jc w:val="right"/>
              <w:ind w:right="82"/>
              <w:spacing w:after="0" w:line="162" w:lineRule="exact"/>
              <w:rPr>
                <w:sz w:val="20"/>
                <w:szCs w:val="20"/>
                <w:color w:val="auto"/>
              </w:rPr>
            </w:pPr>
            <w:r>
              <w:rPr>
                <w:rFonts w:ascii="Arial" w:cs="Arial" w:eastAsia="Arial" w:hAnsi="Arial"/>
                <w:sz w:val="14"/>
                <w:szCs w:val="14"/>
                <w:b w:val="1"/>
                <w:bCs w:val="1"/>
                <w:color w:val="86B6A5"/>
              </w:rPr>
              <w:t>Interest Rate</w:t>
            </w:r>
            <w:r>
              <w:rPr>
                <w:rFonts w:ascii="Arial" w:cs="Arial" w:eastAsia="Arial" w:hAnsi="Arial"/>
                <w:sz w:val="18"/>
                <w:szCs w:val="18"/>
                <w:b w:val="1"/>
                <w:bCs w:val="1"/>
                <w:color w:val="86B6A5"/>
                <w:vertAlign w:val="superscript"/>
              </w:rPr>
              <w:t>(1)</w:t>
            </w:r>
          </w:p>
        </w:tc>
      </w:tr>
      <w:tr>
        <w:trPr>
          <w:trHeight w:val="210"/>
        </w:trPr>
        <w:tc>
          <w:tcPr>
            <w:tcW w:w="20" w:type="dxa"/>
            <w:vAlign w:val="bottom"/>
          </w:tcPr>
          <w:p>
            <w:pPr>
              <w:spacing w:after="0"/>
              <w:rPr>
                <w:sz w:val="18"/>
                <w:szCs w:val="18"/>
                <w:color w:val="auto"/>
              </w:rPr>
            </w:pPr>
          </w:p>
        </w:tc>
        <w:tc>
          <w:tcPr>
            <w:tcW w:w="510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color w:val="auto"/>
              </w:rPr>
              <w:t>Variable-rate borrowings</w:t>
            </w:r>
          </w:p>
        </w:tc>
        <w:tc>
          <w:tcPr>
            <w:tcW w:w="3560" w:type="dxa"/>
            <w:vAlign w:val="bottom"/>
            <w:tcBorders>
              <w:top w:val="single" w:sz="8" w:color="86B6A5"/>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86B6A5"/>
            </w:tcBorders>
            <w:shd w:val="clear" w:color="auto" w:fill="E3F1DA"/>
          </w:tcPr>
          <w:p>
            <w:pPr>
              <w:jc w:val="right"/>
              <w:ind w:right="357"/>
              <w:spacing w:after="0"/>
              <w:rPr>
                <w:sz w:val="20"/>
                <w:szCs w:val="20"/>
                <w:color w:val="auto"/>
              </w:rPr>
            </w:pPr>
            <w:r>
              <w:rPr>
                <w:rFonts w:ascii="Arial" w:cs="Arial" w:eastAsia="Arial" w:hAnsi="Arial"/>
                <w:sz w:val="18"/>
                <w:szCs w:val="18"/>
                <w:color w:val="auto"/>
              </w:rPr>
              <w:t>43.3</w:t>
            </w:r>
          </w:p>
        </w:tc>
        <w:tc>
          <w:tcPr>
            <w:tcW w:w="1460" w:type="dxa"/>
            <w:vAlign w:val="bottom"/>
            <w:tcBorders>
              <w:top w:val="single" w:sz="8" w:color="86B6A5"/>
            </w:tcBorders>
            <w:shd w:val="clear" w:color="auto" w:fill="E3F1DA"/>
          </w:tcPr>
          <w:p>
            <w:pPr>
              <w:ind w:left="1000"/>
              <w:spacing w:after="0"/>
              <w:rPr>
                <w:sz w:val="20"/>
                <w:szCs w:val="20"/>
                <w:color w:val="auto"/>
              </w:rPr>
            </w:pPr>
            <w:r>
              <w:rPr>
                <w:rFonts w:ascii="Arial" w:cs="Arial" w:eastAsia="Arial" w:hAnsi="Arial"/>
                <w:sz w:val="18"/>
                <w:szCs w:val="18"/>
                <w:color w:val="auto"/>
                <w:w w:val="86"/>
              </w:rPr>
              <w:t>9.10%</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Fixed-rate borrowings</w:t>
            </w:r>
          </w:p>
        </w:tc>
        <w:tc>
          <w:tcPr>
            <w:tcW w:w="356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jc w:val="right"/>
              <w:ind w:right="357"/>
              <w:spacing w:after="0"/>
              <w:rPr>
                <w:sz w:val="20"/>
                <w:szCs w:val="20"/>
                <w:color w:val="auto"/>
              </w:rPr>
            </w:pPr>
            <w:r>
              <w:rPr>
                <w:rFonts w:ascii="Arial" w:cs="Arial" w:eastAsia="Arial" w:hAnsi="Arial"/>
                <w:sz w:val="18"/>
                <w:szCs w:val="18"/>
                <w:color w:val="auto"/>
              </w:rPr>
              <w:t>726.8</w:t>
            </w:r>
          </w:p>
        </w:tc>
        <w:tc>
          <w:tcPr>
            <w:tcW w:w="1460" w:type="dxa"/>
            <w:vAlign w:val="bottom"/>
            <w:tcBorders>
              <w:bottom w:val="single" w:sz="8" w:color="939598"/>
            </w:tcBorders>
          </w:tcPr>
          <w:p>
            <w:pPr>
              <w:ind w:left="1000"/>
              <w:spacing w:after="0"/>
              <w:rPr>
                <w:sz w:val="20"/>
                <w:szCs w:val="20"/>
                <w:color w:val="auto"/>
              </w:rPr>
            </w:pPr>
            <w:r>
              <w:rPr>
                <w:rFonts w:ascii="Arial" w:cs="Arial" w:eastAsia="Arial" w:hAnsi="Arial"/>
                <w:sz w:val="18"/>
                <w:szCs w:val="18"/>
                <w:color w:val="auto"/>
              </w:rPr>
              <w:t>4.63</w:t>
            </w:r>
          </w:p>
        </w:tc>
      </w:tr>
      <w:tr>
        <w:trPr>
          <w:trHeight w:val="210"/>
        </w:trPr>
        <w:tc>
          <w:tcPr>
            <w:tcW w:w="20" w:type="dxa"/>
            <w:vAlign w:val="bottom"/>
          </w:tcPr>
          <w:p>
            <w:pPr>
              <w:spacing w:after="0"/>
              <w:rPr>
                <w:sz w:val="18"/>
                <w:szCs w:val="18"/>
                <w:color w:val="auto"/>
              </w:rPr>
            </w:pPr>
          </w:p>
        </w:tc>
        <w:tc>
          <w:tcPr>
            <w:tcW w:w="510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Total debt</w:t>
            </w:r>
          </w:p>
        </w:tc>
        <w:tc>
          <w:tcPr>
            <w:tcW w:w="356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357"/>
              <w:spacing w:after="0"/>
              <w:rPr>
                <w:sz w:val="20"/>
                <w:szCs w:val="20"/>
                <w:color w:val="auto"/>
              </w:rPr>
            </w:pPr>
            <w:r>
              <w:rPr>
                <w:rFonts w:ascii="Arial" w:cs="Arial" w:eastAsia="Arial" w:hAnsi="Arial"/>
                <w:sz w:val="18"/>
                <w:szCs w:val="18"/>
                <w:color w:val="auto"/>
              </w:rPr>
              <w:t>770.1</w:t>
            </w:r>
          </w:p>
        </w:tc>
        <w:tc>
          <w:tcPr>
            <w:tcW w:w="1460" w:type="dxa"/>
            <w:vAlign w:val="bottom"/>
            <w:tcBorders>
              <w:bottom w:val="single" w:sz="8" w:color="939598"/>
            </w:tcBorders>
            <w:shd w:val="clear" w:color="auto" w:fill="E3F1DA"/>
          </w:tcPr>
          <w:p>
            <w:pPr>
              <w:ind w:left="1000"/>
              <w:spacing w:after="0"/>
              <w:rPr>
                <w:sz w:val="20"/>
                <w:szCs w:val="20"/>
                <w:color w:val="auto"/>
              </w:rPr>
            </w:pPr>
            <w:r>
              <w:rPr>
                <w:rFonts w:ascii="Arial" w:cs="Arial" w:eastAsia="Arial" w:hAnsi="Arial"/>
                <w:sz w:val="18"/>
                <w:szCs w:val="18"/>
                <w:color w:val="auto"/>
                <w:w w:val="86"/>
              </w:rPr>
              <w:t>4.88%</w:t>
            </w:r>
          </w:p>
        </w:tc>
      </w:tr>
    </w:tbl>
    <w:p>
      <w:pPr>
        <w:spacing w:after="0" w:line="248"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rates are impacted by currency exchange rate movements.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Sensitivity analysis — The following tables summarize our debt and derivative instruments that are sensitive to foreign currency exchange rate and interest rate movements. All computations below are based on the United States dollar spot rate as of December 31, 2012 and 2011. The exchange rate computations assume a 10% appreciation or 10% depreciation of the euro and British pound to the United States dollar.</w:t>
      </w:r>
    </w:p>
    <w:p>
      <w:pPr>
        <w:spacing w:after="0"/>
        <w:tabs>
          <w:tab w:leader="none" w:pos="56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hypothetical impact on 2012 and 2011 earnings and accumulated other comprehensive income of the stated change in rates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bottom w:val="single" w:sz="8" w:color="939598"/>
            </w:tcBorders>
            <w:gridSpan w:val="2"/>
          </w:tcPr>
          <w:p>
            <w:pPr>
              <w:spacing w:after="0"/>
              <w:rPr>
                <w:sz w:val="20"/>
                <w:szCs w:val="20"/>
                <w:color w:val="auto"/>
              </w:rPr>
            </w:pPr>
            <w:r>
              <w:rPr>
                <w:rFonts w:ascii="Arial" w:cs="Arial" w:eastAsia="Arial" w:hAnsi="Arial"/>
                <w:sz w:val="14"/>
                <w:szCs w:val="14"/>
                <w:b w:val="1"/>
                <w:bCs w:val="1"/>
                <w:color w:val="86B6A5"/>
              </w:rPr>
              <w:t>2012 (in millions)</w:t>
            </w:r>
          </w:p>
        </w:tc>
        <w:tc>
          <w:tcPr>
            <w:tcW w:w="2900" w:type="dxa"/>
            <w:vAlign w:val="bottom"/>
            <w:tcBorders>
              <w:bottom w:val="single" w:sz="8" w:color="939598"/>
            </w:tcBorders>
          </w:tcPr>
          <w:p>
            <w:pPr>
              <w:spacing w:after="0"/>
              <w:rPr>
                <w:sz w:val="14"/>
                <w:szCs w:val="14"/>
                <w:color w:val="auto"/>
              </w:rPr>
            </w:pPr>
          </w:p>
        </w:tc>
        <w:tc>
          <w:tcPr>
            <w:tcW w:w="3360" w:type="dxa"/>
            <w:vAlign w:val="bottom"/>
            <w:tcBorders>
              <w:bottom w:val="single" w:sz="8" w:color="939598"/>
            </w:tcBorders>
            <w:gridSpan w:val="3"/>
          </w:tcPr>
          <w:p>
            <w:pPr>
              <w:jc w:val="right"/>
              <w:ind w:right="257"/>
              <w:spacing w:after="0"/>
              <w:rPr>
                <w:sz w:val="20"/>
                <w:szCs w:val="20"/>
                <w:color w:val="auto"/>
              </w:rPr>
            </w:pPr>
            <w:r>
              <w:rPr>
                <w:rFonts w:ascii="Arial" w:cs="Arial" w:eastAsia="Arial" w:hAnsi="Arial"/>
                <w:sz w:val="14"/>
                <w:szCs w:val="14"/>
                <w:b w:val="1"/>
                <w:bCs w:val="1"/>
                <w:color w:val="86B6A5"/>
              </w:rPr>
              <w:t>Movements In Exchange Rates</w:t>
            </w:r>
          </w:p>
        </w:tc>
      </w:tr>
      <w:tr>
        <w:trPr>
          <w:trHeight w:val="210"/>
        </w:trPr>
        <w:tc>
          <w:tcPr>
            <w:tcW w:w="5160" w:type="dxa"/>
            <w:vAlign w:val="bottom"/>
            <w:gridSpan w:val="2"/>
          </w:tcPr>
          <w:p>
            <w:pPr>
              <w:spacing w:after="0"/>
              <w:rPr>
                <w:sz w:val="20"/>
                <w:szCs w:val="20"/>
                <w:color w:val="auto"/>
              </w:rPr>
            </w:pPr>
            <w:r>
              <w:rPr>
                <w:rFonts w:ascii="Arial" w:cs="Arial" w:eastAsia="Arial" w:hAnsi="Arial"/>
                <w:sz w:val="14"/>
                <w:szCs w:val="14"/>
                <w:b w:val="1"/>
                <w:bCs w:val="1"/>
                <w:color w:val="86B6A5"/>
              </w:rPr>
              <w:t>Market Sensitive Instrument</w:t>
            </w:r>
          </w:p>
        </w:tc>
        <w:tc>
          <w:tcPr>
            <w:tcW w:w="2900" w:type="dxa"/>
            <w:vAlign w:val="bottom"/>
          </w:tcPr>
          <w:p>
            <w:pPr>
              <w:spacing w:after="0"/>
              <w:rPr>
                <w:sz w:val="18"/>
                <w:szCs w:val="18"/>
                <w:color w:val="auto"/>
              </w:rPr>
            </w:pPr>
          </w:p>
        </w:tc>
        <w:tc>
          <w:tcPr>
            <w:tcW w:w="1460" w:type="dxa"/>
            <w:vAlign w:val="bottom"/>
          </w:tcPr>
          <w:p>
            <w:pPr>
              <w:jc w:val="right"/>
              <w:ind w:right="160"/>
              <w:spacing w:after="0"/>
              <w:rPr>
                <w:sz w:val="20"/>
                <w:szCs w:val="20"/>
                <w:color w:val="auto"/>
              </w:rPr>
            </w:pPr>
            <w:r>
              <w:rPr>
                <w:rFonts w:ascii="Arial" w:cs="Arial" w:eastAsia="Arial" w:hAnsi="Arial"/>
                <w:sz w:val="14"/>
                <w:szCs w:val="14"/>
                <w:b w:val="1"/>
                <w:bCs w:val="1"/>
                <w:color w:val="86B6A5"/>
              </w:rPr>
              <w:t>10% Depreciation</w:t>
            </w:r>
          </w:p>
        </w:tc>
        <w:tc>
          <w:tcPr>
            <w:tcW w:w="340" w:type="dxa"/>
            <w:vAlign w:val="bottom"/>
          </w:tcPr>
          <w:p>
            <w:pPr>
              <w:spacing w:after="0"/>
              <w:rPr>
                <w:sz w:val="18"/>
                <w:szCs w:val="18"/>
                <w:color w:val="auto"/>
              </w:rPr>
            </w:pPr>
          </w:p>
        </w:tc>
        <w:tc>
          <w:tcPr>
            <w:tcW w:w="1560" w:type="dxa"/>
            <w:vAlign w:val="bottom"/>
          </w:tcPr>
          <w:p>
            <w:pPr>
              <w:jc w:val="right"/>
              <w:ind w:right="257"/>
              <w:spacing w:after="0"/>
              <w:rPr>
                <w:sz w:val="20"/>
                <w:szCs w:val="20"/>
                <w:color w:val="auto"/>
              </w:rPr>
            </w:pPr>
            <w:r>
              <w:rPr>
                <w:rFonts w:ascii="Arial" w:cs="Arial" w:eastAsia="Arial" w:hAnsi="Arial"/>
                <w:sz w:val="14"/>
                <w:szCs w:val="14"/>
                <w:b w:val="1"/>
                <w:bCs w:val="1"/>
                <w:color w:val="86B6A5"/>
              </w:rPr>
              <w:t>10% Appreciation</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Euro notes:</w:t>
            </w:r>
          </w:p>
        </w:tc>
        <w:tc>
          <w:tcPr>
            <w:tcW w:w="2900" w:type="dxa"/>
            <w:vAlign w:val="bottom"/>
            <w:tcBorders>
              <w:top w:val="single" w:sz="8" w:color="86B6A5"/>
            </w:tcBorders>
            <w:shd w:val="clear" w:color="auto" w:fill="E3F1DA"/>
          </w:tcPr>
          <w:p>
            <w:pPr>
              <w:spacing w:after="0"/>
              <w:rPr>
                <w:sz w:val="18"/>
                <w:szCs w:val="18"/>
                <w:color w:val="auto"/>
              </w:rPr>
            </w:pPr>
          </w:p>
        </w:tc>
        <w:tc>
          <w:tcPr>
            <w:tcW w:w="1460" w:type="dxa"/>
            <w:vAlign w:val="bottom"/>
            <w:tcBorders>
              <w:top w:val="single" w:sz="8" w:color="86B6A5"/>
            </w:tcBorders>
            <w:shd w:val="clear" w:color="auto" w:fill="E3F1DA"/>
          </w:tcPr>
          <w:p>
            <w:pPr>
              <w:spacing w:after="0"/>
              <w:rPr>
                <w:sz w:val="18"/>
                <w:szCs w:val="18"/>
                <w:color w:val="auto"/>
              </w:rPr>
            </w:pPr>
          </w:p>
        </w:tc>
        <w:tc>
          <w:tcPr>
            <w:tcW w:w="340" w:type="dxa"/>
            <w:vAlign w:val="bottom"/>
            <w:tcBorders>
              <w:top w:val="single" w:sz="8" w:color="86B6A5"/>
            </w:tcBorders>
            <w:shd w:val="clear" w:color="auto" w:fill="E3F1DA"/>
          </w:tcPr>
          <w:p>
            <w:pPr>
              <w:spacing w:after="0"/>
              <w:rPr>
                <w:sz w:val="18"/>
                <w:szCs w:val="18"/>
                <w:color w:val="auto"/>
              </w:rPr>
            </w:pPr>
          </w:p>
        </w:tc>
        <w:tc>
          <w:tcPr>
            <w:tcW w:w="156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€200.0, 4.86% Notes due June 2013</w:t>
            </w:r>
          </w:p>
        </w:tc>
        <w:tc>
          <w:tcPr>
            <w:tcW w:w="2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26.4</w:t>
            </w:r>
            <w:r>
              <w:rPr>
                <w:rFonts w:ascii="Arial" w:cs="Arial" w:eastAsia="Arial" w:hAnsi="Arial"/>
                <w:sz w:val="12"/>
                <w:szCs w:val="12"/>
                <w:color w:val="auto"/>
              </w:rPr>
              <w:t>(1)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7"/>
              <w:spacing w:after="0" w:line="216" w:lineRule="exact"/>
              <w:rPr>
                <w:sz w:val="20"/>
                <w:szCs w:val="20"/>
                <w:color w:val="auto"/>
              </w:rPr>
            </w:pPr>
            <w:r>
              <w:rPr>
                <w:rFonts w:ascii="Arial" w:cs="Arial" w:eastAsia="Arial" w:hAnsi="Arial"/>
                <w:sz w:val="18"/>
                <w:szCs w:val="18"/>
                <w:color w:val="auto"/>
              </w:rPr>
              <w:t>(26.4)</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shd w:val="clear" w:color="auto" w:fill="E3F1DA"/>
          </w:tcPr>
          <w:p>
            <w:pPr>
              <w:spacing w:after="0"/>
              <w:rPr>
                <w:sz w:val="20"/>
                <w:szCs w:val="20"/>
                <w:color w:val="auto"/>
              </w:rPr>
            </w:pPr>
            <w:r>
              <w:rPr>
                <w:rFonts w:ascii="Arial" w:cs="Arial" w:eastAsia="Arial" w:hAnsi="Arial"/>
                <w:sz w:val="18"/>
                <w:szCs w:val="18"/>
                <w:color w:val="auto"/>
              </w:rPr>
              <w:t>€350.0, 4.51% Notes due June 2018</w:t>
            </w:r>
          </w:p>
        </w:tc>
        <w:tc>
          <w:tcPr>
            <w:tcW w:w="2900" w:type="dxa"/>
            <w:vAlign w:val="bottom"/>
            <w:shd w:val="clear" w:color="auto" w:fill="E3F1DA"/>
          </w:tcPr>
          <w:p>
            <w:pPr>
              <w:spacing w:after="0"/>
              <w:rPr>
                <w:sz w:val="18"/>
                <w:szCs w:val="18"/>
                <w:color w:val="auto"/>
              </w:rPr>
            </w:pPr>
          </w:p>
        </w:tc>
        <w:tc>
          <w:tcPr>
            <w:tcW w:w="1460" w:type="dxa"/>
            <w:vAlign w:val="bottom"/>
            <w:shd w:val="clear" w:color="auto" w:fill="E3F1DA"/>
          </w:tcPr>
          <w:p>
            <w:pPr>
              <w:jc w:val="right"/>
              <w:ind w:right="20"/>
              <w:spacing w:after="0"/>
              <w:rPr>
                <w:sz w:val="20"/>
                <w:szCs w:val="20"/>
                <w:color w:val="auto"/>
              </w:rPr>
            </w:pPr>
            <w:r>
              <w:rPr>
                <w:rFonts w:ascii="Arial" w:cs="Arial" w:eastAsia="Arial" w:hAnsi="Arial"/>
                <w:sz w:val="18"/>
                <w:szCs w:val="18"/>
                <w:color w:val="auto"/>
              </w:rPr>
              <w:t>46.2</w:t>
            </w:r>
            <w:r>
              <w:rPr>
                <w:rFonts w:ascii="Arial" w:cs="Arial" w:eastAsia="Arial" w:hAnsi="Arial"/>
                <w:sz w:val="12"/>
                <w:szCs w:val="12"/>
                <w:color w:val="auto"/>
              </w:rPr>
              <w:t>(1)</w:t>
            </w:r>
          </w:p>
        </w:tc>
        <w:tc>
          <w:tcPr>
            <w:tcW w:w="340" w:type="dxa"/>
            <w:vAlign w:val="bottom"/>
            <w:shd w:val="clear" w:color="auto" w:fill="E3F1DA"/>
          </w:tcPr>
          <w:p>
            <w:pPr>
              <w:spacing w:after="0"/>
              <w:rPr>
                <w:sz w:val="18"/>
                <w:szCs w:val="18"/>
                <w:color w:val="auto"/>
              </w:rPr>
            </w:pPr>
          </w:p>
        </w:tc>
        <w:tc>
          <w:tcPr>
            <w:tcW w:w="1560" w:type="dxa"/>
            <w:vAlign w:val="bottom"/>
            <w:shd w:val="clear" w:color="auto" w:fill="E3F1DA"/>
          </w:tcPr>
          <w:p>
            <w:pPr>
              <w:jc w:val="right"/>
              <w:ind w:right="57"/>
              <w:spacing w:after="0" w:line="216" w:lineRule="exact"/>
              <w:rPr>
                <w:sz w:val="20"/>
                <w:szCs w:val="20"/>
                <w:color w:val="auto"/>
              </w:rPr>
            </w:pPr>
            <w:r>
              <w:rPr>
                <w:rFonts w:ascii="Arial" w:cs="Arial" w:eastAsia="Arial" w:hAnsi="Arial"/>
                <w:sz w:val="18"/>
                <w:szCs w:val="18"/>
                <w:color w:val="auto"/>
              </w:rPr>
              <w:t>(46.2)</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939598"/>
              </w:rPr>
              <w:t>Forward contracts:</w:t>
            </w: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£4.0 to $6.4</w:t>
            </w:r>
          </w:p>
        </w:tc>
        <w:tc>
          <w:tcPr>
            <w:tcW w:w="2900" w:type="dxa"/>
            <w:vAlign w:val="bottom"/>
            <w:tcBorders>
              <w:bottom w:val="single" w:sz="8" w:color="939598"/>
            </w:tcBorders>
            <w:shd w:val="clear" w:color="auto" w:fill="E3F1DA"/>
          </w:tcPr>
          <w:p>
            <w:pPr>
              <w:spacing w:after="0"/>
              <w:rPr>
                <w:sz w:val="18"/>
                <w:szCs w:val="18"/>
                <w:color w:val="auto"/>
              </w:rPr>
            </w:pPr>
          </w:p>
        </w:tc>
        <w:tc>
          <w:tcPr>
            <w:tcW w:w="1460" w:type="dxa"/>
            <w:vAlign w:val="bottom"/>
            <w:tcBorders>
              <w:bottom w:val="single" w:sz="8" w:color="939598"/>
            </w:tcBorders>
            <w:shd w:val="clear" w:color="auto" w:fill="E3F1DA"/>
          </w:tcPr>
          <w:p>
            <w:pPr>
              <w:jc w:val="right"/>
              <w:ind w:right="160"/>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939598"/>
            </w:tcBorders>
            <w:shd w:val="clear" w:color="auto" w:fill="E3F1DA"/>
          </w:tcPr>
          <w:p>
            <w:pPr>
              <w:spacing w:after="0"/>
              <w:rPr>
                <w:sz w:val="18"/>
                <w:szCs w:val="18"/>
                <w:color w:val="auto"/>
              </w:rPr>
            </w:pPr>
          </w:p>
        </w:tc>
        <w:tc>
          <w:tcPr>
            <w:tcW w:w="1560" w:type="dxa"/>
            <w:vAlign w:val="bottom"/>
            <w:tcBorders>
              <w:bottom w:val="single" w:sz="8" w:color="939598"/>
            </w:tcBorders>
            <w:shd w:val="clear" w:color="auto" w:fill="E3F1DA"/>
          </w:tcPr>
          <w:p>
            <w:pPr>
              <w:jc w:val="right"/>
              <w:ind w:right="197"/>
              <w:spacing w:after="0"/>
              <w:rPr>
                <w:sz w:val="20"/>
                <w:szCs w:val="20"/>
                <w:color w:val="auto"/>
              </w:rPr>
            </w:pPr>
            <w:r>
              <w:rPr>
                <w:rFonts w:ascii="Arial" w:cs="Arial" w:eastAsia="Arial" w:hAnsi="Arial"/>
                <w:sz w:val="18"/>
                <w:szCs w:val="18"/>
                <w:color w:val="auto"/>
              </w:rPr>
              <w:t>(0.6)</w:t>
            </w:r>
          </w:p>
        </w:tc>
      </w:tr>
      <w:tr>
        <w:trPr>
          <w:trHeight w:val="466"/>
        </w:trPr>
        <w:tc>
          <w:tcPr>
            <w:tcW w:w="5160" w:type="dxa"/>
            <w:vAlign w:val="bottom"/>
            <w:tcBorders>
              <w:bottom w:val="single" w:sz="8" w:color="939598"/>
            </w:tcBorders>
            <w:gridSpan w:val="2"/>
          </w:tcPr>
          <w:p>
            <w:pPr>
              <w:spacing w:after="0"/>
              <w:rPr>
                <w:sz w:val="20"/>
                <w:szCs w:val="20"/>
                <w:color w:val="auto"/>
              </w:rPr>
            </w:pPr>
            <w:r>
              <w:rPr>
                <w:rFonts w:ascii="Arial" w:cs="Arial" w:eastAsia="Arial" w:hAnsi="Arial"/>
                <w:sz w:val="14"/>
                <w:szCs w:val="14"/>
                <w:b w:val="1"/>
                <w:bCs w:val="1"/>
                <w:color w:val="86B6A5"/>
              </w:rPr>
              <w:t>2011 (in millions)</w:t>
            </w:r>
          </w:p>
        </w:tc>
        <w:tc>
          <w:tcPr>
            <w:tcW w:w="2900" w:type="dxa"/>
            <w:vAlign w:val="bottom"/>
            <w:tcBorders>
              <w:bottom w:val="single" w:sz="8" w:color="939598"/>
            </w:tcBorders>
          </w:tcPr>
          <w:p>
            <w:pPr>
              <w:spacing w:after="0"/>
              <w:rPr>
                <w:sz w:val="24"/>
                <w:szCs w:val="24"/>
                <w:color w:val="auto"/>
              </w:rPr>
            </w:pPr>
          </w:p>
        </w:tc>
        <w:tc>
          <w:tcPr>
            <w:tcW w:w="3360" w:type="dxa"/>
            <w:vAlign w:val="bottom"/>
            <w:tcBorders>
              <w:bottom w:val="single" w:sz="8" w:color="939598"/>
            </w:tcBorders>
            <w:gridSpan w:val="3"/>
          </w:tcPr>
          <w:p>
            <w:pPr>
              <w:jc w:val="right"/>
              <w:ind w:right="257"/>
              <w:spacing w:after="0"/>
              <w:rPr>
                <w:sz w:val="20"/>
                <w:szCs w:val="20"/>
                <w:color w:val="auto"/>
              </w:rPr>
            </w:pPr>
            <w:r>
              <w:rPr>
                <w:rFonts w:ascii="Arial" w:cs="Arial" w:eastAsia="Arial" w:hAnsi="Arial"/>
                <w:sz w:val="14"/>
                <w:szCs w:val="14"/>
                <w:b w:val="1"/>
                <w:bCs w:val="1"/>
                <w:color w:val="86B6A5"/>
              </w:rPr>
              <w:t>Movements In Exchange Rates</w:t>
            </w:r>
          </w:p>
        </w:tc>
      </w:tr>
      <w:tr>
        <w:trPr>
          <w:trHeight w:val="210"/>
        </w:trPr>
        <w:tc>
          <w:tcPr>
            <w:tcW w:w="5160" w:type="dxa"/>
            <w:vAlign w:val="bottom"/>
            <w:gridSpan w:val="2"/>
          </w:tcPr>
          <w:p>
            <w:pPr>
              <w:spacing w:after="0"/>
              <w:rPr>
                <w:sz w:val="20"/>
                <w:szCs w:val="20"/>
                <w:color w:val="auto"/>
              </w:rPr>
            </w:pPr>
            <w:r>
              <w:rPr>
                <w:rFonts w:ascii="Arial" w:cs="Arial" w:eastAsia="Arial" w:hAnsi="Arial"/>
                <w:sz w:val="14"/>
                <w:szCs w:val="14"/>
                <w:b w:val="1"/>
                <w:bCs w:val="1"/>
                <w:color w:val="86B6A5"/>
              </w:rPr>
              <w:t>Market Sensitive Instrument</w:t>
            </w:r>
          </w:p>
        </w:tc>
        <w:tc>
          <w:tcPr>
            <w:tcW w:w="2900" w:type="dxa"/>
            <w:vAlign w:val="bottom"/>
          </w:tcPr>
          <w:p>
            <w:pPr>
              <w:spacing w:after="0"/>
              <w:rPr>
                <w:sz w:val="18"/>
                <w:szCs w:val="18"/>
                <w:color w:val="auto"/>
              </w:rPr>
            </w:pPr>
          </w:p>
        </w:tc>
        <w:tc>
          <w:tcPr>
            <w:tcW w:w="1460" w:type="dxa"/>
            <w:vAlign w:val="bottom"/>
          </w:tcPr>
          <w:p>
            <w:pPr>
              <w:jc w:val="right"/>
              <w:ind w:right="160"/>
              <w:spacing w:after="0"/>
              <w:rPr>
                <w:sz w:val="20"/>
                <w:szCs w:val="20"/>
                <w:color w:val="auto"/>
              </w:rPr>
            </w:pPr>
            <w:r>
              <w:rPr>
                <w:rFonts w:ascii="Arial" w:cs="Arial" w:eastAsia="Arial" w:hAnsi="Arial"/>
                <w:sz w:val="14"/>
                <w:szCs w:val="14"/>
                <w:b w:val="1"/>
                <w:bCs w:val="1"/>
                <w:color w:val="86B6A5"/>
              </w:rPr>
              <w:t>10% Depreciation</w:t>
            </w:r>
          </w:p>
        </w:tc>
        <w:tc>
          <w:tcPr>
            <w:tcW w:w="340" w:type="dxa"/>
            <w:vAlign w:val="bottom"/>
          </w:tcPr>
          <w:p>
            <w:pPr>
              <w:spacing w:after="0"/>
              <w:rPr>
                <w:sz w:val="18"/>
                <w:szCs w:val="18"/>
                <w:color w:val="auto"/>
              </w:rPr>
            </w:pPr>
          </w:p>
        </w:tc>
        <w:tc>
          <w:tcPr>
            <w:tcW w:w="1560" w:type="dxa"/>
            <w:vAlign w:val="bottom"/>
          </w:tcPr>
          <w:p>
            <w:pPr>
              <w:jc w:val="right"/>
              <w:ind w:right="257"/>
              <w:spacing w:after="0"/>
              <w:rPr>
                <w:sz w:val="20"/>
                <w:szCs w:val="20"/>
                <w:color w:val="auto"/>
              </w:rPr>
            </w:pPr>
            <w:r>
              <w:rPr>
                <w:rFonts w:ascii="Arial" w:cs="Arial" w:eastAsia="Arial" w:hAnsi="Arial"/>
                <w:sz w:val="14"/>
                <w:szCs w:val="14"/>
                <w:b w:val="1"/>
                <w:bCs w:val="1"/>
                <w:color w:val="86B6A5"/>
              </w:rPr>
              <w:t>10% Appreciation</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Euro notes:</w:t>
            </w:r>
          </w:p>
        </w:tc>
        <w:tc>
          <w:tcPr>
            <w:tcW w:w="2900" w:type="dxa"/>
            <w:vAlign w:val="bottom"/>
            <w:tcBorders>
              <w:top w:val="single" w:sz="8" w:color="86B6A5"/>
            </w:tcBorders>
            <w:shd w:val="clear" w:color="auto" w:fill="E3F1DA"/>
          </w:tcPr>
          <w:p>
            <w:pPr>
              <w:spacing w:after="0"/>
              <w:rPr>
                <w:sz w:val="18"/>
                <w:szCs w:val="18"/>
                <w:color w:val="auto"/>
              </w:rPr>
            </w:pPr>
          </w:p>
        </w:tc>
        <w:tc>
          <w:tcPr>
            <w:tcW w:w="1460" w:type="dxa"/>
            <w:vAlign w:val="bottom"/>
            <w:tcBorders>
              <w:top w:val="single" w:sz="8" w:color="86B6A5"/>
            </w:tcBorders>
            <w:shd w:val="clear" w:color="auto" w:fill="E3F1DA"/>
          </w:tcPr>
          <w:p>
            <w:pPr>
              <w:spacing w:after="0"/>
              <w:rPr>
                <w:sz w:val="18"/>
                <w:szCs w:val="18"/>
                <w:color w:val="auto"/>
              </w:rPr>
            </w:pPr>
          </w:p>
        </w:tc>
        <w:tc>
          <w:tcPr>
            <w:tcW w:w="340" w:type="dxa"/>
            <w:vAlign w:val="bottom"/>
            <w:tcBorders>
              <w:top w:val="single" w:sz="8" w:color="86B6A5"/>
            </w:tcBorders>
            <w:shd w:val="clear" w:color="auto" w:fill="E3F1DA"/>
          </w:tcPr>
          <w:p>
            <w:pPr>
              <w:spacing w:after="0"/>
              <w:rPr>
                <w:sz w:val="18"/>
                <w:szCs w:val="18"/>
                <w:color w:val="auto"/>
              </w:rPr>
            </w:pPr>
          </w:p>
        </w:tc>
        <w:tc>
          <w:tcPr>
            <w:tcW w:w="156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€200.0, 4.86% Notes due June 2013</w:t>
            </w:r>
          </w:p>
        </w:tc>
        <w:tc>
          <w:tcPr>
            <w:tcW w:w="2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25.9</w:t>
            </w:r>
            <w:r>
              <w:rPr>
                <w:rFonts w:ascii="Arial" w:cs="Arial" w:eastAsia="Arial" w:hAnsi="Arial"/>
                <w:sz w:val="12"/>
                <w:szCs w:val="12"/>
                <w:color w:val="auto"/>
              </w:rPr>
              <w:t>(1)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7"/>
              <w:spacing w:after="0" w:line="216" w:lineRule="exact"/>
              <w:rPr>
                <w:sz w:val="20"/>
                <w:szCs w:val="20"/>
                <w:color w:val="auto"/>
              </w:rPr>
            </w:pPr>
            <w:r>
              <w:rPr>
                <w:rFonts w:ascii="Arial" w:cs="Arial" w:eastAsia="Arial" w:hAnsi="Arial"/>
                <w:sz w:val="18"/>
                <w:szCs w:val="18"/>
                <w:color w:val="auto"/>
              </w:rPr>
              <w:t>(25.9)</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shd w:val="clear" w:color="auto" w:fill="E3F1DA"/>
          </w:tcPr>
          <w:p>
            <w:pPr>
              <w:spacing w:after="0"/>
              <w:rPr>
                <w:sz w:val="20"/>
                <w:szCs w:val="20"/>
                <w:color w:val="auto"/>
              </w:rPr>
            </w:pPr>
            <w:r>
              <w:rPr>
                <w:rFonts w:ascii="Arial" w:cs="Arial" w:eastAsia="Arial" w:hAnsi="Arial"/>
                <w:sz w:val="18"/>
                <w:szCs w:val="18"/>
                <w:color w:val="auto"/>
              </w:rPr>
              <w:t>€300.0, 4.58% Notes due June 2012</w:t>
            </w:r>
          </w:p>
        </w:tc>
        <w:tc>
          <w:tcPr>
            <w:tcW w:w="2900" w:type="dxa"/>
            <w:vAlign w:val="bottom"/>
            <w:shd w:val="clear" w:color="auto" w:fill="E3F1DA"/>
          </w:tcPr>
          <w:p>
            <w:pPr>
              <w:spacing w:after="0"/>
              <w:rPr>
                <w:sz w:val="18"/>
                <w:szCs w:val="18"/>
                <w:color w:val="auto"/>
              </w:rPr>
            </w:pPr>
          </w:p>
        </w:tc>
        <w:tc>
          <w:tcPr>
            <w:tcW w:w="1460" w:type="dxa"/>
            <w:vAlign w:val="bottom"/>
            <w:shd w:val="clear" w:color="auto" w:fill="E3F1DA"/>
          </w:tcPr>
          <w:p>
            <w:pPr>
              <w:jc w:val="right"/>
              <w:ind w:right="20"/>
              <w:spacing w:after="0"/>
              <w:rPr>
                <w:sz w:val="20"/>
                <w:szCs w:val="20"/>
                <w:color w:val="auto"/>
              </w:rPr>
            </w:pPr>
            <w:r>
              <w:rPr>
                <w:rFonts w:ascii="Arial" w:cs="Arial" w:eastAsia="Arial" w:hAnsi="Arial"/>
                <w:sz w:val="18"/>
                <w:szCs w:val="18"/>
                <w:color w:val="auto"/>
              </w:rPr>
              <w:t>38.9</w:t>
            </w:r>
            <w:r>
              <w:rPr>
                <w:rFonts w:ascii="Arial" w:cs="Arial" w:eastAsia="Arial" w:hAnsi="Arial"/>
                <w:sz w:val="12"/>
                <w:szCs w:val="12"/>
                <w:color w:val="auto"/>
              </w:rPr>
              <w:t>(1)</w:t>
            </w:r>
          </w:p>
        </w:tc>
        <w:tc>
          <w:tcPr>
            <w:tcW w:w="340" w:type="dxa"/>
            <w:vAlign w:val="bottom"/>
            <w:shd w:val="clear" w:color="auto" w:fill="E3F1DA"/>
          </w:tcPr>
          <w:p>
            <w:pPr>
              <w:spacing w:after="0"/>
              <w:rPr>
                <w:sz w:val="18"/>
                <w:szCs w:val="18"/>
                <w:color w:val="auto"/>
              </w:rPr>
            </w:pPr>
          </w:p>
        </w:tc>
        <w:tc>
          <w:tcPr>
            <w:tcW w:w="1560" w:type="dxa"/>
            <w:vAlign w:val="bottom"/>
            <w:shd w:val="clear" w:color="auto" w:fill="E3F1DA"/>
          </w:tcPr>
          <w:p>
            <w:pPr>
              <w:jc w:val="right"/>
              <w:ind w:right="57"/>
              <w:spacing w:after="0" w:line="216" w:lineRule="exact"/>
              <w:rPr>
                <w:sz w:val="20"/>
                <w:szCs w:val="20"/>
                <w:color w:val="auto"/>
              </w:rPr>
            </w:pPr>
            <w:r>
              <w:rPr>
                <w:rFonts w:ascii="Arial" w:cs="Arial" w:eastAsia="Arial" w:hAnsi="Arial"/>
                <w:sz w:val="18"/>
                <w:szCs w:val="18"/>
                <w:color w:val="auto"/>
              </w:rPr>
              <w:t>(38.9)</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939598"/>
              </w:rPr>
              <w:t>Forward contracts:</w:t>
            </w: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£17.3 to $27.0</w:t>
            </w:r>
          </w:p>
        </w:tc>
        <w:tc>
          <w:tcPr>
            <w:tcW w:w="2900" w:type="dxa"/>
            <w:vAlign w:val="bottom"/>
            <w:tcBorders>
              <w:bottom w:val="single" w:sz="8" w:color="939598"/>
            </w:tcBorders>
            <w:shd w:val="clear" w:color="auto" w:fill="E3F1DA"/>
          </w:tcPr>
          <w:p>
            <w:pPr>
              <w:spacing w:after="0"/>
              <w:rPr>
                <w:sz w:val="18"/>
                <w:szCs w:val="18"/>
                <w:color w:val="auto"/>
              </w:rPr>
            </w:pPr>
          </w:p>
        </w:tc>
        <w:tc>
          <w:tcPr>
            <w:tcW w:w="1460" w:type="dxa"/>
            <w:vAlign w:val="bottom"/>
            <w:tcBorders>
              <w:bottom w:val="single" w:sz="8" w:color="939598"/>
            </w:tcBorders>
            <w:shd w:val="clear" w:color="auto" w:fill="E3F1DA"/>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939598"/>
            </w:tcBorders>
            <w:shd w:val="clear" w:color="auto" w:fill="E3F1DA"/>
          </w:tcPr>
          <w:p>
            <w:pPr>
              <w:spacing w:after="0"/>
              <w:rPr>
                <w:sz w:val="18"/>
                <w:szCs w:val="18"/>
                <w:color w:val="auto"/>
              </w:rPr>
            </w:pPr>
          </w:p>
        </w:tc>
        <w:tc>
          <w:tcPr>
            <w:tcW w:w="1560" w:type="dxa"/>
            <w:vAlign w:val="bottom"/>
            <w:tcBorders>
              <w:bottom w:val="single" w:sz="8" w:color="939598"/>
            </w:tcBorders>
            <w:shd w:val="clear" w:color="auto" w:fill="E3F1DA"/>
          </w:tcPr>
          <w:p>
            <w:pPr>
              <w:jc w:val="right"/>
              <w:ind w:right="197"/>
              <w:spacing w:after="0"/>
              <w:rPr>
                <w:sz w:val="20"/>
                <w:szCs w:val="20"/>
                <w:color w:val="auto"/>
              </w:rPr>
            </w:pPr>
            <w:r>
              <w:rPr>
                <w:rFonts w:ascii="Arial" w:cs="Arial" w:eastAsia="Arial" w:hAnsi="Arial"/>
                <w:sz w:val="18"/>
                <w:szCs w:val="18"/>
                <w:color w:val="auto"/>
              </w:rPr>
              <w:t>(2.7)</w:t>
            </w:r>
          </w:p>
        </w:tc>
      </w:tr>
    </w:tbl>
    <w:p>
      <w:pPr>
        <w:spacing w:after="0" w:line="248" w:lineRule="exact"/>
        <w:rPr>
          <w:sz w:val="20"/>
          <w:szCs w:val="20"/>
          <w:color w:val="auto"/>
        </w:rPr>
      </w:pPr>
    </w:p>
    <w:p>
      <w:pPr>
        <w:ind w:left="58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Exchange rate movements are recorded through accumulated other comprehensive income as these instruments have been designated as an economic hedge of our net investment in subsidiaries with a euro functional currency.</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hypothetical changes in the fair value of our market sensitive instruments due to changes in interest rates, and changes in foreign currency exchange rates for the forward contracts, are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As of December 31, 2012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Arial" w:cs="Arial" w:eastAsia="Arial" w:hAnsi="Arial"/>
                <w:sz w:val="14"/>
                <w:szCs w:val="14"/>
                <w:b w:val="1"/>
                <w:bCs w:val="1"/>
                <w:color w:val="86B6A5"/>
              </w:rPr>
              <w:t>Market Sensitive Instrument (in millions)</w:t>
            </w:r>
          </w:p>
        </w:tc>
        <w:tc>
          <w:tcPr>
            <w:tcW w:w="3000" w:type="dxa"/>
            <w:vAlign w:val="bottom"/>
          </w:tcPr>
          <w:p>
            <w:pPr>
              <w:spacing w:after="0"/>
              <w:rPr>
                <w:sz w:val="14"/>
                <w:szCs w:val="14"/>
                <w:color w:val="auto"/>
              </w:rPr>
            </w:pPr>
          </w:p>
        </w:tc>
        <w:tc>
          <w:tcPr>
            <w:tcW w:w="1360" w:type="dxa"/>
            <w:vAlign w:val="bottom"/>
          </w:tcPr>
          <w:p>
            <w:pPr>
              <w:jc w:val="right"/>
              <w:ind w:right="157"/>
              <w:spacing w:after="0"/>
              <w:rPr>
                <w:sz w:val="20"/>
                <w:szCs w:val="20"/>
                <w:color w:val="auto"/>
              </w:rPr>
            </w:pPr>
            <w:r>
              <w:rPr>
                <w:rFonts w:ascii="Arial" w:cs="Arial" w:eastAsia="Arial" w:hAnsi="Arial"/>
                <w:sz w:val="14"/>
                <w:szCs w:val="14"/>
                <w:b w:val="1"/>
                <w:bCs w:val="1"/>
                <w:color w:val="86B6A5"/>
              </w:rPr>
              <w:t>10% Decrease</w:t>
            </w:r>
          </w:p>
        </w:tc>
        <w:tc>
          <w:tcPr>
            <w:tcW w:w="480" w:type="dxa"/>
            <w:vAlign w:val="bottom"/>
          </w:tcPr>
          <w:p>
            <w:pPr>
              <w:spacing w:after="0"/>
              <w:rPr>
                <w:sz w:val="14"/>
                <w:szCs w:val="14"/>
                <w:color w:val="auto"/>
              </w:rPr>
            </w:pPr>
          </w:p>
        </w:tc>
        <w:tc>
          <w:tcPr>
            <w:tcW w:w="1420" w:type="dxa"/>
            <w:vAlign w:val="bottom"/>
          </w:tcPr>
          <w:p>
            <w:pPr>
              <w:jc w:val="right"/>
              <w:ind w:right="257"/>
              <w:spacing w:after="0"/>
              <w:rPr>
                <w:sz w:val="20"/>
                <w:szCs w:val="20"/>
                <w:color w:val="auto"/>
              </w:rPr>
            </w:pPr>
            <w:r>
              <w:rPr>
                <w:rFonts w:ascii="Arial" w:cs="Arial" w:eastAsia="Arial" w:hAnsi="Arial"/>
                <w:sz w:val="14"/>
                <w:szCs w:val="14"/>
                <w:b w:val="1"/>
                <w:bCs w:val="1"/>
                <w:color w:val="86B6A5"/>
              </w:rPr>
              <w:t>10% Increase</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Fixed rate debt:</w:t>
            </w:r>
          </w:p>
        </w:tc>
        <w:tc>
          <w:tcPr>
            <w:tcW w:w="3000" w:type="dxa"/>
            <w:vAlign w:val="bottom"/>
            <w:tcBorders>
              <w:top w:val="single" w:sz="8" w:color="86B6A5"/>
            </w:tcBorders>
            <w:shd w:val="clear" w:color="auto" w:fill="E3F1DA"/>
          </w:tcPr>
          <w:p>
            <w:pPr>
              <w:spacing w:after="0"/>
              <w:rPr>
                <w:sz w:val="18"/>
                <w:szCs w:val="18"/>
                <w:color w:val="auto"/>
              </w:rPr>
            </w:pPr>
          </w:p>
        </w:tc>
        <w:tc>
          <w:tcPr>
            <w:tcW w:w="136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shd w:val="clear" w:color="auto" w:fill="E3F1DA"/>
          </w:tcPr>
          <w:p>
            <w:pPr>
              <w:spacing w:after="0"/>
              <w:rPr>
                <w:sz w:val="18"/>
                <w:szCs w:val="18"/>
                <w:color w:val="auto"/>
              </w:rPr>
            </w:pPr>
          </w:p>
        </w:tc>
        <w:tc>
          <w:tcPr>
            <w:tcW w:w="142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€200.0, 4.86% Notes due June 2013</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26.8</w:t>
            </w:r>
            <w:r>
              <w:rPr>
                <w:rFonts w:ascii="Arial" w:cs="Arial" w:eastAsia="Arial" w:hAnsi="Arial"/>
                <w:sz w:val="12"/>
                <w:szCs w:val="12"/>
                <w:color w:val="auto"/>
              </w:rPr>
              <w:t>(1)</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7"/>
              <w:spacing w:after="0" w:line="216" w:lineRule="exact"/>
              <w:rPr>
                <w:sz w:val="20"/>
                <w:szCs w:val="20"/>
                <w:color w:val="auto"/>
              </w:rPr>
            </w:pPr>
            <w:r>
              <w:rPr>
                <w:rFonts w:ascii="Arial" w:cs="Arial" w:eastAsia="Arial" w:hAnsi="Arial"/>
                <w:sz w:val="18"/>
                <w:szCs w:val="18"/>
                <w:color w:val="auto"/>
              </w:rPr>
              <w:t>(26.8)</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shd w:val="clear" w:color="auto" w:fill="E3F1DA"/>
          </w:tcPr>
          <w:p>
            <w:pPr>
              <w:spacing w:after="0"/>
              <w:rPr>
                <w:sz w:val="20"/>
                <w:szCs w:val="20"/>
                <w:color w:val="auto"/>
              </w:rPr>
            </w:pPr>
            <w:r>
              <w:rPr>
                <w:rFonts w:ascii="Arial" w:cs="Arial" w:eastAsia="Arial" w:hAnsi="Arial"/>
                <w:sz w:val="18"/>
                <w:szCs w:val="18"/>
                <w:color w:val="auto"/>
              </w:rPr>
              <w:t>€350.0, 4.51% Notes due June 2018</w:t>
            </w:r>
          </w:p>
        </w:tc>
        <w:tc>
          <w:tcPr>
            <w:tcW w:w="3000" w:type="dxa"/>
            <w:vAlign w:val="bottom"/>
            <w:shd w:val="clear" w:color="auto" w:fill="E3F1DA"/>
          </w:tcPr>
          <w:p>
            <w:pPr>
              <w:spacing w:after="0"/>
              <w:rPr>
                <w:sz w:val="18"/>
                <w:szCs w:val="18"/>
                <w:color w:val="auto"/>
              </w:rPr>
            </w:pPr>
          </w:p>
        </w:tc>
        <w:tc>
          <w:tcPr>
            <w:tcW w:w="1360" w:type="dxa"/>
            <w:vAlign w:val="bottom"/>
            <w:shd w:val="clear" w:color="auto" w:fill="E3F1DA"/>
          </w:tcPr>
          <w:p>
            <w:pPr>
              <w:jc w:val="right"/>
              <w:ind w:right="17"/>
              <w:spacing w:after="0"/>
              <w:rPr>
                <w:sz w:val="20"/>
                <w:szCs w:val="20"/>
                <w:color w:val="auto"/>
              </w:rPr>
            </w:pPr>
            <w:r>
              <w:rPr>
                <w:rFonts w:ascii="Arial" w:cs="Arial" w:eastAsia="Arial" w:hAnsi="Arial"/>
                <w:sz w:val="18"/>
                <w:szCs w:val="18"/>
                <w:color w:val="auto"/>
              </w:rPr>
              <w:t>51.1</w:t>
            </w:r>
            <w:r>
              <w:rPr>
                <w:rFonts w:ascii="Arial" w:cs="Arial" w:eastAsia="Arial" w:hAnsi="Arial"/>
                <w:sz w:val="12"/>
                <w:szCs w:val="12"/>
                <w:color w:val="auto"/>
              </w:rPr>
              <w:t>(1)</w:t>
            </w:r>
          </w:p>
        </w:tc>
        <w:tc>
          <w:tcPr>
            <w:tcW w:w="480" w:type="dxa"/>
            <w:vAlign w:val="bottom"/>
            <w:shd w:val="clear" w:color="auto" w:fill="E3F1DA"/>
          </w:tcPr>
          <w:p>
            <w:pPr>
              <w:spacing w:after="0"/>
              <w:rPr>
                <w:sz w:val="18"/>
                <w:szCs w:val="18"/>
                <w:color w:val="auto"/>
              </w:rPr>
            </w:pPr>
          </w:p>
        </w:tc>
        <w:tc>
          <w:tcPr>
            <w:tcW w:w="1420" w:type="dxa"/>
            <w:vAlign w:val="bottom"/>
            <w:shd w:val="clear" w:color="auto" w:fill="E3F1DA"/>
          </w:tcPr>
          <w:p>
            <w:pPr>
              <w:jc w:val="right"/>
              <w:ind w:right="57"/>
              <w:spacing w:after="0" w:line="216" w:lineRule="exact"/>
              <w:rPr>
                <w:sz w:val="20"/>
                <w:szCs w:val="20"/>
                <w:color w:val="auto"/>
              </w:rPr>
            </w:pPr>
            <w:r>
              <w:rPr>
                <w:rFonts w:ascii="Arial" w:cs="Arial" w:eastAsia="Arial" w:hAnsi="Arial"/>
                <w:sz w:val="18"/>
                <w:szCs w:val="18"/>
                <w:color w:val="auto"/>
              </w:rPr>
              <w:t>(51.1)</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939598"/>
              </w:rPr>
              <w:t>Forward contacts:</w:t>
            </w:r>
          </w:p>
        </w:tc>
        <w:tc>
          <w:tcPr>
            <w:tcW w:w="3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£4.0 to $6.4</w:t>
            </w:r>
          </w:p>
        </w:tc>
        <w:tc>
          <w:tcPr>
            <w:tcW w:w="3000" w:type="dxa"/>
            <w:vAlign w:val="bottom"/>
            <w:tcBorders>
              <w:bottom w:val="single" w:sz="8" w:color="939598"/>
            </w:tcBorders>
            <w:shd w:val="clear" w:color="auto" w:fill="E3F1DA"/>
          </w:tcPr>
          <w:p>
            <w:pPr>
              <w:spacing w:after="0"/>
              <w:rPr>
                <w:sz w:val="18"/>
                <w:szCs w:val="18"/>
                <w:color w:val="auto"/>
              </w:rPr>
            </w:pPr>
          </w:p>
        </w:tc>
        <w:tc>
          <w:tcPr>
            <w:tcW w:w="1360" w:type="dxa"/>
            <w:vAlign w:val="bottom"/>
            <w:tcBorders>
              <w:bottom w:val="single" w:sz="8" w:color="939598"/>
            </w:tcBorders>
            <w:shd w:val="clear" w:color="auto" w:fill="E3F1DA"/>
          </w:tcPr>
          <w:p>
            <w:pPr>
              <w:jc w:val="right"/>
              <w:ind w:right="157"/>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939598"/>
            </w:tcBorders>
            <w:shd w:val="clear" w:color="auto" w:fill="E3F1DA"/>
          </w:tcPr>
          <w:p>
            <w:pPr>
              <w:spacing w:after="0"/>
              <w:rPr>
                <w:sz w:val="18"/>
                <w:szCs w:val="18"/>
                <w:color w:val="auto"/>
              </w:rPr>
            </w:pPr>
          </w:p>
        </w:tc>
        <w:tc>
          <w:tcPr>
            <w:tcW w:w="1420" w:type="dxa"/>
            <w:vAlign w:val="bottom"/>
            <w:tcBorders>
              <w:bottom w:val="single" w:sz="8" w:color="939598"/>
            </w:tcBorders>
            <w:shd w:val="clear" w:color="auto" w:fill="E3F1DA"/>
          </w:tcPr>
          <w:p>
            <w:pPr>
              <w:jc w:val="right"/>
              <w:ind w:right="197"/>
              <w:spacing w:after="0"/>
              <w:rPr>
                <w:sz w:val="20"/>
                <w:szCs w:val="20"/>
                <w:color w:val="auto"/>
              </w:rPr>
            </w:pPr>
            <w:r>
              <w:rPr>
                <w:rFonts w:ascii="Arial" w:cs="Arial" w:eastAsia="Arial" w:hAnsi="Arial"/>
                <w:sz w:val="18"/>
                <w:szCs w:val="18"/>
                <w:color w:val="auto"/>
              </w:rPr>
              <w:t>(0.6)</w:t>
            </w:r>
          </w:p>
        </w:tc>
      </w:tr>
      <w:tr>
        <w:trPr>
          <w:trHeight w:val="412"/>
        </w:trPr>
        <w:tc>
          <w:tcPr>
            <w:tcW w:w="5160" w:type="dxa"/>
            <w:vAlign w:val="bottom"/>
            <w:gridSpan w:val="2"/>
          </w:tcPr>
          <w:p>
            <w:pPr>
              <w:spacing w:after="0"/>
              <w:rPr>
                <w:sz w:val="20"/>
                <w:szCs w:val="20"/>
                <w:color w:val="auto"/>
              </w:rPr>
            </w:pPr>
            <w:r>
              <w:rPr>
                <w:rFonts w:ascii="Arial" w:cs="Arial" w:eastAsia="Arial" w:hAnsi="Arial"/>
                <w:sz w:val="14"/>
                <w:szCs w:val="14"/>
                <w:b w:val="1"/>
                <w:bCs w:val="1"/>
                <w:color w:val="86B6A5"/>
              </w:rPr>
              <w:t>As of December 31, 2011</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4"/>
                <w:szCs w:val="14"/>
                <w:b w:val="1"/>
                <w:bCs w:val="1"/>
                <w:color w:val="86B6A5"/>
              </w:rPr>
              <w:t>Market Sensitive Instrument (in millions)</w:t>
            </w:r>
          </w:p>
        </w:tc>
        <w:tc>
          <w:tcPr>
            <w:tcW w:w="3000" w:type="dxa"/>
            <w:vAlign w:val="bottom"/>
          </w:tcPr>
          <w:p>
            <w:pPr>
              <w:spacing w:after="0"/>
              <w:rPr>
                <w:sz w:val="17"/>
                <w:szCs w:val="17"/>
                <w:color w:val="auto"/>
              </w:rPr>
            </w:pPr>
          </w:p>
        </w:tc>
        <w:tc>
          <w:tcPr>
            <w:tcW w:w="1360" w:type="dxa"/>
            <w:vAlign w:val="bottom"/>
          </w:tcPr>
          <w:p>
            <w:pPr>
              <w:jc w:val="right"/>
              <w:ind w:right="157"/>
              <w:spacing w:after="0"/>
              <w:rPr>
                <w:sz w:val="20"/>
                <w:szCs w:val="20"/>
                <w:color w:val="auto"/>
              </w:rPr>
            </w:pPr>
            <w:r>
              <w:rPr>
                <w:rFonts w:ascii="Arial" w:cs="Arial" w:eastAsia="Arial" w:hAnsi="Arial"/>
                <w:sz w:val="14"/>
                <w:szCs w:val="14"/>
                <w:b w:val="1"/>
                <w:bCs w:val="1"/>
                <w:color w:val="86B6A5"/>
              </w:rPr>
              <w:t>10% Decrease</w:t>
            </w:r>
          </w:p>
        </w:tc>
        <w:tc>
          <w:tcPr>
            <w:tcW w:w="480" w:type="dxa"/>
            <w:vAlign w:val="bottom"/>
          </w:tcPr>
          <w:p>
            <w:pPr>
              <w:spacing w:after="0"/>
              <w:rPr>
                <w:sz w:val="17"/>
                <w:szCs w:val="17"/>
                <w:color w:val="auto"/>
              </w:rPr>
            </w:pPr>
          </w:p>
        </w:tc>
        <w:tc>
          <w:tcPr>
            <w:tcW w:w="1420" w:type="dxa"/>
            <w:vAlign w:val="bottom"/>
          </w:tcPr>
          <w:p>
            <w:pPr>
              <w:jc w:val="right"/>
              <w:ind w:right="257"/>
              <w:spacing w:after="0"/>
              <w:rPr>
                <w:sz w:val="20"/>
                <w:szCs w:val="20"/>
                <w:color w:val="auto"/>
              </w:rPr>
            </w:pPr>
            <w:r>
              <w:rPr>
                <w:rFonts w:ascii="Arial" w:cs="Arial" w:eastAsia="Arial" w:hAnsi="Arial"/>
                <w:sz w:val="14"/>
                <w:szCs w:val="14"/>
                <w:b w:val="1"/>
                <w:bCs w:val="1"/>
                <w:color w:val="86B6A5"/>
              </w:rPr>
              <w:t>10% Increase</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Fixed rate debt:</w:t>
            </w:r>
          </w:p>
        </w:tc>
        <w:tc>
          <w:tcPr>
            <w:tcW w:w="3000" w:type="dxa"/>
            <w:vAlign w:val="bottom"/>
            <w:tcBorders>
              <w:top w:val="single" w:sz="8" w:color="86B6A5"/>
            </w:tcBorders>
            <w:shd w:val="clear" w:color="auto" w:fill="E3F1DA"/>
          </w:tcPr>
          <w:p>
            <w:pPr>
              <w:spacing w:after="0"/>
              <w:rPr>
                <w:sz w:val="18"/>
                <w:szCs w:val="18"/>
                <w:color w:val="auto"/>
              </w:rPr>
            </w:pPr>
          </w:p>
        </w:tc>
        <w:tc>
          <w:tcPr>
            <w:tcW w:w="136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shd w:val="clear" w:color="auto" w:fill="E3F1DA"/>
          </w:tcPr>
          <w:p>
            <w:pPr>
              <w:spacing w:after="0"/>
              <w:rPr>
                <w:sz w:val="18"/>
                <w:szCs w:val="18"/>
                <w:color w:val="auto"/>
              </w:rPr>
            </w:pPr>
          </w:p>
        </w:tc>
        <w:tc>
          <w:tcPr>
            <w:tcW w:w="142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€200.0, 4.86% Notes due June 2013</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26.4</w:t>
            </w:r>
            <w:r>
              <w:rPr>
                <w:rFonts w:ascii="Arial" w:cs="Arial" w:eastAsia="Arial" w:hAnsi="Arial"/>
                <w:sz w:val="12"/>
                <w:szCs w:val="12"/>
                <w:color w:val="auto"/>
              </w:rPr>
              <w:t>(1)</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7"/>
              <w:spacing w:after="0" w:line="216" w:lineRule="exact"/>
              <w:rPr>
                <w:sz w:val="20"/>
                <w:szCs w:val="20"/>
                <w:color w:val="auto"/>
              </w:rPr>
            </w:pPr>
            <w:r>
              <w:rPr>
                <w:rFonts w:ascii="Arial" w:cs="Arial" w:eastAsia="Arial" w:hAnsi="Arial"/>
                <w:sz w:val="18"/>
                <w:szCs w:val="18"/>
                <w:color w:val="auto"/>
              </w:rPr>
              <w:t>(26.4)</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shd w:val="clear" w:color="auto" w:fill="E3F1DA"/>
          </w:tcPr>
          <w:p>
            <w:pPr>
              <w:spacing w:after="0"/>
              <w:rPr>
                <w:sz w:val="20"/>
                <w:szCs w:val="20"/>
                <w:color w:val="auto"/>
              </w:rPr>
            </w:pPr>
            <w:r>
              <w:rPr>
                <w:rFonts w:ascii="Arial" w:cs="Arial" w:eastAsia="Arial" w:hAnsi="Arial"/>
                <w:sz w:val="18"/>
                <w:szCs w:val="18"/>
                <w:color w:val="auto"/>
              </w:rPr>
              <w:t>€300.0, 4.58% Notes due June 2012</w:t>
            </w:r>
          </w:p>
        </w:tc>
        <w:tc>
          <w:tcPr>
            <w:tcW w:w="3000" w:type="dxa"/>
            <w:vAlign w:val="bottom"/>
            <w:shd w:val="clear" w:color="auto" w:fill="E3F1DA"/>
          </w:tcPr>
          <w:p>
            <w:pPr>
              <w:spacing w:after="0"/>
              <w:rPr>
                <w:sz w:val="18"/>
                <w:szCs w:val="18"/>
                <w:color w:val="auto"/>
              </w:rPr>
            </w:pPr>
          </w:p>
        </w:tc>
        <w:tc>
          <w:tcPr>
            <w:tcW w:w="1360" w:type="dxa"/>
            <w:vAlign w:val="bottom"/>
            <w:shd w:val="clear" w:color="auto" w:fill="E3F1DA"/>
          </w:tcPr>
          <w:p>
            <w:pPr>
              <w:jc w:val="right"/>
              <w:ind w:right="17"/>
              <w:spacing w:after="0"/>
              <w:rPr>
                <w:sz w:val="20"/>
                <w:szCs w:val="20"/>
                <w:color w:val="auto"/>
              </w:rPr>
            </w:pPr>
            <w:r>
              <w:rPr>
                <w:rFonts w:ascii="Arial" w:cs="Arial" w:eastAsia="Arial" w:hAnsi="Arial"/>
                <w:sz w:val="18"/>
                <w:szCs w:val="18"/>
                <w:color w:val="auto"/>
              </w:rPr>
              <w:t>39.1</w:t>
            </w:r>
            <w:r>
              <w:rPr>
                <w:rFonts w:ascii="Arial" w:cs="Arial" w:eastAsia="Arial" w:hAnsi="Arial"/>
                <w:sz w:val="12"/>
                <w:szCs w:val="12"/>
                <w:color w:val="auto"/>
              </w:rPr>
              <w:t>(1)</w:t>
            </w:r>
          </w:p>
        </w:tc>
        <w:tc>
          <w:tcPr>
            <w:tcW w:w="480" w:type="dxa"/>
            <w:vAlign w:val="bottom"/>
            <w:shd w:val="clear" w:color="auto" w:fill="E3F1DA"/>
          </w:tcPr>
          <w:p>
            <w:pPr>
              <w:spacing w:after="0"/>
              <w:rPr>
                <w:sz w:val="18"/>
                <w:szCs w:val="18"/>
                <w:color w:val="auto"/>
              </w:rPr>
            </w:pPr>
          </w:p>
        </w:tc>
        <w:tc>
          <w:tcPr>
            <w:tcW w:w="1420" w:type="dxa"/>
            <w:vAlign w:val="bottom"/>
            <w:shd w:val="clear" w:color="auto" w:fill="E3F1DA"/>
          </w:tcPr>
          <w:p>
            <w:pPr>
              <w:jc w:val="right"/>
              <w:ind w:right="57"/>
              <w:spacing w:after="0" w:line="216" w:lineRule="exact"/>
              <w:rPr>
                <w:sz w:val="20"/>
                <w:szCs w:val="20"/>
                <w:color w:val="auto"/>
              </w:rPr>
            </w:pPr>
            <w:r>
              <w:rPr>
                <w:rFonts w:ascii="Arial" w:cs="Arial" w:eastAsia="Arial" w:hAnsi="Arial"/>
                <w:sz w:val="18"/>
                <w:szCs w:val="18"/>
                <w:color w:val="auto"/>
              </w:rPr>
              <w:t>(39.1)</w:t>
            </w:r>
            <w:r>
              <w:rPr>
                <w:rFonts w:ascii="Arial" w:cs="Arial" w:eastAsia="Arial" w:hAnsi="Arial"/>
                <w:sz w:val="24"/>
                <w:szCs w:val="24"/>
                <w:color w:val="auto"/>
                <w:vertAlign w:val="superscript"/>
              </w:rPr>
              <w:t>(1)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939598"/>
              </w:rPr>
              <w:t>Forward contacts:</w:t>
            </w:r>
          </w:p>
        </w:tc>
        <w:tc>
          <w:tcPr>
            <w:tcW w:w="3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£17.3 to $27.0</w:t>
            </w:r>
          </w:p>
        </w:tc>
        <w:tc>
          <w:tcPr>
            <w:tcW w:w="3000" w:type="dxa"/>
            <w:vAlign w:val="bottom"/>
            <w:tcBorders>
              <w:bottom w:val="single" w:sz="8" w:color="939598"/>
            </w:tcBorders>
            <w:shd w:val="clear" w:color="auto" w:fill="E3F1DA"/>
          </w:tcPr>
          <w:p>
            <w:pPr>
              <w:spacing w:after="0"/>
              <w:rPr>
                <w:sz w:val="18"/>
                <w:szCs w:val="18"/>
                <w:color w:val="auto"/>
              </w:rPr>
            </w:pPr>
          </w:p>
        </w:tc>
        <w:tc>
          <w:tcPr>
            <w:tcW w:w="1360" w:type="dxa"/>
            <w:vAlign w:val="bottom"/>
            <w:tcBorders>
              <w:bottom w:val="single" w:sz="8" w:color="939598"/>
            </w:tcBorders>
            <w:shd w:val="clear" w:color="auto" w:fill="E3F1DA"/>
          </w:tcPr>
          <w:p>
            <w:pPr>
              <w:jc w:val="right"/>
              <w:ind w:right="157"/>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939598"/>
            </w:tcBorders>
            <w:shd w:val="clear" w:color="auto" w:fill="E3F1DA"/>
          </w:tcPr>
          <w:p>
            <w:pPr>
              <w:spacing w:after="0"/>
              <w:rPr>
                <w:sz w:val="18"/>
                <w:szCs w:val="18"/>
                <w:color w:val="auto"/>
              </w:rPr>
            </w:pPr>
          </w:p>
        </w:tc>
        <w:tc>
          <w:tcPr>
            <w:tcW w:w="1420" w:type="dxa"/>
            <w:vAlign w:val="bottom"/>
            <w:tcBorders>
              <w:bottom w:val="single" w:sz="8" w:color="939598"/>
            </w:tcBorders>
            <w:shd w:val="clear" w:color="auto" w:fill="E3F1DA"/>
          </w:tcPr>
          <w:p>
            <w:pPr>
              <w:jc w:val="right"/>
              <w:ind w:right="197"/>
              <w:spacing w:after="0"/>
              <w:rPr>
                <w:sz w:val="20"/>
                <w:szCs w:val="20"/>
                <w:color w:val="auto"/>
              </w:rPr>
            </w:pPr>
            <w:r>
              <w:rPr>
                <w:rFonts w:ascii="Arial" w:cs="Arial" w:eastAsia="Arial" w:hAnsi="Arial"/>
                <w:sz w:val="18"/>
                <w:szCs w:val="18"/>
                <w:color w:val="auto"/>
              </w:rPr>
              <w:t>(2.7)</w:t>
            </w: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change in fair value is not recorded in the Consolidated Financial Statements, however disclosure of the fair value is included in Note 1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IMPACT OF ECONOMIC CONDITIONS</w:t>
      </w:r>
    </w:p>
    <w:p>
      <w:pPr>
        <w:spacing w:after="0" w:line="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63" w:name="page64"/>
    <w:bookmarkEnd w:id="63"/>
    <w:p>
      <w:pPr>
        <w:spacing w:after="0"/>
        <w:rPr>
          <w:sz w:val="20"/>
          <w:szCs w:val="20"/>
          <w:color w:val="auto"/>
        </w:rPr>
      </w:pPr>
      <w:r>
        <w:rPr>
          <w:rFonts w:ascii="Arial" w:cs="Arial" w:eastAsia="Arial" w:hAnsi="Arial"/>
          <w:sz w:val="24"/>
          <w:szCs w:val="24"/>
          <w:color w:val="4D8ABE"/>
        </w:rPr>
        <w:t>MANAGEMENT’S DISCUSSION &amp; ANALYSIS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of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LEGAL REGULATIONS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workforce solutions and services industry is closely regulated in all of the major markets in which we operate except the United States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Germany, six labor unions representing approximately two-thirds of the market for temporary workers entered into new Collective Labor Agreements with the temporary help industry. Two of these new agreements became effective in November of 2012 and the others will become effective in January–May of 2013. We expect additional unions representing temporary workers to negotiate similar arrangements. These agreements will require, among other things, higher wages to temporary employees. Our intention is to pass these higher wage rates on to clients, but at this stage we are unable to assess the success of this effort or the impact these higher costs could have on market demand. We expect this could have an unfavorable impact on our gross profit margin percent in Germany, as we may not be able to pass on these additional costs with a mark-up. However, we currently do not expect a significant impact on our consolidated or Northern Europe financial results.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2011, the French Social Security Act FY11 was passed by the French government, which requires French companies to pay a bonus to all employees when dividends paid to shareholders have increased compared to the average dividend paid over the previous two fiscal years. We currently do not expect the legislation to have a material impact on our financial results in the near term.</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has been in place by law in many countries; therefore, we have not seen any significant changes. The United Kingdom, however, was the least regulated staffing market in Europe and put various regulations into effect in October 2011 as a result of AWD. We have seen a decline in gross profit margin, as cost increases could not always be passed on with a normal mark-up, but no other significant impact on our business from these changes.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French government announced proposed legislation in 2012 to drive investment in further employment opportunities by giving tax credits to most French and foreign enterprises subject to corporate tax in France. This proposed law, Credit d’Impôt pour la Compétitivité et l’Emploi (“CICE”), would provide income tax credits based on a percentage of wages paid to employees receiving less than two and a half times the French minimum wage. The tax credit would be 4% of eligible wages in 2013 and would increase to 6% of eligible wages in 2014, and would be used to reinvest in employment and any other investment to improve the competitiveness of the Company. Any amounts not creditable against our current income taxes payable would be refunded after three years. The CICE is expected to be passed in the first quarter of 2013 and would become effective as of January 1, 2013. We are currently assessing the impact the CICE may have on our financial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RECENTLY ISSUED ACCOUNTING STANDARDS</w:t>
      </w:r>
    </w:p>
    <w:p>
      <w:pPr>
        <w:spacing w:after="0" w:line="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May 2011, the FASB issued new accounting guidance on fair value measurement. The new guidance clarifies some existing concepts, eliminates wording differences between United States Generally Accepted Accounting Principles (“GAAP”) and International Financial Reporting Standards (“IFRS”), and in some limited cases, changes some principles to achieve convergence between United States GAAP and IFRS. The new guidance results in a consistent definition of fair value and common requirements for measurement of and disclosure about fair value between United States GAAP and IFRS. It also expands the disclosures for fair value measurements that are estimated using significant unobservable (Level 3) inputs. We adopted this guidance effective January 1, 2012. There was no impact of this adoption on our Consolidated Financial Statements.</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4" w:name="page65"/>
    <w:bookmarkEnd w:id="64"/>
    <w:p>
      <w:pPr>
        <w:jc w:val="both"/>
        <w:spacing w:after="0" w:line="298" w:lineRule="auto"/>
        <w:rPr>
          <w:sz w:val="20"/>
          <w:szCs w:val="20"/>
          <w:color w:val="auto"/>
        </w:rPr>
      </w:pPr>
      <w:r>
        <w:rPr>
          <w:rFonts w:ascii="Arial" w:cs="Arial" w:eastAsia="Arial" w:hAnsi="Arial"/>
          <w:sz w:val="16"/>
          <w:szCs w:val="16"/>
          <w:color w:val="auto"/>
        </w:rPr>
        <w:t>In June 2011, the FASB issued new accounting guidance on presentation of comprehensive income. The new guidance requires an entity to present the total of comprehensive income, the components of net income, and annually present the components of other comprehensive income either in a single continuous statement of comprehensive income, or in two separate but consecutive statements. It eliminates the option to present components of other comprehensive income as part of the statement of shareholders’ equity. We adopted this guidance in the first quarter of 2012.</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2011, the FASB issued new accounting guidance on testing goodwill for impairment. Under the revised guidance, entities testing goodwill for impairment have the option of performing a qualitative assessment before calculating the fair value of the reporting unit (i.e., step 1 of the goodwill impairment test). If entities determine, on the basis of qualitative factors, that the fair value of the reporting unit is more likely than not less than the carrying amount, the two-step impairment test would be required. We adopted this guidance effective January 1, 2012. We did not adopt the option of performing a qualitative assessment and the application of the guidance to our annual impairment test had no impact on our Consolidated Financial Statements.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The guidance is effective for us in 2013. We are currently assessing the impact of the adoption of this guidance will have on our Consolidated Financial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July 2012, the FASB issued new accounting guidance on testing indefinite-lived intangible assets other than goodwill for impairment. The revised guidance allows entities the option to first assess qualitative factors to determine whether it is necessary to perform the quantitative impairment test. An entity electing to perform a qualitative assessment is no longer required to calculate the fair value of an indefinite-lived intangible asset unless the entity determines, based on a qualitative assessment, that it is “more likely than not” that the asset is impaired. The guidance is effective for us in 2013. We do not expect the adoption of this guidance to have an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FORWARD-LOOKING STATEMENTS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2012,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86B6A5"/>
        </w:rPr>
        <w:t>Management Report on Internal Control Over Financial Reporting</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This evaluation included review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of controls, evaluation of the design effectiveness of controls, testing of the operating effectiveness of controls and a conclusion on this evaluation. Deloitte &amp; Touche LLP, the Company’s independent registered public accounting firm, issued an attestation report on the effectiveness of the Company’s internal control over financial reporting as of December 31, 2012, which is included herein. Based on our evaluation we have concluded that our internal control over financial reporting was effective as of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86B6A5"/>
        </w:rPr>
        <w:t>Report of Independent Registered Public Accounting Firm</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To the Board of Directors and Shareholders of ManpowerGroup Inc.</w:t>
      </w:r>
    </w:p>
    <w:p>
      <w:pPr>
        <w:jc w:val="both"/>
        <w:spacing w:after="0" w:line="251" w:lineRule="auto"/>
        <w:rPr>
          <w:sz w:val="20"/>
          <w:szCs w:val="20"/>
          <w:color w:val="auto"/>
        </w:rPr>
      </w:pPr>
      <w:r>
        <w:rPr>
          <w:rFonts w:ascii="Arial" w:cs="Arial" w:eastAsia="Arial" w:hAnsi="Arial"/>
          <w:sz w:val="18"/>
          <w:szCs w:val="18"/>
          <w:color w:val="auto"/>
        </w:rPr>
        <w:t>We have audited the accompanying consolidated balance sheets of ManpowerGroup Inc. and subsidiaries (the “Company”) as of December 31, 2012 and 2011, and the related consolidated statements of operations, comprehensive income (loss), shareholders’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presenting comprehensive income in 2012 due to the adoption of FASB Accounting Standards Update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xml:space="preserve"> The change in presentation has been applied retrospectively to all periods presented.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22, 2013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955165"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551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2"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86B6A5"/>
        </w:rPr>
        <w:t>Report of Independent Registered Public Accounting Firm</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To the Board of Directors and Shareholders of ManpowerGroup Inc.</w:t>
      </w:r>
    </w:p>
    <w:p>
      <w:pPr>
        <w:jc w:val="both"/>
        <w:spacing w:after="0" w:line="289" w:lineRule="auto"/>
        <w:rPr>
          <w:sz w:val="20"/>
          <w:szCs w:val="20"/>
          <w:color w:val="auto"/>
        </w:rPr>
      </w:pPr>
      <w:r>
        <w:rPr>
          <w:rFonts w:ascii="Arial" w:cs="Arial" w:eastAsia="Arial" w:hAnsi="Arial"/>
          <w:sz w:val="16"/>
          <w:szCs w:val="16"/>
          <w:color w:val="auto"/>
        </w:rPr>
        <w:t xml:space="preserve">We have audited the internal control over financial reporting of ManpowerGroup Inc. and subsidiaries (the “Company”)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22, 2013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929765"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97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2"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7" w:name="page68"/>
    <w:bookmarkEnd w:id="67"/>
    <w:p>
      <w:pPr>
        <w:spacing w:after="0"/>
        <w:rPr>
          <w:sz w:val="20"/>
          <w:szCs w:val="20"/>
          <w:color w:val="auto"/>
        </w:rPr>
      </w:pPr>
      <w:r>
        <w:rPr>
          <w:rFonts w:ascii="Arial" w:cs="Arial" w:eastAsia="Arial" w:hAnsi="Arial"/>
          <w:sz w:val="24"/>
          <w:szCs w:val="24"/>
          <w:color w:val="4D8ABE"/>
        </w:rPr>
        <w:t>CONSOLIDATED STATEMENTS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180" w:type="dxa"/>
            <w:vAlign w:val="bottom"/>
            <w:tcBorders>
              <w:bottom w:val="single" w:sz="8" w:color="86B6A5"/>
            </w:tcBorders>
          </w:tcPr>
          <w:p>
            <w:pPr>
              <w:spacing w:after="0"/>
              <w:rPr>
                <w:sz w:val="14"/>
                <w:szCs w:val="14"/>
                <w:color w:val="auto"/>
              </w:rPr>
            </w:pPr>
          </w:p>
        </w:tc>
        <w:tc>
          <w:tcPr>
            <w:tcW w:w="900" w:type="dxa"/>
            <w:vAlign w:val="bottom"/>
            <w:tcBorders>
              <w:bottom w:val="single" w:sz="8" w:color="86B6A5"/>
            </w:tcBorders>
          </w:tcPr>
          <w:p>
            <w:pPr>
              <w:jc w:val="right"/>
              <w:ind w:right="93"/>
              <w:spacing w:after="0"/>
              <w:rPr>
                <w:sz w:val="20"/>
                <w:szCs w:val="20"/>
                <w:color w:val="auto"/>
              </w:rPr>
            </w:pPr>
            <w:r>
              <w:rPr>
                <w:rFonts w:ascii="Arial" w:cs="Arial" w:eastAsia="Arial" w:hAnsi="Arial"/>
                <w:sz w:val="14"/>
                <w:szCs w:val="14"/>
                <w:b w:val="1"/>
                <w:bCs w:val="1"/>
                <w:color w:val="86B6A5"/>
              </w:rPr>
              <w:t>2011</w:t>
            </w:r>
          </w:p>
        </w:tc>
        <w:tc>
          <w:tcPr>
            <w:tcW w:w="36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20,678.0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w w:val="99"/>
              </w:rPr>
              <w:t>22,006.0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18,866.5</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17,236.0</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w w:val="99"/>
              </w:rPr>
              <w:t>18,299.7</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15,621.1</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tcBorders>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939598"/>
            </w:tcBorders>
            <w:shd w:val="clear" w:color="auto" w:fill="E3F1DA"/>
          </w:tcPr>
          <w:p>
            <w:pPr>
              <w:spacing w:after="0"/>
              <w:rPr>
                <w:sz w:val="18"/>
                <w:szCs w:val="18"/>
                <w:color w:val="auto"/>
              </w:rPr>
            </w:pPr>
          </w:p>
        </w:tc>
        <w:tc>
          <w:tcPr>
            <w:tcW w:w="1160" w:type="dxa"/>
            <w:vAlign w:val="bottom"/>
            <w:tcBorders>
              <w:top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3,442.0</w:t>
            </w:r>
          </w:p>
        </w:tc>
        <w:tc>
          <w:tcPr>
            <w:tcW w:w="180" w:type="dxa"/>
            <w:vAlign w:val="bottom"/>
            <w:tcBorders>
              <w:top w:val="single" w:sz="8" w:color="939598"/>
            </w:tcBorders>
          </w:tcPr>
          <w:p>
            <w:pPr>
              <w:spacing w:after="0"/>
              <w:rPr>
                <w:sz w:val="18"/>
                <w:szCs w:val="18"/>
                <w:color w:val="auto"/>
              </w:rPr>
            </w:pPr>
          </w:p>
        </w:tc>
        <w:tc>
          <w:tcPr>
            <w:tcW w:w="900" w:type="dxa"/>
            <w:vAlign w:val="bottom"/>
            <w:tcBorders>
              <w:top w:val="single" w:sz="8" w:color="939598"/>
            </w:tcBorders>
          </w:tcPr>
          <w:p>
            <w:pPr>
              <w:jc w:val="right"/>
              <w:ind w:right="93"/>
              <w:spacing w:after="0"/>
              <w:rPr>
                <w:sz w:val="20"/>
                <w:szCs w:val="20"/>
                <w:color w:val="auto"/>
              </w:rPr>
            </w:pPr>
            <w:r>
              <w:rPr>
                <w:rFonts w:ascii="Arial" w:cs="Arial" w:eastAsia="Arial" w:hAnsi="Arial"/>
                <w:sz w:val="18"/>
                <w:szCs w:val="18"/>
                <w:color w:val="auto"/>
              </w:rPr>
              <w:t>3,706.3</w:t>
            </w:r>
          </w:p>
        </w:tc>
        <w:tc>
          <w:tcPr>
            <w:tcW w:w="360" w:type="dxa"/>
            <w:vAlign w:val="bottom"/>
            <w:tcBorders>
              <w:top w:val="single" w:sz="8" w:color="939598"/>
            </w:tcBorders>
          </w:tcPr>
          <w:p>
            <w:pPr>
              <w:spacing w:after="0"/>
              <w:rPr>
                <w:sz w:val="18"/>
                <w:szCs w:val="18"/>
                <w:color w:val="auto"/>
              </w:rPr>
            </w:pPr>
          </w:p>
        </w:tc>
        <w:tc>
          <w:tcPr>
            <w:tcW w:w="860" w:type="dxa"/>
            <w:vAlign w:val="bottom"/>
            <w:tcBorders>
              <w:top w:val="single" w:sz="8" w:color="939598"/>
            </w:tcBorders>
          </w:tcPr>
          <w:p>
            <w:pPr>
              <w:jc w:val="right"/>
              <w:ind w:right="33"/>
              <w:spacing w:after="0"/>
              <w:rPr>
                <w:sz w:val="20"/>
                <w:szCs w:val="20"/>
                <w:color w:val="auto"/>
              </w:rPr>
            </w:pPr>
            <w:r>
              <w:rPr>
                <w:rFonts w:ascii="Arial" w:cs="Arial" w:eastAsia="Arial" w:hAnsi="Arial"/>
                <w:sz w:val="18"/>
                <w:szCs w:val="18"/>
                <w:color w:val="auto"/>
              </w:rPr>
              <w:t>3,245.4</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Selling and administrative expenses, excluding impairment charges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3,030.3</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3,182.1</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2,938.6</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Goodwill and intangible asset impairment charges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428.8</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Borders>
              <w:top w:val="single" w:sz="8" w:color="939598"/>
              <w:bottom w:val="single" w:sz="8" w:color="939598"/>
            </w:tcBorders>
            <w:shd w:val="clear" w:color="auto" w:fill="E3F1DA"/>
          </w:tcPr>
          <w:p>
            <w:pPr>
              <w:spacing w:after="0"/>
              <w:rPr>
                <w:sz w:val="18"/>
                <w:szCs w:val="18"/>
                <w:color w:val="auto"/>
              </w:rPr>
            </w:pP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3,030.3</w:t>
            </w:r>
          </w:p>
        </w:tc>
        <w:tc>
          <w:tcPr>
            <w:tcW w:w="180" w:type="dxa"/>
            <w:vAlign w:val="bottom"/>
            <w:tcBorders>
              <w:top w:val="single" w:sz="8" w:color="939598"/>
              <w:bottom w:val="single" w:sz="8" w:color="939598"/>
            </w:tcBorders>
          </w:tcPr>
          <w:p>
            <w:pPr>
              <w:spacing w:after="0"/>
              <w:rPr>
                <w:sz w:val="18"/>
                <w:szCs w:val="18"/>
                <w:color w:val="auto"/>
              </w:rPr>
            </w:pPr>
          </w:p>
        </w:tc>
        <w:tc>
          <w:tcPr>
            <w:tcW w:w="90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3,182.1</w:t>
            </w:r>
          </w:p>
        </w:tc>
        <w:tc>
          <w:tcPr>
            <w:tcW w:w="360" w:type="dxa"/>
            <w:vAlign w:val="bottom"/>
            <w:tcBorders>
              <w:top w:val="single" w:sz="8" w:color="939598"/>
              <w:bottom w:val="single" w:sz="8" w:color="939598"/>
            </w:tcBorders>
          </w:tcPr>
          <w:p>
            <w:pPr>
              <w:spacing w:after="0"/>
              <w:rPr>
                <w:sz w:val="18"/>
                <w:szCs w:val="18"/>
                <w:color w:val="auto"/>
              </w:rPr>
            </w:pPr>
          </w:p>
        </w:tc>
        <w:tc>
          <w:tcPr>
            <w:tcW w:w="86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3,367.4</w:t>
            </w:r>
          </w:p>
        </w:tc>
      </w:tr>
      <w:tr>
        <w:trPr>
          <w:trHeight w:val="210"/>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Operating profit (loss)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524.2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44.3</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43.2</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tcBorders>
          </w:tcPr>
          <w:p>
            <w:pPr>
              <w:ind w:left="140"/>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tcBorders>
              <w:top w:val="single" w:sz="8" w:color="939598"/>
            </w:tcBorders>
            <w:shd w:val="clear" w:color="auto" w:fill="E3F1DA"/>
          </w:tcPr>
          <w:p>
            <w:pPr>
              <w:spacing w:after="0"/>
              <w:rPr>
                <w:sz w:val="18"/>
                <w:szCs w:val="18"/>
                <w:color w:val="auto"/>
              </w:rPr>
            </w:pPr>
          </w:p>
        </w:tc>
        <w:tc>
          <w:tcPr>
            <w:tcW w:w="1160" w:type="dxa"/>
            <w:vAlign w:val="bottom"/>
            <w:tcBorders>
              <w:top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368.4</w:t>
            </w:r>
          </w:p>
        </w:tc>
        <w:tc>
          <w:tcPr>
            <w:tcW w:w="180" w:type="dxa"/>
            <w:vAlign w:val="bottom"/>
            <w:tcBorders>
              <w:top w:val="single" w:sz="8" w:color="939598"/>
            </w:tcBorders>
          </w:tcPr>
          <w:p>
            <w:pPr>
              <w:spacing w:after="0"/>
              <w:rPr>
                <w:sz w:val="18"/>
                <w:szCs w:val="18"/>
                <w:color w:val="auto"/>
              </w:rPr>
            </w:pPr>
          </w:p>
        </w:tc>
        <w:tc>
          <w:tcPr>
            <w:tcW w:w="900" w:type="dxa"/>
            <w:vAlign w:val="bottom"/>
            <w:tcBorders>
              <w:top w:val="single" w:sz="8" w:color="939598"/>
            </w:tcBorders>
          </w:tcPr>
          <w:p>
            <w:pPr>
              <w:jc w:val="right"/>
              <w:ind w:right="93"/>
              <w:spacing w:after="0"/>
              <w:rPr>
                <w:sz w:val="20"/>
                <w:szCs w:val="20"/>
                <w:color w:val="auto"/>
              </w:rPr>
            </w:pPr>
            <w:r>
              <w:rPr>
                <w:rFonts w:ascii="Arial" w:cs="Arial" w:eastAsia="Arial" w:hAnsi="Arial"/>
                <w:sz w:val="18"/>
                <w:szCs w:val="18"/>
                <w:color w:val="auto"/>
              </w:rPr>
              <w:t>479.9</w:t>
            </w:r>
          </w:p>
        </w:tc>
        <w:tc>
          <w:tcPr>
            <w:tcW w:w="360" w:type="dxa"/>
            <w:vAlign w:val="bottom"/>
            <w:tcBorders>
              <w:top w:val="single" w:sz="8" w:color="939598"/>
            </w:tcBorders>
          </w:tcPr>
          <w:p>
            <w:pPr>
              <w:spacing w:after="0"/>
              <w:rPr>
                <w:sz w:val="18"/>
                <w:szCs w:val="18"/>
                <w:color w:val="auto"/>
              </w:rPr>
            </w:pPr>
          </w:p>
        </w:tc>
        <w:tc>
          <w:tcPr>
            <w:tcW w:w="86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(165.2)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170.8</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228.3</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98.4</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ind w:left="140"/>
              <w:spacing w:after="0"/>
              <w:rPr>
                <w:sz w:val="20"/>
                <w:szCs w:val="20"/>
                <w:color w:val="auto"/>
              </w:rPr>
            </w:pPr>
            <w:r>
              <w:rPr>
                <w:rFonts w:ascii="Arial" w:cs="Arial" w:eastAsia="Arial" w:hAnsi="Arial"/>
                <w:sz w:val="18"/>
                <w:szCs w:val="18"/>
                <w:color w:val="auto"/>
              </w:rPr>
              <w:t>Net earnings (loss)</w:t>
            </w: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197.6</w:t>
            </w:r>
          </w:p>
        </w:tc>
        <w:tc>
          <w:tcPr>
            <w:tcW w:w="180" w:type="dxa"/>
            <w:vAlign w:val="bottom"/>
            <w:tcBorders>
              <w:top w:val="single" w:sz="8" w:color="939598"/>
              <w:bottom w:val="single" w:sz="8" w:color="939598"/>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251.6</w:t>
            </w:r>
          </w:p>
        </w:tc>
        <w:tc>
          <w:tcPr>
            <w:tcW w:w="360" w:type="dxa"/>
            <w:vAlign w:val="bottom"/>
            <w:tcBorders>
              <w:top w:val="single" w:sz="8" w:color="939598"/>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(263.6)</w:t>
            </w:r>
          </w:p>
        </w:tc>
      </w:tr>
      <w:tr>
        <w:trPr>
          <w:trHeight w:val="210"/>
        </w:trPr>
        <w:tc>
          <w:tcPr>
            <w:tcW w:w="20" w:type="dxa"/>
            <w:vAlign w:val="bottom"/>
            <w:tcBorders>
              <w:bottom w:val="single" w:sz="8" w:color="939598"/>
            </w:tcBorders>
          </w:tcPr>
          <w:p>
            <w:pPr>
              <w:spacing w:after="0"/>
              <w:rPr>
                <w:sz w:val="18"/>
                <w:szCs w:val="18"/>
                <w:color w:val="auto"/>
              </w:rPr>
            </w:pPr>
          </w:p>
        </w:tc>
        <w:tc>
          <w:tcPr>
            <w:tcW w:w="7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Net earnings (loss) per share — basic</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939598"/>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3.08</w:t>
            </w:r>
          </w:p>
        </w:tc>
        <w:tc>
          <w:tcPr>
            <w:tcW w:w="36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(3.26)</w:t>
            </w:r>
          </w:p>
        </w:tc>
      </w:tr>
      <w:tr>
        <w:trPr>
          <w:trHeight w:val="210"/>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Net earnings (loss) per share — diluted</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939598"/>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(3.26)</w:t>
            </w:r>
          </w:p>
        </w:tc>
      </w:tr>
      <w:tr>
        <w:trPr>
          <w:trHeight w:val="210"/>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Weighted average shares — basic</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79.5</w:t>
            </w:r>
          </w:p>
        </w:tc>
        <w:tc>
          <w:tcPr>
            <w:tcW w:w="18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81.6</w:t>
            </w:r>
          </w:p>
        </w:tc>
        <w:tc>
          <w:tcPr>
            <w:tcW w:w="36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81.0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82.8</w:t>
            </w:r>
          </w:p>
        </w:tc>
        <w:tc>
          <w:tcPr>
            <w:tcW w:w="3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81.0</w:t>
            </w: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160" w:type="dxa"/>
            <w:vAlign w:val="bottom"/>
            <w:shd w:val="clear" w:color="auto" w:fill="939598"/>
          </w:tcPr>
          <w:p>
            <w:pPr>
              <w:spacing w:after="0" w:line="20" w:lineRule="exact"/>
              <w:rPr>
                <w:sz w:val="1"/>
                <w:szCs w:val="1"/>
                <w:color w:val="auto"/>
              </w:rPr>
            </w:pPr>
          </w:p>
        </w:tc>
        <w:tc>
          <w:tcPr>
            <w:tcW w:w="180" w:type="dxa"/>
            <w:vAlign w:val="bottom"/>
            <w:shd w:val="clear" w:color="auto" w:fill="939598"/>
          </w:tcPr>
          <w:p>
            <w:pPr>
              <w:spacing w:after="0" w:line="20" w:lineRule="exact"/>
              <w:rPr>
                <w:sz w:val="1"/>
                <w:szCs w:val="1"/>
                <w:color w:val="auto"/>
              </w:rPr>
            </w:pPr>
          </w:p>
        </w:tc>
        <w:tc>
          <w:tcPr>
            <w:tcW w:w="90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860" w:type="dxa"/>
            <w:vAlign w:val="bottom"/>
            <w:shd w:val="clear" w:color="auto" w:fill="939598"/>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color w:val="4D8ABE"/>
        </w:rPr>
        <w:t>CONSOLIDATED STATEMENTS OF COMPREHENSIVE INCOME (LOSS)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2011</w:t>
            </w:r>
          </w:p>
        </w:tc>
        <w:tc>
          <w:tcPr>
            <w:tcW w:w="42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197.6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251.6</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(56.4)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Translation adjustments on net investment hedge, less income taxes of $(4.8), $7.9 and $18.0,</w:t>
            </w:r>
          </w:p>
        </w:tc>
        <w:tc>
          <w:tcPr>
            <w:tcW w:w="100" w:type="dxa"/>
            <w:vAlign w:val="bottom"/>
            <w:shd w:val="clear" w:color="auto" w:fill="E3F1DA"/>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Translation adjustments of long-term intercompany loans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Unrealized gain on investments, less income taxes of $1.1, $0.0 and $0.4, respectively</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w w:val="91"/>
              </w:rPr>
              <w:t>Defined benefit pension plans and retiree health care plan, less income taxes of $(4.3), $(4.8) and $(3.3),</w:t>
            </w:r>
          </w:p>
        </w:tc>
        <w:tc>
          <w:tcPr>
            <w:tcW w:w="100" w:type="dxa"/>
            <w:vAlign w:val="bottom"/>
            <w:shd w:val="clear" w:color="auto" w:fill="E3F1DA"/>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30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4"/>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(9.6)</w:t>
            </w:r>
          </w:p>
        </w:tc>
        <w:tc>
          <w:tcPr>
            <w:tcW w:w="42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(6.9)</w:t>
            </w:r>
          </w:p>
        </w:tc>
      </w:tr>
      <w:tr>
        <w:trPr>
          <w:trHeight w:val="211"/>
        </w:trPr>
        <w:tc>
          <w:tcPr>
            <w:tcW w:w="20" w:type="dxa"/>
            <w:vAlign w:val="bottom"/>
            <w:tcBorders>
              <w:bottom w:val="single" w:sz="8" w:color="939598"/>
            </w:tcBorders>
          </w:tcPr>
          <w:p>
            <w:pPr>
              <w:spacing w:after="0"/>
              <w:rPr>
                <w:sz w:val="18"/>
                <w:szCs w:val="18"/>
                <w:color w:val="auto"/>
              </w:rPr>
            </w:pPr>
          </w:p>
        </w:tc>
        <w:tc>
          <w:tcPr>
            <w:tcW w:w="7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other comprehensive loss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194"/>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(51.7)</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(19.9)</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196.7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199.9</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160" w:type="dxa"/>
            <w:vAlign w:val="bottom"/>
            <w:shd w:val="clear" w:color="auto" w:fill="939598"/>
          </w:tcPr>
          <w:p>
            <w:pPr>
              <w:spacing w:after="0" w:line="20" w:lineRule="exact"/>
              <w:rPr>
                <w:sz w:val="1"/>
                <w:szCs w:val="1"/>
                <w:color w:val="auto"/>
              </w:rPr>
            </w:pPr>
          </w:p>
        </w:tc>
        <w:tc>
          <w:tcPr>
            <w:tcW w:w="300" w:type="dxa"/>
            <w:vAlign w:val="bottom"/>
            <w:shd w:val="clear" w:color="auto" w:fill="939598"/>
          </w:tcPr>
          <w:p>
            <w:pPr>
              <w:spacing w:after="0" w:line="20" w:lineRule="exact"/>
              <w:rPr>
                <w:sz w:val="1"/>
                <w:szCs w:val="1"/>
                <w:color w:val="auto"/>
              </w:rPr>
            </w:pPr>
          </w:p>
        </w:tc>
        <w:tc>
          <w:tcPr>
            <w:tcW w:w="800" w:type="dxa"/>
            <w:vAlign w:val="bottom"/>
            <w:shd w:val="clear" w:color="auto" w:fill="939598"/>
          </w:tcPr>
          <w:p>
            <w:pPr>
              <w:spacing w:after="0" w:line="20" w:lineRule="exact"/>
              <w:rPr>
                <w:sz w:val="1"/>
                <w:szCs w:val="1"/>
                <w:color w:val="auto"/>
              </w:rPr>
            </w:pPr>
          </w:p>
        </w:tc>
        <w:tc>
          <w:tcPr>
            <w:tcW w:w="420" w:type="dxa"/>
            <w:vAlign w:val="bottom"/>
            <w:shd w:val="clear" w:color="auto" w:fill="939598"/>
          </w:tcPr>
          <w:p>
            <w:pPr>
              <w:spacing w:after="0" w:line="20" w:lineRule="exact"/>
              <w:rPr>
                <w:sz w:val="1"/>
                <w:szCs w:val="1"/>
                <w:color w:val="auto"/>
              </w:rPr>
            </w:pPr>
          </w:p>
        </w:tc>
        <w:tc>
          <w:tcPr>
            <w:tcW w:w="78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-1397000</wp:posOffset>
            </wp:positionV>
            <wp:extent cx="728980" cy="1397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13976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8"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8" w:name="page69"/>
    <w:bookmarkEnd w:id="68"/>
    <w:p>
      <w:pPr>
        <w:spacing w:after="0"/>
        <w:rPr>
          <w:sz w:val="20"/>
          <w:szCs w:val="20"/>
          <w:color w:val="auto"/>
        </w:rPr>
      </w:pPr>
      <w:r>
        <w:rPr>
          <w:rFonts w:ascii="Arial" w:cs="Arial" w:eastAsia="Arial" w:hAnsi="Arial"/>
          <w:sz w:val="24"/>
          <w:szCs w:val="24"/>
          <w:color w:val="4D8ABE"/>
        </w:rPr>
        <w:t>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December 31</w:t>
            </w:r>
          </w:p>
        </w:tc>
        <w:tc>
          <w:tcPr>
            <w:tcW w:w="120" w:type="dxa"/>
            <w:vAlign w:val="bottom"/>
            <w:tcBorders>
              <w:bottom w:val="single" w:sz="8" w:color="86B6A5"/>
            </w:tcBorders>
            <w:shd w:val="clear" w:color="auto" w:fill="86B6A5"/>
          </w:tcPr>
          <w:p>
            <w:pPr>
              <w:spacing w:after="0"/>
              <w:rPr>
                <w:sz w:val="14"/>
                <w:szCs w:val="14"/>
                <w:color w:val="auto"/>
              </w:rPr>
            </w:pPr>
          </w:p>
        </w:tc>
        <w:tc>
          <w:tcPr>
            <w:tcW w:w="114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220" w:type="dxa"/>
            <w:vAlign w:val="bottom"/>
            <w:tcBorders>
              <w:bottom w:val="single" w:sz="8" w:color="86B6A5"/>
            </w:tcBorders>
          </w:tcPr>
          <w:p>
            <w:pPr>
              <w:spacing w:after="0"/>
              <w:rPr>
                <w:sz w:val="14"/>
                <w:szCs w:val="14"/>
                <w:color w:val="auto"/>
              </w:rPr>
            </w:pPr>
          </w:p>
        </w:tc>
        <w:tc>
          <w:tcPr>
            <w:tcW w:w="82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2011</w:t>
            </w: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b w:val="1"/>
                <w:bCs w:val="1"/>
                <w:color w:val="86B6A5"/>
              </w:rPr>
              <w:t>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Current 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648.1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580.5</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Accounts receivable, less allowance for doubtful accounts of $118.0 and $108.6, respectively</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4,179.0</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4,181.3</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176.3</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Future income tax benefits</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52.4</w:t>
            </w:r>
          </w:p>
        </w:tc>
      </w:tr>
      <w:tr>
        <w:trPr>
          <w:trHeight w:val="211"/>
        </w:trPr>
        <w:tc>
          <w:tcPr>
            <w:tcW w:w="240" w:type="dxa"/>
            <w:vAlign w:val="bottom"/>
          </w:tcPr>
          <w:p>
            <w:pPr>
              <w:spacing w:after="0"/>
              <w:rPr>
                <w:sz w:val="18"/>
                <w:szCs w:val="18"/>
                <w:color w:val="auto"/>
              </w:rPr>
            </w:pPr>
          </w:p>
        </w:tc>
        <w:tc>
          <w:tcPr>
            <w:tcW w:w="8880" w:type="dxa"/>
            <w:vAlign w:val="bottom"/>
          </w:tcPr>
          <w:p>
            <w:pPr>
              <w:ind w:left="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5,060.6</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4,990.5</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Other 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1,041.3</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984.7</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 less accumulated amortization of $213.2 and $176.1, respectively</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330.6</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354.9</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395.3</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395.1</w:t>
            </w:r>
          </w:p>
        </w:tc>
      </w:tr>
      <w:tr>
        <w:trPr>
          <w:trHeight w:val="211"/>
        </w:trPr>
        <w:tc>
          <w:tcPr>
            <w:tcW w:w="240" w:type="dxa"/>
            <w:vAlign w:val="bottom"/>
          </w:tcPr>
          <w:p>
            <w:pPr>
              <w:spacing w:after="0"/>
              <w:rPr>
                <w:sz w:val="18"/>
                <w:szCs w:val="18"/>
                <w:color w:val="auto"/>
              </w:rPr>
            </w:pPr>
          </w:p>
        </w:tc>
        <w:tc>
          <w:tcPr>
            <w:tcW w:w="8880" w:type="dxa"/>
            <w:vAlign w:val="bottom"/>
          </w:tcPr>
          <w:p>
            <w:pPr>
              <w:ind w:left="8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1,767.2</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1,734.7</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Property and Equipment</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685.6</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519.3</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511.1</w:t>
            </w:r>
          </w:p>
        </w:tc>
      </w:tr>
      <w:tr>
        <w:trPr>
          <w:trHeight w:val="211"/>
        </w:trPr>
        <w:tc>
          <w:tcPr>
            <w:tcW w:w="240" w:type="dxa"/>
            <w:vAlign w:val="bottom"/>
            <w:tcBorders>
              <w:bottom w:val="single" w:sz="8" w:color="939598"/>
            </w:tcBorders>
          </w:tcPr>
          <w:p>
            <w:pPr>
              <w:spacing w:after="0"/>
              <w:rPr>
                <w:sz w:val="18"/>
                <w:szCs w:val="18"/>
                <w:color w:val="auto"/>
              </w:rPr>
            </w:pPr>
          </w:p>
        </w:tc>
        <w:tc>
          <w:tcPr>
            <w:tcW w:w="8880" w:type="dxa"/>
            <w:vAlign w:val="bottom"/>
            <w:tcBorders>
              <w:bottom w:val="single" w:sz="8" w:color="939598"/>
            </w:tcBorders>
          </w:tcPr>
          <w:p>
            <w:pPr>
              <w:ind w:left="8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184.8</w:t>
            </w:r>
          </w:p>
        </w:tc>
        <w:tc>
          <w:tcPr>
            <w:tcW w:w="22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174.5</w:t>
            </w:r>
          </w:p>
        </w:tc>
      </w:tr>
      <w:tr>
        <w:trPr>
          <w:trHeight w:val="210"/>
        </w:trPr>
        <w:tc>
          <w:tcPr>
            <w:tcW w:w="240" w:type="dxa"/>
            <w:vAlign w:val="bottom"/>
            <w:tcBorders>
              <w:bottom w:val="single" w:sz="8" w:color="939598"/>
            </w:tcBorders>
          </w:tcPr>
          <w:p>
            <w:pPr>
              <w:spacing w:after="0"/>
              <w:rPr>
                <w:sz w:val="18"/>
                <w:szCs w:val="18"/>
                <w:color w:val="auto"/>
              </w:rPr>
            </w:pPr>
          </w:p>
        </w:tc>
        <w:tc>
          <w:tcPr>
            <w:tcW w:w="8880" w:type="dxa"/>
            <w:vAlign w:val="bottom"/>
            <w:tcBorders>
              <w:bottom w:val="single" w:sz="8" w:color="939598"/>
            </w:tcBorders>
          </w:tcPr>
          <w:p>
            <w:pPr>
              <w:ind w:left="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7,012.6</w:t>
            </w:r>
          </w:p>
        </w:tc>
        <w:tc>
          <w:tcPr>
            <w:tcW w:w="220" w:type="dxa"/>
            <w:vAlign w:val="bottom"/>
            <w:tcBorders>
              <w:bottom w:val="single" w:sz="8" w:color="939598"/>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6,899.7</w:t>
            </w:r>
          </w:p>
        </w:tc>
      </w:tr>
      <w:tr>
        <w:trPr>
          <w:trHeight w:val="424"/>
        </w:trPr>
        <w:tc>
          <w:tcPr>
            <w:tcW w:w="9120" w:type="dxa"/>
            <w:vAlign w:val="bottom"/>
            <w:gridSpan w:val="2"/>
          </w:tcPr>
          <w:p>
            <w:pPr>
              <w:spacing w:after="0"/>
              <w:rPr>
                <w:sz w:val="20"/>
                <w:szCs w:val="20"/>
                <w:color w:val="auto"/>
              </w:rPr>
            </w:pPr>
            <w:r>
              <w:rPr>
                <w:rFonts w:ascii="Arial" w:cs="Arial" w:eastAsia="Arial" w:hAnsi="Arial"/>
                <w:sz w:val="18"/>
                <w:szCs w:val="18"/>
                <w:b w:val="1"/>
                <w:bCs w:val="1"/>
                <w:color w:val="86B6A5"/>
              </w:rPr>
              <w:t>LIABILITIES AND SHAREHOLDERS’ EQUITY</w:t>
            </w:r>
          </w:p>
        </w:tc>
        <w:tc>
          <w:tcPr>
            <w:tcW w:w="120" w:type="dxa"/>
            <w:vAlign w:val="bottom"/>
            <w:shd w:val="clear" w:color="auto" w:fill="E3F1DA"/>
          </w:tcPr>
          <w:p>
            <w:pPr>
              <w:spacing w:after="0"/>
              <w:rPr>
                <w:sz w:val="24"/>
                <w:szCs w:val="24"/>
                <w:color w:val="auto"/>
              </w:rPr>
            </w:pPr>
          </w:p>
        </w:tc>
        <w:tc>
          <w:tcPr>
            <w:tcW w:w="1140" w:type="dxa"/>
            <w:vAlign w:val="bottom"/>
            <w:shd w:val="clear" w:color="auto" w:fill="E3F1DA"/>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Current Liabilities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1,466.5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1,370.6</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Employee compensation payable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210.7</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221.9</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533.8</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520.8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685.7</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712.4</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Value added taxes payable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472.5</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502.3</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308.0</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434.2</w:t>
            </w:r>
          </w:p>
        </w:tc>
      </w:tr>
      <w:tr>
        <w:trPr>
          <w:trHeight w:val="211"/>
        </w:trPr>
        <w:tc>
          <w:tcPr>
            <w:tcW w:w="240" w:type="dxa"/>
            <w:vAlign w:val="bottom"/>
          </w:tcPr>
          <w:p>
            <w:pPr>
              <w:spacing w:after="0"/>
              <w:rPr>
                <w:sz w:val="18"/>
                <w:szCs w:val="18"/>
                <w:color w:val="auto"/>
              </w:rPr>
            </w:pPr>
          </w:p>
        </w:tc>
        <w:tc>
          <w:tcPr>
            <w:tcW w:w="888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3,677.2</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3,762.2</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Other Liabilities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462.1</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266.0</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372.5</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388.1</w:t>
            </w:r>
          </w:p>
        </w:tc>
      </w:tr>
      <w:tr>
        <w:trPr>
          <w:trHeight w:val="211"/>
        </w:trPr>
        <w:tc>
          <w:tcPr>
            <w:tcW w:w="240" w:type="dxa"/>
            <w:vAlign w:val="bottom"/>
          </w:tcPr>
          <w:p>
            <w:pPr>
              <w:spacing w:after="0"/>
              <w:rPr>
                <w:sz w:val="18"/>
                <w:szCs w:val="18"/>
                <w:color w:val="auto"/>
              </w:rPr>
            </w:pPr>
          </w:p>
        </w:tc>
        <w:tc>
          <w:tcPr>
            <w:tcW w:w="8880" w:type="dxa"/>
            <w:vAlign w:val="bottom"/>
          </w:tcPr>
          <w:p>
            <w:pPr>
              <w:ind w:left="80"/>
              <w:spacing w:after="0"/>
              <w:rPr>
                <w:sz w:val="20"/>
                <w:szCs w:val="20"/>
                <w:color w:val="auto"/>
              </w:rPr>
            </w:pPr>
            <w:r>
              <w:rPr>
                <w:rFonts w:ascii="Arial" w:cs="Arial" w:eastAsia="Arial" w:hAnsi="Arial"/>
                <w:sz w:val="18"/>
                <w:szCs w:val="18"/>
                <w:color w:val="auto"/>
              </w:rPr>
              <w:t>Total other liabilities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834.6</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654.1</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Shareholders’ Equity</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w w:val="93"/>
              </w:rPr>
              <w:t>Common stock, $.01 par value, authorized 125,000,000 shares, issued 109,543,492 and 109,076,337 shares, respectively</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2,873.2</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2,839.9</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1,101.5</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971.7</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35.3</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Treasury stock at cost, 32,896,063 and 29,172,342 shares, respectively</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(1,509.4)</w:t>
            </w:r>
          </w:p>
        </w:tc>
        <w:tc>
          <w:tcPr>
            <w:tcW w:w="2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(1,364.6)</w:t>
            </w:r>
          </w:p>
        </w:tc>
      </w:tr>
      <w:tr>
        <w:trPr>
          <w:trHeight w:val="211"/>
        </w:trPr>
        <w:tc>
          <w:tcPr>
            <w:tcW w:w="240" w:type="dxa"/>
            <w:vAlign w:val="bottom"/>
            <w:tcBorders>
              <w:bottom w:val="single" w:sz="8" w:color="939598"/>
            </w:tcBorders>
          </w:tcPr>
          <w:p>
            <w:pPr>
              <w:spacing w:after="0"/>
              <w:rPr>
                <w:sz w:val="18"/>
                <w:szCs w:val="18"/>
                <w:color w:val="auto"/>
              </w:rPr>
            </w:pPr>
          </w:p>
        </w:tc>
        <w:tc>
          <w:tcPr>
            <w:tcW w:w="8880" w:type="dxa"/>
            <w:vAlign w:val="bottom"/>
            <w:tcBorders>
              <w:bottom w:val="single" w:sz="8" w:color="939598"/>
            </w:tcBorders>
          </w:tcPr>
          <w:p>
            <w:pPr>
              <w:ind w:left="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color w:val="auto"/>
              </w:rPr>
              <w:t>2,500.8</w:t>
            </w:r>
          </w:p>
        </w:tc>
        <w:tc>
          <w:tcPr>
            <w:tcW w:w="22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2,483.4</w:t>
            </w:r>
          </w:p>
        </w:tc>
      </w:tr>
      <w:tr>
        <w:trPr>
          <w:trHeight w:val="210"/>
        </w:trPr>
        <w:tc>
          <w:tcPr>
            <w:tcW w:w="240" w:type="dxa"/>
            <w:vAlign w:val="bottom"/>
            <w:tcBorders>
              <w:bottom w:val="single" w:sz="8" w:color="939598"/>
            </w:tcBorders>
          </w:tcPr>
          <w:p>
            <w:pPr>
              <w:spacing w:after="0"/>
              <w:rPr>
                <w:sz w:val="18"/>
                <w:szCs w:val="18"/>
                <w:color w:val="auto"/>
              </w:rPr>
            </w:pPr>
          </w:p>
        </w:tc>
        <w:tc>
          <w:tcPr>
            <w:tcW w:w="8880" w:type="dxa"/>
            <w:vAlign w:val="bottom"/>
            <w:tcBorders>
              <w:bottom w:val="single" w:sz="8" w:color="939598"/>
            </w:tcBorders>
          </w:tcPr>
          <w:p>
            <w:pPr>
              <w:ind w:left="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color w:val="auto"/>
              </w:rPr>
              <w:t>7,012.6</w:t>
            </w:r>
          </w:p>
        </w:tc>
        <w:tc>
          <w:tcPr>
            <w:tcW w:w="220" w:type="dxa"/>
            <w:vAlign w:val="bottom"/>
            <w:tcBorders>
              <w:bottom w:val="single" w:sz="8" w:color="939598"/>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6,899.7</w:t>
            </w:r>
          </w:p>
        </w:tc>
      </w:tr>
      <w:tr>
        <w:trPr>
          <w:trHeight w:val="424"/>
        </w:trPr>
        <w:tc>
          <w:tcPr>
            <w:tcW w:w="9120" w:type="dxa"/>
            <w:vAlign w:val="bottom"/>
            <w:gridSpan w:val="2"/>
          </w:tcPr>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40" w:type="dxa"/>
            <w:vAlign w:val="bottom"/>
          </w:tcPr>
          <w:p>
            <w:pPr>
              <w:spacing w:after="0"/>
              <w:rPr>
                <w:sz w:val="20"/>
                <w:szCs w:val="20"/>
                <w:color w:val="auto"/>
              </w:rPr>
            </w:pPr>
            <w:r>
              <w:rPr>
                <w:rFonts w:ascii="Arial" w:cs="Arial" w:eastAsia="Arial" w:hAnsi="Arial"/>
                <w:sz w:val="14"/>
                <w:szCs w:val="14"/>
                <w:b w:val="1"/>
                <w:bCs w:val="1"/>
                <w:color w:val="auto"/>
              </w:rPr>
              <w:t>51</w:t>
            </w:r>
          </w:p>
        </w:tc>
        <w:tc>
          <w:tcPr>
            <w:tcW w:w="8880" w:type="dxa"/>
            <w:vAlign w:val="bottom"/>
          </w:tcPr>
          <w:p>
            <w:pPr>
              <w:ind w:left="340"/>
              <w:spacing w:after="0"/>
              <w:rPr>
                <w:sz w:val="20"/>
                <w:szCs w:val="20"/>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Consolidated Balance Sheets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402"/>
        </w:trPr>
        <w:tc>
          <w:tcPr>
            <w:tcW w:w="24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-1913890</wp:posOffset>
            </wp:positionV>
            <wp:extent cx="728980" cy="1260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126047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69" w:name="page70"/>
    <w:bookmarkEnd w:id="69"/>
    <w:p>
      <w:pPr>
        <w:spacing w:after="0"/>
        <w:rPr>
          <w:sz w:val="20"/>
          <w:szCs w:val="20"/>
          <w:color w:val="auto"/>
        </w:rPr>
      </w:pPr>
      <w:r>
        <w:rPr>
          <w:rFonts w:ascii="Arial" w:cs="Arial" w:eastAsia="Arial" w:hAnsi="Arial"/>
          <w:sz w:val="24"/>
          <w:szCs w:val="24"/>
          <w:color w:val="4D8ABE"/>
        </w:rPr>
        <w:t>CONSOLIDATED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26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113"/>
              <w:spacing w:after="0"/>
              <w:rPr>
                <w:sz w:val="20"/>
                <w:szCs w:val="20"/>
                <w:color w:val="auto"/>
              </w:rPr>
            </w:pPr>
            <w:r>
              <w:rPr>
                <w:rFonts w:ascii="Arial" w:cs="Arial" w:eastAsia="Arial" w:hAnsi="Arial"/>
                <w:sz w:val="14"/>
                <w:szCs w:val="14"/>
                <w:b w:val="1"/>
                <w:bCs w:val="1"/>
                <w:color w:val="86B6A5"/>
              </w:rPr>
              <w:t>2011</w:t>
            </w:r>
          </w:p>
        </w:tc>
        <w:tc>
          <w:tcPr>
            <w:tcW w:w="4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Cash Flows from Operating Activities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197.6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251.6</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100" w:type="dxa"/>
            <w:vAlign w:val="bottom"/>
            <w:shd w:val="clear" w:color="auto" w:fill="E3F1DA"/>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104.4</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110.1</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Non-cash goodwill and intangible asset impairment charges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428.8</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31.4</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Excess tax benefit on exercise of share-based awards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Change in operating assets and liabilities, excluding the impact of acquisitions:</w:t>
            </w:r>
          </w:p>
        </w:tc>
        <w:tc>
          <w:tcPr>
            <w:tcW w:w="100" w:type="dxa"/>
            <w:vAlign w:val="bottom"/>
            <w:shd w:val="clear" w:color="auto" w:fill="E3F1DA"/>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(417.1)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(708.1)</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(48.2)</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9.9</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(52.9)</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97.7</w:t>
            </w:r>
          </w:p>
        </w:tc>
        <w:tc>
          <w:tcPr>
            <w:tcW w:w="4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621.8</w:t>
            </w:r>
          </w:p>
        </w:tc>
      </w:tr>
      <w:tr>
        <w:trPr>
          <w:trHeight w:val="211"/>
        </w:trPr>
        <w:tc>
          <w:tcPr>
            <w:tcW w:w="20" w:type="dxa"/>
            <w:vAlign w:val="bottom"/>
            <w:tcBorders>
              <w:bottom w:val="single" w:sz="8" w:color="939598"/>
            </w:tcBorders>
          </w:tcPr>
          <w:p>
            <w:pPr>
              <w:spacing w:after="0"/>
              <w:rPr>
                <w:sz w:val="18"/>
                <w:szCs w:val="18"/>
                <w:color w:val="auto"/>
              </w:rPr>
            </w:pPr>
          </w:p>
        </w:tc>
        <w:tc>
          <w:tcPr>
            <w:tcW w:w="7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color w:val="auto"/>
              </w:rPr>
              <w:t>331.6</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69.2</w:t>
            </w:r>
          </w:p>
        </w:tc>
        <w:tc>
          <w:tcPr>
            <w:tcW w:w="4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182.1</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Cash Flows from Investing Activities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193"/>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(64.9)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4.9</w:t>
            </w:r>
          </w:p>
        </w:tc>
      </w:tr>
      <w:tr>
        <w:trPr>
          <w:trHeight w:val="211"/>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(117.3)</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(109.5)</w:t>
            </w:r>
          </w:p>
        </w:tc>
        <w:tc>
          <w:tcPr>
            <w:tcW w:w="4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(323.6)</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Cash Flows from Financing Activities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193"/>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Proceeds from long-term debt</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751.6</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(703.2)</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Proceeds from share-based awards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27.1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Other share-based transactions, net</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(104.5)</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3"/>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(67.8)</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(65.1)</w:t>
            </w:r>
          </w:p>
        </w:tc>
        <w:tc>
          <w:tcPr>
            <w:tcW w:w="4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(60.8)</w:t>
            </w:r>
          </w:p>
        </w:tc>
      </w:tr>
      <w:tr>
        <w:trPr>
          <w:trHeight w:val="211"/>
        </w:trPr>
        <w:tc>
          <w:tcPr>
            <w:tcW w:w="7860" w:type="dxa"/>
            <w:vAlign w:val="bottom"/>
            <w:gridSpan w:val="2"/>
          </w:tcPr>
          <w:p>
            <w:pPr>
              <w:spacing w:after="0"/>
              <w:rPr>
                <w:sz w:val="20"/>
                <w:szCs w:val="20"/>
                <w:color w:val="auto"/>
              </w:rPr>
            </w:pPr>
            <w:r>
              <w:rPr>
                <w:rFonts w:ascii="Arial" w:cs="Arial" w:eastAsia="Arial" w:hAnsi="Arial"/>
                <w:sz w:val="18"/>
                <w:szCs w:val="18"/>
                <w:color w:val="auto"/>
              </w:rPr>
              <w:t>Cash used in financing activities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193"/>
              <w:spacing w:after="0"/>
              <w:rPr>
                <w:sz w:val="20"/>
                <w:szCs w:val="20"/>
                <w:color w:val="auto"/>
              </w:rPr>
            </w:pPr>
            <w:r>
              <w:rPr>
                <w:rFonts w:ascii="Arial" w:cs="Arial" w:eastAsia="Arial" w:hAnsi="Arial"/>
                <w:sz w:val="18"/>
                <w:szCs w:val="18"/>
                <w:color w:val="auto"/>
              </w:rPr>
              <w:t>(164.6)</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(123.5)</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tcBorders>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939598"/>
            </w:tcBorders>
            <w:shd w:val="clear" w:color="auto" w:fill="E3F1DA"/>
          </w:tcPr>
          <w:p>
            <w:pPr>
              <w:spacing w:after="0"/>
              <w:rPr>
                <w:sz w:val="18"/>
                <w:szCs w:val="18"/>
                <w:color w:val="auto"/>
              </w:rPr>
            </w:pPr>
          </w:p>
        </w:tc>
        <w:tc>
          <w:tcPr>
            <w:tcW w:w="1160" w:type="dxa"/>
            <w:vAlign w:val="bottom"/>
            <w:tcBorders>
              <w:top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67.6</w:t>
            </w:r>
          </w:p>
        </w:tc>
        <w:tc>
          <w:tcPr>
            <w:tcW w:w="260" w:type="dxa"/>
            <w:vAlign w:val="bottom"/>
            <w:tcBorders>
              <w:top w:val="single" w:sz="8" w:color="939598"/>
            </w:tcBorders>
          </w:tcPr>
          <w:p>
            <w:pPr>
              <w:spacing w:after="0"/>
              <w:rPr>
                <w:sz w:val="18"/>
                <w:szCs w:val="18"/>
                <w:color w:val="auto"/>
              </w:rPr>
            </w:pPr>
          </w:p>
        </w:tc>
        <w:tc>
          <w:tcPr>
            <w:tcW w:w="840" w:type="dxa"/>
            <w:vAlign w:val="bottom"/>
            <w:tcBorders>
              <w:top w:val="single" w:sz="8" w:color="939598"/>
            </w:tcBorders>
          </w:tcPr>
          <w:p>
            <w:pPr>
              <w:jc w:val="right"/>
              <w:ind w:right="53"/>
              <w:spacing w:after="0"/>
              <w:rPr>
                <w:sz w:val="20"/>
                <w:szCs w:val="20"/>
                <w:color w:val="auto"/>
              </w:rPr>
            </w:pPr>
            <w:r>
              <w:rPr>
                <w:rFonts w:ascii="Arial" w:cs="Arial" w:eastAsia="Arial" w:hAnsi="Arial"/>
                <w:sz w:val="18"/>
                <w:szCs w:val="18"/>
                <w:color w:val="auto"/>
              </w:rPr>
              <w:t>(192.1)</w:t>
            </w:r>
          </w:p>
        </w:tc>
        <w:tc>
          <w:tcPr>
            <w:tcW w:w="400" w:type="dxa"/>
            <w:vAlign w:val="bottom"/>
            <w:tcBorders>
              <w:top w:val="single" w:sz="8" w:color="939598"/>
            </w:tcBorders>
          </w:tcPr>
          <w:p>
            <w:pPr>
              <w:spacing w:after="0"/>
              <w:rPr>
                <w:sz w:val="18"/>
                <w:szCs w:val="18"/>
                <w:color w:val="auto"/>
              </w:rPr>
            </w:pPr>
          </w:p>
        </w:tc>
        <w:tc>
          <w:tcPr>
            <w:tcW w:w="800" w:type="dxa"/>
            <w:vAlign w:val="bottom"/>
            <w:tcBorders>
              <w:top w:val="single" w:sz="8" w:color="939598"/>
            </w:tcBorders>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580.5</w:t>
            </w:r>
          </w:p>
        </w:tc>
        <w:tc>
          <w:tcPr>
            <w:tcW w:w="26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772.6</w:t>
            </w:r>
          </w:p>
        </w:tc>
        <w:tc>
          <w:tcPr>
            <w:tcW w:w="40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1,014.6</w:t>
            </w:r>
          </w:p>
        </w:tc>
      </w:tr>
      <w:tr>
        <w:trPr>
          <w:trHeight w:val="210"/>
        </w:trPr>
        <w:tc>
          <w:tcPr>
            <w:tcW w:w="20" w:type="dxa"/>
            <w:vAlign w:val="bottom"/>
            <w:tcBorders>
              <w:bottom w:val="single" w:sz="8" w:color="939598"/>
            </w:tcBorders>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648.1</w:t>
            </w:r>
          </w:p>
        </w:tc>
        <w:tc>
          <w:tcPr>
            <w:tcW w:w="260" w:type="dxa"/>
            <w:vAlign w:val="bottom"/>
            <w:tcBorders>
              <w:top w:val="single" w:sz="8" w:color="939598"/>
              <w:bottom w:val="single" w:sz="8" w:color="939598"/>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rPr>
              <w:t>580.5</w:t>
            </w:r>
          </w:p>
        </w:tc>
        <w:tc>
          <w:tcPr>
            <w:tcW w:w="400" w:type="dxa"/>
            <w:vAlign w:val="bottom"/>
            <w:tcBorders>
              <w:top w:val="single" w:sz="8" w:color="939598"/>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772.6</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Supplemental Cash Flow Information</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39.9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43.2</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45.0</w:t>
            </w:r>
          </w:p>
        </w:tc>
      </w:tr>
      <w:tr>
        <w:trPr>
          <w:trHeight w:val="210"/>
        </w:trPr>
        <w:tc>
          <w:tcPr>
            <w:tcW w:w="20" w:type="dxa"/>
            <w:vAlign w:val="bottom"/>
            <w:tcBorders>
              <w:bottom w:val="single" w:sz="8" w:color="939598"/>
            </w:tcBorders>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123.0</w:t>
            </w:r>
          </w:p>
        </w:tc>
        <w:tc>
          <w:tcPr>
            <w:tcW w:w="260" w:type="dxa"/>
            <w:vAlign w:val="bottom"/>
            <w:tcBorders>
              <w:top w:val="single" w:sz="8" w:color="939598"/>
              <w:bottom w:val="single" w:sz="8" w:color="939598"/>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rPr>
              <w:t>170.7</w:t>
            </w:r>
          </w:p>
        </w:tc>
        <w:tc>
          <w:tcPr>
            <w:tcW w:w="400" w:type="dxa"/>
            <w:vAlign w:val="bottom"/>
            <w:tcBorders>
              <w:top w:val="single" w:sz="8" w:color="939598"/>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78.4</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Non-cash financing activity: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Common stock issued for acquisition</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939598"/>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-5033645</wp:posOffset>
            </wp:positionV>
            <wp:extent cx="728980" cy="3610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361061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8"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4D8ABE"/>
        </w:rPr>
        <w:t>CONSOLIDATED STATEMENTS OF SHAREHOLDERS’ EQUITY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4"/>
                <w:szCs w:val="14"/>
                <w:b w:val="1"/>
                <w:bCs w:val="1"/>
                <w:color w:val="86B6A5"/>
              </w:rPr>
              <w:t>Accumulated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86B6A5"/>
                <w:w w:val="85"/>
              </w:rPr>
              <w:t>Common Stock</w:t>
            </w:r>
          </w:p>
        </w:tc>
        <w:tc>
          <w:tcPr>
            <w:tcW w:w="22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86B6A5"/>
                <w:w w:val="91"/>
              </w:rPr>
              <w:t>Capital in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86B6A5"/>
              </w:rPr>
              <w:t>Other</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56"/>
              <w:spacing w:after="0" w:line="149" w:lineRule="exact"/>
              <w:rPr>
                <w:sz w:val="20"/>
                <w:szCs w:val="20"/>
                <w:color w:val="auto"/>
              </w:rPr>
            </w:pPr>
            <w:r>
              <w:rPr>
                <w:rFonts w:ascii="Arial" w:cs="Arial" w:eastAsia="Arial" w:hAnsi="Arial"/>
                <w:sz w:val="14"/>
                <w:szCs w:val="14"/>
                <w:b w:val="1"/>
                <w:bCs w:val="1"/>
                <w:color w:val="86B6A5"/>
                <w:w w:val="88"/>
              </w:rPr>
              <w:t>Excess of</w:t>
            </w:r>
          </w:p>
        </w:tc>
        <w:tc>
          <w:tcPr>
            <w:tcW w:w="220" w:type="dxa"/>
            <w:vAlign w:val="bottom"/>
          </w:tcPr>
          <w:p>
            <w:pPr>
              <w:spacing w:after="0"/>
              <w:rPr>
                <w:sz w:val="8"/>
                <w:szCs w:val="8"/>
                <w:color w:val="auto"/>
              </w:rPr>
            </w:pPr>
          </w:p>
        </w:tc>
        <w:tc>
          <w:tcPr>
            <w:tcW w:w="740" w:type="dxa"/>
            <w:vAlign w:val="bottom"/>
            <w:vMerge w:val="restart"/>
          </w:tcPr>
          <w:p>
            <w:pPr>
              <w:jc w:val="right"/>
              <w:ind w:right="76"/>
              <w:spacing w:after="0" w:line="149" w:lineRule="exact"/>
              <w:rPr>
                <w:sz w:val="20"/>
                <w:szCs w:val="20"/>
                <w:color w:val="auto"/>
              </w:rPr>
            </w:pPr>
            <w:r>
              <w:rPr>
                <w:rFonts w:ascii="Arial" w:cs="Arial" w:eastAsia="Arial" w:hAnsi="Arial"/>
                <w:sz w:val="14"/>
                <w:szCs w:val="14"/>
                <w:b w:val="1"/>
                <w:bCs w:val="1"/>
                <w:color w:val="86B6A5"/>
                <w:w w:val="94"/>
              </w:rPr>
              <w:t>Retained</w:t>
            </w:r>
          </w:p>
        </w:tc>
        <w:tc>
          <w:tcPr>
            <w:tcW w:w="280" w:type="dxa"/>
            <w:vAlign w:val="bottom"/>
          </w:tcPr>
          <w:p>
            <w:pPr>
              <w:spacing w:after="0"/>
              <w:rPr>
                <w:sz w:val="8"/>
                <w:szCs w:val="8"/>
                <w:color w:val="auto"/>
              </w:rPr>
            </w:pPr>
          </w:p>
        </w:tc>
        <w:tc>
          <w:tcPr>
            <w:tcW w:w="1140" w:type="dxa"/>
            <w:vAlign w:val="bottom"/>
            <w:vMerge w:val="restart"/>
          </w:tcPr>
          <w:p>
            <w:pPr>
              <w:jc w:val="right"/>
              <w:ind w:right="60"/>
              <w:spacing w:after="0" w:line="149" w:lineRule="exact"/>
              <w:rPr>
                <w:sz w:val="20"/>
                <w:szCs w:val="20"/>
                <w:color w:val="auto"/>
              </w:rPr>
            </w:pPr>
            <w:r>
              <w:rPr>
                <w:rFonts w:ascii="Arial" w:cs="Arial" w:eastAsia="Arial" w:hAnsi="Arial"/>
                <w:sz w:val="14"/>
                <w:szCs w:val="14"/>
                <w:b w:val="1"/>
                <w:bCs w:val="1"/>
                <w:color w:val="86B6A5"/>
                <w:w w:val="93"/>
              </w:rPr>
              <w:t>Comprehensive</w:t>
            </w:r>
          </w:p>
        </w:tc>
        <w:tc>
          <w:tcPr>
            <w:tcW w:w="260" w:type="dxa"/>
            <w:vAlign w:val="bottom"/>
          </w:tcPr>
          <w:p>
            <w:pPr>
              <w:spacing w:after="0"/>
              <w:rPr>
                <w:sz w:val="8"/>
                <w:szCs w:val="8"/>
                <w:color w:val="auto"/>
              </w:rPr>
            </w:pPr>
          </w:p>
        </w:tc>
        <w:tc>
          <w:tcPr>
            <w:tcW w:w="800" w:type="dxa"/>
            <w:vAlign w:val="bottom"/>
            <w:vMerge w:val="restart"/>
          </w:tcPr>
          <w:p>
            <w:pPr>
              <w:jc w:val="right"/>
              <w:ind w:right="56"/>
              <w:spacing w:after="0" w:line="149" w:lineRule="exact"/>
              <w:rPr>
                <w:sz w:val="20"/>
                <w:szCs w:val="20"/>
                <w:color w:val="auto"/>
              </w:rPr>
            </w:pPr>
            <w:r>
              <w:rPr>
                <w:rFonts w:ascii="Arial" w:cs="Arial" w:eastAsia="Arial" w:hAnsi="Arial"/>
                <w:sz w:val="14"/>
                <w:szCs w:val="14"/>
                <w:b w:val="1"/>
                <w:bCs w:val="1"/>
                <w:color w:val="86B6A5"/>
              </w:rPr>
              <w:t>Treasury</w:t>
            </w: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220" w:type="dxa"/>
            <w:vAlign w:val="bottom"/>
            <w:tcBorders>
              <w:top w:val="single" w:sz="8" w:color="939598"/>
            </w:tcBorders>
          </w:tcPr>
          <w:p>
            <w:pPr>
              <w:spacing w:after="0"/>
              <w:rPr>
                <w:sz w:val="3"/>
                <w:szCs w:val="3"/>
                <w:color w:val="auto"/>
              </w:rPr>
            </w:pPr>
          </w:p>
        </w:tc>
        <w:tc>
          <w:tcPr>
            <w:tcW w:w="320" w:type="dxa"/>
            <w:vAlign w:val="bottom"/>
            <w:tcBorders>
              <w:top w:val="single" w:sz="8" w:color="939598"/>
            </w:tcBorders>
          </w:tcPr>
          <w:p>
            <w:pPr>
              <w:spacing w:after="0"/>
              <w:rPr>
                <w:sz w:val="3"/>
                <w:szCs w:val="3"/>
                <w:color w:val="auto"/>
              </w:rPr>
            </w:pPr>
          </w:p>
        </w:tc>
        <w:tc>
          <w:tcPr>
            <w:tcW w:w="580" w:type="dxa"/>
            <w:vAlign w:val="bottom"/>
            <w:tcBorders>
              <w:top w:val="single" w:sz="8" w:color="939598"/>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Borders>
              <w:bottom w:val="single" w:sz="8" w:color="86B6A5"/>
            </w:tcBorders>
          </w:tcPr>
          <w:p>
            <w:pPr>
              <w:spacing w:after="0"/>
              <w:rPr>
                <w:sz w:val="14"/>
                <w:szCs w:val="14"/>
                <w:color w:val="auto"/>
              </w:rPr>
            </w:pPr>
          </w:p>
        </w:tc>
        <w:tc>
          <w:tcPr>
            <w:tcW w:w="1220" w:type="dxa"/>
            <w:vAlign w:val="bottom"/>
            <w:tcBorders>
              <w:bottom w:val="single" w:sz="8" w:color="86B6A5"/>
            </w:tcBorders>
          </w:tcPr>
          <w:p>
            <w:pPr>
              <w:jc w:val="right"/>
              <w:spacing w:after="0"/>
              <w:rPr>
                <w:sz w:val="20"/>
                <w:szCs w:val="20"/>
                <w:color w:val="auto"/>
              </w:rPr>
            </w:pPr>
            <w:r>
              <w:rPr>
                <w:rFonts w:ascii="Arial" w:cs="Arial" w:eastAsia="Arial" w:hAnsi="Arial"/>
                <w:sz w:val="14"/>
                <w:szCs w:val="14"/>
                <w:b w:val="1"/>
                <w:bCs w:val="1"/>
                <w:color w:val="86B6A5"/>
              </w:rPr>
              <w:t>Shares issued</w:t>
            </w:r>
          </w:p>
        </w:tc>
        <w:tc>
          <w:tcPr>
            <w:tcW w:w="320" w:type="dxa"/>
            <w:vAlign w:val="bottom"/>
            <w:tcBorders>
              <w:bottom w:val="single" w:sz="8" w:color="86B6A5"/>
            </w:tcBorders>
          </w:tcPr>
          <w:p>
            <w:pPr>
              <w:spacing w:after="0"/>
              <w:rPr>
                <w:sz w:val="14"/>
                <w:szCs w:val="14"/>
                <w:color w:val="auto"/>
              </w:rPr>
            </w:pPr>
          </w:p>
        </w:tc>
        <w:tc>
          <w:tcPr>
            <w:tcW w:w="700" w:type="dxa"/>
            <w:vAlign w:val="bottom"/>
            <w:tcBorders>
              <w:bottom w:val="single" w:sz="8" w:color="86B6A5"/>
            </w:tcBorders>
            <w:gridSpan w:val="2"/>
          </w:tcPr>
          <w:p>
            <w:pPr>
              <w:jc w:val="right"/>
              <w:ind w:right="120"/>
              <w:spacing w:after="0"/>
              <w:rPr>
                <w:sz w:val="20"/>
                <w:szCs w:val="20"/>
                <w:color w:val="auto"/>
              </w:rPr>
            </w:pPr>
            <w:r>
              <w:rPr>
                <w:rFonts w:ascii="Arial" w:cs="Arial" w:eastAsia="Arial" w:hAnsi="Arial"/>
                <w:sz w:val="14"/>
                <w:szCs w:val="14"/>
                <w:b w:val="1"/>
                <w:bCs w:val="1"/>
                <w:color w:val="86B6A5"/>
                <w:w w:val="87"/>
              </w:rPr>
              <w:t>Par Value</w:t>
            </w:r>
          </w:p>
        </w:tc>
        <w:tc>
          <w:tcPr>
            <w:tcW w:w="22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56"/>
              <w:spacing w:after="0"/>
              <w:rPr>
                <w:sz w:val="20"/>
                <w:szCs w:val="20"/>
                <w:color w:val="auto"/>
              </w:rPr>
            </w:pPr>
            <w:r>
              <w:rPr>
                <w:rFonts w:ascii="Arial" w:cs="Arial" w:eastAsia="Arial" w:hAnsi="Arial"/>
                <w:sz w:val="14"/>
                <w:szCs w:val="14"/>
                <w:b w:val="1"/>
                <w:bCs w:val="1"/>
                <w:color w:val="86B6A5"/>
                <w:w w:val="90"/>
              </w:rPr>
              <w:t>Par Value</w:t>
            </w:r>
          </w:p>
        </w:tc>
        <w:tc>
          <w:tcPr>
            <w:tcW w:w="22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76"/>
              <w:spacing w:after="0"/>
              <w:rPr>
                <w:sz w:val="20"/>
                <w:szCs w:val="20"/>
                <w:color w:val="auto"/>
              </w:rPr>
            </w:pPr>
            <w:r>
              <w:rPr>
                <w:rFonts w:ascii="Arial" w:cs="Arial" w:eastAsia="Arial" w:hAnsi="Arial"/>
                <w:sz w:val="14"/>
                <w:szCs w:val="14"/>
                <w:b w:val="1"/>
                <w:bCs w:val="1"/>
                <w:color w:val="86B6A5"/>
                <w:w w:val="93"/>
              </w:rPr>
              <w:t>Earnings</w:t>
            </w:r>
          </w:p>
        </w:tc>
        <w:tc>
          <w:tcPr>
            <w:tcW w:w="280" w:type="dxa"/>
            <w:vAlign w:val="bottom"/>
            <w:tcBorders>
              <w:bottom w:val="single" w:sz="8" w:color="86B6A5"/>
            </w:tcBorders>
          </w:tcPr>
          <w:p>
            <w:pPr>
              <w:spacing w:after="0"/>
              <w:rPr>
                <w:sz w:val="14"/>
                <w:szCs w:val="14"/>
                <w:color w:val="auto"/>
              </w:rPr>
            </w:pPr>
          </w:p>
        </w:tc>
        <w:tc>
          <w:tcPr>
            <w:tcW w:w="1140" w:type="dxa"/>
            <w:vAlign w:val="bottom"/>
            <w:tcBorders>
              <w:bottom w:val="single" w:sz="8" w:color="86B6A5"/>
            </w:tcBorders>
          </w:tcPr>
          <w:p>
            <w:pPr>
              <w:jc w:val="right"/>
              <w:ind w:right="60"/>
              <w:spacing w:after="0"/>
              <w:rPr>
                <w:sz w:val="20"/>
                <w:szCs w:val="20"/>
                <w:color w:val="auto"/>
              </w:rPr>
            </w:pPr>
            <w:r>
              <w:rPr>
                <w:rFonts w:ascii="Arial" w:cs="Arial" w:eastAsia="Arial" w:hAnsi="Arial"/>
                <w:sz w:val="14"/>
                <w:szCs w:val="14"/>
                <w:b w:val="1"/>
                <w:bCs w:val="1"/>
                <w:color w:val="86B6A5"/>
              </w:rPr>
              <w:t>Income (Loss)</w:t>
            </w:r>
          </w:p>
        </w:tc>
        <w:tc>
          <w:tcPr>
            <w:tcW w:w="26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56"/>
              <w:spacing w:after="0"/>
              <w:rPr>
                <w:sz w:val="20"/>
                <w:szCs w:val="20"/>
                <w:color w:val="auto"/>
              </w:rPr>
            </w:pPr>
            <w:r>
              <w:rPr>
                <w:rFonts w:ascii="Arial" w:cs="Arial" w:eastAsia="Arial" w:hAnsi="Arial"/>
                <w:sz w:val="14"/>
                <w:szCs w:val="14"/>
                <w:b w:val="1"/>
                <w:bCs w:val="1"/>
                <w:color w:val="86B6A5"/>
              </w:rPr>
              <w:t>Stock</w:t>
            </w:r>
          </w:p>
        </w:tc>
        <w:tc>
          <w:tcPr>
            <w:tcW w:w="30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Balance, January 1, 2010</w:t>
            </w:r>
          </w:p>
        </w:tc>
        <w:tc>
          <w:tcPr>
            <w:tcW w:w="1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104,397,965</w:t>
            </w:r>
          </w:p>
        </w:tc>
        <w:tc>
          <w:tcPr>
            <w:tcW w:w="3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3F1DA"/>
          </w:tcPr>
          <w:p>
            <w:pPr>
              <w:jc w:val="right"/>
              <w:ind w:right="56"/>
              <w:spacing w:after="0"/>
              <w:rPr>
                <w:sz w:val="20"/>
                <w:szCs w:val="20"/>
                <w:color w:val="auto"/>
              </w:rPr>
            </w:pPr>
            <w:r>
              <w:rPr>
                <w:rFonts w:ascii="Arial" w:cs="Arial" w:eastAsia="Arial" w:hAnsi="Arial"/>
                <w:sz w:val="18"/>
                <w:szCs w:val="18"/>
                <w:color w:val="auto"/>
                <w:w w:val="96"/>
              </w:rPr>
              <w:t>2,544.2</w:t>
            </w:r>
          </w:p>
        </w:tc>
        <w:tc>
          <w:tcPr>
            <w:tcW w:w="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w w:val="93"/>
              </w:rPr>
              <w:t>1,109.6</w:t>
            </w:r>
          </w:p>
        </w:tc>
        <w:tc>
          <w:tcPr>
            <w:tcW w:w="28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E3F1DA"/>
          </w:tcPr>
          <w:p>
            <w:pPr>
              <w:jc w:val="right"/>
              <w:ind w:right="60"/>
              <w:spacing w:after="0"/>
              <w:rPr>
                <w:sz w:val="20"/>
                <w:szCs w:val="20"/>
                <w:color w:val="auto"/>
              </w:rPr>
            </w:pPr>
            <w:r>
              <w:rPr>
                <w:rFonts w:ascii="Arial" w:cs="Arial" w:eastAsia="Arial" w:hAnsi="Arial"/>
                <w:sz w:val="18"/>
                <w:szCs w:val="18"/>
                <w:color w:val="auto"/>
              </w:rPr>
              <w:t>106.9</w:t>
            </w:r>
          </w:p>
        </w:tc>
        <w:tc>
          <w:tcPr>
            <w:tcW w:w="2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3F1DA"/>
          </w:tcPr>
          <w:p>
            <w:pPr>
              <w:jc w:val="right"/>
              <w:spacing w:after="0"/>
              <w:rPr>
                <w:sz w:val="20"/>
                <w:szCs w:val="20"/>
                <w:color w:val="auto"/>
              </w:rPr>
            </w:pPr>
            <w:r>
              <w:rPr>
                <w:rFonts w:ascii="Arial" w:cs="Arial" w:eastAsia="Arial" w:hAnsi="Arial"/>
                <w:sz w:val="18"/>
                <w:szCs w:val="18"/>
                <w:color w:val="auto"/>
                <w:w w:val="97"/>
              </w:rPr>
              <w:t>(1,225.2)</w:t>
            </w:r>
          </w:p>
        </w:tc>
        <w:tc>
          <w:tcPr>
            <w:tcW w:w="30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E3F1DA"/>
          </w:tcPr>
          <w:p>
            <w:pPr>
              <w:jc w:val="right"/>
              <w:ind w:right="33"/>
              <w:spacing w:after="0"/>
              <w:rPr>
                <w:sz w:val="20"/>
                <w:szCs w:val="20"/>
                <w:color w:val="auto"/>
              </w:rPr>
            </w:pPr>
            <w:r>
              <w:rPr>
                <w:rFonts w:ascii="Arial" w:cs="Arial" w:eastAsia="Arial" w:hAnsi="Arial"/>
                <w:sz w:val="18"/>
                <w:szCs w:val="18"/>
                <w:color w:val="auto"/>
              </w:rPr>
              <w:t>2,536.5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(263.6)</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Issuance under equity plans, including tax</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benefits</w:t>
            </w:r>
          </w:p>
        </w:tc>
        <w:tc>
          <w:tcPr>
            <w:tcW w:w="1220" w:type="dxa"/>
            <w:vAlign w:val="bottom"/>
          </w:tcPr>
          <w:p>
            <w:pPr>
              <w:jc w:val="right"/>
              <w:spacing w:after="0"/>
              <w:rPr>
                <w:sz w:val="20"/>
                <w:szCs w:val="20"/>
                <w:color w:val="auto"/>
              </w:rPr>
            </w:pPr>
            <w:r>
              <w:rPr>
                <w:rFonts w:ascii="Arial" w:cs="Arial" w:eastAsia="Arial" w:hAnsi="Arial"/>
                <w:sz w:val="18"/>
                <w:szCs w:val="18"/>
                <w:color w:val="auto"/>
              </w:rPr>
              <w:t>699,244</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Issuance for business acquisition</w:t>
            </w:r>
          </w:p>
        </w:tc>
        <w:tc>
          <w:tcPr>
            <w:tcW w:w="1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3,197,396</w:t>
            </w:r>
          </w:p>
        </w:tc>
        <w:tc>
          <w:tcPr>
            <w:tcW w:w="320" w:type="dxa"/>
            <w:vAlign w:val="bottom"/>
            <w:shd w:val="clear" w:color="auto" w:fill="E3F1DA"/>
          </w:tcPr>
          <w:p>
            <w:pPr>
              <w:spacing w:after="0"/>
              <w:rPr>
                <w:sz w:val="18"/>
                <w:szCs w:val="18"/>
                <w:color w:val="auto"/>
              </w:rPr>
            </w:pPr>
          </w:p>
        </w:tc>
        <w:tc>
          <w:tcPr>
            <w:tcW w:w="700" w:type="dxa"/>
            <w:vAlign w:val="bottom"/>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56"/>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ind w:right="33"/>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Dividends ($0.74 per share)</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939598"/>
            </w:tcBorders>
            <w:shd w:val="clear" w:color="auto" w:fill="E3F1DA"/>
          </w:tcPr>
          <w:p>
            <w:pPr>
              <w:spacing w:after="0"/>
              <w:rPr>
                <w:sz w:val="18"/>
                <w:szCs w:val="18"/>
                <w:color w:val="auto"/>
              </w:rPr>
            </w:pPr>
          </w:p>
        </w:tc>
        <w:tc>
          <w:tcPr>
            <w:tcW w:w="320" w:type="dxa"/>
            <w:vAlign w:val="bottom"/>
            <w:tcBorders>
              <w:bottom w:val="single" w:sz="8" w:color="939598"/>
            </w:tcBorders>
            <w:shd w:val="clear" w:color="auto" w:fill="E3F1DA"/>
          </w:tcPr>
          <w:p>
            <w:pPr>
              <w:spacing w:after="0"/>
              <w:rPr>
                <w:sz w:val="18"/>
                <w:szCs w:val="18"/>
                <w:color w:val="auto"/>
              </w:rPr>
            </w:pPr>
          </w:p>
        </w:tc>
        <w:tc>
          <w:tcPr>
            <w:tcW w:w="580" w:type="dxa"/>
            <w:vAlign w:val="bottom"/>
            <w:tcBorders>
              <w:bottom w:val="single" w:sz="8" w:color="939598"/>
            </w:tcBorders>
            <w:shd w:val="clear" w:color="auto" w:fill="E3F1DA"/>
          </w:tcPr>
          <w:p>
            <w:pPr>
              <w:spacing w:after="0"/>
              <w:rPr>
                <w:sz w:val="18"/>
                <w:szCs w:val="18"/>
                <w:color w:val="auto"/>
              </w:rPr>
            </w:pPr>
          </w:p>
        </w:tc>
        <w:tc>
          <w:tcPr>
            <w:tcW w:w="120" w:type="dxa"/>
            <w:vAlign w:val="bottom"/>
            <w:tcBorders>
              <w:bottom w:val="single" w:sz="8" w:color="939598"/>
            </w:tcBorders>
            <w:shd w:val="clear" w:color="auto" w:fill="E3F1DA"/>
          </w:tcPr>
          <w:p>
            <w:pPr>
              <w:spacing w:after="0"/>
              <w:rPr>
                <w:sz w:val="18"/>
                <w:szCs w:val="18"/>
                <w:color w:val="auto"/>
              </w:rPr>
            </w:pPr>
          </w:p>
        </w:tc>
        <w:tc>
          <w:tcPr>
            <w:tcW w:w="2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28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spacing w:after="0"/>
              <w:rPr>
                <w:sz w:val="18"/>
                <w:szCs w:val="18"/>
                <w:color w:val="auto"/>
              </w:rPr>
            </w:pPr>
          </w:p>
        </w:tc>
        <w:tc>
          <w:tcPr>
            <w:tcW w:w="26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spacing w:after="0"/>
              <w:rPr>
                <w:sz w:val="18"/>
                <w:szCs w:val="18"/>
                <w:color w:val="auto"/>
              </w:rPr>
            </w:pPr>
          </w:p>
        </w:tc>
        <w:tc>
          <w:tcPr>
            <w:tcW w:w="300" w:type="dxa"/>
            <w:vAlign w:val="bottom"/>
            <w:tcBorders>
              <w:bottom w:val="single" w:sz="8" w:color="939598"/>
            </w:tcBorders>
            <w:shd w:val="clear" w:color="auto" w:fill="E3F1DA"/>
          </w:tcPr>
          <w:p>
            <w:pPr>
              <w:spacing w:after="0"/>
              <w:rPr>
                <w:sz w:val="18"/>
                <w:szCs w:val="18"/>
                <w:color w:val="auto"/>
              </w:rPr>
            </w:pPr>
          </w:p>
        </w:tc>
        <w:tc>
          <w:tcPr>
            <w:tcW w:w="7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24"/>
        </w:trPr>
        <w:tc>
          <w:tcPr>
            <w:tcW w:w="3700" w:type="dxa"/>
            <w:vAlign w:val="bottom"/>
            <w:gridSpan w:val="2"/>
          </w:tcPr>
          <w:p>
            <w:pPr>
              <w:spacing w:after="0"/>
              <w:rPr>
                <w:sz w:val="20"/>
                <w:szCs w:val="20"/>
                <w:color w:val="auto"/>
              </w:rPr>
            </w:pPr>
            <w:r>
              <w:rPr>
                <w:rFonts w:ascii="Arial" w:cs="Arial" w:eastAsia="Arial" w:hAnsi="Arial"/>
                <w:sz w:val="18"/>
                <w:szCs w:val="18"/>
                <w:color w:val="auto"/>
              </w:rPr>
              <w:t>Balance, December 31, 2010</w:t>
            </w:r>
          </w:p>
        </w:tc>
        <w:tc>
          <w:tcPr>
            <w:tcW w:w="1220" w:type="dxa"/>
            <w:vAlign w:val="bottom"/>
          </w:tcPr>
          <w:p>
            <w:pPr>
              <w:jc w:val="right"/>
              <w:spacing w:after="0"/>
              <w:rPr>
                <w:sz w:val="20"/>
                <w:szCs w:val="20"/>
                <w:color w:val="auto"/>
              </w:rPr>
            </w:pPr>
            <w:r>
              <w:rPr>
                <w:rFonts w:ascii="Arial" w:cs="Arial" w:eastAsia="Arial" w:hAnsi="Arial"/>
                <w:sz w:val="18"/>
                <w:szCs w:val="18"/>
                <w:color w:val="auto"/>
              </w:rPr>
              <w:t>108,294,605</w:t>
            </w:r>
          </w:p>
        </w:tc>
        <w:tc>
          <w:tcPr>
            <w:tcW w:w="3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w w:val="96"/>
              </w:rPr>
              <w:t>2,781.7</w:t>
            </w:r>
          </w:p>
        </w:tc>
        <w:tc>
          <w:tcPr>
            <w:tcW w:w="220" w:type="dxa"/>
            <w:vAlign w:val="bottom"/>
          </w:tcPr>
          <w:p>
            <w:pPr>
              <w:spacing w:after="0"/>
              <w:rPr>
                <w:sz w:val="24"/>
                <w:szCs w:val="24"/>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785.2</w:t>
            </w:r>
          </w:p>
        </w:tc>
        <w:tc>
          <w:tcPr>
            <w:tcW w:w="280" w:type="dxa"/>
            <w:vAlign w:val="bottom"/>
          </w:tcPr>
          <w:p>
            <w:pPr>
              <w:spacing w:after="0"/>
              <w:rPr>
                <w:sz w:val="24"/>
                <w:szCs w:val="24"/>
                <w:color w:val="auto"/>
              </w:rPr>
            </w:pP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87.0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(1,257.8)</w:t>
            </w:r>
          </w:p>
        </w:tc>
        <w:tc>
          <w:tcPr>
            <w:tcW w:w="3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Net earnings</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rPr>
              <w:t>251.6</w:t>
            </w: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ind w:right="33"/>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Issuances under equity plans, including tax</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E3F1DA"/>
          </w:tcPr>
          <w:p>
            <w:pPr>
              <w:ind w:left="140"/>
              <w:spacing w:after="0"/>
              <w:rPr>
                <w:sz w:val="20"/>
                <w:szCs w:val="20"/>
                <w:color w:val="auto"/>
              </w:rPr>
            </w:pPr>
            <w:r>
              <w:rPr>
                <w:rFonts w:ascii="Arial" w:cs="Arial" w:eastAsia="Arial" w:hAnsi="Arial"/>
                <w:sz w:val="18"/>
                <w:szCs w:val="18"/>
                <w:color w:val="auto"/>
              </w:rPr>
              <w:t>benefits</w:t>
            </w:r>
          </w:p>
        </w:tc>
        <w:tc>
          <w:tcPr>
            <w:tcW w:w="1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781,732</w:t>
            </w:r>
          </w:p>
        </w:tc>
        <w:tc>
          <w:tcPr>
            <w:tcW w:w="320" w:type="dxa"/>
            <w:vAlign w:val="bottom"/>
            <w:shd w:val="clear" w:color="auto" w:fill="E3F1DA"/>
          </w:tcPr>
          <w:p>
            <w:pPr>
              <w:spacing w:after="0"/>
              <w:rPr>
                <w:sz w:val="19"/>
                <w:szCs w:val="19"/>
                <w:color w:val="auto"/>
              </w:rPr>
            </w:pPr>
          </w:p>
        </w:tc>
        <w:tc>
          <w:tcPr>
            <w:tcW w:w="580" w:type="dxa"/>
            <w:vAlign w:val="bottom"/>
            <w:shd w:val="clear" w:color="auto" w:fill="E3F1DA"/>
          </w:tcPr>
          <w:p>
            <w:pPr>
              <w:spacing w:after="0"/>
              <w:rPr>
                <w:sz w:val="19"/>
                <w:szCs w:val="19"/>
                <w:color w:val="auto"/>
              </w:rPr>
            </w:pPr>
          </w:p>
        </w:tc>
        <w:tc>
          <w:tcPr>
            <w:tcW w:w="120" w:type="dxa"/>
            <w:vAlign w:val="bottom"/>
            <w:shd w:val="clear" w:color="auto" w:fill="E3F1DA"/>
          </w:tcPr>
          <w:p>
            <w:pPr>
              <w:spacing w:after="0"/>
              <w:rPr>
                <w:sz w:val="19"/>
                <w:szCs w:val="19"/>
                <w:color w:val="auto"/>
              </w:rPr>
            </w:pPr>
          </w:p>
        </w:tc>
        <w:tc>
          <w:tcPr>
            <w:tcW w:w="220" w:type="dxa"/>
            <w:vAlign w:val="bottom"/>
            <w:shd w:val="clear" w:color="auto" w:fill="E3F1DA"/>
          </w:tcPr>
          <w:p>
            <w:pPr>
              <w:spacing w:after="0"/>
              <w:rPr>
                <w:sz w:val="19"/>
                <w:szCs w:val="19"/>
                <w:color w:val="auto"/>
              </w:rPr>
            </w:pPr>
          </w:p>
        </w:tc>
        <w:tc>
          <w:tcPr>
            <w:tcW w:w="740" w:type="dxa"/>
            <w:vAlign w:val="bottom"/>
            <w:shd w:val="clear" w:color="auto" w:fill="E3F1DA"/>
          </w:tcPr>
          <w:p>
            <w:pPr>
              <w:jc w:val="right"/>
              <w:ind w:right="56"/>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E3F1DA"/>
          </w:tcPr>
          <w:p>
            <w:pPr>
              <w:spacing w:after="0"/>
              <w:rPr>
                <w:sz w:val="19"/>
                <w:szCs w:val="19"/>
                <w:color w:val="auto"/>
              </w:rPr>
            </w:pPr>
          </w:p>
        </w:tc>
        <w:tc>
          <w:tcPr>
            <w:tcW w:w="740" w:type="dxa"/>
            <w:vAlign w:val="bottom"/>
            <w:shd w:val="clear" w:color="auto" w:fill="E3F1DA"/>
          </w:tcPr>
          <w:p>
            <w:pPr>
              <w:spacing w:after="0"/>
              <w:rPr>
                <w:sz w:val="19"/>
                <w:szCs w:val="19"/>
                <w:color w:val="auto"/>
              </w:rPr>
            </w:pPr>
          </w:p>
        </w:tc>
        <w:tc>
          <w:tcPr>
            <w:tcW w:w="280" w:type="dxa"/>
            <w:vAlign w:val="bottom"/>
            <w:shd w:val="clear" w:color="auto" w:fill="E3F1DA"/>
          </w:tcPr>
          <w:p>
            <w:pPr>
              <w:spacing w:after="0"/>
              <w:rPr>
                <w:sz w:val="19"/>
                <w:szCs w:val="19"/>
                <w:color w:val="auto"/>
              </w:rPr>
            </w:pPr>
          </w:p>
        </w:tc>
        <w:tc>
          <w:tcPr>
            <w:tcW w:w="1140" w:type="dxa"/>
            <w:vAlign w:val="bottom"/>
            <w:shd w:val="clear" w:color="auto" w:fill="E3F1DA"/>
          </w:tcPr>
          <w:p>
            <w:pPr>
              <w:spacing w:after="0"/>
              <w:rPr>
                <w:sz w:val="19"/>
                <w:szCs w:val="19"/>
                <w:color w:val="auto"/>
              </w:rPr>
            </w:pPr>
          </w:p>
        </w:tc>
        <w:tc>
          <w:tcPr>
            <w:tcW w:w="260" w:type="dxa"/>
            <w:vAlign w:val="bottom"/>
            <w:shd w:val="clear" w:color="auto" w:fill="E3F1DA"/>
          </w:tcPr>
          <w:p>
            <w:pPr>
              <w:spacing w:after="0"/>
              <w:rPr>
                <w:sz w:val="19"/>
                <w:szCs w:val="19"/>
                <w:color w:val="auto"/>
              </w:rPr>
            </w:pPr>
          </w:p>
        </w:tc>
        <w:tc>
          <w:tcPr>
            <w:tcW w:w="8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3F1DA"/>
          </w:tcPr>
          <w:p>
            <w:pPr>
              <w:spacing w:after="0"/>
              <w:rPr>
                <w:sz w:val="19"/>
                <w:szCs w:val="19"/>
                <w:color w:val="auto"/>
              </w:rPr>
            </w:pPr>
          </w:p>
        </w:tc>
        <w:tc>
          <w:tcPr>
            <w:tcW w:w="780" w:type="dxa"/>
            <w:vAlign w:val="bottom"/>
            <w:shd w:val="clear" w:color="auto" w:fill="E3F1DA"/>
          </w:tcPr>
          <w:p>
            <w:pPr>
              <w:jc w:val="right"/>
              <w:ind w:right="3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Dividends ($0.80 per share)</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939598"/>
            </w:tcBorders>
            <w:shd w:val="clear" w:color="auto" w:fill="E3F1DA"/>
          </w:tcPr>
          <w:p>
            <w:pPr>
              <w:spacing w:after="0"/>
              <w:rPr>
                <w:sz w:val="18"/>
                <w:szCs w:val="18"/>
                <w:color w:val="auto"/>
              </w:rPr>
            </w:pPr>
          </w:p>
        </w:tc>
        <w:tc>
          <w:tcPr>
            <w:tcW w:w="320" w:type="dxa"/>
            <w:vAlign w:val="bottom"/>
            <w:tcBorders>
              <w:bottom w:val="single" w:sz="8" w:color="939598"/>
            </w:tcBorders>
            <w:shd w:val="clear" w:color="auto" w:fill="E3F1DA"/>
          </w:tcPr>
          <w:p>
            <w:pPr>
              <w:spacing w:after="0"/>
              <w:rPr>
                <w:sz w:val="18"/>
                <w:szCs w:val="18"/>
                <w:color w:val="auto"/>
              </w:rPr>
            </w:pPr>
          </w:p>
        </w:tc>
        <w:tc>
          <w:tcPr>
            <w:tcW w:w="580" w:type="dxa"/>
            <w:vAlign w:val="bottom"/>
            <w:tcBorders>
              <w:bottom w:val="single" w:sz="8" w:color="939598"/>
            </w:tcBorders>
            <w:shd w:val="clear" w:color="auto" w:fill="E3F1DA"/>
          </w:tcPr>
          <w:p>
            <w:pPr>
              <w:spacing w:after="0"/>
              <w:rPr>
                <w:sz w:val="18"/>
                <w:szCs w:val="18"/>
                <w:color w:val="auto"/>
              </w:rPr>
            </w:pPr>
          </w:p>
        </w:tc>
        <w:tc>
          <w:tcPr>
            <w:tcW w:w="120" w:type="dxa"/>
            <w:vAlign w:val="bottom"/>
            <w:tcBorders>
              <w:bottom w:val="single" w:sz="8" w:color="939598"/>
            </w:tcBorders>
            <w:shd w:val="clear" w:color="auto" w:fill="E3F1DA"/>
          </w:tcPr>
          <w:p>
            <w:pPr>
              <w:spacing w:after="0"/>
              <w:rPr>
                <w:sz w:val="18"/>
                <w:szCs w:val="18"/>
                <w:color w:val="auto"/>
              </w:rPr>
            </w:pPr>
          </w:p>
        </w:tc>
        <w:tc>
          <w:tcPr>
            <w:tcW w:w="2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939598"/>
            </w:tcBorders>
            <w:shd w:val="clear" w:color="auto" w:fill="E3F1DA"/>
          </w:tcPr>
          <w:p>
            <w:pPr>
              <w:spacing w:after="0"/>
              <w:rPr>
                <w:sz w:val="18"/>
                <w:szCs w:val="18"/>
                <w:color w:val="auto"/>
              </w:rPr>
            </w:pPr>
          </w:p>
        </w:tc>
        <w:tc>
          <w:tcPr>
            <w:tcW w:w="740" w:type="dxa"/>
            <w:vAlign w:val="bottom"/>
            <w:tcBorders>
              <w:bottom w:val="single" w:sz="8" w:color="939598"/>
            </w:tcBorders>
            <w:shd w:val="clear" w:color="auto" w:fill="E3F1DA"/>
          </w:tcPr>
          <w:p>
            <w:pPr>
              <w:spacing w:after="0"/>
              <w:rPr>
                <w:sz w:val="18"/>
                <w:szCs w:val="18"/>
                <w:color w:val="auto"/>
              </w:rPr>
            </w:pPr>
          </w:p>
        </w:tc>
        <w:tc>
          <w:tcPr>
            <w:tcW w:w="28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spacing w:after="0"/>
              <w:rPr>
                <w:sz w:val="18"/>
                <w:szCs w:val="18"/>
                <w:color w:val="auto"/>
              </w:rPr>
            </w:pPr>
          </w:p>
        </w:tc>
        <w:tc>
          <w:tcPr>
            <w:tcW w:w="26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spacing w:after="0"/>
              <w:rPr>
                <w:sz w:val="18"/>
                <w:szCs w:val="18"/>
                <w:color w:val="auto"/>
              </w:rPr>
            </w:pPr>
          </w:p>
        </w:tc>
        <w:tc>
          <w:tcPr>
            <w:tcW w:w="300" w:type="dxa"/>
            <w:vAlign w:val="bottom"/>
            <w:tcBorders>
              <w:bottom w:val="single" w:sz="8" w:color="939598"/>
            </w:tcBorders>
            <w:shd w:val="clear" w:color="auto" w:fill="E3F1DA"/>
          </w:tcPr>
          <w:p>
            <w:pPr>
              <w:spacing w:after="0"/>
              <w:rPr>
                <w:sz w:val="18"/>
                <w:szCs w:val="18"/>
                <w:color w:val="auto"/>
              </w:rPr>
            </w:pPr>
          </w:p>
        </w:tc>
        <w:tc>
          <w:tcPr>
            <w:tcW w:w="7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24"/>
        </w:trPr>
        <w:tc>
          <w:tcPr>
            <w:tcW w:w="3700" w:type="dxa"/>
            <w:vAlign w:val="bottom"/>
            <w:gridSpan w:val="2"/>
          </w:tcPr>
          <w:p>
            <w:pPr>
              <w:spacing w:after="0"/>
              <w:rPr>
                <w:sz w:val="20"/>
                <w:szCs w:val="20"/>
                <w:color w:val="auto"/>
              </w:rPr>
            </w:pPr>
            <w:r>
              <w:rPr>
                <w:rFonts w:ascii="Arial" w:cs="Arial" w:eastAsia="Arial" w:hAnsi="Arial"/>
                <w:sz w:val="18"/>
                <w:szCs w:val="18"/>
                <w:color w:val="auto"/>
              </w:rPr>
              <w:t>Balance, December 31, 2011</w:t>
            </w:r>
          </w:p>
        </w:tc>
        <w:tc>
          <w:tcPr>
            <w:tcW w:w="1220" w:type="dxa"/>
            <w:vAlign w:val="bottom"/>
          </w:tcPr>
          <w:p>
            <w:pPr>
              <w:jc w:val="right"/>
              <w:spacing w:after="0"/>
              <w:rPr>
                <w:sz w:val="20"/>
                <w:szCs w:val="20"/>
                <w:color w:val="auto"/>
              </w:rPr>
            </w:pPr>
            <w:r>
              <w:rPr>
                <w:rFonts w:ascii="Arial" w:cs="Arial" w:eastAsia="Arial" w:hAnsi="Arial"/>
                <w:sz w:val="18"/>
                <w:szCs w:val="18"/>
                <w:color w:val="auto"/>
              </w:rPr>
              <w:t>109,076,337</w:t>
            </w:r>
          </w:p>
        </w:tc>
        <w:tc>
          <w:tcPr>
            <w:tcW w:w="3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w w:val="96"/>
              </w:rPr>
              <w:t>2,839.9</w:t>
            </w:r>
          </w:p>
        </w:tc>
        <w:tc>
          <w:tcPr>
            <w:tcW w:w="220" w:type="dxa"/>
            <w:vAlign w:val="bottom"/>
          </w:tcPr>
          <w:p>
            <w:pPr>
              <w:spacing w:after="0"/>
              <w:rPr>
                <w:sz w:val="24"/>
                <w:szCs w:val="24"/>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971.7</w:t>
            </w:r>
          </w:p>
        </w:tc>
        <w:tc>
          <w:tcPr>
            <w:tcW w:w="280" w:type="dxa"/>
            <w:vAlign w:val="bottom"/>
          </w:tcPr>
          <w:p>
            <w:pPr>
              <w:spacing w:after="0"/>
              <w:rPr>
                <w:sz w:val="24"/>
                <w:szCs w:val="24"/>
                <w:color w:val="auto"/>
              </w:rPr>
            </w:pP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(1,364.6)</w:t>
            </w:r>
          </w:p>
        </w:tc>
        <w:tc>
          <w:tcPr>
            <w:tcW w:w="30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2,483.4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Net earnings</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rPr>
              <w:t>197.6</w:t>
            </w: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ind w:right="3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Issuances under equity plans, including tax</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E3F1DA"/>
          </w:tcPr>
          <w:p>
            <w:pPr>
              <w:ind w:left="140"/>
              <w:spacing w:after="0"/>
              <w:rPr>
                <w:sz w:val="20"/>
                <w:szCs w:val="20"/>
                <w:color w:val="auto"/>
              </w:rPr>
            </w:pPr>
            <w:r>
              <w:rPr>
                <w:rFonts w:ascii="Arial" w:cs="Arial" w:eastAsia="Arial" w:hAnsi="Arial"/>
                <w:sz w:val="18"/>
                <w:szCs w:val="18"/>
                <w:color w:val="auto"/>
              </w:rPr>
              <w:t>benefits</w:t>
            </w:r>
          </w:p>
        </w:tc>
        <w:tc>
          <w:tcPr>
            <w:tcW w:w="1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467,155</w:t>
            </w:r>
          </w:p>
        </w:tc>
        <w:tc>
          <w:tcPr>
            <w:tcW w:w="320" w:type="dxa"/>
            <w:vAlign w:val="bottom"/>
            <w:shd w:val="clear" w:color="auto" w:fill="E3F1DA"/>
          </w:tcPr>
          <w:p>
            <w:pPr>
              <w:spacing w:after="0"/>
              <w:rPr>
                <w:sz w:val="19"/>
                <w:szCs w:val="19"/>
                <w:color w:val="auto"/>
              </w:rPr>
            </w:pPr>
          </w:p>
        </w:tc>
        <w:tc>
          <w:tcPr>
            <w:tcW w:w="580" w:type="dxa"/>
            <w:vAlign w:val="bottom"/>
            <w:shd w:val="clear" w:color="auto" w:fill="E3F1DA"/>
          </w:tcPr>
          <w:p>
            <w:pPr>
              <w:spacing w:after="0"/>
              <w:rPr>
                <w:sz w:val="19"/>
                <w:szCs w:val="19"/>
                <w:color w:val="auto"/>
              </w:rPr>
            </w:pPr>
          </w:p>
        </w:tc>
        <w:tc>
          <w:tcPr>
            <w:tcW w:w="120" w:type="dxa"/>
            <w:vAlign w:val="bottom"/>
            <w:shd w:val="clear" w:color="auto" w:fill="E3F1DA"/>
          </w:tcPr>
          <w:p>
            <w:pPr>
              <w:spacing w:after="0"/>
              <w:rPr>
                <w:sz w:val="19"/>
                <w:szCs w:val="19"/>
                <w:color w:val="auto"/>
              </w:rPr>
            </w:pPr>
          </w:p>
        </w:tc>
        <w:tc>
          <w:tcPr>
            <w:tcW w:w="220" w:type="dxa"/>
            <w:vAlign w:val="bottom"/>
            <w:shd w:val="clear" w:color="auto" w:fill="E3F1DA"/>
          </w:tcPr>
          <w:p>
            <w:pPr>
              <w:spacing w:after="0"/>
              <w:rPr>
                <w:sz w:val="19"/>
                <w:szCs w:val="19"/>
                <w:color w:val="auto"/>
              </w:rPr>
            </w:pPr>
          </w:p>
        </w:tc>
        <w:tc>
          <w:tcPr>
            <w:tcW w:w="740" w:type="dxa"/>
            <w:vAlign w:val="bottom"/>
            <w:shd w:val="clear" w:color="auto" w:fill="E3F1DA"/>
          </w:tcPr>
          <w:p>
            <w:pPr>
              <w:jc w:val="right"/>
              <w:ind w:right="56"/>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3F1DA"/>
          </w:tcPr>
          <w:p>
            <w:pPr>
              <w:spacing w:after="0"/>
              <w:rPr>
                <w:sz w:val="19"/>
                <w:szCs w:val="19"/>
                <w:color w:val="auto"/>
              </w:rPr>
            </w:pPr>
          </w:p>
        </w:tc>
        <w:tc>
          <w:tcPr>
            <w:tcW w:w="740" w:type="dxa"/>
            <w:vAlign w:val="bottom"/>
            <w:shd w:val="clear" w:color="auto" w:fill="E3F1DA"/>
          </w:tcPr>
          <w:p>
            <w:pPr>
              <w:spacing w:after="0"/>
              <w:rPr>
                <w:sz w:val="19"/>
                <w:szCs w:val="19"/>
                <w:color w:val="auto"/>
              </w:rPr>
            </w:pPr>
          </w:p>
        </w:tc>
        <w:tc>
          <w:tcPr>
            <w:tcW w:w="280" w:type="dxa"/>
            <w:vAlign w:val="bottom"/>
            <w:shd w:val="clear" w:color="auto" w:fill="E3F1DA"/>
          </w:tcPr>
          <w:p>
            <w:pPr>
              <w:spacing w:after="0"/>
              <w:rPr>
                <w:sz w:val="19"/>
                <w:szCs w:val="19"/>
                <w:color w:val="auto"/>
              </w:rPr>
            </w:pPr>
          </w:p>
        </w:tc>
        <w:tc>
          <w:tcPr>
            <w:tcW w:w="1140" w:type="dxa"/>
            <w:vAlign w:val="bottom"/>
            <w:shd w:val="clear" w:color="auto" w:fill="E3F1DA"/>
          </w:tcPr>
          <w:p>
            <w:pPr>
              <w:spacing w:after="0"/>
              <w:rPr>
                <w:sz w:val="19"/>
                <w:szCs w:val="19"/>
                <w:color w:val="auto"/>
              </w:rPr>
            </w:pPr>
          </w:p>
        </w:tc>
        <w:tc>
          <w:tcPr>
            <w:tcW w:w="260" w:type="dxa"/>
            <w:vAlign w:val="bottom"/>
            <w:shd w:val="clear" w:color="auto" w:fill="E3F1DA"/>
          </w:tcPr>
          <w:p>
            <w:pPr>
              <w:spacing w:after="0"/>
              <w:rPr>
                <w:sz w:val="19"/>
                <w:szCs w:val="19"/>
                <w:color w:val="auto"/>
              </w:rPr>
            </w:pPr>
          </w:p>
        </w:tc>
        <w:tc>
          <w:tcPr>
            <w:tcW w:w="8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E3F1DA"/>
          </w:tcPr>
          <w:p>
            <w:pPr>
              <w:spacing w:after="0"/>
              <w:rPr>
                <w:sz w:val="19"/>
                <w:szCs w:val="19"/>
                <w:color w:val="auto"/>
              </w:rPr>
            </w:pPr>
          </w:p>
        </w:tc>
        <w:tc>
          <w:tcPr>
            <w:tcW w:w="7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Dividends ($0.86 per share)</w:t>
            </w:r>
          </w:p>
        </w:tc>
        <w:tc>
          <w:tcPr>
            <w:tcW w:w="1220" w:type="dxa"/>
            <w:vAlign w:val="bottom"/>
            <w:shd w:val="clear" w:color="auto" w:fill="E3F1DA"/>
          </w:tcPr>
          <w:p>
            <w:pPr>
              <w:spacing w:after="0"/>
              <w:rPr>
                <w:sz w:val="18"/>
                <w:szCs w:val="18"/>
                <w:color w:val="auto"/>
              </w:rPr>
            </w:pPr>
          </w:p>
        </w:tc>
        <w:tc>
          <w:tcPr>
            <w:tcW w:w="320" w:type="dxa"/>
            <w:vAlign w:val="bottom"/>
            <w:shd w:val="clear" w:color="auto" w:fill="E3F1DA"/>
          </w:tcPr>
          <w:p>
            <w:pPr>
              <w:spacing w:after="0"/>
              <w:rPr>
                <w:sz w:val="18"/>
                <w:szCs w:val="18"/>
                <w:color w:val="auto"/>
              </w:rPr>
            </w:pPr>
          </w:p>
        </w:tc>
        <w:tc>
          <w:tcPr>
            <w:tcW w:w="580" w:type="dxa"/>
            <w:vAlign w:val="bottom"/>
            <w:shd w:val="clear" w:color="auto" w:fill="E3F1DA"/>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7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60" w:type="dxa"/>
            <w:vAlign w:val="bottom"/>
            <w:shd w:val="clear" w:color="auto" w:fill="E3F1DA"/>
          </w:tcPr>
          <w:p>
            <w:pPr>
              <w:spacing w:after="0"/>
              <w:rPr>
                <w:sz w:val="18"/>
                <w:szCs w:val="18"/>
                <w:color w:val="auto"/>
              </w:rPr>
            </w:pPr>
          </w:p>
        </w:tc>
        <w:tc>
          <w:tcPr>
            <w:tcW w:w="80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7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Borders>
              <w:bottom w:val="single" w:sz="8" w:color="939598"/>
            </w:tcBorders>
          </w:tcPr>
          <w:p>
            <w:pPr>
              <w:spacing w:after="0"/>
              <w:rPr>
                <w:sz w:val="18"/>
                <w:szCs w:val="18"/>
                <w:color w:val="auto"/>
              </w:rPr>
            </w:pPr>
          </w:p>
        </w:tc>
        <w:tc>
          <w:tcPr>
            <w:tcW w:w="320" w:type="dxa"/>
            <w:vAlign w:val="bottom"/>
            <w:tcBorders>
              <w:bottom w:val="single" w:sz="8" w:color="939598"/>
            </w:tcBorders>
          </w:tcPr>
          <w:p>
            <w:pPr>
              <w:spacing w:after="0"/>
              <w:rPr>
                <w:sz w:val="18"/>
                <w:szCs w:val="18"/>
                <w:color w:val="auto"/>
              </w:rPr>
            </w:pPr>
          </w:p>
        </w:tc>
        <w:tc>
          <w:tcPr>
            <w:tcW w:w="58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280" w:type="dxa"/>
            <w:vAlign w:val="bottom"/>
            <w:tcBorders>
              <w:bottom w:val="single" w:sz="8" w:color="939598"/>
            </w:tcBorders>
          </w:tcPr>
          <w:p>
            <w:pPr>
              <w:spacing w:after="0"/>
              <w:rPr>
                <w:sz w:val="18"/>
                <w:szCs w:val="18"/>
                <w:color w:val="auto"/>
              </w:rPr>
            </w:pPr>
          </w:p>
        </w:tc>
        <w:tc>
          <w:tcPr>
            <w:tcW w:w="1140" w:type="dxa"/>
            <w:vAlign w:val="bottom"/>
            <w:tcBorders>
              <w:bottom w:val="single" w:sz="8" w:color="939598"/>
            </w:tcBorders>
          </w:tcPr>
          <w:p>
            <w:pPr>
              <w:spacing w:after="0"/>
              <w:rPr>
                <w:sz w:val="18"/>
                <w:szCs w:val="18"/>
                <w:color w:val="auto"/>
              </w:rPr>
            </w:pPr>
          </w:p>
        </w:tc>
        <w:tc>
          <w:tcPr>
            <w:tcW w:w="26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(138.2)</w:t>
            </w:r>
          </w:p>
        </w:tc>
        <w:tc>
          <w:tcPr>
            <w:tcW w:w="30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8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Balance, December 31, 2012</w:t>
            </w:r>
          </w:p>
        </w:tc>
        <w:tc>
          <w:tcPr>
            <w:tcW w:w="12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109,543,492</w:t>
            </w:r>
          </w:p>
        </w:tc>
        <w:tc>
          <w:tcPr>
            <w:tcW w:w="3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939598"/>
            </w:tcBorders>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39598"/>
            </w:tcBorders>
            <w:shd w:val="clear" w:color="auto" w:fill="E3F1DA"/>
          </w:tcPr>
          <w:p>
            <w:pPr>
              <w:jc w:val="right"/>
              <w:ind w:right="56"/>
              <w:spacing w:after="0"/>
              <w:rPr>
                <w:sz w:val="20"/>
                <w:szCs w:val="20"/>
                <w:color w:val="auto"/>
              </w:rPr>
            </w:pPr>
            <w:r>
              <w:rPr>
                <w:rFonts w:ascii="Arial" w:cs="Arial" w:eastAsia="Arial" w:hAnsi="Arial"/>
                <w:sz w:val="18"/>
                <w:szCs w:val="18"/>
                <w:color w:val="auto"/>
                <w:w w:val="96"/>
              </w:rPr>
              <w:t>2,873.2</w:t>
            </w:r>
          </w:p>
        </w:tc>
        <w:tc>
          <w:tcPr>
            <w:tcW w:w="2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39598"/>
            </w:tcBorders>
            <w:shd w:val="clear" w:color="auto" w:fill="E3F1DA"/>
          </w:tcPr>
          <w:p>
            <w:pPr>
              <w:jc w:val="right"/>
              <w:ind w:right="76"/>
              <w:spacing w:after="0"/>
              <w:rPr>
                <w:sz w:val="20"/>
                <w:szCs w:val="20"/>
                <w:color w:val="auto"/>
              </w:rPr>
            </w:pPr>
            <w:r>
              <w:rPr>
                <w:rFonts w:ascii="Arial" w:cs="Arial" w:eastAsia="Arial" w:hAnsi="Arial"/>
                <w:sz w:val="18"/>
                <w:szCs w:val="18"/>
                <w:color w:val="auto"/>
                <w:w w:val="93"/>
              </w:rPr>
              <w:t>1,101.5</w:t>
            </w:r>
          </w:p>
        </w:tc>
        <w:tc>
          <w:tcPr>
            <w:tcW w:w="28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shd w:val="clear" w:color="auto" w:fill="E3F1DA"/>
          </w:tcPr>
          <w:p>
            <w:pPr>
              <w:jc w:val="right"/>
              <w:ind w:right="60"/>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97"/>
              </w:rPr>
              <w:t>(1,509.4)</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939598"/>
            </w:tcBorders>
            <w:shd w:val="clear" w:color="auto" w:fill="E3F1DA"/>
          </w:tcPr>
          <w:p>
            <w:pPr>
              <w:jc w:val="right"/>
              <w:ind w:right="33"/>
              <w:spacing w:after="0"/>
              <w:rPr>
                <w:sz w:val="20"/>
                <w:szCs w:val="20"/>
                <w:color w:val="auto"/>
              </w:rPr>
            </w:pPr>
            <w:r>
              <w:rPr>
                <w:rFonts w:ascii="Arial" w:cs="Arial" w:eastAsia="Arial" w:hAnsi="Arial"/>
                <w:sz w:val="18"/>
                <w:szCs w:val="18"/>
                <w:color w:val="auto"/>
              </w:rPr>
              <w:t>2,500.8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8"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71" w:name="page72"/>
    <w:bookmarkEnd w:id="71"/>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86B6A5"/>
        </w:rPr>
        <w:t>01.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86B6A5"/>
        </w:rPr>
        <w:t>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NATURE OF OPERATIONS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ManpowerGroup Inc. is a world leader in the workforce solutions and services industry. Our worldwide network of 3,500 offices in 80 countries and territories enables us to meet the needs of our clients in all industry segments. Our largest operations, based on revenues, are located in the United States, France,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USE OF ESTIMATES</w:t>
      </w:r>
    </w:p>
    <w:p>
      <w:pPr>
        <w:spacing w:after="0" w:line="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BASIS OF CONSOLIDATION</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$85.3 and $75.9 as of December 31, 2012 and 2011, respectively, and are included in other assets in the Consolidated Balance Sheets. Included in shareholders’ equity as of December 31, 2012 and 2011 are $67.2 and $64.7, respectively, of unremitted earnings from investments accounted for using the equity method. All significant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REVENUES AND RECEIVABLES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revenues based on the hours worked. Permanent recruitment revenues are recorded as placements are made. Provisions for sales allowances, based on historical experience, are recognized at the time the related sale is recognized.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$23.9, $25.2 and $23.6 for the years ended December 31, 2012, 2011 and 2010, respectively.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outplacement business, we recognize revenues from individual programs over the estimated period in which services are rendered to candidates. For large projects within the outplacement business, we recognize revenues ratably over the period in which the services are provided. In our consulting business, revenues are recognized upon the performance of the service under the consulting service contract. For performance-based contracts, we defer recognizing revenues until the performance criteria have been met.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 As of December 31, 2012 and 2011, the current portion of deferred revenue was $55.7 and $54.3, respectively, and the long-term portion of deferred revenue was $17.1 and $28.6, respectively.</w:t>
      </w:r>
    </w:p>
    <w:p>
      <w:pPr>
        <w:spacing w:after="0" w:line="1"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ALLOWANCE FOR DOUBTFUL ACCOUNTS</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and was $29.2, $25.9 and $28.9 in 2012, 2011 and 2010,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$23.2, $25.0 and $33.5 for 2012, 2011 and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ADVERTISING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$27.2, $34.0 and $29.2 in 2012, 2011 and 2010,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REORGANIZATION COSTS</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net reorganization costs of $48.8, $23.1 and $36.1 in 2012, 2011 and 2010, respectively, in selling and administrative expenses, primarily related to severances and office closures and consolidations in multiple countries. These expenses are net of reversals of previous accruals resulting mainly from larger-than-estimated cost savings from subleasing and lease buyouts. During 2012, we made payments of $36.8 out of our reorganization reserve. We expect a majority of the remaining $41.4 reserve will be paid or utilized in 2013. Changes in the reorganization liability balances for each reportable segment and Corporate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86B6A5"/>
              </w:rPr>
              <w:t>Southern</w:t>
            </w:r>
          </w:p>
        </w:tc>
        <w:tc>
          <w:tcPr>
            <w:tcW w:w="280" w:type="dxa"/>
            <w:vAlign w:val="bottom"/>
          </w:tcPr>
          <w:p>
            <w:pPr>
              <w:spacing w:after="0"/>
              <w:rPr>
                <w:sz w:val="12"/>
                <w:szCs w:val="12"/>
                <w:color w:val="auto"/>
              </w:rPr>
            </w:pPr>
          </w:p>
        </w:tc>
        <w:tc>
          <w:tcPr>
            <w:tcW w:w="8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86B6A5"/>
              </w:rPr>
              <w:t>Northern</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86B6A5"/>
              </w:rPr>
              <w:t>Right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840" w:type="dxa"/>
            <w:vAlign w:val="bottom"/>
            <w:tcBorders>
              <w:bottom w:val="single" w:sz="8" w:color="86B6A5"/>
            </w:tcBorders>
          </w:tcPr>
          <w:p>
            <w:pPr>
              <w:spacing w:after="0"/>
              <w:rPr>
                <w:sz w:val="14"/>
                <w:szCs w:val="14"/>
                <w:color w:val="auto"/>
              </w:rPr>
            </w:pPr>
          </w:p>
        </w:tc>
        <w:tc>
          <w:tcPr>
            <w:tcW w:w="104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14"/>
              <w:spacing w:after="0" w:line="162" w:lineRule="exact"/>
              <w:rPr>
                <w:sz w:val="20"/>
                <w:szCs w:val="20"/>
                <w:color w:val="auto"/>
              </w:rPr>
            </w:pPr>
            <w:r>
              <w:rPr>
                <w:rFonts w:ascii="Arial" w:cs="Arial" w:eastAsia="Arial" w:hAnsi="Arial"/>
                <w:sz w:val="14"/>
                <w:szCs w:val="14"/>
                <w:b w:val="1"/>
                <w:bCs w:val="1"/>
                <w:color w:val="86B6A5"/>
                <w:w w:val="95"/>
              </w:rPr>
              <w:t>Americas</w:t>
            </w:r>
            <w:r>
              <w:rPr>
                <w:rFonts w:ascii="Arial" w:cs="Arial" w:eastAsia="Arial" w:hAnsi="Arial"/>
                <w:sz w:val="18"/>
                <w:szCs w:val="18"/>
                <w:b w:val="1"/>
                <w:bCs w:val="1"/>
                <w:color w:val="86B6A5"/>
                <w:w w:val="95"/>
                <w:vertAlign w:val="superscript"/>
              </w:rPr>
              <w:t>(1)</w:t>
            </w:r>
          </w:p>
        </w:tc>
        <w:tc>
          <w:tcPr>
            <w:tcW w:w="28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6"/>
              <w:spacing w:after="0" w:line="162" w:lineRule="exact"/>
              <w:rPr>
                <w:sz w:val="20"/>
                <w:szCs w:val="20"/>
                <w:color w:val="auto"/>
              </w:rPr>
            </w:pPr>
            <w:r>
              <w:rPr>
                <w:rFonts w:ascii="Arial" w:cs="Arial" w:eastAsia="Arial" w:hAnsi="Arial"/>
                <w:sz w:val="14"/>
                <w:szCs w:val="14"/>
                <w:b w:val="1"/>
                <w:bCs w:val="1"/>
                <w:color w:val="86B6A5"/>
              </w:rPr>
              <w:t>Europe</w:t>
            </w:r>
            <w:r>
              <w:rPr>
                <w:rFonts w:ascii="Arial" w:cs="Arial" w:eastAsia="Arial" w:hAnsi="Arial"/>
                <w:sz w:val="18"/>
                <w:szCs w:val="18"/>
                <w:b w:val="1"/>
                <w:bCs w:val="1"/>
                <w:color w:val="86B6A5"/>
                <w:vertAlign w:val="superscript"/>
              </w:rPr>
              <w:t>(2)</w:t>
            </w:r>
          </w:p>
        </w:tc>
        <w:tc>
          <w:tcPr>
            <w:tcW w:w="28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6"/>
              <w:spacing w:after="0"/>
              <w:rPr>
                <w:sz w:val="20"/>
                <w:szCs w:val="20"/>
                <w:color w:val="auto"/>
              </w:rPr>
            </w:pPr>
            <w:r>
              <w:rPr>
                <w:rFonts w:ascii="Arial" w:cs="Arial" w:eastAsia="Arial" w:hAnsi="Arial"/>
                <w:sz w:val="14"/>
                <w:szCs w:val="14"/>
                <w:b w:val="1"/>
                <w:bCs w:val="1"/>
                <w:color w:val="86B6A5"/>
              </w:rPr>
              <w:t>Europe</w:t>
            </w:r>
          </w:p>
        </w:tc>
        <w:tc>
          <w:tcPr>
            <w:tcW w:w="360" w:type="dxa"/>
            <w:vAlign w:val="bottom"/>
            <w:tcBorders>
              <w:bottom w:val="single" w:sz="8" w:color="86B6A5"/>
            </w:tcBorders>
          </w:tcPr>
          <w:p>
            <w:pPr>
              <w:spacing w:after="0"/>
              <w:rPr>
                <w:sz w:val="14"/>
                <w:szCs w:val="14"/>
                <w:color w:val="auto"/>
              </w:rPr>
            </w:pPr>
          </w:p>
        </w:tc>
        <w:tc>
          <w:tcPr>
            <w:tcW w:w="720" w:type="dxa"/>
            <w:vAlign w:val="bottom"/>
            <w:tcBorders>
              <w:bottom w:val="single" w:sz="8" w:color="86B6A5"/>
            </w:tcBorders>
          </w:tcPr>
          <w:p>
            <w:pPr>
              <w:jc w:val="right"/>
              <w:spacing w:after="0"/>
              <w:rPr>
                <w:sz w:val="20"/>
                <w:szCs w:val="20"/>
                <w:color w:val="auto"/>
              </w:rPr>
            </w:pPr>
            <w:r>
              <w:rPr>
                <w:rFonts w:ascii="Arial" w:cs="Arial" w:eastAsia="Arial" w:hAnsi="Arial"/>
                <w:sz w:val="14"/>
                <w:szCs w:val="14"/>
                <w:b w:val="1"/>
                <w:bCs w:val="1"/>
                <w:color w:val="86B6A5"/>
              </w:rPr>
              <w:t>APME</w:t>
            </w:r>
          </w:p>
        </w:tc>
        <w:tc>
          <w:tcPr>
            <w:tcW w:w="200" w:type="dxa"/>
            <w:vAlign w:val="bottom"/>
            <w:tcBorders>
              <w:bottom w:val="single" w:sz="8" w:color="86B6A5"/>
            </w:tcBorders>
          </w:tcPr>
          <w:p>
            <w:pPr>
              <w:spacing w:after="0"/>
              <w:rPr>
                <w:sz w:val="14"/>
                <w:szCs w:val="14"/>
                <w:color w:val="auto"/>
              </w:rPr>
            </w:pPr>
          </w:p>
        </w:tc>
        <w:tc>
          <w:tcPr>
            <w:tcW w:w="920" w:type="dxa"/>
            <w:vAlign w:val="bottom"/>
            <w:tcBorders>
              <w:bottom w:val="single" w:sz="8" w:color="86B6A5"/>
            </w:tcBorders>
          </w:tcPr>
          <w:p>
            <w:pPr>
              <w:jc w:val="right"/>
              <w:ind w:right="16"/>
              <w:spacing w:after="0"/>
              <w:rPr>
                <w:sz w:val="20"/>
                <w:szCs w:val="20"/>
                <w:color w:val="auto"/>
              </w:rPr>
            </w:pPr>
            <w:r>
              <w:rPr>
                <w:rFonts w:ascii="Arial" w:cs="Arial" w:eastAsia="Arial" w:hAnsi="Arial"/>
                <w:sz w:val="14"/>
                <w:szCs w:val="14"/>
                <w:b w:val="1"/>
                <w:bCs w:val="1"/>
                <w:color w:val="86B6A5"/>
                <w:w w:val="93"/>
              </w:rPr>
              <w:t>Management</w:t>
            </w:r>
          </w:p>
        </w:tc>
        <w:tc>
          <w:tcPr>
            <w:tcW w:w="28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14"/>
              <w:spacing w:after="0"/>
              <w:rPr>
                <w:sz w:val="20"/>
                <w:szCs w:val="20"/>
                <w:color w:val="auto"/>
              </w:rPr>
            </w:pPr>
            <w:r>
              <w:rPr>
                <w:rFonts w:ascii="Arial" w:cs="Arial" w:eastAsia="Arial" w:hAnsi="Arial"/>
                <w:sz w:val="14"/>
                <w:szCs w:val="14"/>
                <w:b w:val="1"/>
                <w:bCs w:val="1"/>
                <w:color w:val="86B6A5"/>
              </w:rPr>
              <w:t>Corporate</w:t>
            </w:r>
          </w:p>
        </w:tc>
        <w:tc>
          <w:tcPr>
            <w:tcW w:w="400" w:type="dxa"/>
            <w:vAlign w:val="bottom"/>
            <w:tcBorders>
              <w:bottom w:val="single" w:sz="8" w:color="86B6A5"/>
            </w:tcBorders>
          </w:tcPr>
          <w:p>
            <w:pPr>
              <w:spacing w:after="0"/>
              <w:rPr>
                <w:sz w:val="14"/>
                <w:szCs w:val="14"/>
                <w:color w:val="auto"/>
              </w:rPr>
            </w:pPr>
          </w:p>
        </w:tc>
        <w:tc>
          <w:tcPr>
            <w:tcW w:w="76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Total</w:t>
            </w:r>
          </w:p>
        </w:tc>
      </w:tr>
      <w:tr>
        <w:trPr>
          <w:trHeight w:val="210"/>
        </w:trPr>
        <w:tc>
          <w:tcPr>
            <w:tcW w:w="20" w:type="dxa"/>
            <w:vAlign w:val="bottom"/>
          </w:tcPr>
          <w:p>
            <w:pPr>
              <w:spacing w:after="0"/>
              <w:rPr>
                <w:sz w:val="18"/>
                <w:szCs w:val="18"/>
                <w:color w:val="auto"/>
              </w:rPr>
            </w:pPr>
          </w:p>
        </w:tc>
        <w:tc>
          <w:tcPr>
            <w:tcW w:w="2840" w:type="dxa"/>
            <w:vAlign w:val="bottom"/>
            <w:shd w:val="clear" w:color="auto" w:fill="E3F1DA"/>
          </w:tcPr>
          <w:p>
            <w:pPr>
              <w:spacing w:after="0"/>
              <w:rPr>
                <w:sz w:val="20"/>
                <w:szCs w:val="20"/>
                <w:color w:val="auto"/>
              </w:rPr>
            </w:pPr>
            <w:r>
              <w:rPr>
                <w:rFonts w:ascii="Arial" w:cs="Arial" w:eastAsia="Arial" w:hAnsi="Arial"/>
                <w:sz w:val="18"/>
                <w:szCs w:val="18"/>
                <w:color w:val="auto"/>
              </w:rPr>
              <w:t>Balance, January 1, 2011</w:t>
            </w:r>
          </w:p>
        </w:tc>
        <w:tc>
          <w:tcPr>
            <w:tcW w:w="104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3F1DA"/>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3F1DA"/>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5.0</w:t>
            </w:r>
          </w:p>
        </w:tc>
        <w:tc>
          <w:tcPr>
            <w:tcW w:w="36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E3F1DA"/>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E3F1DA"/>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3F1DA"/>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Severance costs, net</w:t>
            </w:r>
          </w:p>
        </w:tc>
        <w:tc>
          <w:tcPr>
            <w:tcW w:w="104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2840" w:type="dxa"/>
            <w:vAlign w:val="bottom"/>
            <w:shd w:val="clear" w:color="auto" w:fill="E3F1DA"/>
          </w:tcPr>
          <w:p>
            <w:pPr>
              <w:spacing w:after="0"/>
              <w:rPr>
                <w:sz w:val="20"/>
                <w:szCs w:val="20"/>
                <w:color w:val="auto"/>
              </w:rPr>
            </w:pPr>
            <w:r>
              <w:rPr>
                <w:rFonts w:ascii="Arial" w:cs="Arial" w:eastAsia="Arial" w:hAnsi="Arial"/>
                <w:sz w:val="18"/>
                <w:szCs w:val="18"/>
                <w:color w:val="auto"/>
              </w:rPr>
              <w:t>Office closure costs, net</w:t>
            </w:r>
          </w:p>
        </w:tc>
        <w:tc>
          <w:tcPr>
            <w:tcW w:w="1040" w:type="dxa"/>
            <w:vAlign w:val="bottom"/>
            <w:shd w:val="clear" w:color="auto" w:fill="E3F1DA"/>
          </w:tcPr>
          <w:p>
            <w:pPr>
              <w:spacing w:after="0"/>
              <w:rPr>
                <w:sz w:val="18"/>
                <w:szCs w:val="18"/>
                <w:color w:val="auto"/>
              </w:rPr>
            </w:pP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0.3</w:t>
            </w:r>
          </w:p>
        </w:tc>
        <w:tc>
          <w:tcPr>
            <w:tcW w:w="28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0.4</w:t>
            </w:r>
          </w:p>
        </w:tc>
        <w:tc>
          <w:tcPr>
            <w:tcW w:w="28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7.7</w:t>
            </w:r>
          </w:p>
        </w:tc>
        <w:tc>
          <w:tcPr>
            <w:tcW w:w="360" w:type="dxa"/>
            <w:vAlign w:val="bottom"/>
            <w:shd w:val="clear" w:color="auto" w:fill="E3F1DA"/>
          </w:tcPr>
          <w:p>
            <w:pPr>
              <w:spacing w:after="0"/>
              <w:rPr>
                <w:sz w:val="18"/>
                <w:szCs w:val="18"/>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3F1DA"/>
          </w:tcPr>
          <w:p>
            <w:pPr>
              <w:spacing w:after="0"/>
              <w:rPr>
                <w:sz w:val="18"/>
                <w:szCs w:val="18"/>
                <w:color w:val="auto"/>
              </w:rPr>
            </w:pPr>
          </w:p>
        </w:tc>
        <w:tc>
          <w:tcPr>
            <w:tcW w:w="92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3F1DA"/>
          </w:tcPr>
          <w:p>
            <w:pPr>
              <w:spacing w:after="0"/>
              <w:rPr>
                <w:sz w:val="18"/>
                <w:szCs w:val="18"/>
                <w:color w:val="auto"/>
              </w:rPr>
            </w:pP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E3F1DA"/>
          </w:tcPr>
          <w:p>
            <w:pPr>
              <w:spacing w:after="0"/>
              <w:rPr>
                <w:sz w:val="18"/>
                <w:szCs w:val="18"/>
                <w:color w:val="auto"/>
              </w:rPr>
            </w:pPr>
          </w:p>
        </w:tc>
        <w:tc>
          <w:tcPr>
            <w:tcW w:w="76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Costs paid or utilized</w:t>
            </w:r>
          </w:p>
        </w:tc>
        <w:tc>
          <w:tcPr>
            <w:tcW w:w="10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(27.9)</w:t>
            </w:r>
          </w:p>
        </w:tc>
      </w:tr>
      <w:tr>
        <w:trPr>
          <w:trHeight w:val="210"/>
        </w:trPr>
        <w:tc>
          <w:tcPr>
            <w:tcW w:w="20" w:type="dxa"/>
            <w:vAlign w:val="bottom"/>
          </w:tcPr>
          <w:p>
            <w:pPr>
              <w:spacing w:after="0"/>
              <w:rPr>
                <w:sz w:val="18"/>
                <w:szCs w:val="18"/>
                <w:color w:val="auto"/>
              </w:rPr>
            </w:pPr>
          </w:p>
        </w:tc>
        <w:tc>
          <w:tcPr>
            <w:tcW w:w="28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Balance, December 31, 2011</w:t>
            </w:r>
          </w:p>
        </w:tc>
        <w:tc>
          <w:tcPr>
            <w:tcW w:w="1040" w:type="dxa"/>
            <w:vAlign w:val="bottom"/>
            <w:tcBorders>
              <w:bottom w:val="single" w:sz="8" w:color="939598"/>
            </w:tcBorders>
            <w:shd w:val="clear" w:color="auto" w:fill="E3F1DA"/>
          </w:tcPr>
          <w:p>
            <w:pPr>
              <w:spacing w:after="0"/>
              <w:rPr>
                <w:sz w:val="18"/>
                <w:szCs w:val="18"/>
                <w:color w:val="auto"/>
              </w:rPr>
            </w:pPr>
          </w:p>
        </w:tc>
        <w:tc>
          <w:tcPr>
            <w:tcW w:w="86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11.8</w:t>
            </w:r>
          </w:p>
        </w:tc>
        <w:tc>
          <w:tcPr>
            <w:tcW w:w="360" w:type="dxa"/>
            <w:vAlign w:val="bottom"/>
            <w:tcBorders>
              <w:bottom w:val="single" w:sz="8" w:color="939598"/>
            </w:tcBorders>
            <w:shd w:val="clear" w:color="auto" w:fill="E3F1DA"/>
          </w:tcPr>
          <w:p>
            <w:pPr>
              <w:spacing w:after="0"/>
              <w:rPr>
                <w:sz w:val="18"/>
                <w:szCs w:val="18"/>
                <w:color w:val="auto"/>
              </w:rPr>
            </w:pPr>
          </w:p>
        </w:tc>
        <w:tc>
          <w:tcPr>
            <w:tcW w:w="7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939598"/>
            </w:tcBorders>
            <w:shd w:val="clear" w:color="auto" w:fill="E3F1DA"/>
          </w:tcPr>
          <w:p>
            <w:pPr>
              <w:spacing w:after="0"/>
              <w:rPr>
                <w:sz w:val="18"/>
                <w:szCs w:val="18"/>
                <w:color w:val="auto"/>
              </w:rPr>
            </w:pPr>
          </w:p>
        </w:tc>
        <w:tc>
          <w:tcPr>
            <w:tcW w:w="92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939598"/>
            </w:tcBorders>
            <w:shd w:val="clear" w:color="auto" w:fill="E3F1DA"/>
          </w:tcPr>
          <w:p>
            <w:pPr>
              <w:spacing w:after="0"/>
              <w:rPr>
                <w:sz w:val="18"/>
                <w:szCs w:val="18"/>
                <w:color w:val="auto"/>
              </w:rPr>
            </w:pPr>
          </w:p>
        </w:tc>
        <w:tc>
          <w:tcPr>
            <w:tcW w:w="86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39598"/>
            </w:tcBorders>
            <w:shd w:val="clear" w:color="auto" w:fill="E3F1DA"/>
          </w:tcPr>
          <w:p>
            <w:pPr>
              <w:spacing w:after="0"/>
              <w:rPr>
                <w:sz w:val="18"/>
                <w:szCs w:val="18"/>
                <w:color w:val="auto"/>
              </w:rPr>
            </w:pPr>
          </w:p>
        </w:tc>
        <w:tc>
          <w:tcPr>
            <w:tcW w:w="760" w:type="dxa"/>
            <w:vAlign w:val="bottom"/>
            <w:tcBorders>
              <w:bottom w:val="single" w:sz="8" w:color="939598"/>
            </w:tcBorders>
            <w:shd w:val="clear" w:color="auto" w:fill="E3F1DA"/>
          </w:tcPr>
          <w:p>
            <w:pPr>
              <w:jc w:val="right"/>
              <w:ind w:right="34"/>
              <w:spacing w:after="0"/>
              <w:rPr>
                <w:sz w:val="20"/>
                <w:szCs w:val="20"/>
                <w:color w:val="auto"/>
              </w:rPr>
            </w:pPr>
            <w:r>
              <w:rPr>
                <w:rFonts w:ascii="Arial" w:cs="Arial" w:eastAsia="Arial" w:hAnsi="Arial"/>
                <w:sz w:val="18"/>
                <w:szCs w:val="18"/>
                <w:color w:val="auto"/>
              </w:rPr>
              <w:t>29.4</w:t>
            </w: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Severance costs, net</w:t>
            </w:r>
          </w:p>
        </w:tc>
        <w:tc>
          <w:tcPr>
            <w:tcW w:w="104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29.2</w:t>
            </w:r>
          </w:p>
        </w:tc>
      </w:tr>
      <w:tr>
        <w:trPr>
          <w:trHeight w:val="216"/>
        </w:trPr>
        <w:tc>
          <w:tcPr>
            <w:tcW w:w="20" w:type="dxa"/>
            <w:vAlign w:val="bottom"/>
          </w:tcPr>
          <w:p>
            <w:pPr>
              <w:spacing w:after="0"/>
              <w:rPr>
                <w:sz w:val="18"/>
                <w:szCs w:val="18"/>
                <w:color w:val="auto"/>
              </w:rPr>
            </w:pPr>
          </w:p>
        </w:tc>
        <w:tc>
          <w:tcPr>
            <w:tcW w:w="2840" w:type="dxa"/>
            <w:vAlign w:val="bottom"/>
            <w:shd w:val="clear" w:color="auto" w:fill="E3F1DA"/>
          </w:tcPr>
          <w:p>
            <w:pPr>
              <w:spacing w:after="0"/>
              <w:rPr>
                <w:sz w:val="20"/>
                <w:szCs w:val="20"/>
                <w:color w:val="auto"/>
              </w:rPr>
            </w:pPr>
            <w:r>
              <w:rPr>
                <w:rFonts w:ascii="Arial" w:cs="Arial" w:eastAsia="Arial" w:hAnsi="Arial"/>
                <w:sz w:val="18"/>
                <w:szCs w:val="18"/>
                <w:color w:val="auto"/>
              </w:rPr>
              <w:t>Office closure costs, net</w:t>
            </w:r>
          </w:p>
        </w:tc>
        <w:tc>
          <w:tcPr>
            <w:tcW w:w="1040" w:type="dxa"/>
            <w:vAlign w:val="bottom"/>
            <w:shd w:val="clear" w:color="auto" w:fill="E3F1DA"/>
          </w:tcPr>
          <w:p>
            <w:pPr>
              <w:spacing w:after="0"/>
              <w:rPr>
                <w:sz w:val="18"/>
                <w:szCs w:val="18"/>
                <w:color w:val="auto"/>
              </w:rPr>
            </w:pP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4.9</w:t>
            </w:r>
          </w:p>
        </w:tc>
        <w:tc>
          <w:tcPr>
            <w:tcW w:w="360" w:type="dxa"/>
            <w:vAlign w:val="bottom"/>
            <w:shd w:val="clear" w:color="auto" w:fill="E3F1DA"/>
          </w:tcPr>
          <w:p>
            <w:pPr>
              <w:spacing w:after="0"/>
              <w:rPr>
                <w:sz w:val="18"/>
                <w:szCs w:val="18"/>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3F1DA"/>
          </w:tcPr>
          <w:p>
            <w:pPr>
              <w:spacing w:after="0"/>
              <w:rPr>
                <w:sz w:val="18"/>
                <w:szCs w:val="18"/>
                <w:color w:val="auto"/>
              </w:rPr>
            </w:pPr>
          </w:p>
        </w:tc>
        <w:tc>
          <w:tcPr>
            <w:tcW w:w="92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3F1DA"/>
          </w:tcPr>
          <w:p>
            <w:pPr>
              <w:spacing w:after="0"/>
              <w:rPr>
                <w:sz w:val="18"/>
                <w:szCs w:val="18"/>
                <w:color w:val="auto"/>
              </w:rPr>
            </w:pPr>
          </w:p>
        </w:tc>
        <w:tc>
          <w:tcPr>
            <w:tcW w:w="86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1.2</w:t>
            </w:r>
          </w:p>
        </w:tc>
        <w:tc>
          <w:tcPr>
            <w:tcW w:w="400" w:type="dxa"/>
            <w:vAlign w:val="bottom"/>
            <w:shd w:val="clear" w:color="auto" w:fill="E3F1DA"/>
          </w:tcPr>
          <w:p>
            <w:pPr>
              <w:spacing w:after="0"/>
              <w:rPr>
                <w:sz w:val="18"/>
                <w:szCs w:val="18"/>
                <w:color w:val="auto"/>
              </w:rPr>
            </w:pPr>
          </w:p>
        </w:tc>
        <w:tc>
          <w:tcPr>
            <w:tcW w:w="76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Costs paid or utilized</w:t>
            </w:r>
          </w:p>
        </w:tc>
        <w:tc>
          <w:tcPr>
            <w:tcW w:w="10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(36.8)</w:t>
            </w:r>
          </w:p>
        </w:tc>
      </w:tr>
      <w:tr>
        <w:trPr>
          <w:trHeight w:val="210"/>
        </w:trPr>
        <w:tc>
          <w:tcPr>
            <w:tcW w:w="20" w:type="dxa"/>
            <w:vAlign w:val="bottom"/>
          </w:tcPr>
          <w:p>
            <w:pPr>
              <w:spacing w:after="0"/>
              <w:rPr>
                <w:sz w:val="18"/>
                <w:szCs w:val="18"/>
                <w:color w:val="auto"/>
              </w:rPr>
            </w:pPr>
          </w:p>
        </w:tc>
        <w:tc>
          <w:tcPr>
            <w:tcW w:w="284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Balance, December 31, 2012</w:t>
            </w:r>
          </w:p>
        </w:tc>
        <w:tc>
          <w:tcPr>
            <w:tcW w:w="104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939598"/>
            </w:tcBorders>
            <w:shd w:val="clear" w:color="auto" w:fill="E3F1DA"/>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939598"/>
            </w:tcBorders>
            <w:shd w:val="clear" w:color="auto" w:fill="E3F1DA"/>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15.6</w:t>
            </w:r>
          </w:p>
        </w:tc>
        <w:tc>
          <w:tcPr>
            <w:tcW w:w="360" w:type="dxa"/>
            <w:vAlign w:val="bottom"/>
            <w:tcBorders>
              <w:bottom w:val="single" w:sz="8" w:color="939598"/>
            </w:tcBorders>
            <w:shd w:val="clear" w:color="auto" w:fill="E3F1DA"/>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939598"/>
            </w:tcBorders>
            <w:shd w:val="clear" w:color="auto" w:fill="E3F1DA"/>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939598"/>
            </w:tcBorders>
            <w:shd w:val="clear" w:color="auto" w:fill="E3F1DA"/>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939598"/>
            </w:tcBorders>
            <w:shd w:val="clear" w:color="auto" w:fill="E3F1DA"/>
          </w:tcPr>
          <w:p>
            <w:pPr>
              <w:jc w:val="right"/>
              <w:ind w:right="34"/>
              <w:spacing w:after="0"/>
              <w:rPr>
                <w:sz w:val="20"/>
                <w:szCs w:val="20"/>
                <w:color w:val="auto"/>
              </w:rPr>
            </w:pPr>
            <w:r>
              <w:rPr>
                <w:rFonts w:ascii="Arial" w:cs="Arial" w:eastAsia="Arial" w:hAnsi="Arial"/>
                <w:sz w:val="18"/>
                <w:szCs w:val="18"/>
                <w:color w:val="auto"/>
              </w:rPr>
              <w:t>41.4</w:t>
            </w:r>
          </w:p>
        </w:tc>
      </w:tr>
    </w:tbl>
    <w:p>
      <w:pPr>
        <w:spacing w:after="0" w:line="248" w:lineRule="exact"/>
        <w:rPr>
          <w:sz w:val="20"/>
          <w:szCs w:val="20"/>
          <w:color w:val="auto"/>
        </w:rPr>
      </w:pPr>
    </w:p>
    <w:p>
      <w:pPr>
        <w:jc w:val="both"/>
        <w:ind w:left="580" w:hanging="572"/>
        <w:spacing w:after="0" w:line="259"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Balance related to United States was $7.4 as of January 1, 2011. In 2011, United States incurred $1.3 for severance costs and $0.3 for office closure costs and paid/utilized $5.7, leaving a $3.3 liability as of December 31, 2011. In 2012, United States incurred $3.4 for severance costs and $4.0 for office closure costs and paid/utilized $6.9, leaving a $3.8 liability as of December 31, 2012.</w:t>
      </w:r>
    </w:p>
    <w:p>
      <w:pPr>
        <w:spacing w:after="0" w:line="126"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Balance related to France was $5.6 as of January 1, 2011. In 2011, France incurred $0.4 for office closure costs and paid/utilized $2.5, leaving a $3.5 liability as of December 31, 2011. In 2012, France incurred $1.7 for office closure costs and paid/utilized $1.4, leaving a $3.8 liability as of December 31, 2012. Italy had no reorganization liability as of January 1, 2011. In 2011, Italy recorded severance costs of $0.9 and paid out $0.5, leaving a $0.4 liability as of December 31, 2011. In 2012, Italy incurred $0.7 for severance costs and paid $0.2, leaving a $0.9 liability as of December 31, 2012.</w:t>
      </w:r>
    </w:p>
    <w:p>
      <w:pPr>
        <w:spacing w:after="0" w:line="203"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73" w:name="page74"/>
    <w:bookmarkEnd w:id="73"/>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INCOME TAXES</w:t>
      </w:r>
    </w:p>
    <w:p>
      <w:pPr>
        <w:spacing w:after="0" w:line="21"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FAIR VALUE MEASUREMENTS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86B6A5"/>
                <w:w w:val="95"/>
              </w:rPr>
              <w:t>Fair Value Measurements Using</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86B6A5"/>
                <w:w w:val="87"/>
              </w:rPr>
              <w:t>Fair Value Measurements Using</w:t>
            </w: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top w:val="single" w:sz="8" w:color="939598"/>
            </w:tcBorders>
            <w:shd w:val="clear" w:color="auto" w:fill="86B6A5"/>
          </w:tcPr>
          <w:p>
            <w:pPr>
              <w:spacing w:after="0"/>
              <w:rPr>
                <w:sz w:val="11"/>
                <w:szCs w:val="11"/>
                <w:color w:val="auto"/>
              </w:rPr>
            </w:pPr>
          </w:p>
        </w:tc>
        <w:tc>
          <w:tcPr>
            <w:tcW w:w="980" w:type="dxa"/>
            <w:vAlign w:val="bottom"/>
            <w:tcBorders>
              <w:top w:val="single" w:sz="8" w:color="939598"/>
            </w:tcBorders>
            <w:shd w:val="clear" w:color="auto" w:fill="86B6A5"/>
          </w:tcPr>
          <w:p>
            <w:pPr>
              <w:spacing w:after="0"/>
              <w:rPr>
                <w:sz w:val="11"/>
                <w:szCs w:val="11"/>
                <w:color w:val="auto"/>
              </w:rPr>
            </w:pPr>
          </w:p>
        </w:tc>
        <w:tc>
          <w:tcPr>
            <w:tcW w:w="120" w:type="dxa"/>
            <w:vAlign w:val="bottom"/>
            <w:tcBorders>
              <w:top w:val="single" w:sz="8" w:color="939598"/>
            </w:tcBorders>
          </w:tcPr>
          <w:p>
            <w:pPr>
              <w:spacing w:after="0"/>
              <w:rPr>
                <w:sz w:val="11"/>
                <w:szCs w:val="11"/>
                <w:color w:val="auto"/>
              </w:rPr>
            </w:pPr>
          </w:p>
        </w:tc>
        <w:tc>
          <w:tcPr>
            <w:tcW w:w="840" w:type="dxa"/>
            <w:vAlign w:val="bottom"/>
            <w:tcBorders>
              <w:top w:val="single" w:sz="8" w:color="939598"/>
            </w:tcBorders>
          </w:tcPr>
          <w:p>
            <w:pPr>
              <w:jc w:val="right"/>
              <w:ind w:right="43"/>
              <w:spacing w:after="0" w:line="129" w:lineRule="exact"/>
              <w:rPr>
                <w:sz w:val="20"/>
                <w:szCs w:val="20"/>
                <w:color w:val="auto"/>
              </w:rPr>
            </w:pPr>
            <w:r>
              <w:rPr>
                <w:rFonts w:ascii="Arial" w:cs="Arial" w:eastAsia="Arial" w:hAnsi="Arial"/>
                <w:sz w:val="14"/>
                <w:szCs w:val="14"/>
                <w:b w:val="1"/>
                <w:bCs w:val="1"/>
                <w:color w:val="86B6A5"/>
              </w:rPr>
              <w:t>Quoted</w:t>
            </w:r>
          </w:p>
        </w:tc>
        <w:tc>
          <w:tcPr>
            <w:tcW w:w="260" w:type="dxa"/>
            <w:vAlign w:val="bottom"/>
            <w:tcBorders>
              <w:top w:val="single" w:sz="8" w:color="939598"/>
            </w:tcBorders>
          </w:tcPr>
          <w:p>
            <w:pPr>
              <w:spacing w:after="0"/>
              <w:rPr>
                <w:sz w:val="11"/>
                <w:szCs w:val="11"/>
                <w:color w:val="auto"/>
              </w:rPr>
            </w:pPr>
          </w:p>
        </w:tc>
        <w:tc>
          <w:tcPr>
            <w:tcW w:w="820" w:type="dxa"/>
            <w:vAlign w:val="bottom"/>
            <w:tcBorders>
              <w:top w:val="single" w:sz="8" w:color="939598"/>
            </w:tcBorders>
          </w:tcPr>
          <w:p>
            <w:pPr>
              <w:spacing w:after="0"/>
              <w:rPr>
                <w:sz w:val="11"/>
                <w:szCs w:val="11"/>
                <w:color w:val="auto"/>
              </w:rPr>
            </w:pPr>
          </w:p>
        </w:tc>
        <w:tc>
          <w:tcPr>
            <w:tcW w:w="280" w:type="dxa"/>
            <w:vAlign w:val="bottom"/>
            <w:tcBorders>
              <w:top w:val="single" w:sz="8" w:color="939598"/>
            </w:tcBorders>
          </w:tcPr>
          <w:p>
            <w:pPr>
              <w:spacing w:after="0"/>
              <w:rPr>
                <w:sz w:val="11"/>
                <w:szCs w:val="11"/>
                <w:color w:val="auto"/>
              </w:rPr>
            </w:pPr>
          </w:p>
        </w:tc>
        <w:tc>
          <w:tcPr>
            <w:tcW w:w="680" w:type="dxa"/>
            <w:vAlign w:val="bottom"/>
            <w:tcBorders>
              <w:top w:val="single" w:sz="8" w:color="939598"/>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939598"/>
            </w:tcBorders>
          </w:tcPr>
          <w:p>
            <w:pPr>
              <w:spacing w:after="0"/>
              <w:rPr>
                <w:sz w:val="11"/>
                <w:szCs w:val="11"/>
                <w:color w:val="auto"/>
              </w:rPr>
            </w:pPr>
          </w:p>
        </w:tc>
        <w:tc>
          <w:tcPr>
            <w:tcW w:w="920" w:type="dxa"/>
            <w:vAlign w:val="bottom"/>
            <w:tcBorders>
              <w:top w:val="single" w:sz="8" w:color="939598"/>
            </w:tcBorders>
          </w:tcPr>
          <w:p>
            <w:pPr>
              <w:spacing w:after="0"/>
              <w:rPr>
                <w:sz w:val="11"/>
                <w:szCs w:val="11"/>
                <w:color w:val="auto"/>
              </w:rPr>
            </w:pPr>
          </w:p>
        </w:tc>
        <w:tc>
          <w:tcPr>
            <w:tcW w:w="260" w:type="dxa"/>
            <w:vAlign w:val="bottom"/>
            <w:tcBorders>
              <w:top w:val="single" w:sz="8" w:color="939598"/>
            </w:tcBorders>
          </w:tcPr>
          <w:p>
            <w:pPr>
              <w:spacing w:after="0"/>
              <w:rPr>
                <w:sz w:val="11"/>
                <w:szCs w:val="11"/>
                <w:color w:val="auto"/>
              </w:rPr>
            </w:pPr>
          </w:p>
        </w:tc>
        <w:tc>
          <w:tcPr>
            <w:tcW w:w="860" w:type="dxa"/>
            <w:vAlign w:val="bottom"/>
            <w:tcBorders>
              <w:top w:val="single" w:sz="8" w:color="939598"/>
            </w:tcBorders>
          </w:tcPr>
          <w:p>
            <w:pPr>
              <w:jc w:val="right"/>
              <w:ind w:right="43"/>
              <w:spacing w:after="0" w:line="129" w:lineRule="exact"/>
              <w:rPr>
                <w:sz w:val="20"/>
                <w:szCs w:val="20"/>
                <w:color w:val="auto"/>
              </w:rPr>
            </w:pPr>
            <w:r>
              <w:rPr>
                <w:rFonts w:ascii="Arial" w:cs="Arial" w:eastAsia="Arial" w:hAnsi="Arial"/>
                <w:sz w:val="14"/>
                <w:szCs w:val="14"/>
                <w:b w:val="1"/>
                <w:bCs w:val="1"/>
                <w:color w:val="86B6A5"/>
              </w:rPr>
              <w:t>Quoted</w:t>
            </w:r>
          </w:p>
        </w:tc>
        <w:tc>
          <w:tcPr>
            <w:tcW w:w="240" w:type="dxa"/>
            <w:vAlign w:val="bottom"/>
            <w:tcBorders>
              <w:top w:val="single" w:sz="8" w:color="939598"/>
            </w:tcBorders>
          </w:tcPr>
          <w:p>
            <w:pPr>
              <w:spacing w:after="0"/>
              <w:rPr>
                <w:sz w:val="11"/>
                <w:szCs w:val="11"/>
                <w:color w:val="auto"/>
              </w:rPr>
            </w:pPr>
          </w:p>
        </w:tc>
        <w:tc>
          <w:tcPr>
            <w:tcW w:w="880" w:type="dxa"/>
            <w:vAlign w:val="bottom"/>
            <w:tcBorders>
              <w:top w:val="single" w:sz="8" w:color="939598"/>
            </w:tcBorders>
          </w:tcPr>
          <w:p>
            <w:pPr>
              <w:spacing w:after="0"/>
              <w:rPr>
                <w:sz w:val="11"/>
                <w:szCs w:val="11"/>
                <w:color w:val="auto"/>
              </w:rPr>
            </w:pPr>
          </w:p>
        </w:tc>
        <w:tc>
          <w:tcPr>
            <w:tcW w:w="300" w:type="dxa"/>
            <w:vAlign w:val="bottom"/>
            <w:tcBorders>
              <w:top w:val="single" w:sz="8" w:color="939598"/>
            </w:tcBorders>
          </w:tcPr>
          <w:p>
            <w:pPr>
              <w:spacing w:after="0"/>
              <w:rPr>
                <w:sz w:val="11"/>
                <w:szCs w:val="11"/>
                <w:color w:val="auto"/>
              </w:rPr>
            </w:pPr>
          </w:p>
        </w:tc>
        <w:tc>
          <w:tcPr>
            <w:tcW w:w="820" w:type="dxa"/>
            <w:vAlign w:val="bottom"/>
            <w:tcBorders>
              <w:top w:val="single" w:sz="8" w:color="939598"/>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80" w:type="dxa"/>
            <w:vAlign w:val="bottom"/>
            <w:shd w:val="clear" w:color="auto" w:fill="86B6A5"/>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Prices in</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Prices in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80" w:type="dxa"/>
            <w:vAlign w:val="bottom"/>
            <w:shd w:val="clear" w:color="auto" w:fill="86B6A5"/>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Active</w:t>
            </w:r>
          </w:p>
        </w:tc>
        <w:tc>
          <w:tcPr>
            <w:tcW w:w="260" w:type="dxa"/>
            <w:vAlign w:val="bottom"/>
          </w:tcPr>
          <w:p>
            <w:pPr>
              <w:spacing w:after="0"/>
              <w:rPr>
                <w:sz w:val="12"/>
                <w:szCs w:val="12"/>
                <w:color w:val="auto"/>
              </w:rPr>
            </w:pP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w w:val="94"/>
              </w:rPr>
              <w:t>Significant</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Active</w:t>
            </w:r>
          </w:p>
        </w:tc>
        <w:tc>
          <w:tcPr>
            <w:tcW w:w="24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86B6A5"/>
              </w:rPr>
              <w:t>Significant</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80" w:type="dxa"/>
            <w:vAlign w:val="bottom"/>
            <w:shd w:val="clear" w:color="auto" w:fill="86B6A5"/>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w w:val="92"/>
              </w:rPr>
              <w:t>Markets for</w:t>
            </w:r>
          </w:p>
        </w:tc>
        <w:tc>
          <w:tcPr>
            <w:tcW w:w="260" w:type="dxa"/>
            <w:vAlign w:val="bottom"/>
          </w:tcPr>
          <w:p>
            <w:pPr>
              <w:spacing w:after="0"/>
              <w:rPr>
                <w:sz w:val="12"/>
                <w:szCs w:val="12"/>
                <w:color w:val="auto"/>
              </w:rPr>
            </w:pP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rPr>
              <w:t>Other</w:t>
            </w:r>
          </w:p>
        </w:tc>
        <w:tc>
          <w:tcPr>
            <w:tcW w:w="2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86B6A5"/>
                <w:w w:val="92"/>
              </w:rPr>
              <w:t>Significant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w w:val="95"/>
              </w:rPr>
              <w:t>Markets for</w:t>
            </w:r>
          </w:p>
        </w:tc>
        <w:tc>
          <w:tcPr>
            <w:tcW w:w="24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86B6A5"/>
              </w:rPr>
              <w:t>Other</w:t>
            </w:r>
          </w:p>
        </w:tc>
        <w:tc>
          <w:tcPr>
            <w:tcW w:w="300" w:type="dxa"/>
            <w:vAlign w:val="bottom"/>
          </w:tcPr>
          <w:p>
            <w:pPr>
              <w:spacing w:after="0"/>
              <w:rPr>
                <w:sz w:val="12"/>
                <w:szCs w:val="12"/>
                <w:color w:val="auto"/>
              </w:rPr>
            </w:pPr>
          </w:p>
        </w:tc>
        <w:tc>
          <w:tcPr>
            <w:tcW w:w="8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86B6A5"/>
                <w:w w:val="94"/>
              </w:rPr>
              <w:t>Significant</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shd w:val="clear" w:color="auto" w:fill="86B6A5"/>
          </w:tcPr>
          <w:p>
            <w:pPr>
              <w:spacing w:after="0"/>
              <w:rPr>
                <w:sz w:val="12"/>
                <w:szCs w:val="12"/>
                <w:color w:val="auto"/>
              </w:rPr>
            </w:pPr>
          </w:p>
        </w:tc>
        <w:tc>
          <w:tcPr>
            <w:tcW w:w="980" w:type="dxa"/>
            <w:vAlign w:val="bottom"/>
            <w:shd w:val="clear" w:color="auto" w:fill="86B6A5"/>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Identical</w:t>
            </w:r>
          </w:p>
        </w:tc>
        <w:tc>
          <w:tcPr>
            <w:tcW w:w="260" w:type="dxa"/>
            <w:vAlign w:val="bottom"/>
          </w:tcPr>
          <w:p>
            <w:pPr>
              <w:spacing w:after="0"/>
              <w:rPr>
                <w:sz w:val="12"/>
                <w:szCs w:val="12"/>
                <w:color w:val="auto"/>
              </w:rPr>
            </w:pP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w w:val="89"/>
              </w:rPr>
              <w:t>Observable</w:t>
            </w: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86B6A5"/>
              </w:rPr>
              <w:t>Unobservable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Identical</w:t>
            </w:r>
          </w:p>
        </w:tc>
        <w:tc>
          <w:tcPr>
            <w:tcW w:w="24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86B6A5"/>
                <w:w w:val="96"/>
              </w:rPr>
              <w:t>Observable</w:t>
            </w:r>
          </w:p>
        </w:tc>
        <w:tc>
          <w:tcPr>
            <w:tcW w:w="112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86B6A5"/>
              </w:rPr>
              <w:t>Unobservable</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80" w:type="dxa"/>
            <w:vAlign w:val="bottom"/>
            <w:gridSpan w:val="2"/>
            <w:shd w:val="clear" w:color="auto" w:fill="86B6A5"/>
          </w:tcPr>
          <w:p>
            <w:pPr>
              <w:jc w:val="right"/>
              <w:ind w:right="155"/>
              <w:spacing w:after="0" w:line="149" w:lineRule="exact"/>
              <w:rPr>
                <w:sz w:val="20"/>
                <w:szCs w:val="20"/>
                <w:color w:val="auto"/>
              </w:rPr>
            </w:pPr>
            <w:r>
              <w:rPr>
                <w:rFonts w:ascii="Arial" w:cs="Arial" w:eastAsia="Arial" w:hAnsi="Arial"/>
                <w:sz w:val="14"/>
                <w:szCs w:val="14"/>
                <w:b w:val="1"/>
                <w:bCs w:val="1"/>
                <w:color w:val="FFFFFF"/>
                <w:w w:val="90"/>
              </w:rPr>
              <w:t>December 31,</w:t>
            </w:r>
          </w:p>
        </w:tc>
        <w:tc>
          <w:tcPr>
            <w:tcW w:w="120" w:type="dxa"/>
            <w:vAlign w:val="bottom"/>
          </w:tcPr>
          <w:p>
            <w:pPr>
              <w:spacing w:after="0"/>
              <w:rPr>
                <w:sz w:val="12"/>
                <w:szCs w:val="12"/>
                <w:color w:val="auto"/>
              </w:rPr>
            </w:pPr>
          </w:p>
        </w:tc>
        <w:tc>
          <w:tcPr>
            <w:tcW w:w="84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Assets</w:t>
            </w:r>
          </w:p>
        </w:tc>
        <w:tc>
          <w:tcPr>
            <w:tcW w:w="260" w:type="dxa"/>
            <w:vAlign w:val="bottom"/>
          </w:tcPr>
          <w:p>
            <w:pPr>
              <w:spacing w:after="0"/>
              <w:rPr>
                <w:sz w:val="12"/>
                <w:szCs w:val="12"/>
                <w:color w:val="auto"/>
              </w:rPr>
            </w:pPr>
          </w:p>
        </w:tc>
        <w:tc>
          <w:tcPr>
            <w:tcW w:w="82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rPr>
              <w:t>Inputs</w:t>
            </w:r>
          </w:p>
        </w:tc>
        <w:tc>
          <w:tcPr>
            <w:tcW w:w="2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86B6A5"/>
              </w:rPr>
              <w:t>Inputs</w:t>
            </w:r>
          </w:p>
        </w:tc>
        <w:tc>
          <w:tcPr>
            <w:tcW w:w="80" w:type="dxa"/>
            <w:vAlign w:val="bottom"/>
          </w:tcPr>
          <w:p>
            <w:pPr>
              <w:spacing w:after="0"/>
              <w:rPr>
                <w:sz w:val="12"/>
                <w:szCs w:val="12"/>
                <w:color w:val="auto"/>
              </w:rPr>
            </w:pPr>
          </w:p>
        </w:tc>
        <w:tc>
          <w:tcPr>
            <w:tcW w:w="9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86B6A5"/>
                <w:w w:val="85"/>
              </w:rPr>
              <w:t>December 31,</w:t>
            </w:r>
          </w:p>
        </w:tc>
        <w:tc>
          <w:tcPr>
            <w:tcW w:w="26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86B6A5"/>
              </w:rPr>
              <w:t>Assets</w:t>
            </w:r>
          </w:p>
        </w:tc>
        <w:tc>
          <w:tcPr>
            <w:tcW w:w="24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86B6A5"/>
              </w:rPr>
              <w:t>Inputs</w:t>
            </w:r>
          </w:p>
        </w:tc>
        <w:tc>
          <w:tcPr>
            <w:tcW w:w="300" w:type="dxa"/>
            <w:vAlign w:val="bottom"/>
          </w:tcPr>
          <w:p>
            <w:pPr>
              <w:spacing w:after="0"/>
              <w:rPr>
                <w:sz w:val="12"/>
                <w:szCs w:val="12"/>
                <w:color w:val="auto"/>
              </w:rPr>
            </w:pPr>
          </w:p>
        </w:tc>
        <w:tc>
          <w:tcPr>
            <w:tcW w:w="8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86B6A5"/>
              </w:rPr>
              <w:t>Inputs</w:t>
            </w:r>
          </w:p>
        </w:tc>
      </w:tr>
      <w:tr>
        <w:trPr>
          <w:trHeight w:val="161"/>
        </w:trPr>
        <w:tc>
          <w:tcPr>
            <w:tcW w:w="20" w:type="dxa"/>
            <w:vAlign w:val="bottom"/>
          </w:tcPr>
          <w:p>
            <w:pPr>
              <w:spacing w:after="0"/>
              <w:rPr>
                <w:sz w:val="14"/>
                <w:szCs w:val="14"/>
                <w:color w:val="auto"/>
              </w:rPr>
            </w:pPr>
          </w:p>
        </w:tc>
        <w:tc>
          <w:tcPr>
            <w:tcW w:w="2720" w:type="dxa"/>
            <w:vAlign w:val="bottom"/>
            <w:tcBorders>
              <w:bottom w:val="single" w:sz="8" w:color="86B6A5"/>
            </w:tcBorders>
          </w:tcPr>
          <w:p>
            <w:pPr>
              <w:spacing w:after="0"/>
              <w:rPr>
                <w:sz w:val="14"/>
                <w:szCs w:val="14"/>
                <w:color w:val="auto"/>
              </w:rPr>
            </w:pPr>
          </w:p>
        </w:tc>
        <w:tc>
          <w:tcPr>
            <w:tcW w:w="100" w:type="dxa"/>
            <w:vAlign w:val="bottom"/>
            <w:tcBorders>
              <w:bottom w:val="single" w:sz="8" w:color="86B6A5"/>
            </w:tcBorders>
            <w:shd w:val="clear" w:color="auto" w:fill="86B6A5"/>
          </w:tcPr>
          <w:p>
            <w:pPr>
              <w:spacing w:after="0"/>
              <w:rPr>
                <w:sz w:val="14"/>
                <w:szCs w:val="14"/>
                <w:color w:val="auto"/>
              </w:rPr>
            </w:pPr>
          </w:p>
        </w:tc>
        <w:tc>
          <w:tcPr>
            <w:tcW w:w="980" w:type="dxa"/>
            <w:vAlign w:val="bottom"/>
            <w:tcBorders>
              <w:bottom w:val="single" w:sz="8" w:color="86B6A5"/>
            </w:tcBorders>
            <w:shd w:val="clear" w:color="auto" w:fill="86B6A5"/>
          </w:tcPr>
          <w:p>
            <w:pPr>
              <w:jc w:val="right"/>
              <w:ind w:right="155"/>
              <w:spacing w:after="0"/>
              <w:rPr>
                <w:sz w:val="20"/>
                <w:szCs w:val="20"/>
                <w:color w:val="auto"/>
              </w:rPr>
            </w:pPr>
            <w:r>
              <w:rPr>
                <w:rFonts w:ascii="Arial" w:cs="Arial" w:eastAsia="Arial" w:hAnsi="Arial"/>
                <w:sz w:val="14"/>
                <w:szCs w:val="14"/>
                <w:b w:val="1"/>
                <w:bCs w:val="1"/>
                <w:color w:val="FFFFFF"/>
              </w:rPr>
              <w:t>2012</w:t>
            </w:r>
          </w:p>
        </w:tc>
        <w:tc>
          <w:tcPr>
            <w:tcW w:w="12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43"/>
              <w:spacing w:after="0"/>
              <w:rPr>
                <w:sz w:val="20"/>
                <w:szCs w:val="20"/>
                <w:color w:val="auto"/>
              </w:rPr>
            </w:pPr>
            <w:r>
              <w:rPr>
                <w:rFonts w:ascii="Arial" w:cs="Arial" w:eastAsia="Arial" w:hAnsi="Arial"/>
                <w:sz w:val="14"/>
                <w:szCs w:val="14"/>
                <w:b w:val="1"/>
                <w:bCs w:val="1"/>
                <w:color w:val="86B6A5"/>
              </w:rPr>
              <w:t>(Level 1)</w:t>
            </w:r>
          </w:p>
        </w:tc>
        <w:tc>
          <w:tcPr>
            <w:tcW w:w="260" w:type="dxa"/>
            <w:vAlign w:val="bottom"/>
            <w:tcBorders>
              <w:bottom w:val="single" w:sz="8" w:color="86B6A5"/>
            </w:tcBorders>
          </w:tcPr>
          <w:p>
            <w:pPr>
              <w:spacing w:after="0"/>
              <w:rPr>
                <w:sz w:val="14"/>
                <w:szCs w:val="14"/>
                <w:color w:val="auto"/>
              </w:rPr>
            </w:pPr>
          </w:p>
        </w:tc>
        <w:tc>
          <w:tcPr>
            <w:tcW w:w="820" w:type="dxa"/>
            <w:vAlign w:val="bottom"/>
            <w:tcBorders>
              <w:bottom w:val="single" w:sz="8" w:color="86B6A5"/>
            </w:tcBorders>
          </w:tcPr>
          <w:p>
            <w:pPr>
              <w:jc w:val="right"/>
              <w:ind w:right="41"/>
              <w:spacing w:after="0"/>
              <w:rPr>
                <w:sz w:val="20"/>
                <w:szCs w:val="20"/>
                <w:color w:val="auto"/>
              </w:rPr>
            </w:pPr>
            <w:r>
              <w:rPr>
                <w:rFonts w:ascii="Arial" w:cs="Arial" w:eastAsia="Arial" w:hAnsi="Arial"/>
                <w:sz w:val="14"/>
                <w:szCs w:val="14"/>
                <w:b w:val="1"/>
                <w:bCs w:val="1"/>
                <w:color w:val="86B6A5"/>
              </w:rPr>
              <w:t>(Level 2)</w:t>
            </w:r>
          </w:p>
        </w:tc>
        <w:tc>
          <w:tcPr>
            <w:tcW w:w="280" w:type="dxa"/>
            <w:vAlign w:val="bottom"/>
            <w:tcBorders>
              <w:bottom w:val="single" w:sz="8" w:color="86B6A5"/>
            </w:tcBorders>
          </w:tcPr>
          <w:p>
            <w:pPr>
              <w:spacing w:after="0"/>
              <w:rPr>
                <w:sz w:val="14"/>
                <w:szCs w:val="14"/>
                <w:color w:val="auto"/>
              </w:rPr>
            </w:pPr>
          </w:p>
        </w:tc>
        <w:tc>
          <w:tcPr>
            <w:tcW w:w="920" w:type="dxa"/>
            <w:vAlign w:val="bottom"/>
            <w:tcBorders>
              <w:bottom w:val="single" w:sz="8" w:color="86B6A5"/>
            </w:tcBorders>
            <w:gridSpan w:val="2"/>
          </w:tcPr>
          <w:p>
            <w:pPr>
              <w:jc w:val="right"/>
              <w:ind w:right="240"/>
              <w:spacing w:after="0"/>
              <w:rPr>
                <w:sz w:val="20"/>
                <w:szCs w:val="20"/>
                <w:color w:val="auto"/>
              </w:rPr>
            </w:pPr>
            <w:r>
              <w:rPr>
                <w:rFonts w:ascii="Arial" w:cs="Arial" w:eastAsia="Arial" w:hAnsi="Arial"/>
                <w:sz w:val="14"/>
                <w:szCs w:val="14"/>
                <w:b w:val="1"/>
                <w:bCs w:val="1"/>
                <w:color w:val="86B6A5"/>
              </w:rPr>
              <w:t>(Level 3)</w:t>
            </w:r>
          </w:p>
        </w:tc>
        <w:tc>
          <w:tcPr>
            <w:tcW w:w="80" w:type="dxa"/>
            <w:vAlign w:val="bottom"/>
            <w:tcBorders>
              <w:bottom w:val="single" w:sz="8" w:color="86B6A5"/>
            </w:tcBorders>
          </w:tcPr>
          <w:p>
            <w:pPr>
              <w:spacing w:after="0"/>
              <w:rPr>
                <w:sz w:val="14"/>
                <w:szCs w:val="14"/>
                <w:color w:val="auto"/>
              </w:rPr>
            </w:pPr>
          </w:p>
        </w:tc>
        <w:tc>
          <w:tcPr>
            <w:tcW w:w="920" w:type="dxa"/>
            <w:vAlign w:val="bottom"/>
            <w:tcBorders>
              <w:bottom w:val="single" w:sz="8" w:color="86B6A5"/>
            </w:tcBorders>
          </w:tcPr>
          <w:p>
            <w:pPr>
              <w:jc w:val="right"/>
              <w:ind w:right="37"/>
              <w:spacing w:after="0"/>
              <w:rPr>
                <w:sz w:val="20"/>
                <w:szCs w:val="20"/>
                <w:color w:val="auto"/>
              </w:rPr>
            </w:pPr>
            <w:r>
              <w:rPr>
                <w:rFonts w:ascii="Arial" w:cs="Arial" w:eastAsia="Arial" w:hAnsi="Arial"/>
                <w:sz w:val="14"/>
                <w:szCs w:val="14"/>
                <w:b w:val="1"/>
                <w:bCs w:val="1"/>
                <w:color w:val="86B6A5"/>
              </w:rPr>
              <w:t>2011</w:t>
            </w:r>
          </w:p>
        </w:tc>
        <w:tc>
          <w:tcPr>
            <w:tcW w:w="26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43"/>
              <w:spacing w:after="0"/>
              <w:rPr>
                <w:sz w:val="20"/>
                <w:szCs w:val="20"/>
                <w:color w:val="auto"/>
              </w:rPr>
            </w:pPr>
            <w:r>
              <w:rPr>
                <w:rFonts w:ascii="Arial" w:cs="Arial" w:eastAsia="Arial" w:hAnsi="Arial"/>
                <w:sz w:val="14"/>
                <w:szCs w:val="14"/>
                <w:b w:val="1"/>
                <w:bCs w:val="1"/>
                <w:color w:val="86B6A5"/>
              </w:rPr>
              <w:t>(Level 1)</w:t>
            </w:r>
          </w:p>
        </w:tc>
        <w:tc>
          <w:tcPr>
            <w:tcW w:w="240" w:type="dxa"/>
            <w:vAlign w:val="bottom"/>
            <w:tcBorders>
              <w:bottom w:val="single" w:sz="8" w:color="86B6A5"/>
            </w:tcBorders>
          </w:tcPr>
          <w:p>
            <w:pPr>
              <w:spacing w:after="0"/>
              <w:rPr>
                <w:sz w:val="14"/>
                <w:szCs w:val="14"/>
                <w:color w:val="auto"/>
              </w:rPr>
            </w:pPr>
          </w:p>
        </w:tc>
        <w:tc>
          <w:tcPr>
            <w:tcW w:w="880" w:type="dxa"/>
            <w:vAlign w:val="bottom"/>
            <w:tcBorders>
              <w:bottom w:val="single" w:sz="8" w:color="86B6A5"/>
            </w:tcBorders>
          </w:tcPr>
          <w:p>
            <w:pPr>
              <w:jc w:val="right"/>
              <w:ind w:right="42"/>
              <w:spacing w:after="0"/>
              <w:rPr>
                <w:sz w:val="20"/>
                <w:szCs w:val="20"/>
                <w:color w:val="auto"/>
              </w:rPr>
            </w:pPr>
            <w:r>
              <w:rPr>
                <w:rFonts w:ascii="Arial" w:cs="Arial" w:eastAsia="Arial" w:hAnsi="Arial"/>
                <w:sz w:val="14"/>
                <w:szCs w:val="14"/>
                <w:b w:val="1"/>
                <w:bCs w:val="1"/>
                <w:color w:val="86B6A5"/>
              </w:rPr>
              <w:t>(Level 2)</w:t>
            </w:r>
          </w:p>
        </w:tc>
        <w:tc>
          <w:tcPr>
            <w:tcW w:w="300" w:type="dxa"/>
            <w:vAlign w:val="bottom"/>
            <w:tcBorders>
              <w:bottom w:val="single" w:sz="8" w:color="86B6A5"/>
            </w:tcBorders>
          </w:tcPr>
          <w:p>
            <w:pPr>
              <w:spacing w:after="0"/>
              <w:rPr>
                <w:sz w:val="14"/>
                <w:szCs w:val="14"/>
                <w:color w:val="auto"/>
              </w:rPr>
            </w:pPr>
          </w:p>
        </w:tc>
        <w:tc>
          <w:tcPr>
            <w:tcW w:w="820" w:type="dxa"/>
            <w:vAlign w:val="bottom"/>
            <w:tcBorders>
              <w:bottom w:val="single" w:sz="8" w:color="86B6A5"/>
            </w:tcBorders>
          </w:tcPr>
          <w:p>
            <w:pPr>
              <w:jc w:val="right"/>
              <w:ind w:right="39"/>
              <w:spacing w:after="0"/>
              <w:rPr>
                <w:sz w:val="20"/>
                <w:szCs w:val="20"/>
                <w:color w:val="auto"/>
              </w:rPr>
            </w:pPr>
            <w:r>
              <w:rPr>
                <w:rFonts w:ascii="Arial" w:cs="Arial" w:eastAsia="Arial" w:hAnsi="Arial"/>
                <w:sz w:val="14"/>
                <w:szCs w:val="14"/>
                <w:b w:val="1"/>
                <w:bCs w:val="1"/>
                <w:color w:val="86B6A5"/>
              </w:rPr>
              <w:t>(Level 3)</w:t>
            </w: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939598"/>
              </w:rPr>
              <w:t>Assets</w:t>
            </w:r>
          </w:p>
        </w:tc>
        <w:tc>
          <w:tcPr>
            <w:tcW w:w="10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3"/>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w w:val="97"/>
              </w:rPr>
              <w:t>Foreign currency forward contracts</w:t>
            </w:r>
          </w:p>
        </w:tc>
        <w:tc>
          <w:tcPr>
            <w:tcW w:w="10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w w:val="96"/>
              </w:rPr>
              <w:t>Deferred compensation plan assets</w:t>
            </w:r>
          </w:p>
        </w:tc>
        <w:tc>
          <w:tcPr>
            <w:tcW w:w="100" w:type="dxa"/>
            <w:vAlign w:val="bottom"/>
            <w:shd w:val="clear" w:color="auto" w:fill="E3F1DA"/>
          </w:tcPr>
          <w:p>
            <w:pPr>
              <w:spacing w:after="0"/>
              <w:rPr>
                <w:sz w:val="19"/>
                <w:szCs w:val="19"/>
                <w:color w:val="auto"/>
              </w:rPr>
            </w:pPr>
          </w:p>
        </w:tc>
        <w:tc>
          <w:tcPr>
            <w:tcW w:w="9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840" w:type="dxa"/>
            <w:vAlign w:val="bottom"/>
          </w:tcPr>
          <w:p>
            <w:pPr>
              <w:jc w:val="right"/>
              <w:ind w:right="43"/>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272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939598"/>
              <w:bottom w:val="single" w:sz="8" w:color="939598"/>
            </w:tcBorders>
            <w:shd w:val="clear" w:color="auto" w:fill="E3F1DA"/>
          </w:tcPr>
          <w:p>
            <w:pPr>
              <w:jc w:val="right"/>
              <w:ind w:right="155"/>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43"/>
              <w:spacing w:after="0"/>
              <w:rPr>
                <w:sz w:val="20"/>
                <w:szCs w:val="20"/>
                <w:color w:val="auto"/>
              </w:rPr>
            </w:pPr>
            <w:r>
              <w:rPr>
                <w:rFonts w:ascii="Arial" w:cs="Arial" w:eastAsia="Arial" w:hAnsi="Arial"/>
                <w:sz w:val="18"/>
                <w:szCs w:val="18"/>
                <w:color w:val="auto"/>
              </w:rPr>
              <w:t>58.7</w:t>
            </w:r>
          </w:p>
        </w:tc>
        <w:tc>
          <w:tcPr>
            <w:tcW w:w="26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939598"/>
              <w:bottom w:val="single" w:sz="8" w:color="939598"/>
            </w:tcBorders>
          </w:tcPr>
          <w:p>
            <w:pPr>
              <w:jc w:val="right"/>
              <w:ind w:right="37"/>
              <w:spacing w:after="0"/>
              <w:rPr>
                <w:sz w:val="20"/>
                <w:szCs w:val="20"/>
                <w:color w:val="auto"/>
              </w:rPr>
            </w:pPr>
            <w:r>
              <w:rPr>
                <w:rFonts w:ascii="Arial" w:cs="Arial" w:eastAsia="Arial" w:hAnsi="Arial"/>
                <w:sz w:val="18"/>
                <w:szCs w:val="18"/>
                <w:color w:val="auto"/>
              </w:rPr>
              <w:t>45.6</w:t>
            </w:r>
          </w:p>
        </w:tc>
        <w:tc>
          <w:tcPr>
            <w:tcW w:w="26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ind w:right="43"/>
              <w:spacing w:after="0"/>
              <w:rPr>
                <w:sz w:val="20"/>
                <w:szCs w:val="20"/>
                <w:color w:val="auto"/>
              </w:rPr>
            </w:pPr>
            <w:r>
              <w:rPr>
                <w:rFonts w:ascii="Arial" w:cs="Arial" w:eastAsia="Arial" w:hAnsi="Arial"/>
                <w:sz w:val="18"/>
                <w:szCs w:val="18"/>
                <w:color w:val="auto"/>
              </w:rPr>
              <w:t>45.6</w:t>
            </w:r>
          </w:p>
        </w:tc>
        <w:tc>
          <w:tcPr>
            <w:tcW w:w="24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939598"/>
              <w:bottom w:val="single" w:sz="8" w:color="939598"/>
            </w:tcBorders>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939598"/>
              <w:bottom w:val="single" w:sz="8" w:color="939598"/>
            </w:tcBorders>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39"/>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939598"/>
              </w:rPr>
              <w:t>Liabilities</w:t>
            </w:r>
          </w:p>
        </w:tc>
        <w:tc>
          <w:tcPr>
            <w:tcW w:w="10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w w:val="97"/>
              </w:rPr>
              <w:t>Foreign currency forward contracts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0.3</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939598"/>
              <w:bottom w:val="single" w:sz="8" w:color="939598"/>
            </w:tcBorders>
            <w:shd w:val="clear" w:color="auto" w:fill="E3F1DA"/>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4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939598"/>
              <w:bottom w:val="single" w:sz="8" w:color="939598"/>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939598"/>
              <w:bottom w:val="single" w:sz="8" w:color="939598"/>
            </w:tcBorders>
          </w:tcPr>
          <w:p>
            <w:pPr>
              <w:jc w:val="right"/>
              <w:ind w:right="37"/>
              <w:spacing w:after="0"/>
              <w:rPr>
                <w:sz w:val="20"/>
                <w:szCs w:val="20"/>
                <w:color w:val="auto"/>
              </w:rPr>
            </w:pPr>
            <w:r>
              <w:rPr>
                <w:rFonts w:ascii="Arial" w:cs="Arial" w:eastAsia="Arial" w:hAnsi="Arial"/>
                <w:sz w:val="18"/>
                <w:szCs w:val="18"/>
                <w:color w:val="auto"/>
              </w:rPr>
              <w:t>0.3</w:t>
            </w:r>
          </w:p>
        </w:tc>
        <w:tc>
          <w:tcPr>
            <w:tcW w:w="26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ind w:right="4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939598"/>
              <w:bottom w:val="single" w:sz="8" w:color="939598"/>
            </w:tcBorders>
          </w:tcPr>
          <w:p>
            <w:pPr>
              <w:jc w:val="right"/>
              <w:ind w:right="42"/>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939598"/>
              <w:bottom w:val="single" w:sz="8" w:color="939598"/>
            </w:tcBorders>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939598"/>
              <w:bottom w:val="single" w:sz="8" w:color="939598"/>
            </w:tcBorders>
          </w:tcPr>
          <w:p>
            <w:pPr>
              <w:jc w:val="right"/>
              <w:ind w:right="39"/>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the fair value of our available-for-sale securities and deferred compensation plan assets, comprised of publicly traded securities, by using market quotes as of the last day of the period. The fair value of the foreign currency forward contracts are measured at the value from either directly or indirectly observable third parties.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The fair value of the euro-denominated notes, as determined by the quoted market prices, was $778.8 and $654.9 as of December 31, 2012 and 2011, respectively, compared to a carrying value of $725.5 and $647.6, respectively.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measured certain non-financial assets on a non-recurring basis, including goodwill and tradenames. In 2010, goodwill and tradenames with a carrying amount of $1,438.2 were written down to their fair value of $1,009.4, resulting in an impairment charge of $428.8 and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939598"/>
            </w:tcBorders>
          </w:tcPr>
          <w:p>
            <w:pPr>
              <w:spacing w:after="0"/>
              <w:rPr>
                <w:sz w:val="14"/>
                <w:szCs w:val="14"/>
                <w:color w:val="auto"/>
              </w:rPr>
            </w:pPr>
          </w:p>
        </w:tc>
        <w:tc>
          <w:tcPr>
            <w:tcW w:w="1000" w:type="dxa"/>
            <w:vAlign w:val="bottom"/>
            <w:tcBorders>
              <w:bottom w:val="single" w:sz="8" w:color="939598"/>
            </w:tcBorders>
          </w:tcPr>
          <w:p>
            <w:pPr>
              <w:spacing w:after="0"/>
              <w:rPr>
                <w:sz w:val="14"/>
                <w:szCs w:val="14"/>
                <w:color w:val="auto"/>
              </w:rPr>
            </w:pPr>
          </w:p>
        </w:tc>
        <w:tc>
          <w:tcPr>
            <w:tcW w:w="22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240" w:type="dxa"/>
            <w:vAlign w:val="bottom"/>
            <w:tcBorders>
              <w:bottom w:val="single" w:sz="8" w:color="939598"/>
            </w:tcBorders>
          </w:tcPr>
          <w:p>
            <w:pPr>
              <w:spacing w:after="0"/>
              <w:rPr>
                <w:sz w:val="14"/>
                <w:szCs w:val="14"/>
                <w:color w:val="auto"/>
              </w:rPr>
            </w:pPr>
          </w:p>
        </w:tc>
        <w:tc>
          <w:tcPr>
            <w:tcW w:w="1320" w:type="dxa"/>
            <w:vAlign w:val="bottom"/>
            <w:tcBorders>
              <w:bottom w:val="single" w:sz="8" w:color="939598"/>
            </w:tcBorders>
          </w:tcPr>
          <w:p>
            <w:pPr>
              <w:spacing w:after="0"/>
              <w:rPr>
                <w:sz w:val="14"/>
                <w:szCs w:val="14"/>
                <w:color w:val="auto"/>
              </w:rPr>
            </w:pPr>
          </w:p>
        </w:tc>
        <w:tc>
          <w:tcPr>
            <w:tcW w:w="2420" w:type="dxa"/>
            <w:vAlign w:val="bottom"/>
            <w:tcBorders>
              <w:bottom w:val="single" w:sz="8" w:color="939598"/>
            </w:tcBorders>
            <w:gridSpan w:val="3"/>
          </w:tcPr>
          <w:p>
            <w:pPr>
              <w:jc w:val="right"/>
              <w:ind w:right="37"/>
              <w:spacing w:after="0"/>
              <w:rPr>
                <w:sz w:val="20"/>
                <w:szCs w:val="20"/>
                <w:color w:val="auto"/>
              </w:rPr>
            </w:pPr>
            <w:r>
              <w:rPr>
                <w:rFonts w:ascii="Arial" w:cs="Arial" w:eastAsia="Arial" w:hAnsi="Arial"/>
                <w:sz w:val="14"/>
                <w:szCs w:val="14"/>
                <w:b w:val="1"/>
                <w:bCs w:val="1"/>
                <w:color w:val="86B6A5"/>
              </w:rPr>
              <w:t>Fair Value Measurements Using</w:t>
            </w: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86B6A5"/>
                <w:w w:val="84"/>
              </w:rPr>
              <w:t>Quoted Prices in</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86B6A5"/>
                <w:w w:val="95"/>
              </w:rPr>
              <w:t>Active Markets</w:t>
            </w:r>
          </w:p>
        </w:tc>
        <w:tc>
          <w:tcPr>
            <w:tcW w:w="1560" w:type="dxa"/>
            <w:vAlign w:val="bottom"/>
            <w:gridSpan w:val="2"/>
          </w:tcPr>
          <w:p>
            <w:pPr>
              <w:jc w:val="right"/>
              <w:ind w:right="282"/>
              <w:spacing w:after="0" w:line="149" w:lineRule="exact"/>
              <w:rPr>
                <w:sz w:val="20"/>
                <w:szCs w:val="20"/>
                <w:color w:val="auto"/>
              </w:rPr>
            </w:pPr>
            <w:r>
              <w:rPr>
                <w:rFonts w:ascii="Arial" w:cs="Arial" w:eastAsia="Arial" w:hAnsi="Arial"/>
                <w:sz w:val="14"/>
                <w:szCs w:val="14"/>
                <w:b w:val="1"/>
                <w:bCs w:val="1"/>
                <w:color w:val="86B6A5"/>
              </w:rPr>
              <w:t>Significant Other</w:t>
            </w:r>
          </w:p>
        </w:tc>
        <w:tc>
          <w:tcPr>
            <w:tcW w:w="108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86B6A5"/>
              </w:rPr>
              <w:t>Significant</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86B6A5"/>
                <w:w w:val="96"/>
              </w:rPr>
              <w:t>December 31,</w:t>
            </w:r>
          </w:p>
        </w:tc>
        <w:tc>
          <w:tcPr>
            <w:tcW w:w="220" w:type="dxa"/>
            <w:vAlign w:val="bottom"/>
          </w:tcPr>
          <w:p>
            <w:pPr>
              <w:spacing w:after="0"/>
              <w:rPr>
                <w:sz w:val="12"/>
                <w:szCs w:val="12"/>
                <w:color w:val="auto"/>
              </w:rPr>
            </w:pPr>
          </w:p>
        </w:tc>
        <w:tc>
          <w:tcPr>
            <w:tcW w:w="108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86B6A5"/>
              </w:rPr>
              <w:t>for Identical</w:t>
            </w:r>
          </w:p>
        </w:tc>
        <w:tc>
          <w:tcPr>
            <w:tcW w:w="240" w:type="dxa"/>
            <w:vAlign w:val="bottom"/>
          </w:tcPr>
          <w:p>
            <w:pPr>
              <w:spacing w:after="0"/>
              <w:rPr>
                <w:sz w:val="12"/>
                <w:szCs w:val="12"/>
                <w:color w:val="auto"/>
              </w:rPr>
            </w:pPr>
          </w:p>
        </w:tc>
        <w:tc>
          <w:tcPr>
            <w:tcW w:w="1320" w:type="dxa"/>
            <w:vAlign w:val="bottom"/>
          </w:tcPr>
          <w:p>
            <w:pPr>
              <w:jc w:val="right"/>
              <w:ind w:right="282"/>
              <w:spacing w:after="0" w:line="149" w:lineRule="exact"/>
              <w:rPr>
                <w:sz w:val="20"/>
                <w:szCs w:val="20"/>
                <w:color w:val="auto"/>
              </w:rPr>
            </w:pPr>
            <w:r>
              <w:rPr>
                <w:rFonts w:ascii="Arial" w:cs="Arial" w:eastAsia="Arial" w:hAnsi="Arial"/>
                <w:sz w:val="14"/>
                <w:szCs w:val="14"/>
                <w:b w:val="1"/>
                <w:bCs w:val="1"/>
                <w:color w:val="86B6A5"/>
              </w:rPr>
              <w:t>Observable</w:t>
            </w:r>
          </w:p>
        </w:tc>
        <w:tc>
          <w:tcPr>
            <w:tcW w:w="108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86B6A5"/>
              </w:rPr>
              <w:t>Unobservable</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900" w:type="dxa"/>
            <w:vAlign w:val="bottom"/>
            <w:tcBorders>
              <w:bottom w:val="single" w:sz="8" w:color="86B6A5"/>
            </w:tcBorders>
          </w:tcPr>
          <w:p>
            <w:pPr>
              <w:spacing w:after="0"/>
              <w:rPr>
                <w:sz w:val="14"/>
                <w:szCs w:val="14"/>
                <w:color w:val="auto"/>
              </w:rPr>
            </w:pPr>
          </w:p>
        </w:tc>
        <w:tc>
          <w:tcPr>
            <w:tcW w:w="2040" w:type="dxa"/>
            <w:vAlign w:val="bottom"/>
            <w:tcBorders>
              <w:bottom w:val="single" w:sz="8" w:color="86B6A5"/>
            </w:tcBorders>
          </w:tcPr>
          <w:p>
            <w:pPr>
              <w:spacing w:after="0"/>
              <w:rPr>
                <w:sz w:val="14"/>
                <w:szCs w:val="14"/>
                <w:color w:val="auto"/>
              </w:rPr>
            </w:pPr>
          </w:p>
        </w:tc>
        <w:tc>
          <w:tcPr>
            <w:tcW w:w="180" w:type="dxa"/>
            <w:vAlign w:val="bottom"/>
            <w:tcBorders>
              <w:bottom w:val="single" w:sz="8" w:color="86B6A5"/>
            </w:tcBorders>
          </w:tcPr>
          <w:p>
            <w:pPr>
              <w:spacing w:after="0"/>
              <w:rPr>
                <w:sz w:val="14"/>
                <w:szCs w:val="14"/>
                <w:color w:val="auto"/>
              </w:rPr>
            </w:pPr>
          </w:p>
        </w:tc>
        <w:tc>
          <w:tcPr>
            <w:tcW w:w="1000" w:type="dxa"/>
            <w:vAlign w:val="bottom"/>
            <w:tcBorders>
              <w:bottom w:val="single" w:sz="8" w:color="86B6A5"/>
            </w:tcBorders>
          </w:tcPr>
          <w:p>
            <w:pPr>
              <w:jc w:val="right"/>
              <w:ind w:right="22"/>
              <w:spacing w:after="0"/>
              <w:rPr>
                <w:sz w:val="20"/>
                <w:szCs w:val="20"/>
                <w:color w:val="auto"/>
              </w:rPr>
            </w:pPr>
            <w:r>
              <w:rPr>
                <w:rFonts w:ascii="Arial" w:cs="Arial" w:eastAsia="Arial" w:hAnsi="Arial"/>
                <w:sz w:val="14"/>
                <w:szCs w:val="14"/>
                <w:b w:val="1"/>
                <w:bCs w:val="1"/>
                <w:color w:val="86B6A5"/>
              </w:rPr>
              <w:t>2010</w:t>
            </w:r>
          </w:p>
        </w:tc>
        <w:tc>
          <w:tcPr>
            <w:tcW w:w="220" w:type="dxa"/>
            <w:vAlign w:val="bottom"/>
            <w:tcBorders>
              <w:bottom w:val="single" w:sz="8" w:color="86B6A5"/>
            </w:tcBorders>
          </w:tcPr>
          <w:p>
            <w:pPr>
              <w:spacing w:after="0"/>
              <w:rPr>
                <w:sz w:val="14"/>
                <w:szCs w:val="14"/>
                <w:color w:val="auto"/>
              </w:rPr>
            </w:pPr>
          </w:p>
        </w:tc>
        <w:tc>
          <w:tcPr>
            <w:tcW w:w="1080" w:type="dxa"/>
            <w:vAlign w:val="bottom"/>
            <w:tcBorders>
              <w:bottom w:val="single" w:sz="8" w:color="86B6A5"/>
            </w:tcBorders>
          </w:tcPr>
          <w:p>
            <w:pPr>
              <w:jc w:val="right"/>
              <w:ind w:right="46"/>
              <w:spacing w:after="0"/>
              <w:rPr>
                <w:sz w:val="20"/>
                <w:szCs w:val="20"/>
                <w:color w:val="auto"/>
              </w:rPr>
            </w:pPr>
            <w:r>
              <w:rPr>
                <w:rFonts w:ascii="Arial" w:cs="Arial" w:eastAsia="Arial" w:hAnsi="Arial"/>
                <w:sz w:val="14"/>
                <w:szCs w:val="14"/>
                <w:b w:val="1"/>
                <w:bCs w:val="1"/>
                <w:color w:val="86B6A5"/>
                <w:w w:val="88"/>
              </w:rPr>
              <w:t>Assets (Level 1)</w:t>
            </w:r>
          </w:p>
        </w:tc>
        <w:tc>
          <w:tcPr>
            <w:tcW w:w="240" w:type="dxa"/>
            <w:vAlign w:val="bottom"/>
            <w:tcBorders>
              <w:bottom w:val="single" w:sz="8" w:color="86B6A5"/>
            </w:tcBorders>
          </w:tcPr>
          <w:p>
            <w:pPr>
              <w:spacing w:after="0"/>
              <w:rPr>
                <w:sz w:val="14"/>
                <w:szCs w:val="14"/>
                <w:color w:val="auto"/>
              </w:rPr>
            </w:pPr>
          </w:p>
        </w:tc>
        <w:tc>
          <w:tcPr>
            <w:tcW w:w="1320" w:type="dxa"/>
            <w:vAlign w:val="bottom"/>
            <w:tcBorders>
              <w:bottom w:val="single" w:sz="8" w:color="86B6A5"/>
            </w:tcBorders>
          </w:tcPr>
          <w:p>
            <w:pPr>
              <w:jc w:val="right"/>
              <w:ind w:right="282"/>
              <w:spacing w:after="0"/>
              <w:rPr>
                <w:sz w:val="20"/>
                <w:szCs w:val="20"/>
                <w:color w:val="auto"/>
              </w:rPr>
            </w:pPr>
            <w:r>
              <w:rPr>
                <w:rFonts w:ascii="Arial" w:cs="Arial" w:eastAsia="Arial" w:hAnsi="Arial"/>
                <w:sz w:val="14"/>
                <w:szCs w:val="14"/>
                <w:b w:val="1"/>
                <w:bCs w:val="1"/>
                <w:color w:val="86B6A5"/>
                <w:w w:val="91"/>
              </w:rPr>
              <w:t>Inputs (Level 2)</w:t>
            </w:r>
          </w:p>
        </w:tc>
        <w:tc>
          <w:tcPr>
            <w:tcW w:w="1080" w:type="dxa"/>
            <w:vAlign w:val="bottom"/>
            <w:tcBorders>
              <w:bottom w:val="single" w:sz="8" w:color="86B6A5"/>
            </w:tcBorders>
          </w:tcPr>
          <w:p>
            <w:pPr>
              <w:jc w:val="right"/>
              <w:ind w:right="46"/>
              <w:spacing w:after="0"/>
              <w:rPr>
                <w:sz w:val="20"/>
                <w:szCs w:val="20"/>
                <w:color w:val="auto"/>
              </w:rPr>
            </w:pPr>
            <w:r>
              <w:rPr>
                <w:rFonts w:ascii="Arial" w:cs="Arial" w:eastAsia="Arial" w:hAnsi="Arial"/>
                <w:sz w:val="14"/>
                <w:szCs w:val="14"/>
                <w:b w:val="1"/>
                <w:bCs w:val="1"/>
                <w:color w:val="86B6A5"/>
                <w:w w:val="91"/>
              </w:rPr>
              <w:t>Inputs (Level 3)</w:t>
            </w:r>
          </w:p>
        </w:tc>
        <w:tc>
          <w:tcPr>
            <w:tcW w:w="36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37"/>
              <w:spacing w:after="0"/>
              <w:rPr>
                <w:sz w:val="20"/>
                <w:szCs w:val="20"/>
                <w:color w:val="auto"/>
              </w:rPr>
            </w:pPr>
            <w:r>
              <w:rPr>
                <w:rFonts w:ascii="Arial" w:cs="Arial" w:eastAsia="Arial" w:hAnsi="Arial"/>
                <w:sz w:val="14"/>
                <w:szCs w:val="14"/>
                <w:b w:val="1"/>
                <w:bCs w:val="1"/>
                <w:color w:val="86B6A5"/>
                <w:w w:val="98"/>
              </w:rPr>
              <w:t>Total Losses</w:t>
            </w:r>
          </w:p>
        </w:tc>
      </w:tr>
      <w:tr>
        <w:trPr>
          <w:trHeight w:val="210"/>
        </w:trPr>
        <w:tc>
          <w:tcPr>
            <w:tcW w:w="20" w:type="dxa"/>
            <w:vAlign w:val="bottom"/>
          </w:tcPr>
          <w:p>
            <w:pPr>
              <w:spacing w:after="0"/>
              <w:rPr>
                <w:sz w:val="18"/>
                <w:szCs w:val="18"/>
                <w:color w:val="auto"/>
              </w:rPr>
            </w:pPr>
          </w:p>
        </w:tc>
        <w:tc>
          <w:tcPr>
            <w:tcW w:w="2900" w:type="dxa"/>
            <w:vAlign w:val="bottom"/>
            <w:shd w:val="clear" w:color="auto" w:fill="E3F1DA"/>
          </w:tcPr>
          <w:p>
            <w:pPr>
              <w:spacing w:after="0"/>
              <w:rPr>
                <w:sz w:val="20"/>
                <w:szCs w:val="20"/>
                <w:color w:val="auto"/>
              </w:rPr>
            </w:pPr>
            <w:r>
              <w:rPr>
                <w:rFonts w:ascii="Arial" w:cs="Arial" w:eastAsia="Arial" w:hAnsi="Arial"/>
                <w:sz w:val="18"/>
                <w:szCs w:val="18"/>
                <w:color w:val="auto"/>
              </w:rPr>
              <w:t>Goodwill</w:t>
            </w:r>
          </w:p>
        </w:tc>
        <w:tc>
          <w:tcPr>
            <w:tcW w:w="2220" w:type="dxa"/>
            <w:vAlign w:val="bottom"/>
            <w:gridSpan w:val="2"/>
            <w:shd w:val="clear" w:color="auto" w:fill="E3F1DA"/>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3F1DA"/>
          </w:tcPr>
          <w:p>
            <w:pPr>
              <w:jc w:val="right"/>
              <w:ind w:right="22"/>
              <w:spacing w:after="0"/>
              <w:rPr>
                <w:sz w:val="20"/>
                <w:szCs w:val="20"/>
                <w:color w:val="auto"/>
              </w:rPr>
            </w:pPr>
            <w:r>
              <w:rPr>
                <w:rFonts w:ascii="Arial" w:cs="Arial" w:eastAsia="Arial" w:hAnsi="Arial"/>
                <w:sz w:val="18"/>
                <w:szCs w:val="18"/>
                <w:color w:val="auto"/>
              </w:rPr>
              <w:t>954.1</w:t>
            </w:r>
          </w:p>
        </w:tc>
        <w:tc>
          <w:tcPr>
            <w:tcW w:w="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3F1DA"/>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3F1DA"/>
          </w:tcPr>
          <w:p>
            <w:pPr>
              <w:ind w:left="78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E3F1DA"/>
          </w:tcPr>
          <w:p>
            <w:pPr>
              <w:jc w:val="right"/>
              <w:ind w:right="46"/>
              <w:spacing w:after="0"/>
              <w:rPr>
                <w:sz w:val="20"/>
                <w:szCs w:val="20"/>
                <w:color w:val="auto"/>
              </w:rPr>
            </w:pPr>
            <w:r>
              <w:rPr>
                <w:rFonts w:ascii="Arial" w:cs="Arial" w:eastAsia="Arial" w:hAnsi="Arial"/>
                <w:sz w:val="18"/>
                <w:szCs w:val="18"/>
                <w:color w:val="auto"/>
              </w:rPr>
              <w:t>954.1</w:t>
            </w:r>
          </w:p>
        </w:tc>
        <w:tc>
          <w:tcPr>
            <w:tcW w:w="360" w:type="dxa"/>
            <w:vAlign w:val="bottom"/>
            <w:shd w:val="clear" w:color="auto" w:fill="E3F1DA"/>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(311.6)</w:t>
            </w:r>
          </w:p>
        </w:tc>
      </w:tr>
      <w:tr>
        <w:trPr>
          <w:trHeight w:val="216"/>
        </w:trPr>
        <w:tc>
          <w:tcPr>
            <w:tcW w:w="20" w:type="dxa"/>
            <w:vAlign w:val="bottom"/>
          </w:tcPr>
          <w:p>
            <w:pPr>
              <w:spacing w:after="0"/>
              <w:rPr>
                <w:sz w:val="18"/>
                <w:szCs w:val="18"/>
                <w:color w:val="auto"/>
              </w:rPr>
            </w:pPr>
          </w:p>
        </w:tc>
        <w:tc>
          <w:tcPr>
            <w:tcW w:w="29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Tradenames</w:t>
            </w:r>
          </w:p>
        </w:tc>
        <w:tc>
          <w:tcPr>
            <w:tcW w:w="2040" w:type="dxa"/>
            <w:vAlign w:val="bottom"/>
            <w:tcBorders>
              <w:bottom w:val="single" w:sz="8" w:color="939598"/>
            </w:tcBorders>
          </w:tcPr>
          <w:p>
            <w:pPr>
              <w:spacing w:after="0"/>
              <w:rPr>
                <w:sz w:val="18"/>
                <w:szCs w:val="18"/>
                <w:color w:val="auto"/>
              </w:rPr>
            </w:pPr>
          </w:p>
        </w:tc>
        <w:tc>
          <w:tcPr>
            <w:tcW w:w="1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right"/>
              <w:ind w:right="22"/>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4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ind w:left="7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939598"/>
            </w:tcBorders>
          </w:tcPr>
          <w:p>
            <w:pPr>
              <w:jc w:val="right"/>
              <w:ind w:right="46"/>
              <w:spacing w:after="0"/>
              <w:rPr>
                <w:sz w:val="20"/>
                <w:szCs w:val="20"/>
                <w:color w:val="auto"/>
              </w:rPr>
            </w:pPr>
            <w:r>
              <w:rPr>
                <w:rFonts w:ascii="Arial" w:cs="Arial" w:eastAsia="Arial" w:hAnsi="Arial"/>
                <w:sz w:val="18"/>
                <w:szCs w:val="18"/>
                <w:color w:val="auto"/>
              </w:rPr>
              <w:t>55.3</w:t>
            </w:r>
          </w:p>
        </w:tc>
        <w:tc>
          <w:tcPr>
            <w:tcW w:w="36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(117.2)</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939598"/>
            </w:tcBorders>
            <w:shd w:val="clear" w:color="auto" w:fill="E3F1DA"/>
          </w:tcPr>
          <w:p>
            <w:pPr>
              <w:spacing w:after="0"/>
              <w:rPr>
                <w:sz w:val="18"/>
                <w:szCs w:val="18"/>
                <w:color w:val="auto"/>
              </w:rPr>
            </w:pPr>
          </w:p>
        </w:tc>
        <w:tc>
          <w:tcPr>
            <w:tcW w:w="2040" w:type="dxa"/>
            <w:vAlign w:val="bottom"/>
            <w:tcBorders>
              <w:bottom w:val="single" w:sz="8" w:color="939598"/>
            </w:tcBorders>
            <w:shd w:val="clear" w:color="auto" w:fill="E3F1DA"/>
          </w:tcPr>
          <w:p>
            <w:pPr>
              <w:spacing w:after="0"/>
              <w:rPr>
                <w:sz w:val="18"/>
                <w:szCs w:val="18"/>
                <w:color w:val="auto"/>
              </w:rPr>
            </w:pPr>
          </w:p>
        </w:tc>
        <w:tc>
          <w:tcPr>
            <w:tcW w:w="180" w:type="dxa"/>
            <w:vAlign w:val="bottom"/>
            <w:tcBorders>
              <w:bottom w:val="single" w:sz="8" w:color="939598"/>
            </w:tcBorders>
            <w:shd w:val="clear" w:color="auto" w:fill="E3F1DA"/>
          </w:tcPr>
          <w:p>
            <w:pPr>
              <w:spacing w:after="0"/>
              <w:rPr>
                <w:sz w:val="18"/>
                <w:szCs w:val="18"/>
                <w:color w:val="auto"/>
              </w:rPr>
            </w:pPr>
          </w:p>
        </w:tc>
        <w:tc>
          <w:tcPr>
            <w:tcW w:w="1000" w:type="dxa"/>
            <w:vAlign w:val="bottom"/>
            <w:tcBorders>
              <w:bottom w:val="single" w:sz="8" w:color="939598"/>
            </w:tcBorders>
            <w:shd w:val="clear" w:color="auto" w:fill="E3F1DA"/>
          </w:tcPr>
          <w:p>
            <w:pPr>
              <w:spacing w:after="0"/>
              <w:rPr>
                <w:sz w:val="18"/>
                <w:szCs w:val="18"/>
                <w:color w:val="auto"/>
              </w:rPr>
            </w:pPr>
          </w:p>
        </w:tc>
        <w:tc>
          <w:tcPr>
            <w:tcW w:w="220" w:type="dxa"/>
            <w:vAlign w:val="bottom"/>
            <w:tcBorders>
              <w:bottom w:val="single" w:sz="8" w:color="939598"/>
            </w:tcBorders>
            <w:shd w:val="clear" w:color="auto" w:fill="E3F1DA"/>
          </w:tcPr>
          <w:p>
            <w:pPr>
              <w:spacing w:after="0"/>
              <w:rPr>
                <w:sz w:val="18"/>
                <w:szCs w:val="18"/>
                <w:color w:val="auto"/>
              </w:rPr>
            </w:pPr>
          </w:p>
        </w:tc>
        <w:tc>
          <w:tcPr>
            <w:tcW w:w="1080" w:type="dxa"/>
            <w:vAlign w:val="bottom"/>
            <w:tcBorders>
              <w:bottom w:val="single" w:sz="8" w:color="939598"/>
            </w:tcBorders>
            <w:shd w:val="clear" w:color="auto" w:fill="E3F1DA"/>
          </w:tcPr>
          <w:p>
            <w:pPr>
              <w:spacing w:after="0"/>
              <w:rPr>
                <w:sz w:val="18"/>
                <w:szCs w:val="18"/>
                <w:color w:val="auto"/>
              </w:rPr>
            </w:pPr>
          </w:p>
        </w:tc>
        <w:tc>
          <w:tcPr>
            <w:tcW w:w="240" w:type="dxa"/>
            <w:vAlign w:val="bottom"/>
            <w:tcBorders>
              <w:bottom w:val="single" w:sz="8" w:color="939598"/>
            </w:tcBorders>
            <w:shd w:val="clear" w:color="auto" w:fill="E3F1DA"/>
          </w:tcPr>
          <w:p>
            <w:pPr>
              <w:spacing w:after="0"/>
              <w:rPr>
                <w:sz w:val="18"/>
                <w:szCs w:val="18"/>
                <w:color w:val="auto"/>
              </w:rPr>
            </w:pPr>
          </w:p>
        </w:tc>
        <w:tc>
          <w:tcPr>
            <w:tcW w:w="1320" w:type="dxa"/>
            <w:vAlign w:val="bottom"/>
            <w:tcBorders>
              <w:bottom w:val="single" w:sz="8" w:color="939598"/>
            </w:tcBorders>
            <w:shd w:val="clear" w:color="auto" w:fill="E3F1DA"/>
          </w:tcPr>
          <w:p>
            <w:pPr>
              <w:spacing w:after="0"/>
              <w:rPr>
                <w:sz w:val="18"/>
                <w:szCs w:val="18"/>
                <w:color w:val="auto"/>
              </w:rPr>
            </w:pPr>
          </w:p>
        </w:tc>
        <w:tc>
          <w:tcPr>
            <w:tcW w:w="1080" w:type="dxa"/>
            <w:vAlign w:val="bottom"/>
            <w:tcBorders>
              <w:bottom w:val="single" w:sz="8" w:color="939598"/>
            </w:tcBorders>
            <w:shd w:val="clear" w:color="auto" w:fill="E3F1DA"/>
          </w:tcPr>
          <w:p>
            <w:pPr>
              <w:spacing w:after="0"/>
              <w:rPr>
                <w:sz w:val="18"/>
                <w:szCs w:val="18"/>
                <w:color w:val="auto"/>
              </w:rPr>
            </w:pPr>
          </w:p>
        </w:tc>
        <w:tc>
          <w:tcPr>
            <w:tcW w:w="360" w:type="dxa"/>
            <w:vAlign w:val="bottom"/>
            <w:tcBorders>
              <w:bottom w:val="single" w:sz="8" w:color="939598"/>
            </w:tcBorders>
            <w:shd w:val="clear" w:color="auto" w:fill="E3F1DA"/>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(428.8)</w:t>
            </w:r>
          </w:p>
        </w:tc>
      </w:tr>
    </w:tbl>
    <w:p>
      <w:pPr>
        <w:spacing w:after="0" w:line="244"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4D8ABE"/>
        </w:rPr>
        <w:t>GOODWILL AND OTHER INTANGIBLE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Borders>
              <w:bottom w:val="single" w:sz="8" w:color="86B6A5"/>
            </w:tcBorders>
          </w:tcPr>
          <w:p>
            <w:pPr>
              <w:spacing w:after="0"/>
              <w:rPr>
                <w:sz w:val="14"/>
                <w:szCs w:val="14"/>
                <w:color w:val="auto"/>
              </w:rPr>
            </w:pPr>
          </w:p>
        </w:tc>
        <w:tc>
          <w:tcPr>
            <w:tcW w:w="100" w:type="dxa"/>
            <w:vAlign w:val="bottom"/>
            <w:tcBorders>
              <w:bottom w:val="single" w:sz="8" w:color="86B6A5"/>
            </w:tcBorders>
            <w:shd w:val="clear" w:color="auto" w:fill="86B6A5"/>
          </w:tcPr>
          <w:p>
            <w:pPr>
              <w:spacing w:after="0"/>
              <w:rPr>
                <w:sz w:val="14"/>
                <w:szCs w:val="14"/>
                <w:color w:val="auto"/>
              </w:rPr>
            </w:pPr>
          </w:p>
        </w:tc>
        <w:tc>
          <w:tcPr>
            <w:tcW w:w="1020" w:type="dxa"/>
            <w:vAlign w:val="bottom"/>
            <w:tcBorders>
              <w:bottom w:val="single" w:sz="8" w:color="86B6A5"/>
            </w:tcBorders>
            <w:shd w:val="clear" w:color="auto" w:fill="86B6A5"/>
          </w:tcPr>
          <w:p>
            <w:pPr>
              <w:spacing w:after="0"/>
              <w:rPr>
                <w:sz w:val="14"/>
                <w:szCs w:val="14"/>
                <w:color w:val="auto"/>
              </w:rPr>
            </w:pPr>
          </w:p>
        </w:tc>
        <w:tc>
          <w:tcPr>
            <w:tcW w:w="220" w:type="dxa"/>
            <w:vAlign w:val="bottom"/>
            <w:tcBorders>
              <w:bottom w:val="single" w:sz="8" w:color="86B6A5"/>
            </w:tcBorders>
            <w:shd w:val="clear" w:color="auto" w:fill="86B6A5"/>
          </w:tcPr>
          <w:p>
            <w:pPr>
              <w:spacing w:after="0"/>
              <w:rPr>
                <w:sz w:val="14"/>
                <w:szCs w:val="14"/>
                <w:color w:val="auto"/>
              </w:rPr>
            </w:pPr>
          </w:p>
        </w:tc>
        <w:tc>
          <w:tcPr>
            <w:tcW w:w="1040" w:type="dxa"/>
            <w:vAlign w:val="bottom"/>
            <w:tcBorders>
              <w:bottom w:val="single" w:sz="8" w:color="86B6A5"/>
            </w:tcBorders>
            <w:shd w:val="clear" w:color="auto" w:fill="86B6A5"/>
          </w:tcPr>
          <w:p>
            <w:pPr>
              <w:spacing w:after="0"/>
              <w:rPr>
                <w:sz w:val="14"/>
                <w:szCs w:val="14"/>
                <w:color w:val="auto"/>
              </w:rPr>
            </w:pPr>
          </w:p>
        </w:tc>
        <w:tc>
          <w:tcPr>
            <w:tcW w:w="420" w:type="dxa"/>
            <w:vAlign w:val="bottom"/>
            <w:tcBorders>
              <w:bottom w:val="single" w:sz="8" w:color="86B6A5"/>
            </w:tcBorders>
            <w:shd w:val="clear" w:color="auto" w:fill="86B6A5"/>
          </w:tcPr>
          <w:p>
            <w:pPr>
              <w:spacing w:after="0"/>
              <w:rPr>
                <w:sz w:val="14"/>
                <w:szCs w:val="14"/>
                <w:color w:val="auto"/>
              </w:rPr>
            </w:pPr>
          </w:p>
        </w:tc>
        <w:tc>
          <w:tcPr>
            <w:tcW w:w="940" w:type="dxa"/>
            <w:vAlign w:val="bottom"/>
            <w:tcBorders>
              <w:bottom w:val="single" w:sz="8" w:color="86B6A5"/>
            </w:tcBorders>
            <w:shd w:val="clear" w:color="auto" w:fill="86B6A5"/>
          </w:tcPr>
          <w:p>
            <w:pPr>
              <w:jc w:val="right"/>
              <w:ind w:right="116"/>
              <w:spacing w:after="0"/>
              <w:rPr>
                <w:sz w:val="20"/>
                <w:szCs w:val="20"/>
                <w:color w:val="auto"/>
              </w:rPr>
            </w:pPr>
            <w:r>
              <w:rPr>
                <w:rFonts w:ascii="Arial" w:cs="Arial" w:eastAsia="Arial" w:hAnsi="Arial"/>
                <w:sz w:val="14"/>
                <w:szCs w:val="14"/>
                <w:b w:val="1"/>
                <w:bCs w:val="1"/>
                <w:color w:val="FFFFFF"/>
              </w:rPr>
              <w:t>2012</w:t>
            </w:r>
          </w:p>
        </w:tc>
        <w:tc>
          <w:tcPr>
            <w:tcW w:w="38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spacing w:after="0"/>
              <w:rPr>
                <w:sz w:val="14"/>
                <w:szCs w:val="14"/>
                <w:color w:val="auto"/>
              </w:rPr>
            </w:pPr>
          </w:p>
        </w:tc>
        <w:tc>
          <w:tcPr>
            <w:tcW w:w="28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spacing w:after="0"/>
              <w:rPr>
                <w:sz w:val="14"/>
                <w:szCs w:val="14"/>
                <w:color w:val="auto"/>
              </w:rPr>
            </w:pPr>
          </w:p>
        </w:tc>
        <w:tc>
          <w:tcPr>
            <w:tcW w:w="5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2011</w:t>
            </w: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shd w:val="clear" w:color="auto" w:fill="E3F1DA"/>
          </w:tcPr>
          <w:p>
            <w:pPr>
              <w:spacing w:after="0"/>
              <w:rPr>
                <w:sz w:val="11"/>
                <w:szCs w:val="11"/>
                <w:color w:val="auto"/>
              </w:rPr>
            </w:pPr>
          </w:p>
        </w:tc>
        <w:tc>
          <w:tcPr>
            <w:tcW w:w="1020" w:type="dxa"/>
            <w:vAlign w:val="bottom"/>
            <w:shd w:val="clear" w:color="auto" w:fill="E3F1DA"/>
          </w:tcPr>
          <w:p>
            <w:pPr>
              <w:spacing w:after="0"/>
              <w:rPr>
                <w:sz w:val="11"/>
                <w:szCs w:val="11"/>
                <w:color w:val="auto"/>
              </w:rPr>
            </w:pPr>
          </w:p>
        </w:tc>
        <w:tc>
          <w:tcPr>
            <w:tcW w:w="220" w:type="dxa"/>
            <w:vAlign w:val="bottom"/>
            <w:shd w:val="clear" w:color="auto" w:fill="E3F1DA"/>
          </w:tcPr>
          <w:p>
            <w:pPr>
              <w:spacing w:after="0"/>
              <w:rPr>
                <w:sz w:val="11"/>
                <w:szCs w:val="11"/>
                <w:color w:val="auto"/>
              </w:rPr>
            </w:pPr>
          </w:p>
        </w:tc>
        <w:tc>
          <w:tcPr>
            <w:tcW w:w="1040" w:type="dxa"/>
            <w:vAlign w:val="bottom"/>
            <w:shd w:val="clear" w:color="auto" w:fill="E3F1DA"/>
          </w:tcPr>
          <w:p>
            <w:pPr>
              <w:jc w:val="right"/>
              <w:ind w:right="16"/>
              <w:spacing w:after="0" w:line="129" w:lineRule="exact"/>
              <w:rPr>
                <w:sz w:val="20"/>
                <w:szCs w:val="20"/>
                <w:color w:val="auto"/>
              </w:rPr>
            </w:pPr>
            <w:r>
              <w:rPr>
                <w:rFonts w:ascii="Arial" w:cs="Arial" w:eastAsia="Arial" w:hAnsi="Arial"/>
                <w:sz w:val="14"/>
                <w:szCs w:val="14"/>
                <w:b w:val="1"/>
                <w:bCs w:val="1"/>
                <w:color w:val="86B6A5"/>
              </w:rPr>
              <w:t>Accumulated</w:t>
            </w:r>
          </w:p>
        </w:tc>
        <w:tc>
          <w:tcPr>
            <w:tcW w:w="420" w:type="dxa"/>
            <w:vAlign w:val="bottom"/>
            <w:shd w:val="clear" w:color="auto" w:fill="E3F1DA"/>
          </w:tcPr>
          <w:p>
            <w:pPr>
              <w:spacing w:after="0"/>
              <w:rPr>
                <w:sz w:val="11"/>
                <w:szCs w:val="11"/>
                <w:color w:val="auto"/>
              </w:rPr>
            </w:pPr>
          </w:p>
        </w:tc>
        <w:tc>
          <w:tcPr>
            <w:tcW w:w="940" w:type="dxa"/>
            <w:vAlign w:val="bottom"/>
            <w:shd w:val="clear" w:color="auto" w:fill="E3F1DA"/>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86B6A5"/>
                <w:w w:val="97"/>
              </w:rPr>
              <w:t>Accumulated</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39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December 31</w:t>
            </w:r>
          </w:p>
        </w:tc>
        <w:tc>
          <w:tcPr>
            <w:tcW w:w="100" w:type="dxa"/>
            <w:vAlign w:val="bottom"/>
            <w:tcBorders>
              <w:bottom w:val="single" w:sz="8" w:color="86B6A5"/>
            </w:tcBorders>
            <w:shd w:val="clear" w:color="auto" w:fill="E3F1DA"/>
          </w:tcPr>
          <w:p>
            <w:pPr>
              <w:spacing w:after="0"/>
              <w:rPr>
                <w:sz w:val="14"/>
                <w:szCs w:val="14"/>
                <w:color w:val="auto"/>
              </w:rPr>
            </w:pPr>
          </w:p>
        </w:tc>
        <w:tc>
          <w:tcPr>
            <w:tcW w:w="1020" w:type="dxa"/>
            <w:vAlign w:val="bottom"/>
            <w:tcBorders>
              <w:bottom w:val="single" w:sz="8" w:color="86B6A5"/>
            </w:tcBorders>
            <w:shd w:val="clear" w:color="auto" w:fill="E3F1DA"/>
          </w:tcPr>
          <w:p>
            <w:pPr>
              <w:jc w:val="right"/>
              <w:ind w:right="14"/>
              <w:spacing w:after="0"/>
              <w:rPr>
                <w:sz w:val="20"/>
                <w:szCs w:val="20"/>
                <w:color w:val="auto"/>
              </w:rPr>
            </w:pPr>
            <w:r>
              <w:rPr>
                <w:rFonts w:ascii="Arial" w:cs="Arial" w:eastAsia="Arial" w:hAnsi="Arial"/>
                <w:sz w:val="14"/>
                <w:szCs w:val="14"/>
                <w:b w:val="1"/>
                <w:bCs w:val="1"/>
                <w:color w:val="86B6A5"/>
              </w:rPr>
              <w:t>Gross</w:t>
            </w:r>
          </w:p>
        </w:tc>
        <w:tc>
          <w:tcPr>
            <w:tcW w:w="220" w:type="dxa"/>
            <w:vAlign w:val="bottom"/>
            <w:tcBorders>
              <w:bottom w:val="single" w:sz="8" w:color="86B6A5"/>
            </w:tcBorders>
            <w:shd w:val="clear" w:color="auto" w:fill="E3F1DA"/>
          </w:tcPr>
          <w:p>
            <w:pPr>
              <w:spacing w:after="0"/>
              <w:rPr>
                <w:sz w:val="14"/>
                <w:szCs w:val="14"/>
                <w:color w:val="auto"/>
              </w:rPr>
            </w:pPr>
          </w:p>
        </w:tc>
        <w:tc>
          <w:tcPr>
            <w:tcW w:w="1040" w:type="dxa"/>
            <w:vAlign w:val="bottom"/>
            <w:tcBorders>
              <w:bottom w:val="single" w:sz="8" w:color="86B6A5"/>
            </w:tcBorders>
            <w:shd w:val="clear" w:color="auto" w:fill="E3F1DA"/>
          </w:tcPr>
          <w:p>
            <w:pPr>
              <w:jc w:val="right"/>
              <w:ind w:right="16"/>
              <w:spacing w:after="0"/>
              <w:rPr>
                <w:sz w:val="20"/>
                <w:szCs w:val="20"/>
                <w:color w:val="auto"/>
              </w:rPr>
            </w:pPr>
            <w:r>
              <w:rPr>
                <w:rFonts w:ascii="Arial" w:cs="Arial" w:eastAsia="Arial" w:hAnsi="Arial"/>
                <w:sz w:val="14"/>
                <w:szCs w:val="14"/>
                <w:b w:val="1"/>
                <w:bCs w:val="1"/>
                <w:color w:val="86B6A5"/>
              </w:rPr>
              <w:t>Amortization</w:t>
            </w:r>
          </w:p>
        </w:tc>
        <w:tc>
          <w:tcPr>
            <w:tcW w:w="420" w:type="dxa"/>
            <w:vAlign w:val="bottom"/>
            <w:tcBorders>
              <w:bottom w:val="single" w:sz="8" w:color="86B6A5"/>
            </w:tcBorders>
            <w:shd w:val="clear" w:color="auto" w:fill="E3F1DA"/>
          </w:tcPr>
          <w:p>
            <w:pPr>
              <w:spacing w:after="0"/>
              <w:rPr>
                <w:sz w:val="14"/>
                <w:szCs w:val="14"/>
                <w:color w:val="auto"/>
              </w:rPr>
            </w:pPr>
          </w:p>
        </w:tc>
        <w:tc>
          <w:tcPr>
            <w:tcW w:w="940" w:type="dxa"/>
            <w:vAlign w:val="bottom"/>
            <w:tcBorders>
              <w:bottom w:val="single" w:sz="8" w:color="86B6A5"/>
            </w:tcBorders>
            <w:shd w:val="clear" w:color="auto" w:fill="E3F1DA"/>
          </w:tcPr>
          <w:p>
            <w:pPr>
              <w:jc w:val="right"/>
              <w:ind w:right="116"/>
              <w:spacing w:after="0"/>
              <w:rPr>
                <w:sz w:val="20"/>
                <w:szCs w:val="20"/>
                <w:color w:val="auto"/>
              </w:rPr>
            </w:pPr>
            <w:r>
              <w:rPr>
                <w:rFonts w:ascii="Arial" w:cs="Arial" w:eastAsia="Arial" w:hAnsi="Arial"/>
                <w:sz w:val="14"/>
                <w:szCs w:val="14"/>
                <w:b w:val="1"/>
                <w:bCs w:val="1"/>
                <w:color w:val="86B6A5"/>
              </w:rPr>
              <w:t>Net</w:t>
            </w:r>
          </w:p>
        </w:tc>
        <w:tc>
          <w:tcPr>
            <w:tcW w:w="38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Gross</w:t>
            </w:r>
          </w:p>
        </w:tc>
        <w:tc>
          <w:tcPr>
            <w:tcW w:w="28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16"/>
              <w:spacing w:after="0"/>
              <w:rPr>
                <w:sz w:val="20"/>
                <w:szCs w:val="20"/>
                <w:color w:val="auto"/>
              </w:rPr>
            </w:pPr>
            <w:r>
              <w:rPr>
                <w:rFonts w:ascii="Arial" w:cs="Arial" w:eastAsia="Arial" w:hAnsi="Arial"/>
                <w:sz w:val="14"/>
                <w:szCs w:val="14"/>
                <w:b w:val="1"/>
                <w:bCs w:val="1"/>
                <w:color w:val="86B6A5"/>
              </w:rPr>
              <w:t>Amortization</w:t>
            </w:r>
          </w:p>
        </w:tc>
        <w:tc>
          <w:tcPr>
            <w:tcW w:w="5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Net</w:t>
            </w:r>
          </w:p>
        </w:tc>
      </w:tr>
      <w:tr>
        <w:trPr>
          <w:trHeight w:val="210"/>
        </w:trPr>
        <w:tc>
          <w:tcPr>
            <w:tcW w:w="3960" w:type="dxa"/>
            <w:vAlign w:val="bottom"/>
            <w:tcBorders>
              <w:bottom w:val="single" w:sz="8" w:color="939598"/>
            </w:tcBorders>
            <w:gridSpan w:val="2"/>
          </w:tcPr>
          <w:p>
            <w:pPr>
              <w:spacing w:after="0" w:line="210" w:lineRule="exact"/>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1,041.3</w:t>
            </w:r>
          </w:p>
        </w:tc>
        <w:tc>
          <w:tcPr>
            <w:tcW w:w="2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shd w:val="clear" w:color="auto" w:fill="E3F1DA"/>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1,041.3</w:t>
            </w:r>
          </w:p>
        </w:tc>
        <w:tc>
          <w:tcPr>
            <w:tcW w:w="380" w:type="dxa"/>
            <w:vAlign w:val="bottom"/>
            <w:tcBorders>
              <w:bottom w:val="single" w:sz="8" w:color="939598"/>
            </w:tcBorders>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984.7</w:t>
            </w:r>
          </w:p>
        </w:tc>
        <w:tc>
          <w:tcPr>
            <w:tcW w:w="28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939598"/>
            </w:tcBorders>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984.7</w:t>
            </w:r>
          </w:p>
        </w:tc>
      </w:tr>
      <w:tr>
        <w:trPr>
          <w:trHeight w:val="356"/>
        </w:trPr>
        <w:tc>
          <w:tcPr>
            <w:tcW w:w="39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E3F1DA"/>
          </w:tcPr>
          <w:p>
            <w:pPr>
              <w:spacing w:after="0"/>
              <w:rPr>
                <w:sz w:val="24"/>
                <w:szCs w:val="24"/>
                <w:color w:val="auto"/>
              </w:rPr>
            </w:pPr>
          </w:p>
        </w:tc>
        <w:tc>
          <w:tcPr>
            <w:tcW w:w="1020" w:type="dxa"/>
            <w:vAlign w:val="bottom"/>
            <w:shd w:val="clear" w:color="auto" w:fill="E3F1DA"/>
          </w:tcPr>
          <w:p>
            <w:pPr>
              <w:spacing w:after="0"/>
              <w:rPr>
                <w:sz w:val="24"/>
                <w:szCs w:val="24"/>
                <w:color w:val="auto"/>
              </w:rPr>
            </w:pPr>
          </w:p>
        </w:tc>
        <w:tc>
          <w:tcPr>
            <w:tcW w:w="220" w:type="dxa"/>
            <w:vAlign w:val="bottom"/>
            <w:shd w:val="clear" w:color="auto" w:fill="E3F1DA"/>
          </w:tcPr>
          <w:p>
            <w:pPr>
              <w:spacing w:after="0"/>
              <w:rPr>
                <w:sz w:val="24"/>
                <w:szCs w:val="24"/>
                <w:color w:val="auto"/>
              </w:rPr>
            </w:pPr>
          </w:p>
        </w:tc>
        <w:tc>
          <w:tcPr>
            <w:tcW w:w="1040" w:type="dxa"/>
            <w:vAlign w:val="bottom"/>
            <w:shd w:val="clear" w:color="auto" w:fill="E3F1DA"/>
          </w:tcPr>
          <w:p>
            <w:pPr>
              <w:spacing w:after="0"/>
              <w:rPr>
                <w:sz w:val="24"/>
                <w:szCs w:val="24"/>
                <w:color w:val="auto"/>
              </w:rPr>
            </w:pPr>
          </w:p>
        </w:tc>
        <w:tc>
          <w:tcPr>
            <w:tcW w:w="420" w:type="dxa"/>
            <w:vAlign w:val="bottom"/>
            <w:shd w:val="clear" w:color="auto" w:fill="E3F1DA"/>
          </w:tcPr>
          <w:p>
            <w:pPr>
              <w:spacing w:after="0"/>
              <w:rPr>
                <w:sz w:val="24"/>
                <w:szCs w:val="24"/>
                <w:color w:val="auto"/>
              </w:rPr>
            </w:pPr>
          </w:p>
        </w:tc>
        <w:tc>
          <w:tcPr>
            <w:tcW w:w="940" w:type="dxa"/>
            <w:vAlign w:val="bottom"/>
            <w:shd w:val="clear" w:color="auto" w:fill="E3F1DA"/>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Finite-lived:</w:t>
            </w:r>
          </w:p>
        </w:tc>
        <w:tc>
          <w:tcPr>
            <w:tcW w:w="100" w:type="dxa"/>
            <w:vAlign w:val="bottom"/>
            <w:shd w:val="clear" w:color="auto" w:fill="E3F1DA"/>
          </w:tcPr>
          <w:p>
            <w:pPr>
              <w:spacing w:after="0"/>
              <w:rPr>
                <w:sz w:val="18"/>
                <w:szCs w:val="18"/>
                <w:color w:val="auto"/>
              </w:rPr>
            </w:pPr>
          </w:p>
        </w:tc>
        <w:tc>
          <w:tcPr>
            <w:tcW w:w="1020" w:type="dxa"/>
            <w:vAlign w:val="bottom"/>
            <w:shd w:val="clear" w:color="auto" w:fill="E3F1DA"/>
          </w:tcPr>
          <w:p>
            <w:pPr>
              <w:spacing w:after="0"/>
              <w:rPr>
                <w:sz w:val="18"/>
                <w:szCs w:val="18"/>
                <w:color w:val="auto"/>
              </w:rPr>
            </w:pPr>
          </w:p>
        </w:tc>
        <w:tc>
          <w:tcPr>
            <w:tcW w:w="220" w:type="dxa"/>
            <w:vAlign w:val="bottom"/>
            <w:shd w:val="clear" w:color="auto" w:fill="E3F1DA"/>
          </w:tcPr>
          <w:p>
            <w:pPr>
              <w:spacing w:after="0"/>
              <w:rPr>
                <w:sz w:val="18"/>
                <w:szCs w:val="18"/>
                <w:color w:val="auto"/>
              </w:rPr>
            </w:pPr>
          </w:p>
        </w:tc>
        <w:tc>
          <w:tcPr>
            <w:tcW w:w="104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940" w:type="dxa"/>
            <w:vAlign w:val="bottom"/>
            <w:shd w:val="clear" w:color="auto" w:fill="E3F1DA"/>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E3F1DA"/>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shd w:val="clear" w:color="auto" w:fill="E3F1DA"/>
          </w:tcPr>
          <w:p>
            <w:pPr>
              <w:jc w:val="right"/>
              <w:ind w:right="116"/>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19.6</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Franchise agreements</w:t>
            </w:r>
          </w:p>
        </w:tc>
        <w:tc>
          <w:tcPr>
            <w:tcW w:w="100" w:type="dxa"/>
            <w:vAlign w:val="bottom"/>
            <w:shd w:val="clear" w:color="auto" w:fill="E3F1DA"/>
          </w:tcPr>
          <w:p>
            <w:pPr>
              <w:spacing w:after="0"/>
              <w:rPr>
                <w:sz w:val="18"/>
                <w:szCs w:val="18"/>
                <w:color w:val="auto"/>
              </w:rPr>
            </w:pPr>
          </w:p>
        </w:tc>
        <w:tc>
          <w:tcPr>
            <w:tcW w:w="10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E3F1DA"/>
          </w:tcPr>
          <w:p>
            <w:pPr>
              <w:spacing w:after="0"/>
              <w:rPr>
                <w:sz w:val="18"/>
                <w:szCs w:val="18"/>
                <w:color w:val="auto"/>
              </w:rPr>
            </w:pPr>
          </w:p>
        </w:tc>
        <w:tc>
          <w:tcPr>
            <w:tcW w:w="10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E3F1DA"/>
          </w:tcPr>
          <w:p>
            <w:pPr>
              <w:spacing w:after="0"/>
              <w:rPr>
                <w:sz w:val="18"/>
                <w:szCs w:val="18"/>
                <w:color w:val="auto"/>
              </w:rPr>
            </w:pPr>
          </w:p>
        </w:tc>
        <w:tc>
          <w:tcPr>
            <w:tcW w:w="940" w:type="dxa"/>
            <w:vAlign w:val="bottom"/>
            <w:shd w:val="clear" w:color="auto" w:fill="E3F1DA"/>
          </w:tcPr>
          <w:p>
            <w:pPr>
              <w:jc w:val="right"/>
              <w:ind w:right="116"/>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14.3</w:t>
            </w:r>
          </w:p>
        </w:tc>
        <w:tc>
          <w:tcPr>
            <w:tcW w:w="5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E3F1DA"/>
          </w:tcPr>
          <w:p>
            <w:pPr>
              <w:spacing w:after="0"/>
              <w:rPr>
                <w:sz w:val="18"/>
                <w:szCs w:val="18"/>
                <w:color w:val="auto"/>
              </w:rPr>
            </w:pPr>
          </w:p>
        </w:tc>
        <w:tc>
          <w:tcPr>
            <w:tcW w:w="10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339.0</w:t>
            </w:r>
          </w:p>
        </w:tc>
        <w:tc>
          <w:tcPr>
            <w:tcW w:w="220" w:type="dxa"/>
            <w:vAlign w:val="bottom"/>
            <w:shd w:val="clear" w:color="auto" w:fill="E3F1DA"/>
          </w:tcPr>
          <w:p>
            <w:pPr>
              <w:spacing w:after="0"/>
              <w:rPr>
                <w:sz w:val="18"/>
                <w:szCs w:val="18"/>
                <w:color w:val="auto"/>
              </w:rPr>
            </w:pPr>
          </w:p>
        </w:tc>
        <w:tc>
          <w:tcPr>
            <w:tcW w:w="10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165.1</w:t>
            </w:r>
          </w:p>
        </w:tc>
        <w:tc>
          <w:tcPr>
            <w:tcW w:w="420" w:type="dxa"/>
            <w:vAlign w:val="bottom"/>
            <w:shd w:val="clear" w:color="auto" w:fill="E3F1DA"/>
          </w:tcPr>
          <w:p>
            <w:pPr>
              <w:spacing w:after="0"/>
              <w:rPr>
                <w:sz w:val="18"/>
                <w:szCs w:val="18"/>
                <w:color w:val="auto"/>
              </w:rPr>
            </w:pPr>
          </w:p>
        </w:tc>
        <w:tc>
          <w:tcPr>
            <w:tcW w:w="940" w:type="dxa"/>
            <w:vAlign w:val="bottom"/>
            <w:shd w:val="clear" w:color="auto" w:fill="E3F1DA"/>
          </w:tcPr>
          <w:p>
            <w:pPr>
              <w:jc w:val="right"/>
              <w:ind w:right="116"/>
              <w:spacing w:after="0"/>
              <w:rPr>
                <w:sz w:val="20"/>
                <w:szCs w:val="20"/>
                <w:color w:val="auto"/>
              </w:rPr>
            </w:pPr>
            <w:r>
              <w:rPr>
                <w:rFonts w:ascii="Arial" w:cs="Arial" w:eastAsia="Arial" w:hAnsi="Arial"/>
                <w:sz w:val="18"/>
                <w:szCs w:val="18"/>
                <w:color w:val="auto"/>
              </w:rPr>
              <w:t>173.9</w:t>
            </w:r>
          </w:p>
        </w:tc>
        <w:tc>
          <w:tcPr>
            <w:tcW w:w="38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130.1</w:t>
            </w:r>
          </w:p>
        </w:tc>
        <w:tc>
          <w:tcPr>
            <w:tcW w:w="5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197.9</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939598"/>
            </w:tcBorders>
          </w:tcPr>
          <w:p>
            <w:pPr>
              <w:ind w:left="3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939598"/>
            </w:tcBorders>
            <w:shd w:val="clear" w:color="auto" w:fill="E3F1DA"/>
          </w:tcPr>
          <w:p>
            <w:pPr>
              <w:spacing w:after="0"/>
              <w:rPr>
                <w:sz w:val="18"/>
                <w:szCs w:val="18"/>
                <w:color w:val="auto"/>
              </w:rPr>
            </w:pP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939598"/>
            </w:tcBorders>
            <w:shd w:val="clear" w:color="auto" w:fill="E3F1DA"/>
          </w:tcPr>
          <w:p>
            <w:pPr>
              <w:spacing w:after="0"/>
              <w:rPr>
                <w:sz w:val="18"/>
                <w:szCs w:val="18"/>
                <w:color w:val="auto"/>
              </w:rPr>
            </w:pP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12.4</w:t>
            </w:r>
          </w:p>
        </w:tc>
        <w:tc>
          <w:tcPr>
            <w:tcW w:w="420" w:type="dxa"/>
            <w:vAlign w:val="bottom"/>
            <w:tcBorders>
              <w:bottom w:val="single" w:sz="8" w:color="939598"/>
            </w:tcBorders>
            <w:shd w:val="clear" w:color="auto" w:fill="E3F1DA"/>
          </w:tcPr>
          <w:p>
            <w:pPr>
              <w:spacing w:after="0"/>
              <w:rPr>
                <w:sz w:val="18"/>
                <w:szCs w:val="18"/>
                <w:color w:val="auto"/>
              </w:rPr>
            </w:pP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12.1</w:t>
            </w:r>
          </w:p>
        </w:tc>
        <w:tc>
          <w:tcPr>
            <w:tcW w:w="5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391.8</w:t>
            </w:r>
          </w:p>
        </w:tc>
        <w:tc>
          <w:tcPr>
            <w:tcW w:w="220" w:type="dxa"/>
            <w:vAlign w:val="bottom"/>
            <w:tcBorders>
              <w:bottom w:val="single" w:sz="8" w:color="939598"/>
            </w:tcBorders>
            <w:shd w:val="clear" w:color="auto" w:fill="E3F1DA"/>
          </w:tcPr>
          <w:p>
            <w:pPr>
              <w:spacing w:after="0"/>
              <w:rPr>
                <w:sz w:val="18"/>
                <w:szCs w:val="18"/>
                <w:color w:val="auto"/>
              </w:rPr>
            </w:pP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213.2</w:t>
            </w:r>
          </w:p>
        </w:tc>
        <w:tc>
          <w:tcPr>
            <w:tcW w:w="420" w:type="dxa"/>
            <w:vAlign w:val="bottom"/>
            <w:tcBorders>
              <w:bottom w:val="single" w:sz="8" w:color="939598"/>
            </w:tcBorders>
            <w:shd w:val="clear" w:color="auto" w:fill="E3F1DA"/>
          </w:tcPr>
          <w:p>
            <w:pPr>
              <w:spacing w:after="0"/>
              <w:rPr>
                <w:sz w:val="18"/>
                <w:szCs w:val="18"/>
                <w:color w:val="auto"/>
              </w:rPr>
            </w:pP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178.6</w:t>
            </w:r>
          </w:p>
        </w:tc>
        <w:tc>
          <w:tcPr>
            <w:tcW w:w="38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379.1</w:t>
            </w:r>
          </w:p>
        </w:tc>
        <w:tc>
          <w:tcPr>
            <w:tcW w:w="2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176.1</w:t>
            </w:r>
          </w:p>
        </w:tc>
        <w:tc>
          <w:tcPr>
            <w:tcW w:w="5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203.0</w:t>
            </w:r>
          </w:p>
        </w:tc>
      </w:tr>
      <w:tr>
        <w:trPr>
          <w:trHeight w:val="347"/>
        </w:trPr>
        <w:tc>
          <w:tcPr>
            <w:tcW w:w="20" w:type="dxa"/>
            <w:vAlign w:val="bottom"/>
          </w:tcPr>
          <w:p>
            <w:pPr>
              <w:spacing w:after="0"/>
              <w:rPr>
                <w:sz w:val="24"/>
                <w:szCs w:val="24"/>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Indefinite-lived:</w:t>
            </w:r>
          </w:p>
        </w:tc>
        <w:tc>
          <w:tcPr>
            <w:tcW w:w="100" w:type="dxa"/>
            <w:vAlign w:val="bottom"/>
            <w:shd w:val="clear" w:color="auto" w:fill="E3F1DA"/>
          </w:tcPr>
          <w:p>
            <w:pPr>
              <w:spacing w:after="0"/>
              <w:rPr>
                <w:sz w:val="24"/>
                <w:szCs w:val="24"/>
                <w:color w:val="auto"/>
              </w:rPr>
            </w:pPr>
          </w:p>
        </w:tc>
        <w:tc>
          <w:tcPr>
            <w:tcW w:w="1020" w:type="dxa"/>
            <w:vAlign w:val="bottom"/>
            <w:shd w:val="clear" w:color="auto" w:fill="E3F1DA"/>
          </w:tcPr>
          <w:p>
            <w:pPr>
              <w:spacing w:after="0"/>
              <w:rPr>
                <w:sz w:val="24"/>
                <w:szCs w:val="24"/>
                <w:color w:val="auto"/>
              </w:rPr>
            </w:pPr>
          </w:p>
        </w:tc>
        <w:tc>
          <w:tcPr>
            <w:tcW w:w="220" w:type="dxa"/>
            <w:vAlign w:val="bottom"/>
            <w:shd w:val="clear" w:color="auto" w:fill="E3F1DA"/>
          </w:tcPr>
          <w:p>
            <w:pPr>
              <w:spacing w:after="0"/>
              <w:rPr>
                <w:sz w:val="24"/>
                <w:szCs w:val="24"/>
                <w:color w:val="auto"/>
              </w:rPr>
            </w:pPr>
          </w:p>
        </w:tc>
        <w:tc>
          <w:tcPr>
            <w:tcW w:w="1040" w:type="dxa"/>
            <w:vAlign w:val="bottom"/>
            <w:shd w:val="clear" w:color="auto" w:fill="E3F1DA"/>
          </w:tcPr>
          <w:p>
            <w:pPr>
              <w:spacing w:after="0"/>
              <w:rPr>
                <w:sz w:val="24"/>
                <w:szCs w:val="24"/>
                <w:color w:val="auto"/>
              </w:rPr>
            </w:pPr>
          </w:p>
        </w:tc>
        <w:tc>
          <w:tcPr>
            <w:tcW w:w="420" w:type="dxa"/>
            <w:vAlign w:val="bottom"/>
            <w:shd w:val="clear" w:color="auto" w:fill="E3F1DA"/>
          </w:tcPr>
          <w:p>
            <w:pPr>
              <w:spacing w:after="0"/>
              <w:rPr>
                <w:sz w:val="24"/>
                <w:szCs w:val="24"/>
                <w:color w:val="auto"/>
              </w:rPr>
            </w:pPr>
          </w:p>
        </w:tc>
        <w:tc>
          <w:tcPr>
            <w:tcW w:w="940" w:type="dxa"/>
            <w:vAlign w:val="bottom"/>
            <w:shd w:val="clear" w:color="auto" w:fill="E3F1DA"/>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300"/>
              <w:spacing w:after="0" w:line="227"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100" w:type="dxa"/>
            <w:vAlign w:val="bottom"/>
            <w:shd w:val="clear" w:color="auto" w:fill="E3F1DA"/>
          </w:tcPr>
          <w:p>
            <w:pPr>
              <w:spacing w:after="0"/>
              <w:rPr>
                <w:sz w:val="19"/>
                <w:szCs w:val="19"/>
                <w:color w:val="auto"/>
              </w:rPr>
            </w:pPr>
          </w:p>
        </w:tc>
        <w:tc>
          <w:tcPr>
            <w:tcW w:w="10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E3F1DA"/>
          </w:tcPr>
          <w:p>
            <w:pPr>
              <w:spacing w:after="0"/>
              <w:rPr>
                <w:sz w:val="19"/>
                <w:szCs w:val="19"/>
                <w:color w:val="auto"/>
              </w:rPr>
            </w:pPr>
          </w:p>
        </w:tc>
        <w:tc>
          <w:tcPr>
            <w:tcW w:w="1040" w:type="dxa"/>
            <w:vAlign w:val="bottom"/>
            <w:shd w:val="clear" w:color="auto" w:fill="E3F1DA"/>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9"/>
                <w:szCs w:val="19"/>
                <w:color w:val="auto"/>
              </w:rPr>
            </w:pPr>
          </w:p>
        </w:tc>
        <w:tc>
          <w:tcPr>
            <w:tcW w:w="940" w:type="dxa"/>
            <w:vAlign w:val="bottom"/>
            <w:shd w:val="clear" w:color="auto" w:fill="E3F1DA"/>
          </w:tcPr>
          <w:p>
            <w:pPr>
              <w:jc w:val="right"/>
              <w:ind w:right="116"/>
              <w:spacing w:after="0"/>
              <w:rPr>
                <w:sz w:val="20"/>
                <w:szCs w:val="20"/>
                <w:color w:val="auto"/>
              </w:rPr>
            </w:pPr>
            <w:r>
              <w:rPr>
                <w:rFonts w:ascii="Arial" w:cs="Arial" w:eastAsia="Arial" w:hAnsi="Arial"/>
                <w:sz w:val="18"/>
                <w:szCs w:val="18"/>
                <w:color w:val="auto"/>
              </w:rPr>
              <w:t>54.0</w:t>
            </w:r>
          </w:p>
        </w:tc>
        <w:tc>
          <w:tcPr>
            <w:tcW w:w="3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939598"/>
            </w:tcBorders>
          </w:tcPr>
          <w:p>
            <w:pPr>
              <w:ind w:left="300"/>
              <w:spacing w:after="0"/>
              <w:rPr>
                <w:sz w:val="20"/>
                <w:szCs w:val="20"/>
                <w:color w:val="auto"/>
              </w:rPr>
            </w:pPr>
            <w:r>
              <w:rPr>
                <w:rFonts w:ascii="Arial" w:cs="Arial" w:eastAsia="Arial" w:hAnsi="Arial"/>
                <w:sz w:val="18"/>
                <w:szCs w:val="18"/>
                <w:color w:val="auto"/>
              </w:rPr>
              <w:t>Reacquired franchise rights</w:t>
            </w:r>
          </w:p>
        </w:tc>
        <w:tc>
          <w:tcPr>
            <w:tcW w:w="100" w:type="dxa"/>
            <w:vAlign w:val="bottom"/>
            <w:tcBorders>
              <w:bottom w:val="single" w:sz="8" w:color="939598"/>
            </w:tcBorders>
            <w:shd w:val="clear" w:color="auto" w:fill="E3F1DA"/>
          </w:tcPr>
          <w:p>
            <w:pPr>
              <w:spacing w:after="0"/>
              <w:rPr>
                <w:sz w:val="18"/>
                <w:szCs w:val="18"/>
                <w:color w:val="auto"/>
              </w:rPr>
            </w:pP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98.0</w:t>
            </w:r>
          </w:p>
        </w:tc>
        <w:tc>
          <w:tcPr>
            <w:tcW w:w="220" w:type="dxa"/>
            <w:vAlign w:val="bottom"/>
            <w:tcBorders>
              <w:bottom w:val="single" w:sz="8" w:color="939598"/>
            </w:tcBorders>
            <w:shd w:val="clear" w:color="auto" w:fill="E3F1DA"/>
          </w:tcPr>
          <w:p>
            <w:pPr>
              <w:spacing w:after="0"/>
              <w:rPr>
                <w:sz w:val="18"/>
                <w:szCs w:val="18"/>
                <w:color w:val="auto"/>
              </w:rPr>
            </w:pP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shd w:val="clear" w:color="auto" w:fill="E3F1DA"/>
          </w:tcPr>
          <w:p>
            <w:pPr>
              <w:spacing w:after="0"/>
              <w:rPr>
                <w:sz w:val="18"/>
                <w:szCs w:val="18"/>
                <w:color w:val="auto"/>
              </w:rPr>
            </w:pP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98.0</w:t>
            </w:r>
          </w:p>
        </w:tc>
        <w:tc>
          <w:tcPr>
            <w:tcW w:w="38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97.9</w:t>
            </w:r>
          </w:p>
        </w:tc>
        <w:tc>
          <w:tcPr>
            <w:tcW w:w="2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97.9</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152.0</w:t>
            </w:r>
          </w:p>
        </w:tc>
        <w:tc>
          <w:tcPr>
            <w:tcW w:w="220" w:type="dxa"/>
            <w:vAlign w:val="bottom"/>
            <w:tcBorders>
              <w:bottom w:val="single" w:sz="8" w:color="939598"/>
            </w:tcBorders>
            <w:shd w:val="clear" w:color="auto" w:fill="E3F1DA"/>
          </w:tcPr>
          <w:p>
            <w:pPr>
              <w:spacing w:after="0"/>
              <w:rPr>
                <w:sz w:val="18"/>
                <w:szCs w:val="18"/>
                <w:color w:val="auto"/>
              </w:rPr>
            </w:pP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shd w:val="clear" w:color="auto" w:fill="E3F1DA"/>
          </w:tcPr>
          <w:p>
            <w:pPr>
              <w:spacing w:after="0"/>
              <w:rPr>
                <w:sz w:val="18"/>
                <w:szCs w:val="18"/>
                <w:color w:val="auto"/>
              </w:rPr>
            </w:pP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152.0</w:t>
            </w:r>
          </w:p>
        </w:tc>
        <w:tc>
          <w:tcPr>
            <w:tcW w:w="38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151.9</w:t>
            </w:r>
          </w:p>
        </w:tc>
        <w:tc>
          <w:tcPr>
            <w:tcW w:w="2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151.9</w:t>
            </w:r>
          </w:p>
        </w:tc>
      </w:tr>
      <w:tr>
        <w:trPr>
          <w:trHeight w:val="210"/>
        </w:trPr>
        <w:tc>
          <w:tcPr>
            <w:tcW w:w="20" w:type="dxa"/>
            <w:vAlign w:val="bottom"/>
          </w:tcPr>
          <w:p>
            <w:pPr>
              <w:spacing w:after="0"/>
              <w:rPr>
                <w:sz w:val="18"/>
                <w:szCs w:val="18"/>
                <w:color w:val="auto"/>
              </w:rPr>
            </w:pPr>
          </w:p>
        </w:tc>
        <w:tc>
          <w:tcPr>
            <w:tcW w:w="39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543.8</w:t>
            </w:r>
          </w:p>
        </w:tc>
        <w:tc>
          <w:tcPr>
            <w:tcW w:w="2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939598"/>
            </w:tcBorders>
            <w:shd w:val="clear" w:color="auto" w:fill="E3F1DA"/>
          </w:tcPr>
          <w:p>
            <w:pPr>
              <w:jc w:val="right"/>
              <w:ind w:right="16"/>
              <w:spacing w:after="0"/>
              <w:rPr>
                <w:sz w:val="20"/>
                <w:szCs w:val="20"/>
                <w:color w:val="auto"/>
              </w:rPr>
            </w:pPr>
            <w:r>
              <w:rPr>
                <w:rFonts w:ascii="Arial" w:cs="Arial" w:eastAsia="Arial" w:hAnsi="Arial"/>
                <w:sz w:val="18"/>
                <w:szCs w:val="18"/>
                <w:color w:val="auto"/>
              </w:rPr>
              <w:t>213.2</w:t>
            </w:r>
          </w:p>
        </w:tc>
        <w:tc>
          <w:tcPr>
            <w:tcW w:w="420" w:type="dxa"/>
            <w:vAlign w:val="bottom"/>
            <w:tcBorders>
              <w:bottom w:val="single" w:sz="8" w:color="939598"/>
            </w:tcBorders>
            <w:shd w:val="clear" w:color="auto" w:fill="E3F1DA"/>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939598"/>
            </w:tcBorders>
            <w:shd w:val="clear" w:color="auto" w:fill="E3F1DA"/>
          </w:tcPr>
          <w:p>
            <w:pPr>
              <w:jc w:val="right"/>
              <w:ind w:right="116"/>
              <w:spacing w:after="0"/>
              <w:rPr>
                <w:sz w:val="20"/>
                <w:szCs w:val="20"/>
                <w:color w:val="auto"/>
              </w:rPr>
            </w:pPr>
            <w:r>
              <w:rPr>
                <w:rFonts w:ascii="Arial" w:cs="Arial" w:eastAsia="Arial" w:hAnsi="Arial"/>
                <w:sz w:val="18"/>
                <w:szCs w:val="18"/>
                <w:color w:val="auto"/>
              </w:rPr>
              <w:t>330.6</w:t>
            </w:r>
          </w:p>
        </w:tc>
        <w:tc>
          <w:tcPr>
            <w:tcW w:w="380" w:type="dxa"/>
            <w:vAlign w:val="bottom"/>
            <w:tcBorders>
              <w:bottom w:val="single" w:sz="8" w:color="939598"/>
            </w:tcBorders>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531.0</w:t>
            </w:r>
          </w:p>
        </w:tc>
        <w:tc>
          <w:tcPr>
            <w:tcW w:w="28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tcPr>
          <w:p>
            <w:pPr>
              <w:jc w:val="right"/>
              <w:ind w:right="16"/>
              <w:spacing w:after="0"/>
              <w:rPr>
                <w:sz w:val="20"/>
                <w:szCs w:val="20"/>
                <w:color w:val="auto"/>
              </w:rPr>
            </w:pPr>
            <w:r>
              <w:rPr>
                <w:rFonts w:ascii="Arial" w:cs="Arial" w:eastAsia="Arial" w:hAnsi="Arial"/>
                <w:sz w:val="18"/>
                <w:szCs w:val="18"/>
                <w:color w:val="auto"/>
              </w:rPr>
              <w:t>176.1</w:t>
            </w:r>
          </w:p>
        </w:tc>
        <w:tc>
          <w:tcPr>
            <w:tcW w:w="500" w:type="dxa"/>
            <w:vAlign w:val="bottom"/>
            <w:tcBorders>
              <w:bottom w:val="single" w:sz="8" w:color="939598"/>
            </w:tcBorders>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354.9</w:t>
            </w:r>
          </w:p>
        </w:tc>
      </w:tr>
    </w:tbl>
    <w:p>
      <w:pPr>
        <w:spacing w:after="0" w:line="5"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December 31, 2012 and 2011.</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December 31, 2012 and 2011.</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Amortization expense related to intangibles was $36.7, $38.9 and $39.3 in 2012, 2011 and 2010, respectively. Amortization expense expected in each of the next five years related to acquisitions completed as of December 31, 2012 is as follows: 2013 — $32.9, 2014 — $27.9, 2015 — $24.8, 2016 — $20.8 and 2017 — $18.9. The weighted-average useful lives of the technology, franchise agreements, customer relationships and other are 5, 10, 14 and 3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completed prior to 2009.</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2012 and 2011, and there was no impairment of our goodwill or indefinite-lived intangible as a result of our annual test.</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5" w:name="page76"/>
    <w:bookmarkEnd w:id="75"/>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assumptions used in our goodwill impairment tests during 2012, 2011 and 2010 included: expected revenue growth rates, operating unit profit margins, working capital levels, discount rates ranging from 10.6% to 16.9% for 2012, and a terminal value multiple.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reporting unit’s fair value is less than its carrying value as was the case for Right Management and Jefferson Wells in the fourth quarter of 2010, we are required to perform a second step. In the second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fourth quarter of 2010, two of our reporting units, Right Management and Jefferson Wells, each experienced strong indicators of impairment due to continued deterioration in market conditions for both reporting units as they experienced further than anticipated profitability declines in the fourth quarter, which led us to adjust our long-term outlooks for each reporting unit. As a result, we performed an impairment test of our goodwill and indefinite-lived intangible assets during the fourth quarter of 2010, which resulted in a non-cash impairment charge of $311.6 ($311.6 after-tax) for goodwill associated with Right Management and Jefferson Wells. In addition, we incurred a non-cash impairment charge of $117.2 ($72.7 after-tax) for the tradenames associated with these two reporting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MARKETABLE SECURITIES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account for our marketable security investments under the accounting guidance on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In 2012, we sold available-for-sale investments with a market value of $0.4 and an adjusted cost basis of $0.1 and realized a gain of $0.3. No realized gains or losses were recorded in 2011 and 2010. We had no available-for-sale investments as of December 31, 2012. Our available-for-sale investments had a market value of $0.4 and adjusted cost basis of $0.1, and no unrealized losses as of December 31, 2011.</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hold a 49% interest in our Swiss franchise, which maintained an investment portfolio with a market value of $192.5 and $175.8 as of December 31, 2012 and 2011, respectively. This portfolio is comprised of a wide variety of European and United States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2012, 2011 and 2010, realized gains totaled $0.1, $0.1 and $0.5, respectively, and realized losses totaled $0.2, $0.3 and $0.2, respectively. Our share of net unrealized gains and unrealized losses that are determined to be temporary related to these investments are included in accumulated other comprehensive income, with the offsetting amount increasing or decreasing our investment in the franchise.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CAPITALIZED SOFTWARE FOR INTERNAL USE</w:t>
      </w:r>
    </w:p>
    <w:p>
      <w:pPr>
        <w:spacing w:after="0" w:line="2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5 years. The net capitalized software balance of $10.6 and $14.4 as of December 31, 2012 and 2011, respectively, is included in other assets in the Consolidated Balance Sheets. Amortization expense related to the capitalized software costs was $7.3, $7.8 and $11.6 for 2012, 2011 and 2010, respectively.</w:t>
      </w:r>
    </w:p>
    <w:p>
      <w:pPr>
        <w:spacing w:after="0" w:line="2"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4D8ABE"/>
        </w:rPr>
        <w:t>PROPERTY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Borders>
              <w:bottom w:val="single" w:sz="8" w:color="86B6A5"/>
            </w:tcBorders>
          </w:tcPr>
          <w:p>
            <w:pPr>
              <w:spacing w:after="0"/>
              <w:rPr>
                <w:sz w:val="14"/>
                <w:szCs w:val="14"/>
                <w:color w:val="auto"/>
              </w:rPr>
            </w:pPr>
          </w:p>
        </w:tc>
        <w:tc>
          <w:tcPr>
            <w:tcW w:w="100" w:type="dxa"/>
            <w:vAlign w:val="bottom"/>
            <w:tcBorders>
              <w:bottom w:val="single" w:sz="8" w:color="86B6A5"/>
            </w:tcBorders>
            <w:shd w:val="clear" w:color="auto" w:fill="86B6A5"/>
          </w:tcPr>
          <w:p>
            <w:pPr>
              <w:spacing w:after="0"/>
              <w:rPr>
                <w:sz w:val="14"/>
                <w:szCs w:val="14"/>
                <w:color w:val="auto"/>
              </w:rPr>
            </w:pPr>
          </w:p>
        </w:tc>
        <w:tc>
          <w:tcPr>
            <w:tcW w:w="1480" w:type="dxa"/>
            <w:vAlign w:val="bottom"/>
            <w:tcBorders>
              <w:bottom w:val="single" w:sz="8" w:color="86B6A5"/>
            </w:tcBorders>
            <w:shd w:val="clear" w:color="auto" w:fill="86B6A5"/>
          </w:tcPr>
          <w:p>
            <w:pPr>
              <w:jc w:val="right"/>
              <w:ind w:right="235"/>
              <w:spacing w:after="0"/>
              <w:rPr>
                <w:sz w:val="20"/>
                <w:szCs w:val="20"/>
                <w:color w:val="auto"/>
              </w:rPr>
            </w:pPr>
            <w:r>
              <w:rPr>
                <w:rFonts w:ascii="Arial" w:cs="Arial" w:eastAsia="Arial" w:hAnsi="Arial"/>
                <w:sz w:val="14"/>
                <w:szCs w:val="14"/>
                <w:b w:val="1"/>
                <w:bCs w:val="1"/>
                <w:color w:val="FFFFFF"/>
              </w:rPr>
              <w:t>2012</w:t>
            </w:r>
          </w:p>
        </w:tc>
        <w:tc>
          <w:tcPr>
            <w:tcW w:w="500" w:type="dxa"/>
            <w:vAlign w:val="bottom"/>
            <w:tcBorders>
              <w:bottom w:val="single" w:sz="8" w:color="86B6A5"/>
            </w:tcBorders>
          </w:tcPr>
          <w:p>
            <w:pPr>
              <w:spacing w:after="0"/>
              <w:rPr>
                <w:sz w:val="14"/>
                <w:szCs w:val="14"/>
                <w:color w:val="auto"/>
              </w:rPr>
            </w:pPr>
          </w:p>
        </w:tc>
        <w:tc>
          <w:tcPr>
            <w:tcW w:w="90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rPr>
              <w:t>2011</w:t>
            </w: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6.8</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7.3</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21.5</w:t>
            </w:r>
          </w:p>
        </w:tc>
      </w:tr>
      <w:tr>
        <w:trPr>
          <w:trHeight w:val="208"/>
        </w:trPr>
        <w:tc>
          <w:tcPr>
            <w:tcW w:w="8440" w:type="dxa"/>
            <w:vAlign w:val="bottom"/>
            <w:gridSpan w:val="2"/>
          </w:tcPr>
          <w:p>
            <w:pPr>
              <w:spacing w:after="0"/>
              <w:rPr>
                <w:sz w:val="20"/>
                <w:szCs w:val="20"/>
                <w:color w:val="auto"/>
              </w:rPr>
            </w:pPr>
            <w:r>
              <w:rPr>
                <w:rFonts w:ascii="Arial" w:cs="Arial" w:eastAsia="Arial" w:hAnsi="Arial"/>
                <w:sz w:val="18"/>
                <w:szCs w:val="18"/>
                <w:color w:val="auto"/>
              </w:rPr>
              <w:t>Furniture, fixtures, and autos</w:t>
            </w:r>
          </w:p>
        </w:tc>
        <w:tc>
          <w:tcPr>
            <w:tcW w:w="10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198.4</w:t>
            </w:r>
          </w:p>
        </w:tc>
        <w:tc>
          <w:tcPr>
            <w:tcW w:w="5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194.9</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169.2</w:t>
            </w:r>
          </w:p>
        </w:tc>
        <w:tc>
          <w:tcPr>
            <w:tcW w:w="5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164.4</w:t>
            </w:r>
          </w:p>
        </w:tc>
      </w:tr>
      <w:tr>
        <w:trPr>
          <w:trHeight w:val="223"/>
        </w:trPr>
        <w:tc>
          <w:tcPr>
            <w:tcW w:w="844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939598"/>
            </w:tcBorders>
            <w:shd w:val="clear" w:color="auto" w:fill="E3F1DA"/>
          </w:tcPr>
          <w:p>
            <w:pPr>
              <w:spacing w:after="0"/>
              <w:rPr>
                <w:sz w:val="19"/>
                <w:szCs w:val="19"/>
                <w:color w:val="auto"/>
              </w:rPr>
            </w:pPr>
          </w:p>
        </w:tc>
        <w:tc>
          <w:tcPr>
            <w:tcW w:w="14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308.7</w:t>
            </w:r>
          </w:p>
        </w:tc>
        <w:tc>
          <w:tcPr>
            <w:tcW w:w="50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rPr>
              <w:t>297.5</w:t>
            </w:r>
          </w:p>
        </w:tc>
      </w:tr>
      <w:tr>
        <w:trPr>
          <w:trHeight w:val="211"/>
        </w:trPr>
        <w:tc>
          <w:tcPr>
            <w:tcW w:w="84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704.1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685.6</w:t>
            </w:r>
          </w:p>
        </w:tc>
      </w:tr>
      <w:tr>
        <w:trPr>
          <w:trHeight w:val="20"/>
        </w:trPr>
        <w:tc>
          <w:tcPr>
            <w:tcW w:w="20" w:type="dxa"/>
            <w:vAlign w:val="bottom"/>
          </w:tcPr>
          <w:p>
            <w:pPr>
              <w:spacing w:after="0" w:line="20" w:lineRule="exact"/>
              <w:rPr>
                <w:sz w:val="1"/>
                <w:szCs w:val="1"/>
                <w:color w:val="auto"/>
              </w:rPr>
            </w:pPr>
          </w:p>
        </w:tc>
        <w:tc>
          <w:tcPr>
            <w:tcW w:w="842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480" w:type="dxa"/>
            <w:vAlign w:val="bottom"/>
            <w:shd w:val="clear" w:color="auto" w:fill="939598"/>
          </w:tcPr>
          <w:p>
            <w:pPr>
              <w:spacing w:after="0" w:line="20" w:lineRule="exact"/>
              <w:rPr>
                <w:sz w:val="1"/>
                <w:szCs w:val="1"/>
                <w:color w:val="auto"/>
              </w:rPr>
            </w:pPr>
          </w:p>
        </w:tc>
        <w:tc>
          <w:tcPr>
            <w:tcW w:w="500" w:type="dxa"/>
            <w:vAlign w:val="bottom"/>
            <w:shd w:val="clear" w:color="auto" w:fill="939598"/>
          </w:tcPr>
          <w:p>
            <w:pPr>
              <w:spacing w:after="0" w:line="20" w:lineRule="exact"/>
              <w:rPr>
                <w:sz w:val="1"/>
                <w:szCs w:val="1"/>
                <w:color w:val="auto"/>
              </w:rPr>
            </w:pPr>
          </w:p>
        </w:tc>
        <w:tc>
          <w:tcPr>
            <w:tcW w:w="900" w:type="dxa"/>
            <w:vAlign w:val="bottom"/>
            <w:shd w:val="clear" w:color="auto" w:fill="939598"/>
          </w:tcPr>
          <w:p>
            <w:pPr>
              <w:spacing w:after="0" w:line="20" w:lineRule="exact"/>
              <w:rPr>
                <w:sz w:val="1"/>
                <w:szCs w:val="1"/>
                <w:color w:val="auto"/>
              </w:rPr>
            </w:pPr>
          </w:p>
        </w:tc>
      </w:tr>
    </w:tbl>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2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DERIVATIVE FINANCIAL INSTRUMENTS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The ineffective portions of the changes in the fair value of cash flow hedges are recognized in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FOREIGN CURRENCY TRANSLATION</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of our non-United States subsidiaries have been translated in accordance with the accounting guidance on foreign currency translation. Under the accounting guidance,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foreign-currency-denominated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SHAREHOLDERS’ EQUITY</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2012, November 2011 and December 2010, the Board of Directors authorized the repurchase of 8.0 million, 3.0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In 2012, we repurchased a total of 3.6 million shares, comprised of 0.6 million shares under the 2010 authorization and 3.0 million shares under the 2011 authorization, at a total cost of $138.2. In 2011, we repurchased a total of 2.6 million shares, composed of 0.2 million shares under the 2007 authorization and 2.4 million shares under the 2010 authorization, at a total cost of $104.5. In 2010, we repurchased 0.9 million shares of common stock at a total cost of $34.8 under the 2007 authorization. As of December 31, 2012, there were no shares remaining under the 2011, 2010 or 2007 authorization. No purchases were made under the 2012 authorization.</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2012, 2011 and 2010, the Board of Directors declared total cash dividends of $0.86, $0.80, and $0.74 per share, respectively, resulting in total dividend payments of $67.8, $65.1 and $60.8,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when purchased to be cash equivalents.</w:t>
      </w:r>
    </w:p>
    <w:p>
      <w:pPr>
        <w:spacing w:after="0" w:line="12"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7" w:name="page78"/>
    <w:bookmarkEnd w:id="77"/>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RECENTLY ISSUED ACCOUNTING STANDARDS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2011, the FASB issued new accounting guidance on fair value measurement. The new guidance clarifies some existing concepts, eliminates wording differences between United States Generally Accepted Accounting Principles (“GAAP”) and International Financing Reporting Standards (“IFRS”), and in some limited cases, changes some principles to achieve convergence between United States GAAP and IFRS. The new guidance results in a consistent definition of fair value and common requirements for measurement of and disclosure about fair value between United States GAAP and IFRS. It also expands the disclosures for fair value measurements that are estimated using significant unobservable (Level 3) inputs. We adopted this guidance effective January 1, 2012. There was no impact of this adoption on our Consolidated Financial Statements.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2011, the FASB issued new accounting guidance on presentation of comprehensive income. The new guidance requires an entity to present the total of comprehensive income, the components of net income, and annually present the components of other comprehensive income either in a single continuous statement of comprehensive income, or in two separate but consecutive statements. It eliminates the option to present components of other comprehensive income as part of the statement of shareholders’ equity. We adopted this guidance in the first quarter of 2012.</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2011, the FASB issued new accounting guidance on testing goodwill for impairment. Under the revised guidance, entities testing goodwill for impairment have the option of performing a qualitative assessment before calculating the fair value of the reporting unit (i.e., step 1 of the goodwill impairment test). If entities determine, on the basis of qualitative factors, that the fair value of the reporting unit is more likely than not less than the carrying amount, the two-step impairment test would be required. We adopted this guidance effective January 1, 2012. We did not adopt the option of performing a qualitative assessment and the application of the guidance to our annual impairment test had no impact on our Consolidated Financial Statements.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The guidance is effective for us in 2013. We are currently assessing the impact of the adoption of this guidance will have on our Consolidated Financial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July 2012, the FASB issued new accounting guidance on testing indefinite-lived intangible assets other than goodwill for impairment. The revised guidance allows entities the option to first assess qualitative factors to determine whether it is necessary to perform the quantitative impairment test. An entity electing to perform a qualitative assessment is no longer required to calculate the fair value of an indefinite-lived intangible asset unless the entity determines, based on a qualitative assessment, that it is “more likely than not” that the asset is impaired. The guidance is effective for us in 2013. We do not expect the adoption of this guidance to have an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SUBSEQUENT EVENTS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86B6A5"/>
        </w:rPr>
        <w:t>02.</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Acquisitions</w:t>
      </w:r>
    </w:p>
    <w:p>
      <w:pPr>
        <w:jc w:val="both"/>
        <w:spacing w:after="0" w:line="251" w:lineRule="auto"/>
        <w:rPr>
          <w:sz w:val="20"/>
          <w:szCs w:val="20"/>
          <w:color w:val="auto"/>
        </w:rPr>
      </w:pPr>
      <w:r>
        <w:rPr>
          <w:rFonts w:ascii="Arial" w:cs="Arial" w:eastAsia="Arial" w:hAnsi="Arial"/>
          <w:sz w:val="18"/>
          <w:szCs w:val="18"/>
          <w:color w:val="auto"/>
        </w:rPr>
        <w:t>On April 16, 2012, we acquired Damilo Group (“Damilo”), a French firm specializing in IT design solutions, for total consideration, net of cash acquired, of €21.2 ($28.0). Goodwill arising from this transaction was €30.8 ($40.6). The related intangible assets were €6.3 ($8.0) and €5.8 ($7.6) as of April 16, 2012 and December 31, 2012, respectively. The assumed liabilities and acquired assets, net of goodwill, related intangible assets and cash arising from the transaction were €33.8 ($44.6) and €17.9 ($23.6), respectively.</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September 22, 2011, we acquired approximately 70% of the shares and voting rights of Proservia SA (“Proservia”),a provider of information technology and systems engineering solutions in France. We acquired the remaining shares and voting rights by the end of November 2011. The purchase price was €14.89 ($19.93) per share. The total consideration, net of cash acquired, was €21.6 ($29.4). Goodwill arising from this transaction was €20.7 ($27.7). The related intangible assets were €11.0 ($14.7), €10.8 ($14.0) and €9.4 ($12.4) as of September 22, 2011, December 31, 2011 and December 31, 2012, respectively.</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2010, we acquired COMSYS IT Partners, Inc. (“COMSYS”), a leading professional staffing firm in the United States, from its existing shareholders. The value of the consideration for each outstanding share of COMSYS common stock was approximately $17.65, for a total enterprise value of $427.0, including debt of $47.1, which we repaid upon closing. The</w:t>
      </w:r>
    </w:p>
    <w:p>
      <w:pPr>
        <w:ind w:left="580" w:hanging="572"/>
        <w:spacing w:after="0"/>
        <w:tabs>
          <w:tab w:leader="none" w:pos="580" w:val="left"/>
        </w:tabs>
        <w:numPr>
          <w:ilvl w:val="0"/>
          <w:numId w:val="71"/>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78" w:name="page79"/>
    <w:bookmarkEnd w:id="78"/>
    <w:p>
      <w:pPr>
        <w:jc w:val="both"/>
        <w:spacing w:after="0" w:line="298" w:lineRule="auto"/>
        <w:rPr>
          <w:sz w:val="20"/>
          <w:szCs w:val="20"/>
          <w:color w:val="auto"/>
        </w:rPr>
      </w:pPr>
      <w:r>
        <w:rPr>
          <w:rFonts w:ascii="Arial" w:cs="Arial" w:eastAsia="Arial" w:hAnsi="Arial"/>
          <w:sz w:val="16"/>
          <w:szCs w:val="16"/>
          <w:color w:val="auto"/>
        </w:rPr>
        <w:t>consideration was approximately 50% ManpowerGroup common stock (3.2 million shares with a fair value of $188.5 upon closing) and approximately 50% cash (consideration of $191.4). In addition, we incurred approximately $10.8 of transaction costs associated with the acquisition during the year ended December 31, 2010, which have been classified in Selling and administrative expenses. Goodwill arising from this transaction was $278.0 as of December 31, 2012 and 2011. Intangible assets related to this transaction were $67.1 and $85.4 as of December 31, 2012 and 2011, respectively.</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allocated the consideration transferred to the net assets acquired using various methodologies to assess the fair value of the assets and liabilities acquired. For our intangible assets associated with customer relationships, we utilized the multi-period excess-earnings method, a form of the income approach. Some of the significant assumptions used in this valuation included: expected revenue growth rates, operating unit profit margins, capital charges representing 1.3% of revenues, and a 13% discount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acquisition date of April 5, 2010: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20" w:type="dxa"/>
            <w:vAlign w:val="bottom"/>
            <w:tcBorders>
              <w:top w:val="single" w:sz="8" w:color="939598"/>
            </w:tcBorders>
            <w:shd w:val="clear" w:color="auto" w:fill="E3F1DA"/>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tcBorders>
              <w:top w:val="single" w:sz="8" w:color="939598"/>
            </w:tcBorders>
            <w:shd w:val="clear" w:color="auto" w:fill="E3F1DA"/>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Prepaid expenses and other assets</w:t>
            </w:r>
          </w:p>
        </w:tc>
        <w:tc>
          <w:tcPr>
            <w:tcW w:w="430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4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E3F1DA"/>
          </w:tcPr>
          <w:p>
            <w:pPr>
              <w:spacing w:after="0"/>
              <w:rPr>
                <w:sz w:val="18"/>
                <w:szCs w:val="18"/>
                <w:color w:val="auto"/>
              </w:rPr>
            </w:pPr>
          </w:p>
        </w:tc>
        <w:tc>
          <w:tcPr>
            <w:tcW w:w="430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4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3F1DA"/>
          </w:tcPr>
          <w:p>
            <w:pPr>
              <w:spacing w:after="0"/>
              <w:rPr>
                <w:sz w:val="20"/>
                <w:szCs w:val="20"/>
                <w:color w:val="auto"/>
              </w:rPr>
            </w:pPr>
            <w:r>
              <w:rPr>
                <w:rFonts w:ascii="Arial" w:cs="Arial" w:eastAsia="Arial" w:hAnsi="Arial"/>
                <w:sz w:val="18"/>
                <w:szCs w:val="18"/>
                <w:color w:val="auto"/>
              </w:rPr>
              <w:t>Intangible assets</w:t>
            </w:r>
          </w:p>
        </w:tc>
        <w:tc>
          <w:tcPr>
            <w:tcW w:w="4300" w:type="dxa"/>
            <w:vAlign w:val="bottom"/>
            <w:shd w:val="clear" w:color="auto" w:fill="E3F1DA"/>
          </w:tcPr>
          <w:p>
            <w:pPr>
              <w:spacing w:after="0"/>
              <w:rPr>
                <w:sz w:val="18"/>
                <w:szCs w:val="18"/>
                <w:color w:val="auto"/>
              </w:rPr>
            </w:pPr>
          </w:p>
        </w:tc>
        <w:tc>
          <w:tcPr>
            <w:tcW w:w="68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assets</w:t>
            </w:r>
          </w:p>
        </w:tc>
        <w:tc>
          <w:tcPr>
            <w:tcW w:w="4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Property and equipment</w:t>
            </w:r>
          </w:p>
        </w:tc>
        <w:tc>
          <w:tcPr>
            <w:tcW w:w="430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Total assets</w:t>
            </w:r>
          </w:p>
        </w:tc>
        <w:tc>
          <w:tcPr>
            <w:tcW w:w="4300" w:type="dxa"/>
            <w:vAlign w:val="bottom"/>
            <w:tcBorders>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20" w:type="dxa"/>
            <w:vAlign w:val="bottom"/>
            <w:shd w:val="clear" w:color="auto" w:fill="E3F1DA"/>
          </w:tcPr>
          <w:p>
            <w:pPr>
              <w:spacing w:after="0"/>
              <w:rPr>
                <w:sz w:val="12"/>
                <w:szCs w:val="12"/>
                <w:color w:val="auto"/>
              </w:rPr>
            </w:pPr>
          </w:p>
        </w:tc>
        <w:tc>
          <w:tcPr>
            <w:tcW w:w="4300" w:type="dxa"/>
            <w:vAlign w:val="bottom"/>
            <w:shd w:val="clear" w:color="auto" w:fill="E3F1DA"/>
          </w:tcPr>
          <w:p>
            <w:pPr>
              <w:spacing w:after="0"/>
              <w:rPr>
                <w:sz w:val="12"/>
                <w:szCs w:val="12"/>
                <w:color w:val="auto"/>
              </w:rPr>
            </w:pPr>
          </w:p>
        </w:tc>
        <w:tc>
          <w:tcPr>
            <w:tcW w:w="680" w:type="dxa"/>
            <w:vAlign w:val="bottom"/>
            <w:shd w:val="clear" w:color="auto" w:fill="E3F1DA"/>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payable</w:t>
            </w:r>
          </w:p>
        </w:tc>
        <w:tc>
          <w:tcPr>
            <w:tcW w:w="4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3F1DA"/>
          </w:tcPr>
          <w:p>
            <w:pPr>
              <w:spacing w:after="0"/>
              <w:rPr>
                <w:sz w:val="20"/>
                <w:szCs w:val="20"/>
                <w:color w:val="auto"/>
              </w:rPr>
            </w:pPr>
            <w:r>
              <w:rPr>
                <w:rFonts w:ascii="Arial" w:cs="Arial" w:eastAsia="Arial" w:hAnsi="Arial"/>
                <w:sz w:val="18"/>
                <w:szCs w:val="18"/>
                <w:color w:val="auto"/>
              </w:rPr>
              <w:t>Employee compensation payable</w:t>
            </w:r>
          </w:p>
        </w:tc>
        <w:tc>
          <w:tcPr>
            <w:tcW w:w="4300" w:type="dxa"/>
            <w:vAlign w:val="bottom"/>
            <w:shd w:val="clear" w:color="auto" w:fill="E3F1DA"/>
          </w:tcPr>
          <w:p>
            <w:pPr>
              <w:spacing w:after="0"/>
              <w:rPr>
                <w:sz w:val="18"/>
                <w:szCs w:val="18"/>
                <w:color w:val="auto"/>
              </w:rPr>
            </w:pPr>
          </w:p>
        </w:tc>
        <w:tc>
          <w:tcPr>
            <w:tcW w:w="68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Accrued liabilities</w:t>
            </w:r>
          </w:p>
        </w:tc>
        <w:tc>
          <w:tcPr>
            <w:tcW w:w="430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E3F1DA"/>
          </w:tcPr>
          <w:p>
            <w:pPr>
              <w:ind w:left="140"/>
              <w:spacing w:after="0"/>
              <w:rPr>
                <w:sz w:val="20"/>
                <w:szCs w:val="20"/>
                <w:color w:val="auto"/>
              </w:rPr>
            </w:pPr>
            <w:r>
              <w:rPr>
                <w:rFonts w:ascii="Arial" w:cs="Arial" w:eastAsia="Arial" w:hAnsi="Arial"/>
                <w:sz w:val="18"/>
                <w:szCs w:val="18"/>
                <w:color w:val="auto"/>
              </w:rPr>
              <w:t>Total current liabilities</w:t>
            </w:r>
          </w:p>
        </w:tc>
        <w:tc>
          <w:tcPr>
            <w:tcW w:w="4300" w:type="dxa"/>
            <w:vAlign w:val="bottom"/>
            <w:shd w:val="clear" w:color="auto" w:fill="E3F1DA"/>
          </w:tcPr>
          <w:p>
            <w:pPr>
              <w:spacing w:after="0"/>
              <w:rPr>
                <w:sz w:val="18"/>
                <w:szCs w:val="18"/>
                <w:color w:val="auto"/>
              </w:rPr>
            </w:pPr>
          </w:p>
        </w:tc>
        <w:tc>
          <w:tcPr>
            <w:tcW w:w="68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Other long-term liabilities</w:t>
            </w:r>
          </w:p>
        </w:tc>
        <w:tc>
          <w:tcPr>
            <w:tcW w:w="430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Total liabilities assumed</w:t>
            </w:r>
          </w:p>
        </w:tc>
        <w:tc>
          <w:tcPr>
            <w:tcW w:w="430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939598"/>
            </w:tcBorders>
            <w:shd w:val="clear" w:color="auto" w:fill="E3F1DA"/>
          </w:tcPr>
          <w:p>
            <w:pPr>
              <w:ind w:left="140"/>
              <w:spacing w:after="0"/>
              <w:rPr>
                <w:sz w:val="20"/>
                <w:szCs w:val="20"/>
                <w:color w:val="auto"/>
              </w:rPr>
            </w:pPr>
            <w:r>
              <w:rPr>
                <w:rFonts w:ascii="Arial" w:cs="Arial" w:eastAsia="Arial" w:hAnsi="Arial"/>
                <w:sz w:val="18"/>
                <w:szCs w:val="18"/>
                <w:color w:val="auto"/>
              </w:rPr>
              <w:t>Net assets acquired</w:t>
            </w:r>
          </w:p>
        </w:tc>
        <w:tc>
          <w:tcPr>
            <w:tcW w:w="4300" w:type="dxa"/>
            <w:vAlign w:val="bottom"/>
            <w:tcBorders>
              <w:bottom w:val="single" w:sz="8" w:color="939598"/>
            </w:tcBorders>
            <w:shd w:val="clear" w:color="auto" w:fill="E3F1DA"/>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 the $427.0 of net acquired assets, $127.1 was assigned to customer relationships and will be amortized over 14 years, using an accelerating method. The remaining fair value of $281.6, which was not directly attributable to any specific assets or liabilities, was assigned to goodwill as part of the United States reporting unit. Of the goodwill assigned, $19.4 is deductible for tax purposes as of December 31, 2012.</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pro forma information reflects the results of ManpowerGroup’s operations for the year ended December 31, 2010 as if the COMSYS acquisition had been completed at the beginning of the period. Pro forma adjustments have been made to illustrate the incremental impact on earnings of amortization expense related to the acquired intangible assets, lost interest income that would have been earned on the cash proceeds used to acquire COMSYS and the tax impact of these respective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Borders>
              <w:bottom w:val="single" w:sz="8" w:color="86B6A5"/>
            </w:tcBorders>
          </w:tcPr>
          <w:p>
            <w:pPr>
              <w:spacing w:after="0"/>
              <w:rPr>
                <w:sz w:val="14"/>
                <w:szCs w:val="14"/>
                <w:color w:val="auto"/>
              </w:rPr>
            </w:pPr>
          </w:p>
        </w:tc>
        <w:tc>
          <w:tcPr>
            <w:tcW w:w="400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E3F1DA"/>
          </w:tcPr>
          <w:p>
            <w:pPr>
              <w:spacing w:after="0"/>
              <w:rPr>
                <w:sz w:val="20"/>
                <w:szCs w:val="20"/>
                <w:color w:val="auto"/>
              </w:rPr>
            </w:pPr>
            <w:r>
              <w:rPr>
                <w:rFonts w:ascii="Arial" w:cs="Arial" w:eastAsia="Arial" w:hAnsi="Arial"/>
                <w:sz w:val="18"/>
                <w:szCs w:val="18"/>
                <w:color w:val="auto"/>
              </w:rPr>
              <w:t>Revenues from services</w:t>
            </w:r>
          </w:p>
        </w:tc>
        <w:tc>
          <w:tcPr>
            <w:tcW w:w="4000" w:type="dxa"/>
            <w:vAlign w:val="bottom"/>
            <w:shd w:val="clear" w:color="auto" w:fill="E3F1DA"/>
          </w:tcPr>
          <w:p>
            <w:pPr>
              <w:spacing w:after="0"/>
              <w:rPr>
                <w:sz w:val="18"/>
                <w:szCs w:val="18"/>
                <w:color w:val="auto"/>
              </w:rPr>
            </w:pPr>
          </w:p>
        </w:tc>
        <w:tc>
          <w:tcPr>
            <w:tcW w:w="84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Pro forma</w:t>
            </w:r>
          </w:p>
        </w:tc>
        <w:tc>
          <w:tcPr>
            <w:tcW w:w="40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w w:val="99"/>
              </w:rPr>
              <w:t>19,036.1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As reported</w:t>
            </w:r>
          </w:p>
        </w:tc>
        <w:tc>
          <w:tcPr>
            <w:tcW w:w="40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shd w:val="clear" w:color="auto" w:fill="E3F1DA"/>
          </w:tcPr>
          <w:p>
            <w:pPr>
              <w:jc w:val="right"/>
              <w:ind w:right="35"/>
              <w:spacing w:after="0"/>
              <w:rPr>
                <w:sz w:val="20"/>
                <w:szCs w:val="20"/>
                <w:color w:val="auto"/>
              </w:rPr>
            </w:pPr>
            <w:r>
              <w:rPr>
                <w:rFonts w:ascii="Arial" w:cs="Arial" w:eastAsia="Arial" w:hAnsi="Arial"/>
                <w:sz w:val="18"/>
                <w:szCs w:val="18"/>
                <w:color w:val="auto"/>
                <w:w w:val="99"/>
              </w:rPr>
              <w:t>18,866.5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3F1DA"/>
          </w:tcPr>
          <w:p>
            <w:pPr>
              <w:spacing w:after="0"/>
              <w:rPr>
                <w:sz w:val="20"/>
                <w:szCs w:val="20"/>
                <w:color w:val="auto"/>
              </w:rPr>
            </w:pPr>
            <w:r>
              <w:rPr>
                <w:rFonts w:ascii="Arial" w:cs="Arial" w:eastAsia="Arial" w:hAnsi="Arial"/>
                <w:sz w:val="18"/>
                <w:szCs w:val="18"/>
                <w:color w:val="auto"/>
              </w:rPr>
              <w:t>Net (loss) earnings</w:t>
            </w:r>
          </w:p>
        </w:tc>
        <w:tc>
          <w:tcPr>
            <w:tcW w:w="4000" w:type="dxa"/>
            <w:vAlign w:val="bottom"/>
            <w:shd w:val="clear" w:color="auto" w:fill="E3F1DA"/>
          </w:tcPr>
          <w:p>
            <w:pPr>
              <w:spacing w:after="0"/>
              <w:rPr>
                <w:sz w:val="18"/>
                <w:szCs w:val="18"/>
                <w:color w:val="auto"/>
              </w:rPr>
            </w:pPr>
          </w:p>
        </w:tc>
        <w:tc>
          <w:tcPr>
            <w:tcW w:w="84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Pro forma</w:t>
            </w:r>
          </w:p>
        </w:tc>
        <w:tc>
          <w:tcPr>
            <w:tcW w:w="40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As reported</w:t>
            </w:r>
          </w:p>
        </w:tc>
        <w:tc>
          <w:tcPr>
            <w:tcW w:w="40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3F1DA"/>
          </w:tcPr>
          <w:p>
            <w:pPr>
              <w:spacing w:after="0"/>
              <w:rPr>
                <w:sz w:val="20"/>
                <w:szCs w:val="20"/>
                <w:color w:val="auto"/>
              </w:rPr>
            </w:pPr>
            <w:r>
              <w:rPr>
                <w:rFonts w:ascii="Arial" w:cs="Arial" w:eastAsia="Arial" w:hAnsi="Arial"/>
                <w:sz w:val="18"/>
                <w:szCs w:val="18"/>
                <w:color w:val="auto"/>
              </w:rPr>
              <w:t>Net (loss) earnings per share — diluted</w:t>
            </w:r>
          </w:p>
        </w:tc>
        <w:tc>
          <w:tcPr>
            <w:tcW w:w="4000" w:type="dxa"/>
            <w:vAlign w:val="bottom"/>
            <w:shd w:val="clear" w:color="auto" w:fill="E3F1DA"/>
          </w:tcPr>
          <w:p>
            <w:pPr>
              <w:spacing w:after="0"/>
              <w:rPr>
                <w:sz w:val="18"/>
                <w:szCs w:val="18"/>
                <w:color w:val="auto"/>
              </w:rPr>
            </w:pPr>
          </w:p>
        </w:tc>
        <w:tc>
          <w:tcPr>
            <w:tcW w:w="840" w:type="dxa"/>
            <w:vAlign w:val="bottom"/>
            <w:shd w:val="clear" w:color="auto" w:fill="E3F1D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Pro forma</w:t>
            </w:r>
          </w:p>
        </w:tc>
        <w:tc>
          <w:tcPr>
            <w:tcW w:w="40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As reported</w:t>
            </w:r>
          </w:p>
        </w:tc>
        <w:tc>
          <w:tcPr>
            <w:tcW w:w="40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79" w:name="page80"/>
    <w:bookmarkEnd w:id="79"/>
    <w:p>
      <w:pPr>
        <w:spacing w:after="0"/>
        <w:rPr>
          <w:sz w:val="20"/>
          <w:szCs w:val="20"/>
          <w:color w:val="auto"/>
        </w:rPr>
      </w:pPr>
      <w:r>
        <w:rPr>
          <w:rFonts w:ascii="Arial" w:cs="Arial" w:eastAsia="Arial" w:hAnsi="Arial"/>
          <w:sz w:val="24"/>
          <w:szCs w:val="24"/>
          <w:color w:val="4D8ABE"/>
        </w:rPr>
        <w:t>NOTES TO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4D8ABE"/>
        </w:rPr>
        <w:t>in millions, except share and per share data</w:t>
      </w:r>
    </w:p>
    <w:p>
      <w:pPr>
        <w:jc w:val="both"/>
        <w:spacing w:after="0" w:line="313" w:lineRule="auto"/>
        <w:rPr>
          <w:sz w:val="20"/>
          <w:szCs w:val="20"/>
          <w:color w:val="auto"/>
        </w:rPr>
      </w:pPr>
      <w:r>
        <w:rPr>
          <w:rFonts w:ascii="Arial" w:cs="Arial" w:eastAsia="Arial" w:hAnsi="Arial"/>
          <w:sz w:val="16"/>
          <w:szCs w:val="16"/>
          <w:color w:val="auto"/>
        </w:rPr>
        <w:t>The unaudited pro forma information is provided for illustrative purposes only and does not represent what our Consolidated Statements of Operations would have been if the transaction had actually occurred as of January 1, 2010 and does not represent our expected future Consolidated Statements of Operations.</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time to time, we acquire and invest in companies throughout the world, including franchises. Excluding Damilo, Proservia and COMSYS, the total cash consideration paid for acquisitions, net of cash acquired, for the years ended December 31, 2012, 2011 and 2010 was $21.0, $19.6 and $32.3, respectively. Goodwill resulting from the remaining 2012 acquisitions was $5.6 as of December 31, 2012. No intangible asset resulted from the remaining 2012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86B6A5"/>
        </w:rPr>
        <w:t>03.</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Share-Based Compensation Plans</w:t>
      </w:r>
    </w:p>
    <w:p>
      <w:pPr>
        <w:jc w:val="both"/>
        <w:spacing w:after="0" w:line="287" w:lineRule="auto"/>
        <w:rPr>
          <w:sz w:val="20"/>
          <w:szCs w:val="20"/>
          <w:color w:val="auto"/>
        </w:rPr>
      </w:pPr>
      <w:r>
        <w:rPr>
          <w:rFonts w:ascii="Arial" w:cs="Arial" w:eastAsia="Arial" w:hAnsi="Arial"/>
          <w:sz w:val="16"/>
          <w:szCs w:val="16"/>
          <w:color w:val="auto"/>
        </w:rPr>
        <w:t>We account for share-based payments according to the accounting guidance on share-based payments. During 2012, 2011 and 2010, we recognized approximately $30.0, $31.4 and $24.1, respectively, in share-based compensation expense related to stock options, deferred stock, restricted stock and performance share units, all of which is recorded in selling and administrative expenses. The total income tax benefit recognized related to share-based compensation during 2012, 2011 and 2010 was $2.4, $3.0 and $3.7, respectively. Consideration received from share-based awards for 2012, 2011 and 2010 was $6.0, $31.8 and $24.9, respectively. The excess income tax (deficit)/benefit recognized related to share-based compensation awards, which is recorded in capital in excess of par value, for 2012, 2011 and 2010 was approximately $(2.1), $3.1 and $3.7, respectively. We recognize compensation expense on grants of share-based compensation awards on a straight-line basis over the vesting period of each award.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STOCK OPTIONS</w:t>
      </w:r>
    </w:p>
    <w:p>
      <w:pPr>
        <w:spacing w:after="0" w:line="2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Until May 3, 2011, all share-based compensation was granted under the 2003 Equity Incentive Plan of Manpower Inc. (“2003 Plan”). Following this date, all share-based compensation has been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2012 or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jc w:val="right"/>
              <w:ind w:right="18"/>
              <w:spacing w:after="0"/>
              <w:rPr>
                <w:sz w:val="20"/>
                <w:szCs w:val="20"/>
                <w:color w:val="auto"/>
              </w:rPr>
            </w:pPr>
            <w:r>
              <w:rPr>
                <w:rFonts w:ascii="Arial" w:cs="Arial" w:eastAsia="Arial" w:hAnsi="Arial"/>
                <w:sz w:val="14"/>
                <w:szCs w:val="14"/>
                <w:b w:val="1"/>
                <w:bCs w:val="1"/>
                <w:color w:val="86B6A5"/>
              </w:rPr>
              <w:t>Wtd. Avg.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86B6A5"/>
              </w:rPr>
              <w:t>Wtd. Avg.</w:t>
            </w:r>
          </w:p>
        </w:tc>
        <w:tc>
          <w:tcPr>
            <w:tcW w:w="14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86B6A5"/>
              </w:rPr>
              <w:t>Remaining</w:t>
            </w:r>
          </w:p>
        </w:tc>
        <w:tc>
          <w:tcPr>
            <w:tcW w:w="300" w:type="dxa"/>
            <w:vAlign w:val="bottom"/>
          </w:tcPr>
          <w:p>
            <w:pPr>
              <w:spacing w:after="0"/>
              <w:rPr>
                <w:sz w:val="12"/>
                <w:szCs w:val="12"/>
                <w:color w:val="auto"/>
              </w:rPr>
            </w:pPr>
          </w:p>
        </w:tc>
        <w:tc>
          <w:tcPr>
            <w:tcW w:w="10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86B6A5"/>
              </w:rPr>
              <w:t>Aggregate</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86B6A5"/>
                <w:w w:val="98"/>
              </w:rPr>
              <w:t>Exercise Price</w:t>
            </w:r>
          </w:p>
        </w:tc>
        <w:tc>
          <w:tcPr>
            <w:tcW w:w="14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86B6A5"/>
              </w:rPr>
              <w:t>Contractual Term</w:t>
            </w:r>
          </w:p>
        </w:tc>
        <w:tc>
          <w:tcPr>
            <w:tcW w:w="300" w:type="dxa"/>
            <w:vAlign w:val="bottom"/>
          </w:tcPr>
          <w:p>
            <w:pPr>
              <w:spacing w:after="0"/>
              <w:rPr>
                <w:sz w:val="12"/>
                <w:szCs w:val="12"/>
                <w:color w:val="auto"/>
              </w:rPr>
            </w:pPr>
          </w:p>
        </w:tc>
        <w:tc>
          <w:tcPr>
            <w:tcW w:w="10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86B6A5"/>
                <w:w w:val="98"/>
              </w:rPr>
              <w:t>Intrinsic Value</w:t>
            </w:r>
          </w:p>
        </w:tc>
      </w:tr>
      <w:tr>
        <w:trPr>
          <w:trHeight w:val="161"/>
        </w:trPr>
        <w:tc>
          <w:tcPr>
            <w:tcW w:w="20" w:type="dxa"/>
            <w:vAlign w:val="bottom"/>
          </w:tcPr>
          <w:p>
            <w:pPr>
              <w:spacing w:after="0"/>
              <w:rPr>
                <w:sz w:val="14"/>
                <w:szCs w:val="14"/>
                <w:color w:val="auto"/>
              </w:rPr>
            </w:pPr>
          </w:p>
        </w:tc>
        <w:tc>
          <w:tcPr>
            <w:tcW w:w="4720" w:type="dxa"/>
            <w:vAlign w:val="bottom"/>
            <w:tcBorders>
              <w:bottom w:val="single" w:sz="8" w:color="86B6A5"/>
            </w:tcBorders>
          </w:tcPr>
          <w:p>
            <w:pPr>
              <w:spacing w:after="0"/>
              <w:rPr>
                <w:sz w:val="14"/>
                <w:szCs w:val="14"/>
                <w:color w:val="auto"/>
              </w:rPr>
            </w:pPr>
          </w:p>
        </w:tc>
        <w:tc>
          <w:tcPr>
            <w:tcW w:w="2280" w:type="dxa"/>
            <w:vAlign w:val="bottom"/>
            <w:tcBorders>
              <w:bottom w:val="single" w:sz="8" w:color="86B6A5"/>
            </w:tcBorders>
          </w:tcPr>
          <w:p>
            <w:pPr>
              <w:jc w:val="right"/>
              <w:ind w:right="53"/>
              <w:spacing w:after="0"/>
              <w:rPr>
                <w:sz w:val="20"/>
                <w:szCs w:val="20"/>
                <w:color w:val="auto"/>
              </w:rPr>
            </w:pPr>
            <w:r>
              <w:rPr>
                <w:rFonts w:ascii="Arial" w:cs="Arial" w:eastAsia="Arial" w:hAnsi="Arial"/>
                <w:sz w:val="14"/>
                <w:szCs w:val="14"/>
                <w:b w:val="1"/>
                <w:bCs w:val="1"/>
                <w:color w:val="86B6A5"/>
              </w:rPr>
              <w:t>Shares (000)</w:t>
            </w:r>
          </w:p>
        </w:tc>
        <w:tc>
          <w:tcPr>
            <w:tcW w:w="300" w:type="dxa"/>
            <w:vAlign w:val="bottom"/>
            <w:tcBorders>
              <w:bottom w:val="single" w:sz="8" w:color="86B6A5"/>
            </w:tcBorders>
          </w:tcPr>
          <w:p>
            <w:pPr>
              <w:spacing w:after="0"/>
              <w:rPr>
                <w:sz w:val="14"/>
                <w:szCs w:val="14"/>
                <w:color w:val="auto"/>
              </w:rPr>
            </w:pPr>
          </w:p>
        </w:tc>
        <w:tc>
          <w:tcPr>
            <w:tcW w:w="1280" w:type="dxa"/>
            <w:vAlign w:val="bottom"/>
            <w:tcBorders>
              <w:bottom w:val="single" w:sz="8" w:color="86B6A5"/>
            </w:tcBorders>
          </w:tcPr>
          <w:p>
            <w:pPr>
              <w:jc w:val="right"/>
              <w:ind w:right="235"/>
              <w:spacing w:after="0"/>
              <w:rPr>
                <w:sz w:val="20"/>
                <w:szCs w:val="20"/>
                <w:color w:val="auto"/>
              </w:rPr>
            </w:pPr>
            <w:r>
              <w:rPr>
                <w:rFonts w:ascii="Arial" w:cs="Arial" w:eastAsia="Arial" w:hAnsi="Arial"/>
                <w:sz w:val="14"/>
                <w:szCs w:val="14"/>
                <w:b w:val="1"/>
                <w:bCs w:val="1"/>
                <w:color w:val="86B6A5"/>
              </w:rPr>
              <w:t>Per Share</w:t>
            </w:r>
          </w:p>
        </w:tc>
        <w:tc>
          <w:tcPr>
            <w:tcW w:w="1460" w:type="dxa"/>
            <w:vAlign w:val="bottom"/>
            <w:tcBorders>
              <w:bottom w:val="single" w:sz="8" w:color="86B6A5"/>
            </w:tcBorders>
          </w:tcPr>
          <w:p>
            <w:pPr>
              <w:jc w:val="right"/>
              <w:ind w:right="18"/>
              <w:spacing w:after="0"/>
              <w:rPr>
                <w:sz w:val="20"/>
                <w:szCs w:val="20"/>
                <w:color w:val="auto"/>
              </w:rPr>
            </w:pPr>
            <w:r>
              <w:rPr>
                <w:rFonts w:ascii="Arial" w:cs="Arial" w:eastAsia="Arial" w:hAnsi="Arial"/>
                <w:sz w:val="14"/>
                <w:szCs w:val="14"/>
                <w:b w:val="1"/>
                <w:bCs w:val="1"/>
                <w:color w:val="86B6A5"/>
              </w:rPr>
              <w:t>(years)</w:t>
            </w:r>
          </w:p>
        </w:tc>
        <w:tc>
          <w:tcPr>
            <w:tcW w:w="300" w:type="dxa"/>
            <w:vAlign w:val="bottom"/>
            <w:tcBorders>
              <w:bottom w:val="single" w:sz="8" w:color="86B6A5"/>
            </w:tcBorders>
          </w:tcPr>
          <w:p>
            <w:pPr>
              <w:spacing w:after="0"/>
              <w:rPr>
                <w:sz w:val="14"/>
                <w:szCs w:val="14"/>
                <w:color w:val="auto"/>
              </w:rPr>
            </w:pPr>
          </w:p>
        </w:tc>
        <w:tc>
          <w:tcPr>
            <w:tcW w:w="1060" w:type="dxa"/>
            <w:vAlign w:val="bottom"/>
            <w:tcBorders>
              <w:bottom w:val="single" w:sz="8" w:color="86B6A5"/>
            </w:tcBorders>
          </w:tcPr>
          <w:p>
            <w:pPr>
              <w:jc w:val="right"/>
              <w:ind w:right="18"/>
              <w:spacing w:after="0"/>
              <w:rPr>
                <w:sz w:val="20"/>
                <w:szCs w:val="20"/>
                <w:color w:val="auto"/>
              </w:rPr>
            </w:pPr>
            <w:r>
              <w:rPr>
                <w:rFonts w:ascii="Arial" w:cs="Arial" w:eastAsia="Arial" w:hAnsi="Arial"/>
                <w:sz w:val="14"/>
                <w:szCs w:val="14"/>
                <w:b w:val="1"/>
                <w:bCs w:val="1"/>
                <w:color w:val="86B6A5"/>
              </w:rPr>
              <w:t>(in millions)</w:t>
            </w:r>
          </w:p>
        </w:tc>
      </w:tr>
      <w:tr>
        <w:trPr>
          <w:trHeight w:val="210"/>
        </w:trPr>
        <w:tc>
          <w:tcPr>
            <w:tcW w:w="20" w:type="dxa"/>
            <w:vAlign w:val="bottom"/>
          </w:tcPr>
          <w:p>
            <w:pPr>
              <w:spacing w:after="0"/>
              <w:rPr>
                <w:sz w:val="18"/>
                <w:szCs w:val="18"/>
                <w:color w:val="auto"/>
              </w:rPr>
            </w:pPr>
          </w:p>
        </w:tc>
        <w:tc>
          <w:tcPr>
            <w:tcW w:w="4720" w:type="dxa"/>
            <w:vAlign w:val="bottom"/>
            <w:shd w:val="clear" w:color="auto" w:fill="E3F1DA"/>
          </w:tcPr>
          <w:p>
            <w:pPr>
              <w:spacing w:after="0"/>
              <w:rPr>
                <w:sz w:val="20"/>
                <w:szCs w:val="20"/>
                <w:color w:val="auto"/>
              </w:rPr>
            </w:pPr>
            <w:r>
              <w:rPr>
                <w:rFonts w:ascii="Arial" w:cs="Arial" w:eastAsia="Arial" w:hAnsi="Arial"/>
                <w:sz w:val="18"/>
                <w:szCs w:val="18"/>
                <w:color w:val="auto"/>
              </w:rPr>
              <w:t>Outstanding, January 1, 2010</w:t>
            </w:r>
          </w:p>
        </w:tc>
        <w:tc>
          <w:tcPr>
            <w:tcW w:w="2280" w:type="dxa"/>
            <w:vAlign w:val="bottom"/>
            <w:shd w:val="clear" w:color="auto" w:fill="E3F1DA"/>
          </w:tcPr>
          <w:p>
            <w:pPr>
              <w:jc w:val="right"/>
              <w:ind w:right="53"/>
              <w:spacing w:after="0"/>
              <w:rPr>
                <w:sz w:val="20"/>
                <w:szCs w:val="20"/>
                <w:color w:val="auto"/>
              </w:rPr>
            </w:pPr>
            <w:r>
              <w:rPr>
                <w:rFonts w:ascii="Arial" w:cs="Arial" w:eastAsia="Arial" w:hAnsi="Arial"/>
                <w:sz w:val="18"/>
                <w:szCs w:val="18"/>
                <w:color w:val="auto"/>
              </w:rPr>
              <w:t>5,858</w:t>
            </w:r>
          </w:p>
        </w:tc>
        <w:tc>
          <w:tcPr>
            <w:tcW w:w="30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46</w:t>
            </w:r>
          </w:p>
        </w:tc>
        <w:tc>
          <w:tcPr>
            <w:tcW w:w="146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10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53"/>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8"/>
                <w:szCs w:val="18"/>
                <w:color w:val="auto"/>
              </w:rPr>
            </w:pP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53</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3F1DA"/>
          </w:tcPr>
          <w:p>
            <w:pPr>
              <w:spacing w:after="0"/>
              <w:rPr>
                <w:sz w:val="20"/>
                <w:szCs w:val="20"/>
                <w:color w:val="auto"/>
              </w:rPr>
            </w:pPr>
            <w:r>
              <w:rPr>
                <w:rFonts w:ascii="Arial" w:cs="Arial" w:eastAsia="Arial" w:hAnsi="Arial"/>
                <w:sz w:val="18"/>
                <w:szCs w:val="18"/>
                <w:color w:val="auto"/>
              </w:rPr>
              <w:t>Exercised</w:t>
            </w:r>
          </w:p>
        </w:tc>
        <w:tc>
          <w:tcPr>
            <w:tcW w:w="22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E3F1DA"/>
          </w:tcPr>
          <w:p>
            <w:pPr>
              <w:spacing w:after="0"/>
              <w:rPr>
                <w:sz w:val="18"/>
                <w:szCs w:val="18"/>
                <w:color w:val="auto"/>
              </w:rPr>
            </w:pPr>
          </w:p>
        </w:tc>
        <w:tc>
          <w:tcPr>
            <w:tcW w:w="12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37</w:t>
            </w:r>
          </w:p>
        </w:tc>
        <w:tc>
          <w:tcPr>
            <w:tcW w:w="1460" w:type="dxa"/>
            <w:vAlign w:val="bottom"/>
            <w:shd w:val="clear" w:color="auto" w:fill="E3F1DA"/>
          </w:tcPr>
          <w:p>
            <w:pPr>
              <w:spacing w:after="0"/>
              <w:rPr>
                <w:sz w:val="18"/>
                <w:szCs w:val="18"/>
                <w:color w:val="auto"/>
              </w:rPr>
            </w:pPr>
          </w:p>
        </w:tc>
        <w:tc>
          <w:tcPr>
            <w:tcW w:w="30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ind w:right="18"/>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Expired or cancelled</w:t>
            </w:r>
          </w:p>
        </w:tc>
        <w:tc>
          <w:tcPr>
            <w:tcW w:w="22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Outstanding, December 31, 2010</w:t>
            </w:r>
          </w:p>
        </w:tc>
        <w:tc>
          <w:tcPr>
            <w:tcW w:w="2280" w:type="dxa"/>
            <w:vAlign w:val="bottom"/>
            <w:tcBorders>
              <w:bottom w:val="single" w:sz="8" w:color="939598"/>
            </w:tcBorders>
            <w:shd w:val="clear" w:color="auto" w:fill="E3F1DA"/>
          </w:tcPr>
          <w:p>
            <w:pPr>
              <w:jc w:val="right"/>
              <w:ind w:right="53"/>
              <w:spacing w:after="0"/>
              <w:rPr>
                <w:sz w:val="20"/>
                <w:szCs w:val="20"/>
                <w:color w:val="auto"/>
              </w:rPr>
            </w:pPr>
            <w:r>
              <w:rPr>
                <w:rFonts w:ascii="Arial" w:cs="Arial" w:eastAsia="Arial" w:hAnsi="Arial"/>
                <w:sz w:val="18"/>
                <w:szCs w:val="18"/>
                <w:color w:val="auto"/>
              </w:rPr>
              <w:t>5,940</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48</w:t>
            </w:r>
          </w:p>
        </w:tc>
        <w:tc>
          <w:tcPr>
            <w:tcW w:w="14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939598"/>
            </w:tcBorders>
            <w:shd w:val="clear" w:color="auto" w:fill="E3F1DA"/>
          </w:tcPr>
          <w:p>
            <w:pPr>
              <w:spacing w:after="0"/>
              <w:rPr>
                <w:sz w:val="18"/>
                <w:szCs w:val="18"/>
                <w:color w:val="auto"/>
              </w:rPr>
            </w:pPr>
          </w:p>
        </w:tc>
        <w:tc>
          <w:tcPr>
            <w:tcW w:w="106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Vested or expected to vest, December 31, 2010</w:t>
            </w:r>
          </w:p>
        </w:tc>
        <w:tc>
          <w:tcPr>
            <w:tcW w:w="228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5,877</w:t>
            </w:r>
          </w:p>
        </w:tc>
        <w:tc>
          <w:tcPr>
            <w:tcW w:w="3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48</w:t>
            </w:r>
          </w:p>
        </w:tc>
        <w:tc>
          <w:tcPr>
            <w:tcW w:w="14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Exercisable, December 31, 2010</w:t>
            </w:r>
          </w:p>
        </w:tc>
        <w:tc>
          <w:tcPr>
            <w:tcW w:w="2280" w:type="dxa"/>
            <w:vAlign w:val="bottom"/>
            <w:tcBorders>
              <w:bottom w:val="single" w:sz="8" w:color="939598"/>
            </w:tcBorders>
            <w:shd w:val="clear" w:color="auto" w:fill="E3F1DA"/>
          </w:tcPr>
          <w:p>
            <w:pPr>
              <w:jc w:val="right"/>
              <w:ind w:right="53"/>
              <w:spacing w:after="0"/>
              <w:rPr>
                <w:sz w:val="20"/>
                <w:szCs w:val="20"/>
                <w:color w:val="auto"/>
              </w:rPr>
            </w:pPr>
            <w:r>
              <w:rPr>
                <w:rFonts w:ascii="Arial" w:cs="Arial" w:eastAsia="Arial" w:hAnsi="Arial"/>
                <w:sz w:val="18"/>
                <w:szCs w:val="18"/>
                <w:color w:val="auto"/>
              </w:rPr>
              <w:t>3,446</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939598"/>
            </w:tcBorders>
            <w:shd w:val="clear" w:color="auto" w:fill="E3F1DA"/>
          </w:tcPr>
          <w:p>
            <w:pPr>
              <w:spacing w:after="0"/>
              <w:rPr>
                <w:sz w:val="18"/>
                <w:szCs w:val="18"/>
                <w:color w:val="auto"/>
              </w:rPr>
            </w:pPr>
          </w:p>
        </w:tc>
        <w:tc>
          <w:tcPr>
            <w:tcW w:w="106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January 1, 2011</w:t>
            </w:r>
          </w:p>
        </w:tc>
        <w:tc>
          <w:tcPr>
            <w:tcW w:w="2280" w:type="dxa"/>
            <w:vAlign w:val="bottom"/>
          </w:tcPr>
          <w:p>
            <w:pPr>
              <w:jc w:val="right"/>
              <w:ind w:right="53"/>
              <w:spacing w:after="0"/>
              <w:rPr>
                <w:sz w:val="20"/>
                <w:szCs w:val="20"/>
                <w:color w:val="auto"/>
              </w:rPr>
            </w:pPr>
            <w:r>
              <w:rPr>
                <w:rFonts w:ascii="Arial" w:cs="Arial" w:eastAsia="Arial" w:hAnsi="Arial"/>
                <w:sz w:val="18"/>
                <w:szCs w:val="18"/>
                <w:color w:val="auto"/>
              </w:rPr>
              <w:t>5,940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48</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3F1DA"/>
          </w:tcPr>
          <w:p>
            <w:pPr>
              <w:spacing w:after="0"/>
              <w:rPr>
                <w:sz w:val="20"/>
                <w:szCs w:val="20"/>
                <w:color w:val="auto"/>
              </w:rPr>
            </w:pPr>
            <w:r>
              <w:rPr>
                <w:rFonts w:ascii="Arial" w:cs="Arial" w:eastAsia="Arial" w:hAnsi="Arial"/>
                <w:sz w:val="18"/>
                <w:szCs w:val="18"/>
                <w:color w:val="auto"/>
              </w:rPr>
              <w:t>Granted</w:t>
            </w:r>
          </w:p>
        </w:tc>
        <w:tc>
          <w:tcPr>
            <w:tcW w:w="2280" w:type="dxa"/>
            <w:vAlign w:val="bottom"/>
            <w:shd w:val="clear" w:color="auto" w:fill="E3F1DA"/>
          </w:tcPr>
          <w:p>
            <w:pPr>
              <w:jc w:val="right"/>
              <w:ind w:right="53"/>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E3F1DA"/>
          </w:tcPr>
          <w:p>
            <w:pPr>
              <w:spacing w:after="0"/>
              <w:rPr>
                <w:sz w:val="18"/>
                <w:szCs w:val="18"/>
                <w:color w:val="auto"/>
              </w:rPr>
            </w:pPr>
          </w:p>
        </w:tc>
        <w:tc>
          <w:tcPr>
            <w:tcW w:w="12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67</w:t>
            </w:r>
          </w:p>
        </w:tc>
        <w:tc>
          <w:tcPr>
            <w:tcW w:w="146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10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2280" w:type="dxa"/>
            <w:vAlign w:val="bottom"/>
          </w:tcPr>
          <w:p>
            <w:pPr>
              <w:jc w:val="right"/>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8"/>
                <w:szCs w:val="18"/>
                <w:color w:val="auto"/>
              </w:rPr>
            </w:pP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39</w:t>
            </w:r>
          </w:p>
        </w:tc>
        <w:tc>
          <w:tcPr>
            <w:tcW w:w="146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Expired or cancelled</w:t>
            </w:r>
          </w:p>
        </w:tc>
        <w:tc>
          <w:tcPr>
            <w:tcW w:w="22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Borders>
              <w:bottom w:val="single" w:sz="8" w:color="939598"/>
            </w:tcBorders>
            <w:shd w:val="clear" w:color="auto" w:fill="E3F1DA"/>
          </w:tcPr>
          <w:p>
            <w:pPr>
              <w:spacing w:after="0"/>
              <w:rPr>
                <w:sz w:val="18"/>
                <w:szCs w:val="18"/>
                <w:color w:val="auto"/>
              </w:rPr>
            </w:pP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49</w:t>
            </w:r>
          </w:p>
        </w:tc>
        <w:tc>
          <w:tcPr>
            <w:tcW w:w="1460" w:type="dxa"/>
            <w:vAlign w:val="bottom"/>
            <w:tcBorders>
              <w:bottom w:val="single" w:sz="8" w:color="939598"/>
            </w:tcBorders>
            <w:shd w:val="clear" w:color="auto" w:fill="E3F1DA"/>
          </w:tcPr>
          <w:p>
            <w:pPr>
              <w:spacing w:after="0"/>
              <w:rPr>
                <w:sz w:val="18"/>
                <w:szCs w:val="18"/>
                <w:color w:val="auto"/>
              </w:rPr>
            </w:pPr>
          </w:p>
        </w:tc>
        <w:tc>
          <w:tcPr>
            <w:tcW w:w="300" w:type="dxa"/>
            <w:vAlign w:val="bottom"/>
            <w:tcBorders>
              <w:bottom w:val="single" w:sz="8" w:color="939598"/>
            </w:tcBorders>
            <w:shd w:val="clear" w:color="auto" w:fill="E3F1DA"/>
          </w:tcPr>
          <w:p>
            <w:pPr>
              <w:spacing w:after="0"/>
              <w:rPr>
                <w:sz w:val="18"/>
                <w:szCs w:val="18"/>
                <w:color w:val="auto"/>
              </w:rPr>
            </w:pPr>
          </w:p>
        </w:tc>
        <w:tc>
          <w:tcPr>
            <w:tcW w:w="106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Outstanding, December 31, 2011</w:t>
            </w:r>
          </w:p>
        </w:tc>
        <w:tc>
          <w:tcPr>
            <w:tcW w:w="228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5,265</w:t>
            </w:r>
          </w:p>
        </w:tc>
        <w:tc>
          <w:tcPr>
            <w:tcW w:w="3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Vested or expected to vest, December 31, 2011</w:t>
            </w:r>
          </w:p>
        </w:tc>
        <w:tc>
          <w:tcPr>
            <w:tcW w:w="2280" w:type="dxa"/>
            <w:vAlign w:val="bottom"/>
            <w:tcBorders>
              <w:bottom w:val="single" w:sz="8" w:color="939598"/>
            </w:tcBorders>
            <w:shd w:val="clear" w:color="auto" w:fill="E3F1DA"/>
          </w:tcPr>
          <w:p>
            <w:pPr>
              <w:jc w:val="right"/>
              <w:ind w:right="53"/>
              <w:spacing w:after="0"/>
              <w:rPr>
                <w:sz w:val="20"/>
                <w:szCs w:val="20"/>
                <w:color w:val="auto"/>
              </w:rPr>
            </w:pPr>
            <w:r>
              <w:rPr>
                <w:rFonts w:ascii="Arial" w:cs="Arial" w:eastAsia="Arial" w:hAnsi="Arial"/>
                <w:sz w:val="18"/>
                <w:szCs w:val="18"/>
                <w:color w:val="auto"/>
              </w:rPr>
              <w:t>5,235</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939598"/>
            </w:tcBorders>
            <w:shd w:val="clear" w:color="auto" w:fill="E3F1DA"/>
          </w:tcPr>
          <w:p>
            <w:pPr>
              <w:spacing w:after="0"/>
              <w:rPr>
                <w:sz w:val="18"/>
                <w:szCs w:val="18"/>
                <w:color w:val="auto"/>
              </w:rPr>
            </w:pPr>
          </w:p>
        </w:tc>
        <w:tc>
          <w:tcPr>
            <w:tcW w:w="106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Exercisable, December 31, 2011</w:t>
            </w:r>
          </w:p>
        </w:tc>
        <w:tc>
          <w:tcPr>
            <w:tcW w:w="228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3,626</w:t>
            </w:r>
          </w:p>
        </w:tc>
        <w:tc>
          <w:tcPr>
            <w:tcW w:w="3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720" w:type="dxa"/>
            <w:vAlign w:val="bottom"/>
            <w:shd w:val="clear" w:color="auto" w:fill="E3F1DA"/>
          </w:tcPr>
          <w:p>
            <w:pPr>
              <w:spacing w:after="0"/>
              <w:rPr>
                <w:sz w:val="20"/>
                <w:szCs w:val="20"/>
                <w:color w:val="auto"/>
              </w:rPr>
            </w:pPr>
            <w:r>
              <w:rPr>
                <w:rFonts w:ascii="Arial" w:cs="Arial" w:eastAsia="Arial" w:hAnsi="Arial"/>
                <w:sz w:val="18"/>
                <w:szCs w:val="18"/>
                <w:color w:val="auto"/>
              </w:rPr>
              <w:t>Outstanding, January 1, 2012</w:t>
            </w:r>
          </w:p>
        </w:tc>
        <w:tc>
          <w:tcPr>
            <w:tcW w:w="2280" w:type="dxa"/>
            <w:vAlign w:val="bottom"/>
            <w:shd w:val="clear" w:color="auto" w:fill="E3F1DA"/>
          </w:tcPr>
          <w:p>
            <w:pPr>
              <w:jc w:val="right"/>
              <w:ind w:right="53"/>
              <w:spacing w:after="0"/>
              <w:rPr>
                <w:sz w:val="20"/>
                <w:szCs w:val="20"/>
                <w:color w:val="auto"/>
              </w:rPr>
            </w:pPr>
            <w:r>
              <w:rPr>
                <w:rFonts w:ascii="Arial" w:cs="Arial" w:eastAsia="Arial" w:hAnsi="Arial"/>
                <w:sz w:val="18"/>
                <w:szCs w:val="18"/>
                <w:color w:val="auto"/>
              </w:rPr>
              <w:t>5,265</w:t>
            </w:r>
          </w:p>
        </w:tc>
        <w:tc>
          <w:tcPr>
            <w:tcW w:w="30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shd w:val="clear" w:color="auto" w:fill="E3F1DA"/>
          </w:tcPr>
          <w:p>
            <w:pPr>
              <w:spacing w:after="0"/>
              <w:rPr>
                <w:sz w:val="18"/>
                <w:szCs w:val="18"/>
                <w:color w:val="auto"/>
              </w:rPr>
            </w:pPr>
          </w:p>
        </w:tc>
        <w:tc>
          <w:tcPr>
            <w:tcW w:w="300" w:type="dxa"/>
            <w:vAlign w:val="bottom"/>
            <w:shd w:val="clear" w:color="auto" w:fill="E3F1DA"/>
          </w:tcPr>
          <w:p>
            <w:pPr>
              <w:spacing w:after="0"/>
              <w:rPr>
                <w:sz w:val="18"/>
                <w:szCs w:val="18"/>
                <w:color w:val="auto"/>
              </w:rPr>
            </w:pPr>
          </w:p>
        </w:tc>
        <w:tc>
          <w:tcPr>
            <w:tcW w:w="10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53"/>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45</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3F1DA"/>
          </w:tcPr>
          <w:p>
            <w:pPr>
              <w:spacing w:after="0"/>
              <w:rPr>
                <w:sz w:val="20"/>
                <w:szCs w:val="20"/>
                <w:color w:val="auto"/>
              </w:rPr>
            </w:pPr>
            <w:r>
              <w:rPr>
                <w:rFonts w:ascii="Arial" w:cs="Arial" w:eastAsia="Arial" w:hAnsi="Arial"/>
                <w:sz w:val="18"/>
                <w:szCs w:val="18"/>
                <w:color w:val="auto"/>
              </w:rPr>
              <w:t>Exercised</w:t>
            </w:r>
          </w:p>
        </w:tc>
        <w:tc>
          <w:tcPr>
            <w:tcW w:w="22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E3F1DA"/>
          </w:tcPr>
          <w:p>
            <w:pPr>
              <w:spacing w:after="0"/>
              <w:rPr>
                <w:sz w:val="18"/>
                <w:szCs w:val="18"/>
                <w:color w:val="auto"/>
              </w:rPr>
            </w:pPr>
          </w:p>
        </w:tc>
        <w:tc>
          <w:tcPr>
            <w:tcW w:w="1280" w:type="dxa"/>
            <w:vAlign w:val="bottom"/>
            <w:shd w:val="clear" w:color="auto" w:fill="E3F1DA"/>
          </w:tcPr>
          <w:p>
            <w:pPr>
              <w:jc w:val="right"/>
              <w:ind w:right="235"/>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E3F1DA"/>
          </w:tcPr>
          <w:p>
            <w:pPr>
              <w:spacing w:after="0"/>
              <w:rPr>
                <w:sz w:val="18"/>
                <w:szCs w:val="18"/>
                <w:color w:val="auto"/>
              </w:rPr>
            </w:pPr>
          </w:p>
        </w:tc>
        <w:tc>
          <w:tcPr>
            <w:tcW w:w="30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ind w:right="18"/>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Expired or cancelled</w:t>
            </w:r>
          </w:p>
        </w:tc>
        <w:tc>
          <w:tcPr>
            <w:tcW w:w="22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Outstanding, December 31, 2012</w:t>
            </w:r>
          </w:p>
        </w:tc>
        <w:tc>
          <w:tcPr>
            <w:tcW w:w="2280" w:type="dxa"/>
            <w:vAlign w:val="bottom"/>
            <w:tcBorders>
              <w:bottom w:val="single" w:sz="8" w:color="939598"/>
            </w:tcBorders>
            <w:shd w:val="clear" w:color="auto" w:fill="E3F1DA"/>
          </w:tcPr>
          <w:p>
            <w:pPr>
              <w:jc w:val="right"/>
              <w:ind w:right="53"/>
              <w:spacing w:after="0"/>
              <w:rPr>
                <w:sz w:val="20"/>
                <w:szCs w:val="20"/>
                <w:color w:val="auto"/>
              </w:rPr>
            </w:pPr>
            <w:r>
              <w:rPr>
                <w:rFonts w:ascii="Arial" w:cs="Arial" w:eastAsia="Arial" w:hAnsi="Arial"/>
                <w:sz w:val="18"/>
                <w:szCs w:val="18"/>
                <w:color w:val="auto"/>
              </w:rPr>
              <w:t>5,344</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Vested or expected to vest, December 31, 2012</w:t>
            </w:r>
          </w:p>
        </w:tc>
        <w:tc>
          <w:tcPr>
            <w:tcW w:w="228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5,326</w:t>
            </w:r>
          </w:p>
        </w:tc>
        <w:tc>
          <w:tcPr>
            <w:tcW w:w="30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tcPr>
          <w:p>
            <w:pPr>
              <w:jc w:val="right"/>
              <w:ind w:right="235"/>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939598"/>
            </w:tcBorders>
          </w:tcPr>
          <w:p>
            <w:pPr>
              <w:jc w:val="right"/>
              <w:ind w:right="18"/>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Exercisable, December 31, 2012</w:t>
            </w:r>
          </w:p>
        </w:tc>
        <w:tc>
          <w:tcPr>
            <w:tcW w:w="2280" w:type="dxa"/>
            <w:vAlign w:val="bottom"/>
            <w:tcBorders>
              <w:bottom w:val="single" w:sz="8" w:color="939598"/>
            </w:tcBorders>
            <w:shd w:val="clear" w:color="auto" w:fill="E3F1DA"/>
          </w:tcPr>
          <w:p>
            <w:pPr>
              <w:jc w:val="right"/>
              <w:ind w:right="53"/>
              <w:spacing w:after="0"/>
              <w:rPr>
                <w:sz w:val="20"/>
                <w:szCs w:val="20"/>
                <w:color w:val="auto"/>
              </w:rPr>
            </w:pPr>
            <w:r>
              <w:rPr>
                <w:rFonts w:ascii="Arial" w:cs="Arial" w:eastAsia="Arial" w:hAnsi="Arial"/>
                <w:sz w:val="18"/>
                <w:szCs w:val="18"/>
                <w:color w:val="auto"/>
              </w:rPr>
              <w:t>4,210</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939598"/>
            </w:tcBorders>
            <w:shd w:val="clear" w:color="auto" w:fill="E3F1DA"/>
          </w:tcPr>
          <w:p>
            <w:pPr>
              <w:jc w:val="right"/>
              <w:ind w:right="235"/>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shd w:val="clear" w:color="auto" w:fill="E3F1DA"/>
          </w:tcPr>
          <w:p>
            <w:pPr>
              <w:jc w:val="right"/>
              <w:ind w:right="18"/>
              <w:spacing w:after="0"/>
              <w:rPr>
                <w:sz w:val="20"/>
                <w:szCs w:val="20"/>
                <w:color w:val="auto"/>
              </w:rPr>
            </w:pPr>
            <w:r>
              <w:rPr>
                <w:rFonts w:ascii="Arial" w:cs="Arial" w:eastAsia="Arial" w:hAnsi="Arial"/>
                <w:sz w:val="18"/>
                <w:szCs w:val="18"/>
                <w:color w:val="auto"/>
              </w:rPr>
              <w:t>11</w:t>
            </w:r>
          </w:p>
        </w:tc>
      </w:tr>
    </w:tbl>
    <w:p>
      <w:pPr>
        <w:spacing w:after="0" w:line="244"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Options outstanding and exercisable as of December 31, 2012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tcBorders>
              <w:bottom w:val="single" w:sz="8" w:color="939598"/>
            </w:tcBorders>
          </w:tcPr>
          <w:p>
            <w:pPr>
              <w:spacing w:after="0"/>
              <w:rPr>
                <w:sz w:val="14"/>
                <w:szCs w:val="14"/>
                <w:color w:val="auto"/>
              </w:rPr>
            </w:pPr>
          </w:p>
        </w:tc>
        <w:tc>
          <w:tcPr>
            <w:tcW w:w="1320" w:type="dxa"/>
            <w:vAlign w:val="bottom"/>
            <w:tcBorders>
              <w:bottom w:val="single" w:sz="8" w:color="939598"/>
            </w:tcBorders>
          </w:tcPr>
          <w:p>
            <w:pPr>
              <w:spacing w:after="0"/>
              <w:rPr>
                <w:sz w:val="14"/>
                <w:szCs w:val="14"/>
                <w:color w:val="auto"/>
              </w:rPr>
            </w:pPr>
          </w:p>
        </w:tc>
        <w:tc>
          <w:tcPr>
            <w:tcW w:w="1880" w:type="dxa"/>
            <w:vAlign w:val="bottom"/>
            <w:tcBorders>
              <w:bottom w:val="single" w:sz="8" w:color="939598"/>
            </w:tcBorders>
            <w:gridSpan w:val="2"/>
          </w:tcPr>
          <w:p>
            <w:pPr>
              <w:jc w:val="right"/>
              <w:ind w:right="360"/>
              <w:spacing w:after="0"/>
              <w:rPr>
                <w:sz w:val="20"/>
                <w:szCs w:val="20"/>
                <w:color w:val="auto"/>
              </w:rPr>
            </w:pPr>
            <w:r>
              <w:rPr>
                <w:rFonts w:ascii="Arial" w:cs="Arial" w:eastAsia="Arial" w:hAnsi="Arial"/>
                <w:sz w:val="14"/>
                <w:szCs w:val="14"/>
                <w:b w:val="1"/>
                <w:bCs w:val="1"/>
                <w:color w:val="86B6A5"/>
              </w:rPr>
              <w:t>Options Outstanding</w:t>
            </w:r>
          </w:p>
        </w:tc>
        <w:tc>
          <w:tcPr>
            <w:tcW w:w="1340" w:type="dxa"/>
            <w:vAlign w:val="bottom"/>
            <w:tcBorders>
              <w:bottom w:val="single" w:sz="8" w:color="939598"/>
            </w:tcBorders>
          </w:tcPr>
          <w:p>
            <w:pPr>
              <w:spacing w:after="0"/>
              <w:rPr>
                <w:sz w:val="14"/>
                <w:szCs w:val="14"/>
                <w:color w:val="auto"/>
              </w:rPr>
            </w:pPr>
          </w:p>
        </w:tc>
        <w:tc>
          <w:tcPr>
            <w:tcW w:w="280" w:type="dxa"/>
            <w:vAlign w:val="bottom"/>
            <w:tcBorders>
              <w:bottom w:val="single" w:sz="8" w:color="939598"/>
            </w:tcBorders>
          </w:tcPr>
          <w:p>
            <w:pPr>
              <w:spacing w:after="0"/>
              <w:rPr>
                <w:sz w:val="14"/>
                <w:szCs w:val="14"/>
                <w:color w:val="auto"/>
              </w:rPr>
            </w:pPr>
          </w:p>
        </w:tc>
        <w:tc>
          <w:tcPr>
            <w:tcW w:w="1300" w:type="dxa"/>
            <w:vAlign w:val="bottom"/>
            <w:tcBorders>
              <w:bottom w:val="single" w:sz="8" w:color="939598"/>
            </w:tcBorders>
          </w:tcPr>
          <w:p>
            <w:pPr>
              <w:jc w:val="right"/>
              <w:ind w:right="41"/>
              <w:spacing w:after="0"/>
              <w:rPr>
                <w:sz w:val="20"/>
                <w:szCs w:val="20"/>
                <w:color w:val="auto"/>
              </w:rPr>
            </w:pPr>
            <w:r>
              <w:rPr>
                <w:rFonts w:ascii="Arial" w:cs="Arial" w:eastAsia="Arial" w:hAnsi="Arial"/>
                <w:sz w:val="14"/>
                <w:szCs w:val="14"/>
                <w:b w:val="1"/>
                <w:bCs w:val="1"/>
                <w:color w:val="86B6A5"/>
                <w:w w:val="86"/>
              </w:rPr>
              <w:t>Options Exercisable</w:t>
            </w: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2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86B6A5"/>
              </w:rPr>
              <w:t>Weighted-</w:t>
            </w: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Average</w:t>
            </w: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Remaining</w:t>
            </w:r>
          </w:p>
        </w:tc>
        <w:tc>
          <w:tcPr>
            <w:tcW w:w="440" w:type="dxa"/>
            <w:vAlign w:val="bottom"/>
          </w:tcPr>
          <w:p>
            <w:pPr>
              <w:spacing w:after="0"/>
              <w:rPr>
                <w:sz w:val="12"/>
                <w:szCs w:val="12"/>
                <w:color w:val="auto"/>
              </w:rPr>
            </w:pPr>
          </w:p>
        </w:tc>
        <w:tc>
          <w:tcPr>
            <w:tcW w:w="14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86B6A5"/>
              </w:rPr>
              <w:t>Weighted-</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rPr>
              <w:t>Weighted-</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Contractual</w:t>
            </w:r>
          </w:p>
        </w:tc>
        <w:tc>
          <w:tcPr>
            <w:tcW w:w="440" w:type="dxa"/>
            <w:vAlign w:val="bottom"/>
          </w:tcPr>
          <w:p>
            <w:pPr>
              <w:spacing w:after="0"/>
              <w:rPr>
                <w:sz w:val="12"/>
                <w:szCs w:val="12"/>
                <w:color w:val="auto"/>
              </w:rPr>
            </w:pPr>
          </w:p>
        </w:tc>
        <w:tc>
          <w:tcPr>
            <w:tcW w:w="14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86B6A5"/>
              </w:rPr>
              <w:t>Average</w:t>
            </w: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86B6A5"/>
              </w:rPr>
              <w:t>Average</w:t>
            </w:r>
          </w:p>
        </w:tc>
      </w:t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86B6A5"/>
              </w:rPr>
              <w:t>Exercise Price</w:t>
            </w: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86B6A5"/>
              </w:rPr>
              <w:t>Shares (000)</w:t>
            </w:r>
          </w:p>
        </w:tc>
        <w:tc>
          <w:tcPr>
            <w:tcW w:w="1320" w:type="dxa"/>
            <w:vAlign w:val="bottom"/>
          </w:tcPr>
          <w:p>
            <w:pPr>
              <w:jc w:val="right"/>
              <w:ind w:right="82"/>
              <w:spacing w:after="0"/>
              <w:rPr>
                <w:sz w:val="20"/>
                <w:szCs w:val="20"/>
                <w:color w:val="auto"/>
              </w:rPr>
            </w:pPr>
            <w:r>
              <w:rPr>
                <w:rFonts w:ascii="Arial" w:cs="Arial" w:eastAsia="Arial" w:hAnsi="Arial"/>
                <w:sz w:val="14"/>
                <w:szCs w:val="14"/>
                <w:b w:val="1"/>
                <w:bCs w:val="1"/>
                <w:color w:val="86B6A5"/>
              </w:rPr>
              <w:t>Life (years)</w:t>
            </w:r>
          </w:p>
        </w:tc>
        <w:tc>
          <w:tcPr>
            <w:tcW w:w="440" w:type="dxa"/>
            <w:vAlign w:val="bottom"/>
          </w:tcPr>
          <w:p>
            <w:pPr>
              <w:spacing w:after="0"/>
              <w:rPr>
                <w:sz w:val="14"/>
                <w:szCs w:val="14"/>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86B6A5"/>
              </w:rPr>
              <w:t>Exercise Price</w:t>
            </w: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86B6A5"/>
              </w:rPr>
              <w:t>Shares (000)</w:t>
            </w:r>
          </w:p>
        </w:tc>
        <w:tc>
          <w:tcPr>
            <w:tcW w:w="280" w:type="dxa"/>
            <w:vAlign w:val="bottom"/>
          </w:tcPr>
          <w:p>
            <w:pPr>
              <w:spacing w:after="0"/>
              <w:rPr>
                <w:sz w:val="14"/>
                <w:szCs w:val="14"/>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86B6A5"/>
              </w:rPr>
              <w:t>Exercise Price</w:t>
            </w:r>
          </w:p>
        </w:tc>
      </w:tr>
      <w:tr>
        <w:trPr>
          <w:trHeight w:val="210"/>
        </w:trPr>
        <w:tc>
          <w:tcPr>
            <w:tcW w:w="20" w:type="dxa"/>
            <w:vAlign w:val="bottom"/>
          </w:tcPr>
          <w:p>
            <w:pPr>
              <w:spacing w:after="0"/>
              <w:rPr>
                <w:sz w:val="18"/>
                <w:szCs w:val="18"/>
                <w:color w:val="auto"/>
              </w:rPr>
            </w:pPr>
          </w:p>
        </w:tc>
        <w:tc>
          <w:tcPr>
            <w:tcW w:w="368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color w:val="auto"/>
              </w:rPr>
              <w:t>$27–$34</w:t>
            </w:r>
          </w:p>
        </w:tc>
        <w:tc>
          <w:tcPr>
            <w:tcW w:w="1600" w:type="dxa"/>
            <w:vAlign w:val="bottom"/>
            <w:tcBorders>
              <w:top w:val="single" w:sz="8" w:color="86B6A5"/>
            </w:tcBorders>
            <w:shd w:val="clear" w:color="auto" w:fill="E3F1DA"/>
          </w:tcPr>
          <w:p>
            <w:pPr>
              <w:jc w:val="right"/>
              <w:ind w:right="376"/>
              <w:spacing w:after="0"/>
              <w:rPr>
                <w:sz w:val="20"/>
                <w:szCs w:val="20"/>
                <w:color w:val="auto"/>
              </w:rPr>
            </w:pPr>
            <w:r>
              <w:rPr>
                <w:rFonts w:ascii="Arial" w:cs="Arial" w:eastAsia="Arial" w:hAnsi="Arial"/>
                <w:sz w:val="18"/>
                <w:szCs w:val="18"/>
                <w:color w:val="auto"/>
              </w:rPr>
              <w:t>1,211</w:t>
            </w:r>
          </w:p>
        </w:tc>
        <w:tc>
          <w:tcPr>
            <w:tcW w:w="1320" w:type="dxa"/>
            <w:vAlign w:val="bottom"/>
            <w:tcBorders>
              <w:top w:val="single" w:sz="8" w:color="86B6A5"/>
            </w:tcBorders>
            <w:shd w:val="clear" w:color="auto" w:fill="E3F1DA"/>
          </w:tcPr>
          <w:p>
            <w:pPr>
              <w:jc w:val="right"/>
              <w:ind w:right="82"/>
              <w:spacing w:after="0"/>
              <w:rPr>
                <w:sz w:val="20"/>
                <w:szCs w:val="20"/>
                <w:color w:val="auto"/>
              </w:rPr>
            </w:pPr>
            <w:r>
              <w:rPr>
                <w:rFonts w:ascii="Arial" w:cs="Arial" w:eastAsia="Arial" w:hAnsi="Arial"/>
                <w:sz w:val="18"/>
                <w:szCs w:val="18"/>
                <w:color w:val="auto"/>
              </w:rPr>
              <w:t>5.4</w:t>
            </w:r>
          </w:p>
        </w:tc>
        <w:tc>
          <w:tcPr>
            <w:tcW w:w="440" w:type="dxa"/>
            <w:vAlign w:val="bottom"/>
            <w:tcBorders>
              <w:top w:val="single" w:sz="8" w:color="86B6A5"/>
            </w:tcBorders>
            <w:shd w:val="clear" w:color="auto" w:fill="E3F1DA"/>
          </w:tcPr>
          <w:p>
            <w:pPr>
              <w:jc w:val="right"/>
              <w:ind w:right="99"/>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86B6A5"/>
            </w:tcBorders>
            <w:shd w:val="clear" w:color="auto" w:fill="E3F1DA"/>
          </w:tcPr>
          <w:p>
            <w:pPr>
              <w:jc w:val="right"/>
              <w:ind w:right="360"/>
              <w:spacing w:after="0"/>
              <w:rPr>
                <w:sz w:val="20"/>
                <w:szCs w:val="20"/>
                <w:color w:val="auto"/>
              </w:rPr>
            </w:pPr>
            <w:r>
              <w:rPr>
                <w:rFonts w:ascii="Arial" w:cs="Arial" w:eastAsia="Arial" w:hAnsi="Arial"/>
                <w:sz w:val="18"/>
                <w:szCs w:val="18"/>
                <w:color w:val="auto"/>
              </w:rPr>
              <w:t>31</w:t>
            </w:r>
          </w:p>
        </w:tc>
        <w:tc>
          <w:tcPr>
            <w:tcW w:w="1340" w:type="dxa"/>
            <w:vAlign w:val="bottom"/>
            <w:tcBorders>
              <w:top w:val="single" w:sz="8" w:color="86B6A5"/>
            </w:tcBorders>
            <w:shd w:val="clear" w:color="auto" w:fill="E3F1DA"/>
          </w:tcPr>
          <w:p>
            <w:pPr>
              <w:jc w:val="right"/>
              <w:ind w:right="96"/>
              <w:spacing w:after="0"/>
              <w:rPr>
                <w:sz w:val="20"/>
                <w:szCs w:val="20"/>
                <w:color w:val="auto"/>
              </w:rPr>
            </w:pPr>
            <w:r>
              <w:rPr>
                <w:rFonts w:ascii="Arial" w:cs="Arial" w:eastAsia="Arial" w:hAnsi="Arial"/>
                <w:sz w:val="18"/>
                <w:szCs w:val="18"/>
                <w:color w:val="auto"/>
              </w:rPr>
              <w:t>918</w:t>
            </w:r>
          </w:p>
        </w:tc>
        <w:tc>
          <w:tcPr>
            <w:tcW w:w="28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86B6A5"/>
            </w:tcBorders>
            <w:shd w:val="clear" w:color="auto" w:fill="E3F1DA"/>
          </w:tcPr>
          <w:p>
            <w:pPr>
              <w:jc w:val="right"/>
              <w:ind w:right="41"/>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$35–$44</w:t>
            </w:r>
          </w:p>
        </w:tc>
        <w:tc>
          <w:tcPr>
            <w:tcW w:w="1600" w:type="dxa"/>
            <w:vAlign w:val="bottom"/>
          </w:tcPr>
          <w:p>
            <w:pPr>
              <w:jc w:val="right"/>
              <w:ind w:right="376"/>
              <w:spacing w:after="0"/>
              <w:rPr>
                <w:sz w:val="20"/>
                <w:szCs w:val="20"/>
                <w:color w:val="auto"/>
              </w:rPr>
            </w:pPr>
            <w:r>
              <w:rPr>
                <w:rFonts w:ascii="Arial" w:cs="Arial" w:eastAsia="Arial" w:hAnsi="Arial"/>
                <w:sz w:val="18"/>
                <w:szCs w:val="18"/>
                <w:color w:val="auto"/>
              </w:rPr>
              <w:t>1,073</w:t>
            </w:r>
          </w:p>
        </w:tc>
        <w:tc>
          <w:tcPr>
            <w:tcW w:w="1320" w:type="dxa"/>
            <w:vAlign w:val="bottom"/>
          </w:tcPr>
          <w:p>
            <w:pPr>
              <w:jc w:val="right"/>
              <w:ind w:right="82"/>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440" w:type="dxa"/>
            <w:vAlign w:val="bottom"/>
          </w:tcPr>
          <w:p>
            <w:pPr>
              <w:jc w:val="right"/>
              <w:ind w:right="360"/>
              <w:spacing w:after="0"/>
              <w:rPr>
                <w:sz w:val="20"/>
                <w:szCs w:val="20"/>
                <w:color w:val="auto"/>
              </w:rPr>
            </w:pPr>
            <w:r>
              <w:rPr>
                <w:rFonts w:ascii="Arial" w:cs="Arial" w:eastAsia="Arial" w:hAnsi="Arial"/>
                <w:sz w:val="18"/>
                <w:szCs w:val="18"/>
                <w:color w:val="auto"/>
              </w:rPr>
              <w:t>44</w:t>
            </w:r>
          </w:p>
        </w:tc>
        <w:tc>
          <w:tcPr>
            <w:tcW w:w="1340" w:type="dxa"/>
            <w:vAlign w:val="bottom"/>
          </w:tcPr>
          <w:p>
            <w:pPr>
              <w:jc w:val="right"/>
              <w:ind w:right="96"/>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680" w:type="dxa"/>
            <w:vAlign w:val="bottom"/>
            <w:shd w:val="clear" w:color="auto" w:fill="E3F1DA"/>
          </w:tcPr>
          <w:p>
            <w:pPr>
              <w:spacing w:after="0"/>
              <w:rPr>
                <w:sz w:val="20"/>
                <w:szCs w:val="20"/>
                <w:color w:val="auto"/>
              </w:rPr>
            </w:pPr>
            <w:r>
              <w:rPr>
                <w:rFonts w:ascii="Arial" w:cs="Arial" w:eastAsia="Arial" w:hAnsi="Arial"/>
                <w:sz w:val="18"/>
                <w:szCs w:val="18"/>
                <w:color w:val="auto"/>
              </w:rPr>
              <w:t>$45–$55</w:t>
            </w:r>
          </w:p>
        </w:tc>
        <w:tc>
          <w:tcPr>
            <w:tcW w:w="1600" w:type="dxa"/>
            <w:vAlign w:val="bottom"/>
            <w:shd w:val="clear" w:color="auto" w:fill="E3F1DA"/>
          </w:tcPr>
          <w:p>
            <w:pPr>
              <w:jc w:val="right"/>
              <w:ind w:right="376"/>
              <w:spacing w:after="0"/>
              <w:rPr>
                <w:sz w:val="20"/>
                <w:szCs w:val="20"/>
                <w:color w:val="auto"/>
              </w:rPr>
            </w:pPr>
            <w:r>
              <w:rPr>
                <w:rFonts w:ascii="Arial" w:cs="Arial" w:eastAsia="Arial" w:hAnsi="Arial"/>
                <w:sz w:val="18"/>
                <w:szCs w:val="18"/>
                <w:color w:val="auto"/>
              </w:rPr>
              <w:t>1,522</w:t>
            </w:r>
          </w:p>
        </w:tc>
        <w:tc>
          <w:tcPr>
            <w:tcW w:w="1320" w:type="dxa"/>
            <w:vAlign w:val="bottom"/>
            <w:shd w:val="clear" w:color="auto" w:fill="E3F1DA"/>
          </w:tcPr>
          <w:p>
            <w:pPr>
              <w:jc w:val="right"/>
              <w:ind w:right="82"/>
              <w:spacing w:after="0"/>
              <w:rPr>
                <w:sz w:val="20"/>
                <w:szCs w:val="20"/>
                <w:color w:val="auto"/>
              </w:rPr>
            </w:pPr>
            <w:r>
              <w:rPr>
                <w:rFonts w:ascii="Arial" w:cs="Arial" w:eastAsia="Arial" w:hAnsi="Arial"/>
                <w:sz w:val="18"/>
                <w:szCs w:val="18"/>
                <w:color w:val="auto"/>
              </w:rPr>
              <w:t>5.2</w:t>
            </w:r>
          </w:p>
        </w:tc>
        <w:tc>
          <w:tcPr>
            <w:tcW w:w="440" w:type="dxa"/>
            <w:vAlign w:val="bottom"/>
            <w:shd w:val="clear" w:color="auto" w:fill="E3F1DA"/>
          </w:tcPr>
          <w:p>
            <w:pPr>
              <w:spacing w:after="0"/>
              <w:rPr>
                <w:sz w:val="18"/>
                <w:szCs w:val="18"/>
                <w:color w:val="auto"/>
              </w:rPr>
            </w:pPr>
          </w:p>
        </w:tc>
        <w:tc>
          <w:tcPr>
            <w:tcW w:w="1440" w:type="dxa"/>
            <w:vAlign w:val="bottom"/>
            <w:shd w:val="clear" w:color="auto" w:fill="E3F1DA"/>
          </w:tcPr>
          <w:p>
            <w:pPr>
              <w:jc w:val="right"/>
              <w:ind w:right="360"/>
              <w:spacing w:after="0"/>
              <w:rPr>
                <w:sz w:val="20"/>
                <w:szCs w:val="20"/>
                <w:color w:val="auto"/>
              </w:rPr>
            </w:pPr>
            <w:r>
              <w:rPr>
                <w:rFonts w:ascii="Arial" w:cs="Arial" w:eastAsia="Arial" w:hAnsi="Arial"/>
                <w:sz w:val="18"/>
                <w:szCs w:val="18"/>
                <w:color w:val="auto"/>
              </w:rPr>
              <w:t>53</w:t>
            </w:r>
          </w:p>
        </w:tc>
        <w:tc>
          <w:tcPr>
            <w:tcW w:w="1340" w:type="dxa"/>
            <w:vAlign w:val="bottom"/>
            <w:shd w:val="clear" w:color="auto" w:fill="E3F1DA"/>
          </w:tcPr>
          <w:p>
            <w:pPr>
              <w:jc w:val="right"/>
              <w:ind w:right="96"/>
              <w:spacing w:after="0"/>
              <w:rPr>
                <w:sz w:val="20"/>
                <w:szCs w:val="20"/>
                <w:color w:val="auto"/>
              </w:rPr>
            </w:pPr>
            <w:r>
              <w:rPr>
                <w:rFonts w:ascii="Arial" w:cs="Arial" w:eastAsia="Arial" w:hAnsi="Arial"/>
                <w:sz w:val="18"/>
                <w:szCs w:val="18"/>
                <w:color w:val="auto"/>
              </w:rPr>
              <w:t>1,127</w:t>
            </w:r>
          </w:p>
        </w:tc>
        <w:tc>
          <w:tcPr>
            <w:tcW w:w="280" w:type="dxa"/>
            <w:vAlign w:val="bottom"/>
            <w:shd w:val="clear" w:color="auto" w:fill="E3F1DA"/>
          </w:tcPr>
          <w:p>
            <w:pPr>
              <w:spacing w:after="0"/>
              <w:rPr>
                <w:sz w:val="18"/>
                <w:szCs w:val="18"/>
                <w:color w:val="auto"/>
              </w:rPr>
            </w:pPr>
          </w:p>
        </w:tc>
        <w:tc>
          <w:tcPr>
            <w:tcW w:w="1300" w:type="dxa"/>
            <w:vAlign w:val="bottom"/>
            <w:shd w:val="clear" w:color="auto" w:fill="E3F1DA"/>
          </w:tcPr>
          <w:p>
            <w:pPr>
              <w:jc w:val="right"/>
              <w:ind w:right="41"/>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$56–$93</w:t>
            </w:r>
          </w:p>
        </w:tc>
        <w:tc>
          <w:tcPr>
            <w:tcW w:w="1600" w:type="dxa"/>
            <w:vAlign w:val="bottom"/>
            <w:tcBorders>
              <w:bottom w:val="single" w:sz="8" w:color="939598"/>
            </w:tcBorders>
          </w:tcPr>
          <w:p>
            <w:pPr>
              <w:jc w:val="right"/>
              <w:ind w:right="376"/>
              <w:spacing w:after="0"/>
              <w:rPr>
                <w:sz w:val="20"/>
                <w:szCs w:val="20"/>
                <w:color w:val="auto"/>
              </w:rPr>
            </w:pPr>
            <w:r>
              <w:rPr>
                <w:rFonts w:ascii="Arial" w:cs="Arial" w:eastAsia="Arial" w:hAnsi="Arial"/>
                <w:sz w:val="18"/>
                <w:szCs w:val="18"/>
                <w:color w:val="auto"/>
              </w:rPr>
              <w:t>1,538</w:t>
            </w:r>
          </w:p>
        </w:tc>
        <w:tc>
          <w:tcPr>
            <w:tcW w:w="1320" w:type="dxa"/>
            <w:vAlign w:val="bottom"/>
            <w:tcBorders>
              <w:bottom w:val="single" w:sz="8" w:color="939598"/>
            </w:tcBorders>
          </w:tcPr>
          <w:p>
            <w:pPr>
              <w:jc w:val="right"/>
              <w:ind w:right="82"/>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939598"/>
            </w:tcBorders>
          </w:tcPr>
          <w:p>
            <w:pPr>
              <w:spacing w:after="0"/>
              <w:rPr>
                <w:sz w:val="18"/>
                <w:szCs w:val="18"/>
                <w:color w:val="auto"/>
              </w:rPr>
            </w:pPr>
          </w:p>
        </w:tc>
        <w:tc>
          <w:tcPr>
            <w:tcW w:w="1440" w:type="dxa"/>
            <w:vAlign w:val="bottom"/>
            <w:tcBorders>
              <w:bottom w:val="single" w:sz="8" w:color="939598"/>
            </w:tcBorders>
          </w:tcPr>
          <w:p>
            <w:pPr>
              <w:jc w:val="right"/>
              <w:ind w:right="360"/>
              <w:spacing w:after="0"/>
              <w:rPr>
                <w:sz w:val="20"/>
                <w:szCs w:val="20"/>
                <w:color w:val="auto"/>
              </w:rPr>
            </w:pPr>
            <w:r>
              <w:rPr>
                <w:rFonts w:ascii="Arial" w:cs="Arial" w:eastAsia="Arial" w:hAnsi="Arial"/>
                <w:sz w:val="18"/>
                <w:szCs w:val="18"/>
                <w:color w:val="auto"/>
              </w:rPr>
              <w:t>66</w:t>
            </w:r>
          </w:p>
        </w:tc>
        <w:tc>
          <w:tcPr>
            <w:tcW w:w="1340" w:type="dxa"/>
            <w:vAlign w:val="bottom"/>
            <w:tcBorders>
              <w:bottom w:val="single" w:sz="8" w:color="939598"/>
            </w:tcBorders>
          </w:tcPr>
          <w:p>
            <w:pPr>
              <w:jc w:val="right"/>
              <w:ind w:right="96"/>
              <w:spacing w:after="0"/>
              <w:rPr>
                <w:sz w:val="20"/>
                <w:szCs w:val="20"/>
                <w:color w:val="auto"/>
              </w:rPr>
            </w:pPr>
            <w:r>
              <w:rPr>
                <w:rFonts w:ascii="Arial" w:cs="Arial" w:eastAsia="Arial" w:hAnsi="Arial"/>
                <w:sz w:val="18"/>
                <w:szCs w:val="18"/>
                <w:color w:val="auto"/>
              </w:rPr>
              <w:t>1,390</w:t>
            </w:r>
          </w:p>
        </w:tc>
        <w:tc>
          <w:tcPr>
            <w:tcW w:w="280" w:type="dxa"/>
            <w:vAlign w:val="bottom"/>
            <w:tcBorders>
              <w:bottom w:val="single" w:sz="8" w:color="939598"/>
            </w:tcBorders>
          </w:tcPr>
          <w:p>
            <w:pPr>
              <w:spacing w:after="0"/>
              <w:rPr>
                <w:sz w:val="18"/>
                <w:szCs w:val="18"/>
                <w:color w:val="auto"/>
              </w:rPr>
            </w:pPr>
          </w:p>
        </w:tc>
        <w:tc>
          <w:tcPr>
            <w:tcW w:w="1300" w:type="dxa"/>
            <w:vAlign w:val="bottom"/>
            <w:tcBorders>
              <w:bottom w:val="single" w:sz="8" w:color="939598"/>
            </w:tcBorders>
          </w:tcPr>
          <w:p>
            <w:pPr>
              <w:jc w:val="right"/>
              <w:ind w:right="41"/>
              <w:spacing w:after="0"/>
              <w:rPr>
                <w:sz w:val="20"/>
                <w:szCs w:val="20"/>
                <w:color w:val="auto"/>
              </w:rPr>
            </w:pPr>
            <w:r>
              <w:rPr>
                <w:rFonts w:ascii="Arial" w:cs="Arial" w:eastAsia="Arial" w:hAnsi="Arial"/>
                <w:sz w:val="18"/>
                <w:szCs w:val="18"/>
                <w:color w:val="auto"/>
              </w:rPr>
              <w:t>66</w:t>
            </w:r>
          </w:p>
        </w:tc>
      </w:tr>
      <w:tr>
        <w:trPr>
          <w:trHeight w:val="210"/>
        </w:trPr>
        <w:tc>
          <w:tcPr>
            <w:tcW w:w="20" w:type="dxa"/>
            <w:vAlign w:val="bottom"/>
          </w:tcPr>
          <w:p>
            <w:pPr>
              <w:spacing w:after="0"/>
              <w:rPr>
                <w:sz w:val="18"/>
                <w:szCs w:val="18"/>
                <w:color w:val="auto"/>
              </w:rPr>
            </w:pPr>
          </w:p>
        </w:tc>
        <w:tc>
          <w:tcPr>
            <w:tcW w:w="3680" w:type="dxa"/>
            <w:vAlign w:val="bottom"/>
            <w:tcBorders>
              <w:bottom w:val="single" w:sz="8" w:color="939598"/>
            </w:tcBorders>
            <w:shd w:val="clear" w:color="auto" w:fill="E3F1DA"/>
          </w:tcPr>
          <w:p>
            <w:pPr>
              <w:spacing w:after="0"/>
              <w:rPr>
                <w:sz w:val="18"/>
                <w:szCs w:val="18"/>
                <w:color w:val="auto"/>
              </w:rPr>
            </w:pPr>
          </w:p>
        </w:tc>
        <w:tc>
          <w:tcPr>
            <w:tcW w:w="1600" w:type="dxa"/>
            <w:vAlign w:val="bottom"/>
            <w:tcBorders>
              <w:bottom w:val="single" w:sz="8" w:color="939598"/>
            </w:tcBorders>
            <w:shd w:val="clear" w:color="auto" w:fill="E3F1DA"/>
          </w:tcPr>
          <w:p>
            <w:pPr>
              <w:jc w:val="right"/>
              <w:ind w:right="376"/>
              <w:spacing w:after="0"/>
              <w:rPr>
                <w:sz w:val="20"/>
                <w:szCs w:val="20"/>
                <w:color w:val="auto"/>
              </w:rPr>
            </w:pPr>
            <w:r>
              <w:rPr>
                <w:rFonts w:ascii="Arial" w:cs="Arial" w:eastAsia="Arial" w:hAnsi="Arial"/>
                <w:sz w:val="18"/>
                <w:szCs w:val="18"/>
                <w:color w:val="auto"/>
              </w:rPr>
              <w:t>5,344</w:t>
            </w:r>
          </w:p>
        </w:tc>
        <w:tc>
          <w:tcPr>
            <w:tcW w:w="1320" w:type="dxa"/>
            <w:vAlign w:val="bottom"/>
            <w:tcBorders>
              <w:bottom w:val="single" w:sz="8" w:color="939598"/>
            </w:tcBorders>
            <w:shd w:val="clear" w:color="auto" w:fill="E3F1DA"/>
          </w:tcPr>
          <w:p>
            <w:pPr>
              <w:jc w:val="right"/>
              <w:ind w:right="82"/>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939598"/>
            </w:tcBorders>
            <w:shd w:val="clear" w:color="auto" w:fill="E3F1DA"/>
          </w:tcPr>
          <w:p>
            <w:pPr>
              <w:jc w:val="right"/>
              <w:ind w:right="9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939598"/>
            </w:tcBorders>
            <w:shd w:val="clear" w:color="auto" w:fill="E3F1DA"/>
          </w:tcPr>
          <w:p>
            <w:pPr>
              <w:jc w:val="right"/>
              <w:ind w:right="360"/>
              <w:spacing w:after="0"/>
              <w:rPr>
                <w:sz w:val="20"/>
                <w:szCs w:val="20"/>
                <w:color w:val="auto"/>
              </w:rPr>
            </w:pPr>
            <w:r>
              <w:rPr>
                <w:rFonts w:ascii="Arial" w:cs="Arial" w:eastAsia="Arial" w:hAnsi="Arial"/>
                <w:sz w:val="18"/>
                <w:szCs w:val="18"/>
                <w:color w:val="auto"/>
              </w:rPr>
              <w:t>50</w:t>
            </w:r>
          </w:p>
        </w:tc>
        <w:tc>
          <w:tcPr>
            <w:tcW w:w="1340" w:type="dxa"/>
            <w:vAlign w:val="bottom"/>
            <w:tcBorders>
              <w:bottom w:val="single" w:sz="8" w:color="939598"/>
            </w:tcBorders>
            <w:shd w:val="clear" w:color="auto" w:fill="E3F1DA"/>
          </w:tcPr>
          <w:p>
            <w:pPr>
              <w:jc w:val="right"/>
              <w:ind w:right="96"/>
              <w:spacing w:after="0"/>
              <w:rPr>
                <w:sz w:val="20"/>
                <w:szCs w:val="20"/>
                <w:color w:val="auto"/>
              </w:rPr>
            </w:pPr>
            <w:r>
              <w:rPr>
                <w:rFonts w:ascii="Arial" w:cs="Arial" w:eastAsia="Arial" w:hAnsi="Arial"/>
                <w:sz w:val="18"/>
                <w:szCs w:val="18"/>
                <w:color w:val="auto"/>
              </w:rPr>
              <w:t>4,210</w:t>
            </w:r>
          </w:p>
        </w:tc>
        <w:tc>
          <w:tcPr>
            <w:tcW w:w="2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939598"/>
            </w:tcBorders>
            <w:shd w:val="clear" w:color="auto" w:fill="E3F1DA"/>
          </w:tcPr>
          <w:p>
            <w:pPr>
              <w:jc w:val="right"/>
              <w:ind w:right="41"/>
              <w:spacing w:after="0"/>
              <w:rPr>
                <w:sz w:val="20"/>
                <w:szCs w:val="20"/>
                <w:color w:val="auto"/>
              </w:rPr>
            </w:pPr>
            <w:r>
              <w:rPr>
                <w:rFonts w:ascii="Arial" w:cs="Arial" w:eastAsia="Arial" w:hAnsi="Arial"/>
                <w:sz w:val="18"/>
                <w:szCs w:val="18"/>
                <w:color w:val="auto"/>
              </w:rPr>
              <w:t>51</w:t>
            </w: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recognized expense of $9.4, $12.1 and $14.3 related to stock options for the years ended December 31, 2012, 2011 and 2010, respectively. The total fair value of options vested during the same periods was $11.4, $14.3 and $12.7, respectively. As of December 31, 2012, total unrecognized compensation cost was approximately $10.5, net of estimated forfeitures, which we expect to recognize over a weighted-average period of approximately 1.5 years.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We estimated the fair value of each stock option on the date of grant using the Black-Scholes option pricing model and the following assumptions: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Year Ended December 31</w:t>
            </w:r>
          </w:p>
        </w:tc>
        <w:tc>
          <w:tcPr>
            <w:tcW w:w="1380" w:type="dxa"/>
            <w:vAlign w:val="bottom"/>
            <w:tcBorders>
              <w:bottom w:val="single" w:sz="8" w:color="86B6A5"/>
            </w:tcBorders>
            <w:gridSpan w:val="2"/>
            <w:shd w:val="clear" w:color="auto" w:fill="86B6A5"/>
          </w:tcPr>
          <w:p>
            <w:pPr>
              <w:jc w:val="right"/>
              <w:ind w:right="252"/>
              <w:spacing w:after="0"/>
              <w:rPr>
                <w:sz w:val="20"/>
                <w:szCs w:val="20"/>
                <w:color w:val="auto"/>
              </w:rPr>
            </w:pPr>
            <w:r>
              <w:rPr>
                <w:rFonts w:ascii="Arial" w:cs="Arial" w:eastAsia="Arial" w:hAnsi="Arial"/>
                <w:sz w:val="14"/>
                <w:szCs w:val="14"/>
                <w:b w:val="1"/>
                <w:bCs w:val="1"/>
                <w:color w:val="FFFFFF"/>
              </w:rPr>
              <w:t>2012</w:t>
            </w:r>
          </w:p>
        </w:tc>
        <w:tc>
          <w:tcPr>
            <w:tcW w:w="1620" w:type="dxa"/>
            <w:vAlign w:val="bottom"/>
            <w:tcBorders>
              <w:bottom w:val="single" w:sz="8" w:color="86B6A5"/>
            </w:tcBorders>
          </w:tcPr>
          <w:p>
            <w:pPr>
              <w:jc w:val="right"/>
              <w:ind w:right="516"/>
              <w:spacing w:after="0"/>
              <w:rPr>
                <w:sz w:val="20"/>
                <w:szCs w:val="20"/>
                <w:color w:val="auto"/>
              </w:rPr>
            </w:pPr>
            <w:r>
              <w:rPr>
                <w:rFonts w:ascii="Arial" w:cs="Arial" w:eastAsia="Arial" w:hAnsi="Arial"/>
                <w:sz w:val="14"/>
                <w:szCs w:val="14"/>
                <w:b w:val="1"/>
                <w:bCs w:val="1"/>
                <w:color w:val="86B6A5"/>
              </w:rPr>
              <w:t>2011</w:t>
            </w:r>
          </w:p>
        </w:tc>
        <w:tc>
          <w:tcPr>
            <w:tcW w:w="940" w:type="dxa"/>
            <w:vAlign w:val="bottom"/>
            <w:tcBorders>
              <w:bottom w:val="single" w:sz="8" w:color="86B6A5"/>
            </w:tcBorders>
          </w:tcPr>
          <w:p>
            <w:pPr>
              <w:jc w:val="right"/>
              <w:ind w:right="76"/>
              <w:spacing w:after="0"/>
              <w:rPr>
                <w:sz w:val="20"/>
                <w:szCs w:val="20"/>
                <w:color w:val="auto"/>
              </w:rPr>
            </w:pPr>
            <w:r>
              <w:rPr>
                <w:rFonts w:ascii="Arial" w:cs="Arial" w:eastAsia="Arial" w:hAnsi="Arial"/>
                <w:sz w:val="14"/>
                <w:szCs w:val="14"/>
                <w:b w:val="1"/>
                <w:bCs w:val="1"/>
                <w:color w:val="86B6A5"/>
              </w:rPr>
              <w:t>2010</w:t>
            </w: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20" w:type="dxa"/>
            <w:vAlign w:val="bottom"/>
            <w:shd w:val="clear" w:color="auto" w:fill="E3F1DA"/>
          </w:tcPr>
          <w:p>
            <w:pPr>
              <w:spacing w:after="0"/>
              <w:rPr>
                <w:sz w:val="18"/>
                <w:szCs w:val="18"/>
                <w:color w:val="auto"/>
              </w:rPr>
            </w:pPr>
          </w:p>
        </w:tc>
        <w:tc>
          <w:tcPr>
            <w:tcW w:w="1260" w:type="dxa"/>
            <w:vAlign w:val="bottom"/>
            <w:shd w:val="clear" w:color="auto" w:fill="E3F1DA"/>
          </w:tcPr>
          <w:p>
            <w:pPr>
              <w:jc w:val="right"/>
              <w:ind w:right="112"/>
              <w:spacing w:after="0"/>
              <w:rPr>
                <w:sz w:val="20"/>
                <w:szCs w:val="20"/>
                <w:color w:val="auto"/>
              </w:rPr>
            </w:pPr>
            <w:r>
              <w:rPr>
                <w:rFonts w:ascii="Arial" w:cs="Arial" w:eastAsia="Arial" w:hAnsi="Arial"/>
                <w:sz w:val="18"/>
                <w:szCs w:val="18"/>
                <w:color w:val="auto"/>
              </w:rPr>
              <w:t>1.1%</w:t>
            </w:r>
          </w:p>
        </w:tc>
        <w:tc>
          <w:tcPr>
            <w:tcW w:w="1620" w:type="dxa"/>
            <w:vAlign w:val="bottom"/>
          </w:tcPr>
          <w:p>
            <w:pPr>
              <w:jc w:val="right"/>
              <w:ind w:right="376"/>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E3F1DA"/>
          </w:tcPr>
          <w:p>
            <w:pPr>
              <w:spacing w:after="0"/>
              <w:rPr>
                <w:sz w:val="18"/>
                <w:szCs w:val="18"/>
                <w:color w:val="auto"/>
              </w:rPr>
            </w:pPr>
          </w:p>
        </w:tc>
        <w:tc>
          <w:tcPr>
            <w:tcW w:w="1260" w:type="dxa"/>
            <w:vAlign w:val="bottom"/>
            <w:shd w:val="clear" w:color="auto" w:fill="E3F1DA"/>
          </w:tcPr>
          <w:p>
            <w:pPr>
              <w:jc w:val="right"/>
              <w:ind w:right="112"/>
              <w:spacing w:after="0"/>
              <w:rPr>
                <w:sz w:val="20"/>
                <w:szCs w:val="20"/>
                <w:color w:val="auto"/>
              </w:rPr>
            </w:pPr>
            <w:r>
              <w:rPr>
                <w:rFonts w:ascii="Arial" w:cs="Arial" w:eastAsia="Arial" w:hAnsi="Arial"/>
                <w:sz w:val="18"/>
                <w:szCs w:val="18"/>
                <w:color w:val="auto"/>
              </w:rPr>
              <w:t>1.8%</w:t>
            </w:r>
          </w:p>
        </w:tc>
        <w:tc>
          <w:tcPr>
            <w:tcW w:w="1620" w:type="dxa"/>
            <w:vAlign w:val="bottom"/>
          </w:tcPr>
          <w:p>
            <w:pPr>
              <w:jc w:val="right"/>
              <w:ind w:right="376"/>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8"/>
        </w:trPr>
        <w:tc>
          <w:tcPr>
            <w:tcW w:w="748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E3F1DA"/>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44.0%</w:t>
            </w:r>
          </w:p>
        </w:tc>
        <w:tc>
          <w:tcPr>
            <w:tcW w:w="1620" w:type="dxa"/>
            <w:vAlign w:val="bottom"/>
          </w:tcPr>
          <w:p>
            <w:pPr>
              <w:jc w:val="right"/>
              <w:ind w:right="376"/>
              <w:spacing w:after="0"/>
              <w:rPr>
                <w:sz w:val="20"/>
                <w:szCs w:val="20"/>
                <w:color w:val="auto"/>
              </w:rPr>
            </w:pPr>
            <w:r>
              <w:rPr>
                <w:rFonts w:ascii="Arial" w:cs="Arial" w:eastAsia="Arial" w:hAnsi="Arial"/>
                <w:sz w:val="18"/>
                <w:szCs w:val="18"/>
                <w:color w:val="auto"/>
              </w:rPr>
              <w:t>41.0%</w:t>
            </w: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74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Borders>
              <w:bottom w:val="single" w:sz="8" w:color="939598"/>
            </w:tcBorders>
            <w:shd w:val="clear" w:color="auto" w:fill="E3F1DA"/>
          </w:tcPr>
          <w:p>
            <w:pPr>
              <w:spacing w:after="0"/>
              <w:rPr>
                <w:sz w:val="19"/>
                <w:szCs w:val="19"/>
                <w:color w:val="auto"/>
              </w:rPr>
            </w:pPr>
          </w:p>
        </w:tc>
        <w:tc>
          <w:tcPr>
            <w:tcW w:w="1260" w:type="dxa"/>
            <w:vAlign w:val="bottom"/>
            <w:tcBorders>
              <w:bottom w:val="single" w:sz="8" w:color="939598"/>
            </w:tcBorders>
          </w:tcPr>
          <w:p>
            <w:pPr>
              <w:jc w:val="right"/>
              <w:ind w:right="252"/>
              <w:spacing w:after="0"/>
              <w:rPr>
                <w:sz w:val="20"/>
                <w:szCs w:val="20"/>
                <w:color w:val="auto"/>
              </w:rPr>
            </w:pPr>
            <w:r>
              <w:rPr>
                <w:rFonts w:ascii="Arial" w:cs="Arial" w:eastAsia="Arial" w:hAnsi="Arial"/>
                <w:sz w:val="18"/>
                <w:szCs w:val="18"/>
                <w:color w:val="auto"/>
              </w:rPr>
              <w:t>5.9</w:t>
            </w:r>
          </w:p>
        </w:tc>
        <w:tc>
          <w:tcPr>
            <w:tcW w:w="1620" w:type="dxa"/>
            <w:vAlign w:val="bottom"/>
            <w:tcBorders>
              <w:bottom w:val="single" w:sz="8" w:color="939598"/>
            </w:tcBorders>
          </w:tcPr>
          <w:p>
            <w:pPr>
              <w:jc w:val="right"/>
              <w:ind w:right="516"/>
              <w:spacing w:after="0"/>
              <w:rPr>
                <w:sz w:val="20"/>
                <w:szCs w:val="20"/>
                <w:color w:val="auto"/>
              </w:rPr>
            </w:pPr>
            <w:r>
              <w:rPr>
                <w:rFonts w:ascii="Arial" w:cs="Arial" w:eastAsia="Arial" w:hAnsi="Arial"/>
                <w:sz w:val="18"/>
                <w:szCs w:val="18"/>
                <w:color w:val="auto"/>
              </w:rPr>
              <w:t>5.9</w:t>
            </w:r>
          </w:p>
        </w:tc>
        <w:tc>
          <w:tcPr>
            <w:tcW w:w="940" w:type="dxa"/>
            <w:vAlign w:val="bottom"/>
            <w:tcBorders>
              <w:bottom w:val="single" w:sz="8" w:color="939598"/>
            </w:tcBorders>
          </w:tcPr>
          <w:p>
            <w:pPr>
              <w:jc w:val="right"/>
              <w:ind w:right="76"/>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-419735</wp:posOffset>
            </wp:positionV>
            <wp:extent cx="797560" cy="420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7560" cy="420370"/>
                    </a:xfrm>
                    <a:prstGeom prst="rect">
                      <a:avLst/>
                    </a:prstGeom>
                    <a:noFill/>
                  </pic:spPr>
                </pic:pic>
              </a:graphicData>
            </a:graphic>
          </wp:anchor>
        </w:drawing>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average risk-free interest rate is based on the five-year United States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$15.88, $25.21 and $19.26 in 2012, 2011 and 2010,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DEFERRED STOCK</w:t>
      </w:r>
    </w:p>
    <w:p>
      <w:pPr>
        <w:spacing w:after="0" w:line="21"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subsequently under the 2011 Plan and the deferred stock is settled in shares of common stock according to these terms and conditions. As of December 31, 2012, 2011 and 2010, there were 28,400, 23,566 and 18,403, respectively, shares of deferred stock awarded under this arrangement, all of which are vested.</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Non-employee directors also receive an annual grant of deferred stock (or restricted stock, if they so elect) as additional compensation for board service. The award vests in one year in equal quarterly installments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2003 Plan and the 2011 Plan. As of December 31, 2012, 2011 and 2010, there were 14,685, 8,732 and 4,448, respectively, shares of deferred stock and 20,559, 9,978 and 13,341, respectively, shares of restricted stock granted under this arrangement, all of which are vested. We recognized expense of $0.8, $0.8 and $0.3 related to deferred stock in 2012, 2011 and 2010, respectively.</w:t>
      </w:r>
    </w:p>
    <w:p>
      <w:pPr>
        <w:spacing w:after="0" w:line="4"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81" w:name="page82"/>
    <w:bookmarkEnd w:id="81"/>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RESTRICTED STOCK</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86B6A5"/>
              </w:rPr>
              <w:t>Wtd. Avg.</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Remaining</w:t>
            </w:r>
          </w:p>
        </w:tc>
        <w:tc>
          <w:tcPr>
            <w:tcW w:w="440" w:type="dxa"/>
            <w:vAlign w:val="bottom"/>
          </w:tcPr>
          <w:p>
            <w:pPr>
              <w:spacing w:after="0"/>
              <w:rPr>
                <w:sz w:val="12"/>
                <w:szCs w:val="12"/>
                <w:color w:val="auto"/>
              </w:rPr>
            </w:pPr>
          </w:p>
        </w:tc>
        <w:tc>
          <w:tcPr>
            <w:tcW w:w="114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86B6A5"/>
              </w:rPr>
              <w:t>Aggregate</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86B6A5"/>
              </w:rPr>
              <w:t>Wtd. Avg.</w:t>
            </w:r>
          </w:p>
        </w:tc>
        <w:tc>
          <w:tcPr>
            <w:tcW w:w="134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86B6A5"/>
              </w:rPr>
              <w:t>Contractual</w:t>
            </w:r>
          </w:p>
        </w:tc>
        <w:tc>
          <w:tcPr>
            <w:tcW w:w="440" w:type="dxa"/>
            <w:vAlign w:val="bottom"/>
          </w:tcPr>
          <w:p>
            <w:pPr>
              <w:spacing w:after="0"/>
              <w:rPr>
                <w:sz w:val="12"/>
                <w:szCs w:val="12"/>
                <w:color w:val="auto"/>
              </w:rPr>
            </w:pPr>
          </w:p>
        </w:tc>
        <w:tc>
          <w:tcPr>
            <w:tcW w:w="114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86B6A5"/>
              </w:rPr>
              <w:t>Intrinsic Value</w:t>
            </w:r>
          </w:p>
        </w:tc>
      </w:tr>
      <w:tr>
        <w:trPr>
          <w:trHeight w:val="161"/>
        </w:trPr>
        <w:tc>
          <w:tcPr>
            <w:tcW w:w="20" w:type="dxa"/>
            <w:vAlign w:val="bottom"/>
          </w:tcPr>
          <w:p>
            <w:pPr>
              <w:spacing w:after="0"/>
              <w:rPr>
                <w:sz w:val="14"/>
                <w:szCs w:val="14"/>
                <w:color w:val="auto"/>
              </w:rPr>
            </w:pPr>
          </w:p>
        </w:tc>
        <w:tc>
          <w:tcPr>
            <w:tcW w:w="3920" w:type="dxa"/>
            <w:vAlign w:val="bottom"/>
            <w:tcBorders>
              <w:bottom w:val="single" w:sz="8" w:color="86B6A5"/>
            </w:tcBorders>
          </w:tcPr>
          <w:p>
            <w:pPr>
              <w:spacing w:after="0"/>
              <w:rPr>
                <w:sz w:val="14"/>
                <w:szCs w:val="14"/>
                <w:color w:val="auto"/>
              </w:rPr>
            </w:pPr>
          </w:p>
        </w:tc>
        <w:tc>
          <w:tcPr>
            <w:tcW w:w="272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Shares (000)</w:t>
            </w:r>
          </w:p>
        </w:tc>
        <w:tc>
          <w:tcPr>
            <w:tcW w:w="360" w:type="dxa"/>
            <w:vAlign w:val="bottom"/>
            <w:tcBorders>
              <w:bottom w:val="single" w:sz="8" w:color="86B6A5"/>
            </w:tcBorders>
          </w:tcPr>
          <w:p>
            <w:pPr>
              <w:spacing w:after="0"/>
              <w:rPr>
                <w:sz w:val="14"/>
                <w:szCs w:val="14"/>
                <w:color w:val="auto"/>
              </w:rPr>
            </w:pPr>
          </w:p>
        </w:tc>
        <w:tc>
          <w:tcPr>
            <w:tcW w:w="1480" w:type="dxa"/>
            <w:vAlign w:val="bottom"/>
            <w:tcBorders>
              <w:bottom w:val="single" w:sz="8" w:color="86B6A5"/>
            </w:tcBorders>
          </w:tcPr>
          <w:p>
            <w:pPr>
              <w:jc w:val="right"/>
              <w:ind w:right="335"/>
              <w:spacing w:after="0"/>
              <w:rPr>
                <w:sz w:val="20"/>
                <w:szCs w:val="20"/>
                <w:color w:val="auto"/>
              </w:rPr>
            </w:pPr>
            <w:r>
              <w:rPr>
                <w:rFonts w:ascii="Arial" w:cs="Arial" w:eastAsia="Arial" w:hAnsi="Arial"/>
                <w:sz w:val="14"/>
                <w:szCs w:val="14"/>
                <w:b w:val="1"/>
                <w:bCs w:val="1"/>
                <w:color w:val="86B6A5"/>
              </w:rPr>
              <w:t>Price Per Share</w:t>
            </w:r>
          </w:p>
        </w:tc>
        <w:tc>
          <w:tcPr>
            <w:tcW w:w="1340" w:type="dxa"/>
            <w:vAlign w:val="bottom"/>
            <w:tcBorders>
              <w:bottom w:val="single" w:sz="8" w:color="86B6A5"/>
            </w:tcBorders>
          </w:tcPr>
          <w:p>
            <w:pPr>
              <w:jc w:val="right"/>
              <w:ind w:right="82"/>
              <w:spacing w:after="0"/>
              <w:rPr>
                <w:sz w:val="20"/>
                <w:szCs w:val="20"/>
                <w:color w:val="auto"/>
              </w:rPr>
            </w:pPr>
            <w:r>
              <w:rPr>
                <w:rFonts w:ascii="Arial" w:cs="Arial" w:eastAsia="Arial" w:hAnsi="Arial"/>
                <w:sz w:val="14"/>
                <w:szCs w:val="14"/>
                <w:b w:val="1"/>
                <w:bCs w:val="1"/>
                <w:color w:val="86B6A5"/>
              </w:rPr>
              <w:t>Term (years)</w:t>
            </w:r>
          </w:p>
        </w:tc>
        <w:tc>
          <w:tcPr>
            <w:tcW w:w="440" w:type="dxa"/>
            <w:vAlign w:val="bottom"/>
            <w:tcBorders>
              <w:bottom w:val="single" w:sz="8" w:color="86B6A5"/>
            </w:tcBorders>
          </w:tcPr>
          <w:p>
            <w:pPr>
              <w:spacing w:after="0"/>
              <w:rPr>
                <w:sz w:val="14"/>
                <w:szCs w:val="14"/>
                <w:color w:val="auto"/>
              </w:rPr>
            </w:pPr>
          </w:p>
        </w:tc>
        <w:tc>
          <w:tcPr>
            <w:tcW w:w="1140" w:type="dxa"/>
            <w:vAlign w:val="bottom"/>
            <w:tcBorders>
              <w:bottom w:val="single" w:sz="8" w:color="86B6A5"/>
            </w:tcBorders>
          </w:tcPr>
          <w:p>
            <w:pPr>
              <w:jc w:val="right"/>
              <w:ind w:right="47"/>
              <w:spacing w:after="0"/>
              <w:rPr>
                <w:sz w:val="20"/>
                <w:szCs w:val="20"/>
                <w:color w:val="auto"/>
              </w:rPr>
            </w:pPr>
            <w:r>
              <w:rPr>
                <w:rFonts w:ascii="Arial" w:cs="Arial" w:eastAsia="Arial" w:hAnsi="Arial"/>
                <w:sz w:val="14"/>
                <w:szCs w:val="14"/>
                <w:b w:val="1"/>
                <w:bCs w:val="1"/>
                <w:color w:val="86B6A5"/>
              </w:rPr>
              <w:t>(in millions)</w:t>
            </w:r>
          </w:p>
        </w:tc>
      </w:tr>
      <w:tr>
        <w:trPr>
          <w:trHeight w:val="210"/>
        </w:trPr>
        <w:tc>
          <w:tcPr>
            <w:tcW w:w="20" w:type="dxa"/>
            <w:vAlign w:val="bottom"/>
          </w:tcPr>
          <w:p>
            <w:pPr>
              <w:spacing w:after="0"/>
              <w:rPr>
                <w:sz w:val="18"/>
                <w:szCs w:val="18"/>
                <w:color w:val="auto"/>
              </w:rPr>
            </w:pPr>
          </w:p>
        </w:tc>
        <w:tc>
          <w:tcPr>
            <w:tcW w:w="3920" w:type="dxa"/>
            <w:vAlign w:val="bottom"/>
            <w:shd w:val="clear" w:color="auto" w:fill="E3F1DA"/>
          </w:tcPr>
          <w:p>
            <w:pPr>
              <w:spacing w:after="0"/>
              <w:rPr>
                <w:sz w:val="20"/>
                <w:szCs w:val="20"/>
                <w:color w:val="auto"/>
              </w:rPr>
            </w:pPr>
            <w:r>
              <w:rPr>
                <w:rFonts w:ascii="Arial" w:cs="Arial" w:eastAsia="Arial" w:hAnsi="Arial"/>
                <w:sz w:val="18"/>
                <w:szCs w:val="18"/>
                <w:color w:val="auto"/>
              </w:rPr>
              <w:t>Unvested, January 1, 2010</w:t>
            </w:r>
          </w:p>
        </w:tc>
        <w:tc>
          <w:tcPr>
            <w:tcW w:w="2720" w:type="dxa"/>
            <w:vAlign w:val="bottom"/>
            <w:shd w:val="clear" w:color="auto" w:fill="E3F1DA"/>
          </w:tcPr>
          <w:p>
            <w:pPr>
              <w:jc w:val="right"/>
              <w:ind w:right="114"/>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E3F1DA"/>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shd w:val="clear" w:color="auto" w:fill="E3F1DA"/>
          </w:tcPr>
          <w:p>
            <w:pPr>
              <w:jc w:val="right"/>
              <w:ind w:right="335"/>
              <w:spacing w:after="0"/>
              <w:rPr>
                <w:sz w:val="20"/>
                <w:szCs w:val="20"/>
                <w:color w:val="auto"/>
              </w:rPr>
            </w:pPr>
            <w:r>
              <w:rPr>
                <w:rFonts w:ascii="Arial" w:cs="Arial" w:eastAsia="Arial" w:hAnsi="Arial"/>
                <w:sz w:val="18"/>
                <w:szCs w:val="18"/>
                <w:color w:val="auto"/>
              </w:rPr>
              <w:t>43</w:t>
            </w:r>
          </w:p>
        </w:tc>
        <w:tc>
          <w:tcPr>
            <w:tcW w:w="1340" w:type="dxa"/>
            <w:vAlign w:val="bottom"/>
            <w:shd w:val="clear" w:color="auto" w:fill="E3F1DA"/>
          </w:tcPr>
          <w:p>
            <w:pPr>
              <w:jc w:val="right"/>
              <w:ind w:right="82"/>
              <w:spacing w:after="0"/>
              <w:rPr>
                <w:sz w:val="20"/>
                <w:szCs w:val="20"/>
                <w:color w:val="auto"/>
              </w:rPr>
            </w:pPr>
            <w:r>
              <w:rPr>
                <w:rFonts w:ascii="Arial" w:cs="Arial" w:eastAsia="Arial" w:hAnsi="Arial"/>
                <w:sz w:val="18"/>
                <w:szCs w:val="18"/>
                <w:color w:val="auto"/>
              </w:rPr>
              <w:t>1.6</w:t>
            </w:r>
          </w:p>
        </w:tc>
        <w:tc>
          <w:tcPr>
            <w:tcW w:w="44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56</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3F1DA"/>
          </w:tcPr>
          <w:p>
            <w:pPr>
              <w:spacing w:after="0"/>
              <w:rPr>
                <w:sz w:val="20"/>
                <w:szCs w:val="20"/>
                <w:color w:val="auto"/>
              </w:rPr>
            </w:pPr>
            <w:r>
              <w:rPr>
                <w:rFonts w:ascii="Arial" w:cs="Arial" w:eastAsia="Arial" w:hAnsi="Arial"/>
                <w:sz w:val="18"/>
                <w:szCs w:val="18"/>
                <w:color w:val="auto"/>
              </w:rPr>
              <w:t>Vested</w:t>
            </w:r>
          </w:p>
        </w:tc>
        <w:tc>
          <w:tcPr>
            <w:tcW w:w="2720" w:type="dxa"/>
            <w:vAlign w:val="bottom"/>
            <w:shd w:val="clear" w:color="auto" w:fill="E3F1DA"/>
          </w:tcPr>
          <w:p>
            <w:pPr>
              <w:jc w:val="right"/>
              <w:ind w:right="54"/>
              <w:spacing w:after="0"/>
              <w:rPr>
                <w:sz w:val="20"/>
                <w:szCs w:val="20"/>
                <w:color w:val="auto"/>
              </w:rPr>
            </w:pPr>
            <w:r>
              <w:rPr>
                <w:rFonts w:ascii="Arial" w:cs="Arial" w:eastAsia="Arial" w:hAnsi="Arial"/>
                <w:sz w:val="18"/>
                <w:szCs w:val="18"/>
                <w:color w:val="auto"/>
              </w:rPr>
              <w:t>(86)</w:t>
            </w:r>
          </w:p>
        </w:tc>
        <w:tc>
          <w:tcPr>
            <w:tcW w:w="36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335"/>
              <w:spacing w:after="0"/>
              <w:rPr>
                <w:sz w:val="20"/>
                <w:szCs w:val="20"/>
                <w:color w:val="auto"/>
              </w:rPr>
            </w:pPr>
            <w:r>
              <w:rPr>
                <w:rFonts w:ascii="Arial" w:cs="Arial" w:eastAsia="Arial" w:hAnsi="Arial"/>
                <w:sz w:val="18"/>
                <w:szCs w:val="18"/>
                <w:color w:val="auto"/>
              </w:rPr>
              <w:t>41</w:t>
            </w:r>
          </w:p>
        </w:tc>
        <w:tc>
          <w:tcPr>
            <w:tcW w:w="1340" w:type="dxa"/>
            <w:vAlign w:val="bottom"/>
            <w:shd w:val="clear" w:color="auto" w:fill="E3F1DA"/>
          </w:tcPr>
          <w:p>
            <w:pPr>
              <w:spacing w:after="0"/>
              <w:rPr>
                <w:sz w:val="18"/>
                <w:szCs w:val="18"/>
                <w:color w:val="auto"/>
              </w:rPr>
            </w:pPr>
          </w:p>
        </w:tc>
        <w:tc>
          <w:tcPr>
            <w:tcW w:w="44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Forfeited</w:t>
            </w:r>
          </w:p>
        </w:tc>
        <w:tc>
          <w:tcPr>
            <w:tcW w:w="272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939598"/>
            </w:tcBorders>
          </w:tcPr>
          <w:p>
            <w:pPr>
              <w:spacing w:after="0"/>
              <w:rPr>
                <w:sz w:val="18"/>
                <w:szCs w:val="18"/>
                <w:color w:val="auto"/>
              </w:rPr>
            </w:pPr>
          </w:p>
        </w:tc>
        <w:tc>
          <w:tcPr>
            <w:tcW w:w="1480" w:type="dxa"/>
            <w:vAlign w:val="bottom"/>
            <w:tcBorders>
              <w:bottom w:val="single" w:sz="8" w:color="939598"/>
            </w:tcBorders>
          </w:tcPr>
          <w:p>
            <w:pPr>
              <w:jc w:val="right"/>
              <w:ind w:right="335"/>
              <w:spacing w:after="0"/>
              <w:rPr>
                <w:sz w:val="20"/>
                <w:szCs w:val="20"/>
                <w:color w:val="auto"/>
              </w:rPr>
            </w:pPr>
            <w:r>
              <w:rPr>
                <w:rFonts w:ascii="Arial" w:cs="Arial" w:eastAsia="Arial" w:hAnsi="Arial"/>
                <w:sz w:val="18"/>
                <w:szCs w:val="18"/>
                <w:color w:val="auto"/>
              </w:rPr>
              <w:t>31</w:t>
            </w:r>
          </w:p>
        </w:tc>
        <w:tc>
          <w:tcPr>
            <w:tcW w:w="1340" w:type="dxa"/>
            <w:vAlign w:val="bottom"/>
            <w:tcBorders>
              <w:bottom w:val="single" w:sz="8" w:color="939598"/>
            </w:tcBorders>
          </w:tcPr>
          <w:p>
            <w:pPr>
              <w:spacing w:after="0"/>
              <w:rPr>
                <w:sz w:val="18"/>
                <w:szCs w:val="18"/>
                <w:color w:val="auto"/>
              </w:rPr>
            </w:pPr>
          </w:p>
        </w:tc>
        <w:tc>
          <w:tcPr>
            <w:tcW w:w="440" w:type="dxa"/>
            <w:vAlign w:val="bottom"/>
            <w:tcBorders>
              <w:bottom w:val="single" w:sz="8" w:color="939598"/>
            </w:tcBorders>
          </w:tcPr>
          <w:p>
            <w:pPr>
              <w:spacing w:after="0"/>
              <w:rPr>
                <w:sz w:val="18"/>
                <w:szCs w:val="18"/>
                <w:color w:val="auto"/>
              </w:rPr>
            </w:pPr>
          </w:p>
        </w:tc>
        <w:tc>
          <w:tcPr>
            <w:tcW w:w="114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Unvested, December 31, 2010</w:t>
            </w:r>
          </w:p>
        </w:tc>
        <w:tc>
          <w:tcPr>
            <w:tcW w:w="2720" w:type="dxa"/>
            <w:vAlign w:val="bottom"/>
            <w:tcBorders>
              <w:bottom w:val="single" w:sz="8" w:color="939598"/>
            </w:tcBorders>
            <w:shd w:val="clear" w:color="auto" w:fill="E3F1DA"/>
          </w:tcPr>
          <w:p>
            <w:pPr>
              <w:jc w:val="right"/>
              <w:ind w:right="114"/>
              <w:spacing w:after="0"/>
              <w:rPr>
                <w:sz w:val="20"/>
                <w:szCs w:val="20"/>
                <w:color w:val="auto"/>
              </w:rPr>
            </w:pPr>
            <w:r>
              <w:rPr>
                <w:rFonts w:ascii="Arial" w:cs="Arial" w:eastAsia="Arial" w:hAnsi="Arial"/>
                <w:sz w:val="18"/>
                <w:szCs w:val="18"/>
                <w:color w:val="auto"/>
              </w:rPr>
              <w:t>295</w:t>
            </w:r>
          </w:p>
        </w:tc>
        <w:tc>
          <w:tcPr>
            <w:tcW w:w="360" w:type="dxa"/>
            <w:vAlign w:val="bottom"/>
            <w:tcBorders>
              <w:bottom w:val="single" w:sz="8" w:color="939598"/>
            </w:tcBorders>
            <w:shd w:val="clear" w:color="auto" w:fill="E3F1DA"/>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939598"/>
            </w:tcBorders>
            <w:shd w:val="clear" w:color="auto" w:fill="E3F1DA"/>
          </w:tcPr>
          <w:p>
            <w:pPr>
              <w:jc w:val="right"/>
              <w:ind w:right="335"/>
              <w:spacing w:after="0"/>
              <w:rPr>
                <w:sz w:val="20"/>
                <w:szCs w:val="20"/>
                <w:color w:val="auto"/>
              </w:rPr>
            </w:pPr>
            <w:r>
              <w:rPr>
                <w:rFonts w:ascii="Arial" w:cs="Arial" w:eastAsia="Arial" w:hAnsi="Arial"/>
                <w:sz w:val="18"/>
                <w:szCs w:val="18"/>
                <w:color w:val="auto"/>
              </w:rPr>
              <w:t>45</w:t>
            </w:r>
          </w:p>
        </w:tc>
        <w:tc>
          <w:tcPr>
            <w:tcW w:w="1340" w:type="dxa"/>
            <w:vAlign w:val="bottom"/>
            <w:tcBorders>
              <w:bottom w:val="single" w:sz="8" w:color="939598"/>
            </w:tcBorders>
            <w:shd w:val="clear" w:color="auto" w:fill="E3F1DA"/>
          </w:tcPr>
          <w:p>
            <w:pPr>
              <w:jc w:val="right"/>
              <w:ind w:right="82"/>
              <w:spacing w:after="0"/>
              <w:rPr>
                <w:sz w:val="20"/>
                <w:szCs w:val="20"/>
                <w:color w:val="auto"/>
              </w:rPr>
            </w:pPr>
            <w:r>
              <w:rPr>
                <w:rFonts w:ascii="Arial" w:cs="Arial" w:eastAsia="Arial" w:hAnsi="Arial"/>
                <w:sz w:val="18"/>
                <w:szCs w:val="18"/>
                <w:color w:val="auto"/>
              </w:rPr>
              <w:t>0.9</w:t>
            </w:r>
          </w:p>
        </w:tc>
        <w:tc>
          <w:tcPr>
            <w:tcW w:w="44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tcPr>
          <w:p>
            <w:pPr>
              <w:jc w:val="right"/>
              <w:ind w:right="114"/>
              <w:spacing w:after="0"/>
              <w:rPr>
                <w:sz w:val="20"/>
                <w:szCs w:val="20"/>
                <w:color w:val="auto"/>
              </w:rPr>
            </w:pPr>
            <w:r>
              <w:rPr>
                <w:rFonts w:ascii="Arial" w:cs="Arial" w:eastAsia="Arial" w:hAnsi="Arial"/>
                <w:sz w:val="18"/>
                <w:szCs w:val="18"/>
                <w:color w:val="auto"/>
              </w:rPr>
              <w:t>264</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67</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3F1DA"/>
          </w:tcPr>
          <w:p>
            <w:pPr>
              <w:spacing w:after="0"/>
              <w:rPr>
                <w:sz w:val="20"/>
                <w:szCs w:val="20"/>
                <w:color w:val="auto"/>
              </w:rPr>
            </w:pPr>
            <w:r>
              <w:rPr>
                <w:rFonts w:ascii="Arial" w:cs="Arial" w:eastAsia="Arial" w:hAnsi="Arial"/>
                <w:sz w:val="18"/>
                <w:szCs w:val="18"/>
                <w:color w:val="auto"/>
              </w:rPr>
              <w:t>Vested</w:t>
            </w:r>
          </w:p>
        </w:tc>
        <w:tc>
          <w:tcPr>
            <w:tcW w:w="2720" w:type="dxa"/>
            <w:vAlign w:val="bottom"/>
            <w:shd w:val="clear" w:color="auto" w:fill="E3F1DA"/>
          </w:tcPr>
          <w:p>
            <w:pPr>
              <w:jc w:val="right"/>
              <w:ind w:right="54"/>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335"/>
              <w:spacing w:after="0"/>
              <w:rPr>
                <w:sz w:val="20"/>
                <w:szCs w:val="20"/>
                <w:color w:val="auto"/>
              </w:rPr>
            </w:pPr>
            <w:r>
              <w:rPr>
                <w:rFonts w:ascii="Arial" w:cs="Arial" w:eastAsia="Arial" w:hAnsi="Arial"/>
                <w:sz w:val="18"/>
                <w:szCs w:val="18"/>
                <w:color w:val="auto"/>
              </w:rPr>
              <w:t>46</w:t>
            </w:r>
          </w:p>
        </w:tc>
        <w:tc>
          <w:tcPr>
            <w:tcW w:w="1340" w:type="dxa"/>
            <w:vAlign w:val="bottom"/>
            <w:shd w:val="clear" w:color="auto" w:fill="E3F1DA"/>
          </w:tcPr>
          <w:p>
            <w:pPr>
              <w:spacing w:after="0"/>
              <w:rPr>
                <w:sz w:val="18"/>
                <w:szCs w:val="18"/>
                <w:color w:val="auto"/>
              </w:rPr>
            </w:pPr>
          </w:p>
        </w:tc>
        <w:tc>
          <w:tcPr>
            <w:tcW w:w="44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Forfeited</w:t>
            </w:r>
          </w:p>
        </w:tc>
        <w:tc>
          <w:tcPr>
            <w:tcW w:w="272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939598"/>
            </w:tcBorders>
          </w:tcPr>
          <w:p>
            <w:pPr>
              <w:spacing w:after="0"/>
              <w:rPr>
                <w:sz w:val="18"/>
                <w:szCs w:val="18"/>
                <w:color w:val="auto"/>
              </w:rPr>
            </w:pPr>
          </w:p>
        </w:tc>
        <w:tc>
          <w:tcPr>
            <w:tcW w:w="1480" w:type="dxa"/>
            <w:vAlign w:val="bottom"/>
            <w:tcBorders>
              <w:bottom w:val="single" w:sz="8" w:color="939598"/>
            </w:tcBorders>
          </w:tcPr>
          <w:p>
            <w:pPr>
              <w:jc w:val="right"/>
              <w:ind w:right="335"/>
              <w:spacing w:after="0"/>
              <w:rPr>
                <w:sz w:val="20"/>
                <w:szCs w:val="20"/>
                <w:color w:val="auto"/>
              </w:rPr>
            </w:pPr>
            <w:r>
              <w:rPr>
                <w:rFonts w:ascii="Arial" w:cs="Arial" w:eastAsia="Arial" w:hAnsi="Arial"/>
                <w:sz w:val="18"/>
                <w:szCs w:val="18"/>
                <w:color w:val="auto"/>
              </w:rPr>
              <w:t>52</w:t>
            </w:r>
          </w:p>
        </w:tc>
        <w:tc>
          <w:tcPr>
            <w:tcW w:w="1340" w:type="dxa"/>
            <w:vAlign w:val="bottom"/>
            <w:tcBorders>
              <w:bottom w:val="single" w:sz="8" w:color="939598"/>
            </w:tcBorders>
          </w:tcPr>
          <w:p>
            <w:pPr>
              <w:spacing w:after="0"/>
              <w:rPr>
                <w:sz w:val="18"/>
                <w:szCs w:val="18"/>
                <w:color w:val="auto"/>
              </w:rPr>
            </w:pPr>
          </w:p>
        </w:tc>
        <w:tc>
          <w:tcPr>
            <w:tcW w:w="440" w:type="dxa"/>
            <w:vAlign w:val="bottom"/>
            <w:tcBorders>
              <w:bottom w:val="single" w:sz="8" w:color="939598"/>
            </w:tcBorders>
          </w:tcPr>
          <w:p>
            <w:pPr>
              <w:spacing w:after="0"/>
              <w:rPr>
                <w:sz w:val="18"/>
                <w:szCs w:val="18"/>
                <w:color w:val="auto"/>
              </w:rPr>
            </w:pPr>
          </w:p>
        </w:tc>
        <w:tc>
          <w:tcPr>
            <w:tcW w:w="114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Unvested, December 31, 2011</w:t>
            </w:r>
          </w:p>
        </w:tc>
        <w:tc>
          <w:tcPr>
            <w:tcW w:w="2720" w:type="dxa"/>
            <w:vAlign w:val="bottom"/>
            <w:tcBorders>
              <w:bottom w:val="single" w:sz="8" w:color="939598"/>
            </w:tcBorders>
            <w:shd w:val="clear" w:color="auto" w:fill="E3F1DA"/>
          </w:tcPr>
          <w:p>
            <w:pPr>
              <w:jc w:val="right"/>
              <w:ind w:right="114"/>
              <w:spacing w:after="0"/>
              <w:rPr>
                <w:sz w:val="20"/>
                <w:szCs w:val="20"/>
                <w:color w:val="auto"/>
              </w:rPr>
            </w:pPr>
            <w:r>
              <w:rPr>
                <w:rFonts w:ascii="Arial" w:cs="Arial" w:eastAsia="Arial" w:hAnsi="Arial"/>
                <w:sz w:val="18"/>
                <w:szCs w:val="18"/>
                <w:color w:val="auto"/>
              </w:rPr>
              <w:t>409</w:t>
            </w:r>
          </w:p>
        </w:tc>
        <w:tc>
          <w:tcPr>
            <w:tcW w:w="360" w:type="dxa"/>
            <w:vAlign w:val="bottom"/>
            <w:tcBorders>
              <w:bottom w:val="single" w:sz="8" w:color="939598"/>
            </w:tcBorders>
            <w:shd w:val="clear" w:color="auto" w:fill="E3F1DA"/>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939598"/>
            </w:tcBorders>
            <w:shd w:val="clear" w:color="auto" w:fill="E3F1DA"/>
          </w:tcPr>
          <w:p>
            <w:pPr>
              <w:jc w:val="right"/>
              <w:ind w:right="335"/>
              <w:spacing w:after="0"/>
              <w:rPr>
                <w:sz w:val="20"/>
                <w:szCs w:val="20"/>
                <w:color w:val="auto"/>
              </w:rPr>
            </w:pPr>
            <w:r>
              <w:rPr>
                <w:rFonts w:ascii="Arial" w:cs="Arial" w:eastAsia="Arial" w:hAnsi="Arial"/>
                <w:sz w:val="18"/>
                <w:szCs w:val="18"/>
                <w:color w:val="auto"/>
              </w:rPr>
              <w:t>59</w:t>
            </w:r>
          </w:p>
        </w:tc>
        <w:tc>
          <w:tcPr>
            <w:tcW w:w="1340" w:type="dxa"/>
            <w:vAlign w:val="bottom"/>
            <w:tcBorders>
              <w:bottom w:val="single" w:sz="8" w:color="939598"/>
            </w:tcBorders>
            <w:shd w:val="clear" w:color="auto" w:fill="E3F1DA"/>
          </w:tcPr>
          <w:p>
            <w:pPr>
              <w:jc w:val="right"/>
              <w:ind w:right="82"/>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tcPr>
          <w:p>
            <w:pPr>
              <w:jc w:val="right"/>
              <w:ind w:right="114"/>
              <w:spacing w:after="0"/>
              <w:rPr>
                <w:sz w:val="20"/>
                <w:szCs w:val="20"/>
                <w:color w:val="auto"/>
              </w:rPr>
            </w:pPr>
            <w:r>
              <w:rPr>
                <w:rFonts w:ascii="Arial" w:cs="Arial" w:eastAsia="Arial" w:hAnsi="Arial"/>
                <w:sz w:val="18"/>
                <w:szCs w:val="18"/>
                <w:color w:val="auto"/>
              </w:rPr>
              <w:t>309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44</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3F1DA"/>
          </w:tcPr>
          <w:p>
            <w:pPr>
              <w:spacing w:after="0"/>
              <w:rPr>
                <w:sz w:val="20"/>
                <w:szCs w:val="20"/>
                <w:color w:val="auto"/>
              </w:rPr>
            </w:pPr>
            <w:r>
              <w:rPr>
                <w:rFonts w:ascii="Arial" w:cs="Arial" w:eastAsia="Arial" w:hAnsi="Arial"/>
                <w:sz w:val="18"/>
                <w:szCs w:val="18"/>
                <w:color w:val="auto"/>
              </w:rPr>
              <w:t>Vested</w:t>
            </w:r>
          </w:p>
        </w:tc>
        <w:tc>
          <w:tcPr>
            <w:tcW w:w="2720" w:type="dxa"/>
            <w:vAlign w:val="bottom"/>
            <w:shd w:val="clear" w:color="auto" w:fill="E3F1DA"/>
          </w:tcPr>
          <w:p>
            <w:pPr>
              <w:jc w:val="right"/>
              <w:ind w:right="54"/>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335"/>
              <w:spacing w:after="0"/>
              <w:rPr>
                <w:sz w:val="20"/>
                <w:szCs w:val="20"/>
                <w:color w:val="auto"/>
              </w:rPr>
            </w:pPr>
            <w:r>
              <w:rPr>
                <w:rFonts w:ascii="Arial" w:cs="Arial" w:eastAsia="Arial" w:hAnsi="Arial"/>
                <w:sz w:val="18"/>
                <w:szCs w:val="18"/>
                <w:color w:val="auto"/>
              </w:rPr>
              <w:t>40</w:t>
            </w:r>
          </w:p>
        </w:tc>
        <w:tc>
          <w:tcPr>
            <w:tcW w:w="1340" w:type="dxa"/>
            <w:vAlign w:val="bottom"/>
            <w:shd w:val="clear" w:color="auto" w:fill="E3F1DA"/>
          </w:tcPr>
          <w:p>
            <w:pPr>
              <w:spacing w:after="0"/>
              <w:rPr>
                <w:sz w:val="18"/>
                <w:szCs w:val="18"/>
                <w:color w:val="auto"/>
              </w:rPr>
            </w:pPr>
          </w:p>
        </w:tc>
        <w:tc>
          <w:tcPr>
            <w:tcW w:w="44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Forfeited</w:t>
            </w:r>
          </w:p>
        </w:tc>
        <w:tc>
          <w:tcPr>
            <w:tcW w:w="272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939598"/>
            </w:tcBorders>
          </w:tcPr>
          <w:p>
            <w:pPr>
              <w:spacing w:after="0"/>
              <w:rPr>
                <w:sz w:val="18"/>
                <w:szCs w:val="18"/>
                <w:color w:val="auto"/>
              </w:rPr>
            </w:pPr>
          </w:p>
        </w:tc>
        <w:tc>
          <w:tcPr>
            <w:tcW w:w="1480" w:type="dxa"/>
            <w:vAlign w:val="bottom"/>
            <w:tcBorders>
              <w:bottom w:val="single" w:sz="8" w:color="939598"/>
            </w:tcBorders>
          </w:tcPr>
          <w:p>
            <w:pPr>
              <w:jc w:val="right"/>
              <w:ind w:right="335"/>
              <w:spacing w:after="0"/>
              <w:rPr>
                <w:sz w:val="20"/>
                <w:szCs w:val="20"/>
                <w:color w:val="auto"/>
              </w:rPr>
            </w:pPr>
            <w:r>
              <w:rPr>
                <w:rFonts w:ascii="Arial" w:cs="Arial" w:eastAsia="Arial" w:hAnsi="Arial"/>
                <w:sz w:val="18"/>
                <w:szCs w:val="18"/>
                <w:color w:val="auto"/>
              </w:rPr>
              <w:t>67</w:t>
            </w:r>
          </w:p>
        </w:tc>
        <w:tc>
          <w:tcPr>
            <w:tcW w:w="1340" w:type="dxa"/>
            <w:vAlign w:val="bottom"/>
            <w:tcBorders>
              <w:bottom w:val="single" w:sz="8" w:color="939598"/>
            </w:tcBorders>
          </w:tcPr>
          <w:p>
            <w:pPr>
              <w:spacing w:after="0"/>
              <w:rPr>
                <w:sz w:val="18"/>
                <w:szCs w:val="18"/>
                <w:color w:val="auto"/>
              </w:rPr>
            </w:pPr>
          </w:p>
        </w:tc>
        <w:tc>
          <w:tcPr>
            <w:tcW w:w="440" w:type="dxa"/>
            <w:vAlign w:val="bottom"/>
            <w:tcBorders>
              <w:bottom w:val="single" w:sz="8" w:color="939598"/>
            </w:tcBorders>
          </w:tcPr>
          <w:p>
            <w:pPr>
              <w:spacing w:after="0"/>
              <w:rPr>
                <w:sz w:val="18"/>
                <w:szCs w:val="18"/>
                <w:color w:val="auto"/>
              </w:rPr>
            </w:pPr>
          </w:p>
        </w:tc>
        <w:tc>
          <w:tcPr>
            <w:tcW w:w="1140" w:type="dxa"/>
            <w:vAlign w:val="bottom"/>
            <w:tcBorders>
              <w:bottom w:val="single" w:sz="8" w:color="93959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Unvested, December 31, 2012</w:t>
            </w:r>
          </w:p>
        </w:tc>
        <w:tc>
          <w:tcPr>
            <w:tcW w:w="2720" w:type="dxa"/>
            <w:vAlign w:val="bottom"/>
            <w:tcBorders>
              <w:bottom w:val="single" w:sz="8" w:color="939598"/>
            </w:tcBorders>
            <w:shd w:val="clear" w:color="auto" w:fill="E3F1DA"/>
          </w:tcPr>
          <w:p>
            <w:pPr>
              <w:jc w:val="right"/>
              <w:ind w:right="114"/>
              <w:spacing w:after="0"/>
              <w:rPr>
                <w:sz w:val="20"/>
                <w:szCs w:val="20"/>
                <w:color w:val="auto"/>
              </w:rPr>
            </w:pPr>
            <w:r>
              <w:rPr>
                <w:rFonts w:ascii="Arial" w:cs="Arial" w:eastAsia="Arial" w:hAnsi="Arial"/>
                <w:sz w:val="18"/>
                <w:szCs w:val="18"/>
                <w:color w:val="auto"/>
              </w:rPr>
              <w:t>589</w:t>
            </w:r>
          </w:p>
        </w:tc>
        <w:tc>
          <w:tcPr>
            <w:tcW w:w="360" w:type="dxa"/>
            <w:vAlign w:val="bottom"/>
            <w:tcBorders>
              <w:bottom w:val="single" w:sz="8" w:color="939598"/>
            </w:tcBorders>
            <w:shd w:val="clear" w:color="auto" w:fill="E3F1DA"/>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939598"/>
            </w:tcBorders>
            <w:shd w:val="clear" w:color="auto" w:fill="E3F1DA"/>
          </w:tcPr>
          <w:p>
            <w:pPr>
              <w:jc w:val="right"/>
              <w:ind w:right="335"/>
              <w:spacing w:after="0"/>
              <w:rPr>
                <w:sz w:val="20"/>
                <w:szCs w:val="20"/>
                <w:color w:val="auto"/>
              </w:rPr>
            </w:pPr>
            <w:r>
              <w:rPr>
                <w:rFonts w:ascii="Arial" w:cs="Arial" w:eastAsia="Arial" w:hAnsi="Arial"/>
                <w:sz w:val="18"/>
                <w:szCs w:val="18"/>
                <w:color w:val="auto"/>
              </w:rPr>
              <w:t>55</w:t>
            </w:r>
          </w:p>
        </w:tc>
        <w:tc>
          <w:tcPr>
            <w:tcW w:w="1340" w:type="dxa"/>
            <w:vAlign w:val="bottom"/>
            <w:tcBorders>
              <w:bottom w:val="single" w:sz="8" w:color="939598"/>
            </w:tcBorders>
            <w:shd w:val="clear" w:color="auto" w:fill="E3F1DA"/>
          </w:tcPr>
          <w:p>
            <w:pPr>
              <w:jc w:val="right"/>
              <w:ind w:right="82"/>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939598"/>
            </w:tcBorders>
            <w:shd w:val="clear" w:color="auto" w:fill="E3F1DA"/>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939598"/>
            </w:tcBorders>
            <w:shd w:val="clear" w:color="auto" w:fill="E3F1DA"/>
          </w:tcPr>
          <w:p>
            <w:pPr>
              <w:jc w:val="right"/>
              <w:ind w:right="47"/>
              <w:spacing w:after="0"/>
              <w:rPr>
                <w:sz w:val="20"/>
                <w:szCs w:val="20"/>
                <w:color w:val="auto"/>
              </w:rPr>
            </w:pPr>
            <w:r>
              <w:rPr>
                <w:rFonts w:ascii="Arial" w:cs="Arial" w:eastAsia="Arial" w:hAnsi="Arial"/>
                <w:sz w:val="18"/>
                <w:szCs w:val="18"/>
                <w:color w:val="auto"/>
              </w:rPr>
              <w:t>25</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2012, 2011 and 2010, we recognized $10.0, $7.0 and $4.4, respectively, of expense related to restricted stock awards. As of December 31, 2012, there was approximately $14.0 of total unrecognized compensation cost related to unvested restricted stock, which we expect to recognize over a weighted-average period of approximately 1.9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PERFORMANCE SHARE UNITS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2003 Plan and our 2011 Plan allow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the performance criteria exceed the target performance level, an additional number of shares, up to the Outstanding Award level, may be granted. In the event the performance criteria falls below the target performance level, a reduced number of shares, as low as the Threshold Award level, may be granted. If the performance criteria falls below the threshold performance level, no shares will be granted.</w:t>
      </w:r>
    </w:p>
    <w:p>
      <w:pPr>
        <w:ind w:left="580" w:hanging="572"/>
        <w:spacing w:after="0"/>
        <w:tabs>
          <w:tab w:leader="none" w:pos="58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Borders>
              <w:bottom w:val="single" w:sz="8" w:color="86B6A5"/>
            </w:tcBorders>
          </w:tcPr>
          <w:p>
            <w:pPr>
              <w:spacing w:after="0"/>
              <w:rPr>
                <w:sz w:val="14"/>
                <w:szCs w:val="14"/>
                <w:color w:val="auto"/>
              </w:rPr>
            </w:pPr>
          </w:p>
        </w:tc>
        <w:tc>
          <w:tcPr>
            <w:tcW w:w="2240" w:type="dxa"/>
            <w:vAlign w:val="bottom"/>
            <w:tcBorders>
              <w:bottom w:val="single" w:sz="8" w:color="86B6A5"/>
            </w:tcBorders>
          </w:tcPr>
          <w:p>
            <w:pPr>
              <w:jc w:val="right"/>
              <w:ind w:right="314"/>
              <w:spacing w:after="0"/>
              <w:rPr>
                <w:sz w:val="20"/>
                <w:szCs w:val="20"/>
                <w:color w:val="auto"/>
              </w:rPr>
            </w:pPr>
            <w:r>
              <w:rPr>
                <w:rFonts w:ascii="Arial" w:cs="Arial" w:eastAsia="Arial" w:hAnsi="Arial"/>
                <w:sz w:val="14"/>
                <w:szCs w:val="14"/>
                <w:b w:val="1"/>
                <w:bCs w:val="1"/>
                <w:color w:val="86B6A5"/>
              </w:rPr>
              <w:t>2010</w:t>
            </w:r>
          </w:p>
        </w:tc>
        <w:tc>
          <w:tcPr>
            <w:tcW w:w="1840" w:type="dxa"/>
            <w:vAlign w:val="bottom"/>
            <w:tcBorders>
              <w:bottom w:val="single" w:sz="8" w:color="86B6A5"/>
            </w:tcBorders>
          </w:tcPr>
          <w:p>
            <w:pPr>
              <w:jc w:val="right"/>
              <w:ind w:right="314"/>
              <w:spacing w:after="0"/>
              <w:rPr>
                <w:sz w:val="20"/>
                <w:szCs w:val="20"/>
                <w:color w:val="auto"/>
              </w:rPr>
            </w:pPr>
            <w:r>
              <w:rPr>
                <w:rFonts w:ascii="Arial" w:cs="Arial" w:eastAsia="Arial" w:hAnsi="Arial"/>
                <w:sz w:val="14"/>
                <w:szCs w:val="14"/>
                <w:b w:val="1"/>
                <w:bCs w:val="1"/>
                <w:color w:val="86B6A5"/>
              </w:rPr>
              <w:t>2011</w:t>
            </w:r>
          </w:p>
        </w:tc>
        <w:tc>
          <w:tcPr>
            <w:tcW w:w="1820" w:type="dxa"/>
            <w:vAlign w:val="bottom"/>
            <w:tcBorders>
              <w:bottom w:val="single" w:sz="8" w:color="86B6A5"/>
            </w:tcBorders>
          </w:tcPr>
          <w:p>
            <w:pPr>
              <w:jc w:val="right"/>
              <w:ind w:right="294"/>
              <w:spacing w:after="0"/>
              <w:rPr>
                <w:sz w:val="20"/>
                <w:szCs w:val="20"/>
                <w:color w:val="auto"/>
              </w:rPr>
            </w:pPr>
            <w:r>
              <w:rPr>
                <w:rFonts w:ascii="Arial" w:cs="Arial" w:eastAsia="Arial" w:hAnsi="Arial"/>
                <w:sz w:val="14"/>
                <w:szCs w:val="14"/>
                <w:b w:val="1"/>
                <w:bCs w:val="1"/>
                <w:color w:val="86B6A5"/>
              </w:rPr>
              <w:t>February 2012</w:t>
            </w:r>
          </w:p>
        </w:tc>
        <w:tc>
          <w:tcPr>
            <w:tcW w:w="1520" w:type="dxa"/>
            <w:vAlign w:val="bottom"/>
            <w:tcBorders>
              <w:bottom w:val="single" w:sz="8" w:color="86B6A5"/>
            </w:tcBorders>
          </w:tcPr>
          <w:p>
            <w:pPr>
              <w:jc w:val="right"/>
              <w:ind w:right="14"/>
              <w:spacing w:after="0"/>
              <w:rPr>
                <w:sz w:val="20"/>
                <w:szCs w:val="20"/>
                <w:color w:val="auto"/>
              </w:rPr>
            </w:pPr>
            <w:r>
              <w:rPr>
                <w:rFonts w:ascii="Arial" w:cs="Arial" w:eastAsia="Arial" w:hAnsi="Arial"/>
                <w:sz w:val="14"/>
                <w:szCs w:val="14"/>
                <w:b w:val="1"/>
                <w:bCs w:val="1"/>
                <w:color w:val="86B6A5"/>
              </w:rPr>
              <w:t>July 2012</w:t>
            </w:r>
          </w:p>
        </w:tc>
      </w:tr>
      <w:tr>
        <w:trPr>
          <w:trHeight w:val="201"/>
        </w:trPr>
        <w:tc>
          <w:tcPr>
            <w:tcW w:w="20" w:type="dxa"/>
            <w:vAlign w:val="bottom"/>
          </w:tcPr>
          <w:p>
            <w:pPr>
              <w:spacing w:after="0"/>
              <w:rPr>
                <w:sz w:val="17"/>
                <w:szCs w:val="17"/>
                <w:color w:val="auto"/>
              </w:rPr>
            </w:pPr>
          </w:p>
        </w:tc>
        <w:tc>
          <w:tcPr>
            <w:tcW w:w="3980" w:type="dxa"/>
            <w:vAlign w:val="bottom"/>
            <w:shd w:val="clear" w:color="auto" w:fill="E3F1DA"/>
          </w:tcPr>
          <w:p>
            <w:pPr>
              <w:spacing w:after="0" w:line="201" w:lineRule="exact"/>
              <w:rPr>
                <w:sz w:val="20"/>
                <w:szCs w:val="20"/>
                <w:color w:val="auto"/>
              </w:rPr>
            </w:pPr>
            <w:r>
              <w:rPr>
                <w:rFonts w:ascii="Arial" w:cs="Arial" w:eastAsia="Arial" w:hAnsi="Arial"/>
                <w:sz w:val="18"/>
                <w:szCs w:val="18"/>
                <w:color w:val="auto"/>
              </w:rPr>
              <w:t>Grant Date</w:t>
            </w:r>
          </w:p>
        </w:tc>
        <w:tc>
          <w:tcPr>
            <w:tcW w:w="2240" w:type="dxa"/>
            <w:vAlign w:val="bottom"/>
            <w:shd w:val="clear" w:color="auto" w:fill="E3F1DA"/>
          </w:tcPr>
          <w:p>
            <w:pPr>
              <w:jc w:val="right"/>
              <w:ind w:right="314"/>
              <w:spacing w:after="0" w:line="201" w:lineRule="exact"/>
              <w:rPr>
                <w:sz w:val="20"/>
                <w:szCs w:val="20"/>
                <w:color w:val="auto"/>
              </w:rPr>
            </w:pPr>
            <w:r>
              <w:rPr>
                <w:rFonts w:ascii="Arial" w:cs="Arial" w:eastAsia="Arial" w:hAnsi="Arial"/>
                <w:sz w:val="18"/>
                <w:szCs w:val="18"/>
                <w:color w:val="auto"/>
              </w:rPr>
              <w:t>February 18,</w:t>
            </w:r>
          </w:p>
        </w:tc>
        <w:tc>
          <w:tcPr>
            <w:tcW w:w="1840" w:type="dxa"/>
            <w:vAlign w:val="bottom"/>
            <w:shd w:val="clear" w:color="auto" w:fill="E3F1DA"/>
          </w:tcPr>
          <w:p>
            <w:pPr>
              <w:jc w:val="right"/>
              <w:ind w:right="314"/>
              <w:spacing w:after="0" w:line="201" w:lineRule="exact"/>
              <w:rPr>
                <w:sz w:val="20"/>
                <w:szCs w:val="20"/>
                <w:color w:val="auto"/>
              </w:rPr>
            </w:pPr>
            <w:r>
              <w:rPr>
                <w:rFonts w:ascii="Arial" w:cs="Arial" w:eastAsia="Arial" w:hAnsi="Arial"/>
                <w:sz w:val="18"/>
                <w:szCs w:val="18"/>
                <w:color w:val="auto"/>
              </w:rPr>
              <w:t>February 16,</w:t>
            </w:r>
          </w:p>
        </w:tc>
        <w:tc>
          <w:tcPr>
            <w:tcW w:w="1820" w:type="dxa"/>
            <w:vAlign w:val="bottom"/>
            <w:shd w:val="clear" w:color="auto" w:fill="E3F1DA"/>
          </w:tcPr>
          <w:p>
            <w:pPr>
              <w:jc w:val="right"/>
              <w:ind w:right="294"/>
              <w:spacing w:after="0" w:line="201" w:lineRule="exact"/>
              <w:rPr>
                <w:sz w:val="20"/>
                <w:szCs w:val="20"/>
                <w:color w:val="auto"/>
              </w:rPr>
            </w:pPr>
            <w:r>
              <w:rPr>
                <w:rFonts w:ascii="Arial" w:cs="Arial" w:eastAsia="Arial" w:hAnsi="Arial"/>
                <w:sz w:val="18"/>
                <w:szCs w:val="18"/>
                <w:color w:val="auto"/>
              </w:rPr>
              <w:t>February 15,</w:t>
            </w:r>
          </w:p>
        </w:tc>
        <w:tc>
          <w:tcPr>
            <w:tcW w:w="1520" w:type="dxa"/>
            <w:vAlign w:val="bottom"/>
            <w:shd w:val="clear" w:color="auto" w:fill="E3F1DA"/>
          </w:tcPr>
          <w:p>
            <w:pPr>
              <w:jc w:val="right"/>
              <w:ind w:right="14"/>
              <w:spacing w:after="0" w:line="201" w:lineRule="exact"/>
              <w:rPr>
                <w:sz w:val="20"/>
                <w:szCs w:val="20"/>
                <w:color w:val="auto"/>
              </w:rPr>
            </w:pPr>
            <w:r>
              <w:rPr>
                <w:rFonts w:ascii="Arial" w:cs="Arial" w:eastAsia="Arial" w:hAnsi="Arial"/>
                <w:sz w:val="18"/>
                <w:szCs w:val="18"/>
                <w:color w:val="auto"/>
              </w:rPr>
              <w:t>July 1,</w:t>
            </w:r>
          </w:p>
        </w:tc>
      </w:tr>
      <w:tr>
        <w:trPr>
          <w:trHeight w:val="224"/>
        </w:trPr>
        <w:tc>
          <w:tcPr>
            <w:tcW w:w="20" w:type="dxa"/>
            <w:vAlign w:val="bottom"/>
          </w:tcPr>
          <w:p>
            <w:pPr>
              <w:spacing w:after="0"/>
              <w:rPr>
                <w:sz w:val="19"/>
                <w:szCs w:val="19"/>
                <w:color w:val="auto"/>
              </w:rPr>
            </w:pPr>
          </w:p>
        </w:tc>
        <w:tc>
          <w:tcPr>
            <w:tcW w:w="3980" w:type="dxa"/>
            <w:vAlign w:val="bottom"/>
            <w:shd w:val="clear" w:color="auto" w:fill="E3F1DA"/>
          </w:tcPr>
          <w:p>
            <w:pPr>
              <w:spacing w:after="0"/>
              <w:rPr>
                <w:sz w:val="19"/>
                <w:szCs w:val="19"/>
                <w:color w:val="auto"/>
              </w:rPr>
            </w:pPr>
          </w:p>
        </w:tc>
        <w:tc>
          <w:tcPr>
            <w:tcW w:w="22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2010</w:t>
            </w:r>
          </w:p>
        </w:tc>
        <w:tc>
          <w:tcPr>
            <w:tcW w:w="18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2011</w:t>
            </w:r>
          </w:p>
        </w:tc>
        <w:tc>
          <w:tcPr>
            <w:tcW w:w="18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2012</w:t>
            </w:r>
          </w:p>
        </w:tc>
        <w:tc>
          <w:tcPr>
            <w:tcW w:w="15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Performance Period (Years)</w:t>
            </w:r>
          </w:p>
        </w:tc>
        <w:tc>
          <w:tcPr>
            <w:tcW w:w="2240" w:type="dxa"/>
            <w:vAlign w:val="bottom"/>
          </w:tcPr>
          <w:p>
            <w:pPr>
              <w:jc w:val="right"/>
              <w:ind w:right="314"/>
              <w:spacing w:after="0"/>
              <w:rPr>
                <w:sz w:val="20"/>
                <w:szCs w:val="20"/>
                <w:color w:val="auto"/>
              </w:rPr>
            </w:pPr>
            <w:r>
              <w:rPr>
                <w:rFonts w:ascii="Arial" w:cs="Arial" w:eastAsia="Arial" w:hAnsi="Arial"/>
                <w:sz w:val="18"/>
                <w:szCs w:val="18"/>
                <w:color w:val="auto"/>
              </w:rPr>
              <w:t>2010–2011</w:t>
            </w:r>
          </w:p>
        </w:tc>
        <w:tc>
          <w:tcPr>
            <w:tcW w:w="1840" w:type="dxa"/>
            <w:vAlign w:val="bottom"/>
          </w:tcPr>
          <w:p>
            <w:pPr>
              <w:jc w:val="right"/>
              <w:ind w:right="314"/>
              <w:spacing w:after="0"/>
              <w:rPr>
                <w:sz w:val="20"/>
                <w:szCs w:val="20"/>
                <w:color w:val="auto"/>
              </w:rPr>
            </w:pPr>
            <w:r>
              <w:rPr>
                <w:rFonts w:ascii="Arial" w:cs="Arial" w:eastAsia="Arial" w:hAnsi="Arial"/>
                <w:sz w:val="18"/>
                <w:szCs w:val="18"/>
                <w:color w:val="auto"/>
              </w:rPr>
              <w:t>2011</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2012</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2012–2014</w:t>
            </w:r>
          </w:p>
        </w:tc>
      </w:tr>
      <w:tr>
        <w:trPr>
          <w:trHeight w:val="216"/>
        </w:trPr>
        <w:tc>
          <w:tcPr>
            <w:tcW w:w="20" w:type="dxa"/>
            <w:vAlign w:val="bottom"/>
          </w:tcPr>
          <w:p>
            <w:pPr>
              <w:spacing w:after="0"/>
              <w:rPr>
                <w:sz w:val="18"/>
                <w:szCs w:val="18"/>
                <w:color w:val="auto"/>
              </w:rPr>
            </w:pPr>
          </w:p>
        </w:tc>
        <w:tc>
          <w:tcPr>
            <w:tcW w:w="3980" w:type="dxa"/>
            <w:vAlign w:val="bottom"/>
            <w:shd w:val="clear" w:color="auto" w:fill="E3F1DA"/>
          </w:tcPr>
          <w:p>
            <w:pPr>
              <w:spacing w:after="0"/>
              <w:rPr>
                <w:sz w:val="20"/>
                <w:szCs w:val="20"/>
                <w:color w:val="auto"/>
              </w:rPr>
            </w:pPr>
            <w:r>
              <w:rPr>
                <w:rFonts w:ascii="Arial" w:cs="Arial" w:eastAsia="Arial" w:hAnsi="Arial"/>
                <w:sz w:val="18"/>
                <w:szCs w:val="18"/>
                <w:color w:val="auto"/>
              </w:rPr>
              <w:t>Vesting Date(s)</w:t>
            </w:r>
          </w:p>
        </w:tc>
        <w:tc>
          <w:tcPr>
            <w:tcW w:w="22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100% on</w:t>
            </w:r>
          </w:p>
        </w:tc>
        <w:tc>
          <w:tcPr>
            <w:tcW w:w="18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50% on</w:t>
            </w:r>
          </w:p>
        </w:tc>
        <w:tc>
          <w:tcPr>
            <w:tcW w:w="18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50% on</w:t>
            </w:r>
          </w:p>
        </w:tc>
        <w:tc>
          <w:tcPr>
            <w:tcW w:w="15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50% on</w:t>
            </w:r>
          </w:p>
        </w:tc>
      </w:tr>
      <w:tr>
        <w:trPr>
          <w:trHeight w:val="208"/>
        </w:trPr>
        <w:tc>
          <w:tcPr>
            <w:tcW w:w="20" w:type="dxa"/>
            <w:vAlign w:val="bottom"/>
          </w:tcPr>
          <w:p>
            <w:pPr>
              <w:spacing w:after="0"/>
              <w:rPr>
                <w:sz w:val="18"/>
                <w:szCs w:val="18"/>
                <w:color w:val="auto"/>
              </w:rPr>
            </w:pPr>
          </w:p>
        </w:tc>
        <w:tc>
          <w:tcPr>
            <w:tcW w:w="3980" w:type="dxa"/>
            <w:vAlign w:val="bottom"/>
            <w:shd w:val="clear" w:color="auto" w:fill="E3F1DA"/>
          </w:tcPr>
          <w:p>
            <w:pPr>
              <w:spacing w:after="0"/>
              <w:rPr>
                <w:sz w:val="18"/>
                <w:szCs w:val="18"/>
                <w:color w:val="auto"/>
              </w:rPr>
            </w:pPr>
          </w:p>
        </w:tc>
        <w:tc>
          <w:tcPr>
            <w:tcW w:w="22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December 31,</w:t>
            </w:r>
          </w:p>
        </w:tc>
        <w:tc>
          <w:tcPr>
            <w:tcW w:w="18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December 31,</w:t>
            </w:r>
          </w:p>
        </w:tc>
        <w:tc>
          <w:tcPr>
            <w:tcW w:w="18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December 31,</w:t>
            </w:r>
          </w:p>
        </w:tc>
        <w:tc>
          <w:tcPr>
            <w:tcW w:w="15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December 31,</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939598"/>
            </w:tcBorders>
            <w:shd w:val="clear" w:color="auto" w:fill="E3F1DA"/>
          </w:tcPr>
          <w:p>
            <w:pPr>
              <w:spacing w:after="0"/>
              <w:rPr>
                <w:sz w:val="19"/>
                <w:szCs w:val="19"/>
                <w:color w:val="auto"/>
              </w:rPr>
            </w:pPr>
          </w:p>
        </w:tc>
        <w:tc>
          <w:tcPr>
            <w:tcW w:w="2240" w:type="dxa"/>
            <w:vAlign w:val="bottom"/>
            <w:tcBorders>
              <w:bottom w:val="single" w:sz="8" w:color="939598"/>
            </w:tcBorders>
            <w:shd w:val="clear" w:color="auto" w:fill="E3F1DA"/>
          </w:tcPr>
          <w:p>
            <w:pPr>
              <w:jc w:val="right"/>
              <w:ind w:right="314"/>
              <w:spacing w:after="0"/>
              <w:rPr>
                <w:sz w:val="20"/>
                <w:szCs w:val="20"/>
                <w:color w:val="auto"/>
              </w:rPr>
            </w:pPr>
            <w:r>
              <w:rPr>
                <w:rFonts w:ascii="Arial" w:cs="Arial" w:eastAsia="Arial" w:hAnsi="Arial"/>
                <w:sz w:val="18"/>
                <w:szCs w:val="18"/>
                <w:color w:val="auto"/>
              </w:rPr>
              <w:t>2011</w:t>
            </w:r>
          </w:p>
        </w:tc>
        <w:tc>
          <w:tcPr>
            <w:tcW w:w="1840" w:type="dxa"/>
            <w:vAlign w:val="bottom"/>
            <w:tcBorders>
              <w:bottom w:val="single" w:sz="8" w:color="939598"/>
            </w:tcBorders>
            <w:shd w:val="clear" w:color="auto" w:fill="E3F1DA"/>
          </w:tcPr>
          <w:p>
            <w:pPr>
              <w:jc w:val="right"/>
              <w:ind w:right="314"/>
              <w:spacing w:after="0"/>
              <w:rPr>
                <w:sz w:val="20"/>
                <w:szCs w:val="20"/>
                <w:color w:val="auto"/>
              </w:rPr>
            </w:pPr>
            <w:r>
              <w:rPr>
                <w:rFonts w:ascii="Arial" w:cs="Arial" w:eastAsia="Arial" w:hAnsi="Arial"/>
                <w:sz w:val="18"/>
                <w:szCs w:val="18"/>
                <w:color w:val="auto"/>
              </w:rPr>
              <w:t>2012 and 2013</w:t>
            </w:r>
          </w:p>
        </w:tc>
        <w:tc>
          <w:tcPr>
            <w:tcW w:w="18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2013 and 2014</w:t>
            </w:r>
          </w:p>
        </w:tc>
        <w:tc>
          <w:tcPr>
            <w:tcW w:w="15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2015 and 2016</w:t>
            </w: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Payout Levels (in units):</w:t>
            </w:r>
          </w:p>
        </w:tc>
        <w:tc>
          <w:tcPr>
            <w:tcW w:w="2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3F1DA"/>
          </w:tcPr>
          <w:p>
            <w:pPr>
              <w:ind w:left="140"/>
              <w:spacing w:after="0"/>
              <w:rPr>
                <w:sz w:val="20"/>
                <w:szCs w:val="20"/>
                <w:color w:val="auto"/>
              </w:rPr>
            </w:pPr>
            <w:r>
              <w:rPr>
                <w:rFonts w:ascii="Arial" w:cs="Arial" w:eastAsia="Arial" w:hAnsi="Arial"/>
                <w:sz w:val="18"/>
                <w:szCs w:val="18"/>
                <w:color w:val="auto"/>
              </w:rPr>
              <w:t>Threshold Award</w:t>
            </w:r>
          </w:p>
        </w:tc>
        <w:tc>
          <w:tcPr>
            <w:tcW w:w="22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53,621</w:t>
            </w:r>
          </w:p>
        </w:tc>
        <w:tc>
          <w:tcPr>
            <w:tcW w:w="18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63,655</w:t>
            </w:r>
          </w:p>
        </w:tc>
        <w:tc>
          <w:tcPr>
            <w:tcW w:w="18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88,907</w:t>
            </w:r>
          </w:p>
        </w:tc>
        <w:tc>
          <w:tcPr>
            <w:tcW w:w="15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68,056</w:t>
            </w:r>
          </w:p>
        </w:tc>
      </w:tr>
      <w:tr>
        <w:trPr>
          <w:trHeight w:val="216"/>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Target Award</w:t>
            </w:r>
          </w:p>
        </w:tc>
        <w:tc>
          <w:tcPr>
            <w:tcW w:w="2240" w:type="dxa"/>
            <w:vAlign w:val="bottom"/>
          </w:tcPr>
          <w:p>
            <w:pPr>
              <w:jc w:val="right"/>
              <w:ind w:right="314"/>
              <w:spacing w:after="0"/>
              <w:rPr>
                <w:sz w:val="20"/>
                <w:szCs w:val="20"/>
                <w:color w:val="auto"/>
              </w:rPr>
            </w:pPr>
            <w:r>
              <w:rPr>
                <w:rFonts w:ascii="Arial" w:cs="Arial" w:eastAsia="Arial" w:hAnsi="Arial"/>
                <w:sz w:val="18"/>
                <w:szCs w:val="18"/>
                <w:color w:val="auto"/>
              </w:rPr>
              <w:t>107,242</w:t>
            </w:r>
          </w:p>
        </w:tc>
        <w:tc>
          <w:tcPr>
            <w:tcW w:w="1840" w:type="dxa"/>
            <w:vAlign w:val="bottom"/>
          </w:tcPr>
          <w:p>
            <w:pPr>
              <w:jc w:val="right"/>
              <w:ind w:right="314"/>
              <w:spacing w:after="0"/>
              <w:rPr>
                <w:sz w:val="20"/>
                <w:szCs w:val="20"/>
                <w:color w:val="auto"/>
              </w:rPr>
            </w:pPr>
            <w:r>
              <w:rPr>
                <w:rFonts w:ascii="Arial" w:cs="Arial" w:eastAsia="Arial" w:hAnsi="Arial"/>
                <w:sz w:val="18"/>
                <w:szCs w:val="18"/>
                <w:color w:val="auto"/>
              </w:rPr>
              <w:t>127,310</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177,814</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136,112</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939598"/>
            </w:tcBorders>
            <w:shd w:val="clear" w:color="auto" w:fill="E3F1DA"/>
          </w:tcPr>
          <w:p>
            <w:pPr>
              <w:ind w:left="140"/>
              <w:spacing w:after="0"/>
              <w:rPr>
                <w:sz w:val="20"/>
                <w:szCs w:val="20"/>
                <w:color w:val="auto"/>
              </w:rPr>
            </w:pPr>
            <w:r>
              <w:rPr>
                <w:rFonts w:ascii="Arial" w:cs="Arial" w:eastAsia="Arial" w:hAnsi="Arial"/>
                <w:sz w:val="18"/>
                <w:szCs w:val="18"/>
                <w:color w:val="auto"/>
              </w:rPr>
              <w:t>Outstanding Award</w:t>
            </w:r>
          </w:p>
        </w:tc>
        <w:tc>
          <w:tcPr>
            <w:tcW w:w="2240" w:type="dxa"/>
            <w:vAlign w:val="bottom"/>
            <w:tcBorders>
              <w:bottom w:val="single" w:sz="8" w:color="939598"/>
            </w:tcBorders>
            <w:shd w:val="clear" w:color="auto" w:fill="E3F1DA"/>
          </w:tcPr>
          <w:p>
            <w:pPr>
              <w:jc w:val="right"/>
              <w:ind w:right="314"/>
              <w:spacing w:after="0"/>
              <w:rPr>
                <w:sz w:val="20"/>
                <w:szCs w:val="20"/>
                <w:color w:val="auto"/>
              </w:rPr>
            </w:pPr>
            <w:r>
              <w:rPr>
                <w:rFonts w:ascii="Arial" w:cs="Arial" w:eastAsia="Arial" w:hAnsi="Arial"/>
                <w:sz w:val="18"/>
                <w:szCs w:val="18"/>
                <w:color w:val="auto"/>
              </w:rPr>
              <w:t>214,484</w:t>
            </w:r>
          </w:p>
        </w:tc>
        <w:tc>
          <w:tcPr>
            <w:tcW w:w="1840" w:type="dxa"/>
            <w:vAlign w:val="bottom"/>
            <w:tcBorders>
              <w:bottom w:val="single" w:sz="8" w:color="939598"/>
            </w:tcBorders>
            <w:shd w:val="clear" w:color="auto" w:fill="E3F1DA"/>
          </w:tcPr>
          <w:p>
            <w:pPr>
              <w:jc w:val="right"/>
              <w:ind w:right="314"/>
              <w:spacing w:after="0"/>
              <w:rPr>
                <w:sz w:val="20"/>
                <w:szCs w:val="20"/>
                <w:color w:val="auto"/>
              </w:rPr>
            </w:pPr>
            <w:r>
              <w:rPr>
                <w:rFonts w:ascii="Arial" w:cs="Arial" w:eastAsia="Arial" w:hAnsi="Arial"/>
                <w:sz w:val="18"/>
                <w:szCs w:val="18"/>
                <w:color w:val="auto"/>
              </w:rPr>
              <w:t>254,620</w:t>
            </w:r>
          </w:p>
        </w:tc>
        <w:tc>
          <w:tcPr>
            <w:tcW w:w="1820" w:type="dxa"/>
            <w:vAlign w:val="bottom"/>
            <w:tcBorders>
              <w:bottom w:val="single" w:sz="8" w:color="939598"/>
            </w:tcBorders>
            <w:shd w:val="clear" w:color="auto" w:fill="E3F1DA"/>
          </w:tcPr>
          <w:p>
            <w:pPr>
              <w:jc w:val="right"/>
              <w:ind w:right="294"/>
              <w:spacing w:after="0"/>
              <w:rPr>
                <w:sz w:val="20"/>
                <w:szCs w:val="20"/>
                <w:color w:val="auto"/>
              </w:rPr>
            </w:pPr>
            <w:r>
              <w:rPr>
                <w:rFonts w:ascii="Arial" w:cs="Arial" w:eastAsia="Arial" w:hAnsi="Arial"/>
                <w:sz w:val="18"/>
                <w:szCs w:val="18"/>
                <w:color w:val="auto"/>
              </w:rPr>
              <w:t>355,628</w:t>
            </w:r>
          </w:p>
        </w:tc>
        <w:tc>
          <w:tcPr>
            <w:tcW w:w="1520" w:type="dxa"/>
            <w:vAlign w:val="bottom"/>
            <w:tcBorders>
              <w:bottom w:val="single" w:sz="8" w:color="939598"/>
            </w:tcBorders>
            <w:shd w:val="clear" w:color="auto" w:fill="E3F1DA"/>
          </w:tcPr>
          <w:p>
            <w:pPr>
              <w:jc w:val="right"/>
              <w:ind w:right="14"/>
              <w:spacing w:after="0"/>
              <w:rPr>
                <w:sz w:val="20"/>
                <w:szCs w:val="20"/>
                <w:color w:val="auto"/>
              </w:rPr>
            </w:pPr>
            <w:r>
              <w:rPr>
                <w:rFonts w:ascii="Arial" w:cs="Arial" w:eastAsia="Arial" w:hAnsi="Arial"/>
                <w:sz w:val="18"/>
                <w:szCs w:val="18"/>
                <w:color w:val="auto"/>
              </w:rPr>
              <w:t>272,224</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Units Forfeited in 2012 (at Target Award level)</w:t>
            </w:r>
          </w:p>
        </w:tc>
        <w:tc>
          <w:tcPr>
            <w:tcW w:w="2240" w:type="dxa"/>
            <w:vAlign w:val="bottom"/>
          </w:tcPr>
          <w:p>
            <w:pPr>
              <w:jc w:val="right"/>
              <w:ind w:right="314"/>
              <w:spacing w:after="0"/>
              <w:rPr>
                <w:sz w:val="20"/>
                <w:szCs w:val="20"/>
                <w:color w:val="auto"/>
              </w:rPr>
            </w:pPr>
            <w:r>
              <w:rPr>
                <w:rFonts w:ascii="Arial" w:cs="Arial" w:eastAsia="Arial" w:hAnsi="Arial"/>
                <w:sz w:val="18"/>
                <w:szCs w:val="18"/>
                <w:color w:val="auto"/>
              </w:rPr>
              <w:t>2,500</w:t>
            </w:r>
          </w:p>
        </w:tc>
        <w:tc>
          <w:tcPr>
            <w:tcW w:w="1840" w:type="dxa"/>
            <w:vAlign w:val="bottom"/>
          </w:tcPr>
          <w:p>
            <w:pPr>
              <w:jc w:val="right"/>
              <w:ind w:right="314"/>
              <w:spacing w:after="0"/>
              <w:rPr>
                <w:sz w:val="20"/>
                <w:szCs w:val="20"/>
                <w:color w:val="auto"/>
              </w:rPr>
            </w:pPr>
            <w:r>
              <w:rPr>
                <w:rFonts w:ascii="Arial" w:cs="Arial" w:eastAsia="Arial" w:hAnsi="Arial"/>
                <w:sz w:val="18"/>
                <w:szCs w:val="18"/>
                <w:color w:val="auto"/>
              </w:rPr>
              <w:t>5,668</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19,137</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18,824</w:t>
            </w:r>
          </w:p>
        </w:tc>
      </w:tr>
      <w:tr>
        <w:trPr>
          <w:trHeight w:val="216"/>
        </w:trPr>
        <w:tc>
          <w:tcPr>
            <w:tcW w:w="20" w:type="dxa"/>
            <w:vAlign w:val="bottom"/>
          </w:tcPr>
          <w:p>
            <w:pPr>
              <w:spacing w:after="0"/>
              <w:rPr>
                <w:sz w:val="18"/>
                <w:szCs w:val="18"/>
                <w:color w:val="auto"/>
              </w:rPr>
            </w:pPr>
          </w:p>
        </w:tc>
        <w:tc>
          <w:tcPr>
            <w:tcW w:w="3980" w:type="dxa"/>
            <w:vAlign w:val="bottom"/>
            <w:shd w:val="clear" w:color="auto" w:fill="E3F1DA"/>
          </w:tcPr>
          <w:p>
            <w:pPr>
              <w:spacing w:after="0"/>
              <w:rPr>
                <w:sz w:val="20"/>
                <w:szCs w:val="20"/>
                <w:color w:val="auto"/>
              </w:rPr>
            </w:pPr>
            <w:r>
              <w:rPr>
                <w:rFonts w:ascii="Arial" w:cs="Arial" w:eastAsia="Arial" w:hAnsi="Arial"/>
                <w:sz w:val="18"/>
                <w:szCs w:val="18"/>
                <w:color w:val="auto"/>
              </w:rPr>
              <w:t>Shares Issued in 2012</w:t>
            </w:r>
          </w:p>
        </w:tc>
        <w:tc>
          <w:tcPr>
            <w:tcW w:w="22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196,125</w:t>
            </w:r>
          </w:p>
        </w:tc>
        <w:tc>
          <w:tcPr>
            <w:tcW w:w="1840" w:type="dxa"/>
            <w:vAlign w:val="bottom"/>
            <w:shd w:val="clear" w:color="auto" w:fill="E3F1DA"/>
          </w:tcPr>
          <w:p>
            <w:pPr>
              <w:jc w:val="right"/>
              <w:ind w:right="314"/>
              <w:spacing w:after="0"/>
              <w:rPr>
                <w:sz w:val="20"/>
                <w:szCs w:val="20"/>
                <w:color w:val="auto"/>
              </w:rPr>
            </w:pPr>
            <w:r>
              <w:rPr>
                <w:rFonts w:ascii="Arial" w:cs="Arial" w:eastAsia="Arial" w:hAnsi="Arial"/>
                <w:sz w:val="18"/>
                <w:szCs w:val="18"/>
                <w:color w:val="auto"/>
              </w:rPr>
              <w:t>106,394</w:t>
            </w:r>
          </w:p>
        </w:tc>
        <w:tc>
          <w:tcPr>
            <w:tcW w:w="1820" w:type="dxa"/>
            <w:vAlign w:val="bottom"/>
            <w:shd w:val="clear" w:color="auto" w:fill="E3F1DA"/>
          </w:tcPr>
          <w:p>
            <w:pPr>
              <w:jc w:val="right"/>
              <w:ind w:right="294"/>
              <w:spacing w:after="0"/>
              <w:rPr>
                <w:sz w:val="20"/>
                <w:szCs w:val="20"/>
                <w:color w:val="auto"/>
              </w:rPr>
            </w:pPr>
            <w:r>
              <w:rPr>
                <w:rFonts w:ascii="Arial" w:cs="Arial" w:eastAsia="Arial" w:hAnsi="Arial"/>
                <w:sz w:val="18"/>
                <w:szCs w:val="18"/>
                <w:color w:val="auto"/>
              </w:rPr>
              <w:t>—</w:t>
            </w:r>
          </w:p>
        </w:tc>
        <w:tc>
          <w:tcPr>
            <w:tcW w:w="152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Shares Subject to Holding Period as of</w:t>
            </w:r>
          </w:p>
        </w:tc>
        <w:tc>
          <w:tcPr>
            <w:tcW w:w="2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December 31, 2012</w:t>
            </w:r>
          </w:p>
        </w:tc>
        <w:tc>
          <w:tcPr>
            <w:tcW w:w="22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14"/>
              <w:spacing w:after="0"/>
              <w:rPr>
                <w:sz w:val="20"/>
                <w:szCs w:val="20"/>
                <w:color w:val="auto"/>
              </w:rPr>
            </w:pPr>
            <w:r>
              <w:rPr>
                <w:rFonts w:ascii="Arial" w:cs="Arial" w:eastAsia="Arial" w:hAnsi="Arial"/>
                <w:sz w:val="18"/>
                <w:szCs w:val="18"/>
                <w:color w:val="auto"/>
              </w:rPr>
              <w:t>94,756</w:t>
            </w:r>
          </w:p>
        </w:tc>
        <w:tc>
          <w:tcPr>
            <w:tcW w:w="1820" w:type="dxa"/>
            <w:vAlign w:val="bottom"/>
          </w:tcPr>
          <w:p>
            <w:pPr>
              <w:jc w:val="right"/>
              <w:ind w:right="294"/>
              <w:spacing w:after="0"/>
              <w:rPr>
                <w:sz w:val="20"/>
                <w:szCs w:val="20"/>
                <w:color w:val="auto"/>
              </w:rPr>
            </w:pPr>
            <w:r>
              <w:rPr>
                <w:rFonts w:ascii="Arial" w:cs="Arial" w:eastAsia="Arial" w:hAnsi="Arial"/>
                <w:sz w:val="18"/>
                <w:szCs w:val="18"/>
                <w:color w:val="auto"/>
              </w:rPr>
              <w:t>170,701</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60" w:right="8060" w:hanging="152"/>
        <w:spacing w:after="0" w:line="286" w:lineRule="auto"/>
        <w:tabs>
          <w:tab w:leader="none" w:pos="194" w:val="left"/>
        </w:tabs>
        <w:numPr>
          <w:ilvl w:val="0"/>
          <w:numId w:val="76"/>
        </w:numPr>
        <w:rPr>
          <w:rFonts w:ascii="Arial" w:cs="Arial" w:eastAsia="Arial" w:hAnsi="Arial"/>
          <w:sz w:val="16"/>
          <w:szCs w:val="16"/>
          <w:color w:val="auto"/>
        </w:rPr>
      </w:pPr>
      <w:r>
        <w:rPr>
          <w:rFonts w:ascii="Arial" w:cs="Arial" w:eastAsia="Arial" w:hAnsi="Arial"/>
          <w:sz w:val="16"/>
          <w:szCs w:val="16"/>
          <w:color w:val="auto"/>
        </w:rPr>
        <w:t>of the Target Performance Level based on the Average Operating Profit Margin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420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160"/>
        <w:spacing w:after="0"/>
        <w:tabs>
          <w:tab w:leader="none" w:pos="5420" w:val="left"/>
          <w:tab w:leader="none" w:pos="7240" w:val="left"/>
          <w:tab w:leader="none" w:pos="9180" w:val="left"/>
          <w:tab w:leader="none" w:pos="10980" w:val="left"/>
        </w:tabs>
        <w:rPr>
          <w:sz w:val="20"/>
          <w:szCs w:val="20"/>
          <w:color w:val="auto"/>
        </w:rPr>
      </w:pPr>
      <w:r>
        <w:rPr>
          <w:rFonts w:ascii="Arial" w:cs="Arial" w:eastAsia="Arial" w:hAnsi="Arial"/>
          <w:sz w:val="18"/>
          <w:szCs w:val="18"/>
          <w:color w:val="auto"/>
        </w:rPr>
        <w:t>Performance Period</w:t>
      </w:r>
      <w:r>
        <w:rPr>
          <w:sz w:val="20"/>
          <w:szCs w:val="20"/>
          <w:color w:val="auto"/>
        </w:rPr>
        <w:tab/>
      </w: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N/A</w:t>
      </w:r>
    </w:p>
    <w:p>
      <w:pPr>
        <w:spacing w:after="0" w:line="2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$9.6, $11.3 and $5.3 in 2012, 2011 and 2010, respectively, related to the performance share units.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OTHER STOCK PLANS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$0.2 of expense for shares purchased under the plan in 2012 and 2011, and a benefit of $0.2 in 2010 due to forfeitures.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86B6A5"/>
        </w:rPr>
        <w:t>04.</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Net Earnings (Loss) Per Share</w:t>
      </w:r>
    </w:p>
    <w:p>
      <w:pPr>
        <w:spacing w:after="0"/>
        <w:rPr>
          <w:sz w:val="20"/>
          <w:szCs w:val="20"/>
          <w:color w:val="auto"/>
        </w:rPr>
      </w:pPr>
      <w:r>
        <w:rPr>
          <w:rFonts w:ascii="Arial" w:cs="Arial" w:eastAsia="Arial" w:hAnsi="Arial"/>
          <w:sz w:val="18"/>
          <w:szCs w:val="18"/>
          <w:color w:val="auto"/>
        </w:rPr>
        <w:t>The calculation of net earnings (loss) per share — basic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260" w:type="dxa"/>
            <w:vAlign w:val="bottom"/>
            <w:tcBorders>
              <w:bottom w:val="single" w:sz="8" w:color="86B6A5"/>
            </w:tcBorders>
            <w:shd w:val="clear" w:color="auto" w:fill="86B6A5"/>
          </w:tcPr>
          <w:p>
            <w:pPr>
              <w:jc w:val="right"/>
              <w:ind w:right="256"/>
              <w:spacing w:after="0"/>
              <w:rPr>
                <w:sz w:val="20"/>
                <w:szCs w:val="20"/>
                <w:color w:val="auto"/>
              </w:rPr>
            </w:pPr>
            <w:r>
              <w:rPr>
                <w:rFonts w:ascii="Arial" w:cs="Arial" w:eastAsia="Arial" w:hAnsi="Arial"/>
                <w:sz w:val="14"/>
                <w:szCs w:val="14"/>
                <w:b w:val="1"/>
                <w:bCs w:val="1"/>
                <w:color w:val="FFFFFF"/>
              </w:rPr>
              <w:t>2012</w:t>
            </w:r>
          </w:p>
        </w:tc>
        <w:tc>
          <w:tcPr>
            <w:tcW w:w="36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96"/>
              <w:spacing w:after="0"/>
              <w:rPr>
                <w:sz w:val="20"/>
                <w:szCs w:val="20"/>
                <w:color w:val="auto"/>
              </w:rPr>
            </w:pPr>
            <w:r>
              <w:rPr>
                <w:rFonts w:ascii="Arial" w:cs="Arial" w:eastAsia="Arial" w:hAnsi="Arial"/>
                <w:sz w:val="14"/>
                <w:szCs w:val="14"/>
                <w:b w:val="1"/>
                <w:bCs w:val="1"/>
                <w:color w:val="86B6A5"/>
              </w:rPr>
              <w:t>2011</w:t>
            </w:r>
          </w:p>
        </w:tc>
        <w:tc>
          <w:tcPr>
            <w:tcW w:w="50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2010</w:t>
            </w: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Net earnings (loss) available to common shareholders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197.6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251.6</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shd w:val="clear" w:color="auto" w:fill="E3F1DA"/>
          </w:tcPr>
          <w:p>
            <w:pPr>
              <w:spacing w:after="0"/>
              <w:rPr>
                <w:sz w:val="18"/>
                <w:szCs w:val="18"/>
                <w:color w:val="auto"/>
              </w:rPr>
            </w:pP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79.5</w:t>
            </w:r>
          </w:p>
        </w:tc>
        <w:tc>
          <w:tcPr>
            <w:tcW w:w="36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81.6</w:t>
            </w:r>
          </w:p>
        </w:tc>
        <w:tc>
          <w:tcPr>
            <w:tcW w:w="5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81.0</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2.49</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3.08</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7500" w:type="dxa"/>
            <w:vAlign w:val="bottom"/>
            <w:tcBorders>
              <w:top w:val="single" w:sz="8" w:color="939598"/>
            </w:tcBorders>
          </w:tcPr>
          <w:p>
            <w:pPr>
              <w:spacing w:after="0"/>
              <w:rPr>
                <w:sz w:val="20"/>
                <w:szCs w:val="20"/>
                <w:color w:val="auto"/>
              </w:rPr>
            </w:pPr>
            <w:r>
              <w:rPr>
                <w:rFonts w:ascii="Arial" w:cs="Arial" w:eastAsia="Arial" w:hAnsi="Arial"/>
                <w:sz w:val="18"/>
                <w:szCs w:val="18"/>
                <w:color w:val="auto"/>
              </w:rPr>
              <w:t>The calculation of net earnings (loss) per share — diluted was as follows:</w:t>
            </w:r>
          </w:p>
        </w:tc>
        <w:tc>
          <w:tcPr>
            <w:tcW w:w="100" w:type="dxa"/>
            <w:vAlign w:val="bottom"/>
            <w:tcBorders>
              <w:top w:val="single" w:sz="8" w:color="939598"/>
            </w:tcBorders>
          </w:tcPr>
          <w:p>
            <w:pPr>
              <w:spacing w:after="0"/>
              <w:rPr>
                <w:sz w:val="18"/>
                <w:szCs w:val="18"/>
                <w:color w:val="auto"/>
              </w:rPr>
            </w:pPr>
          </w:p>
        </w:tc>
        <w:tc>
          <w:tcPr>
            <w:tcW w:w="1260" w:type="dxa"/>
            <w:vAlign w:val="bottom"/>
            <w:tcBorders>
              <w:top w:val="single" w:sz="8" w:color="939598"/>
            </w:tcBorders>
          </w:tcPr>
          <w:p>
            <w:pPr>
              <w:spacing w:after="0"/>
              <w:rPr>
                <w:sz w:val="18"/>
                <w:szCs w:val="18"/>
                <w:color w:val="auto"/>
              </w:rPr>
            </w:pPr>
          </w:p>
        </w:tc>
        <w:tc>
          <w:tcPr>
            <w:tcW w:w="360" w:type="dxa"/>
            <w:vAlign w:val="bottom"/>
            <w:tcBorders>
              <w:top w:val="single" w:sz="8" w:color="939598"/>
            </w:tcBorders>
          </w:tcPr>
          <w:p>
            <w:pPr>
              <w:spacing w:after="0"/>
              <w:rPr>
                <w:sz w:val="18"/>
                <w:szCs w:val="18"/>
                <w:color w:val="auto"/>
              </w:rPr>
            </w:pPr>
          </w:p>
        </w:tc>
        <w:tc>
          <w:tcPr>
            <w:tcW w:w="840" w:type="dxa"/>
            <w:vAlign w:val="bottom"/>
            <w:tcBorders>
              <w:top w:val="single" w:sz="8" w:color="939598"/>
            </w:tcBorders>
          </w:tcPr>
          <w:p>
            <w:pPr>
              <w:spacing w:after="0"/>
              <w:rPr>
                <w:sz w:val="18"/>
                <w:szCs w:val="18"/>
                <w:color w:val="auto"/>
              </w:rPr>
            </w:pPr>
          </w:p>
        </w:tc>
        <w:tc>
          <w:tcPr>
            <w:tcW w:w="500" w:type="dxa"/>
            <w:vAlign w:val="bottom"/>
            <w:tcBorders>
              <w:top w:val="single" w:sz="8" w:color="939598"/>
            </w:tcBorders>
          </w:tcPr>
          <w:p>
            <w:pPr>
              <w:spacing w:after="0"/>
              <w:rPr>
                <w:sz w:val="18"/>
                <w:szCs w:val="18"/>
                <w:color w:val="auto"/>
              </w:rPr>
            </w:pPr>
          </w:p>
        </w:tc>
        <w:tc>
          <w:tcPr>
            <w:tcW w:w="840" w:type="dxa"/>
            <w:vAlign w:val="bottom"/>
            <w:tcBorders>
              <w:top w:val="single" w:sz="8" w:color="939598"/>
            </w:tcBorders>
          </w:tcPr>
          <w:p>
            <w:pPr>
              <w:spacing w:after="0"/>
              <w:rPr>
                <w:sz w:val="18"/>
                <w:szCs w:val="18"/>
                <w:color w:val="auto"/>
              </w:rPr>
            </w:pPr>
          </w:p>
        </w:tc>
      </w:tr>
      <w:tr>
        <w:trPr>
          <w:trHeight w:val="156"/>
        </w:trPr>
        <w:tc>
          <w:tcPr>
            <w:tcW w:w="7520" w:type="dxa"/>
            <w:vAlign w:val="bottom"/>
            <w:gridSpan w:val="2"/>
          </w:tcPr>
          <w:p>
            <w:pPr>
              <w:spacing w:after="0" w:line="156" w:lineRule="exact"/>
              <w:rPr>
                <w:sz w:val="20"/>
                <w:szCs w:val="20"/>
                <w:color w:val="auto"/>
              </w:rPr>
            </w:pPr>
            <w:r>
              <w:rPr>
                <w:rFonts w:ascii="Arial" w:cs="Arial" w:eastAsia="Arial" w:hAnsi="Arial"/>
                <w:sz w:val="14"/>
                <w:szCs w:val="14"/>
                <w:b w:val="1"/>
                <w:bCs w:val="1"/>
                <w:color w:val="86B6A5"/>
              </w:rPr>
              <w:t>Year Ended December 31</w:t>
            </w:r>
          </w:p>
        </w:tc>
        <w:tc>
          <w:tcPr>
            <w:tcW w:w="100" w:type="dxa"/>
            <w:vAlign w:val="bottom"/>
            <w:shd w:val="clear" w:color="auto" w:fill="86B6A5"/>
          </w:tcPr>
          <w:p>
            <w:pPr>
              <w:spacing w:after="0"/>
              <w:rPr>
                <w:sz w:val="13"/>
                <w:szCs w:val="13"/>
                <w:color w:val="auto"/>
              </w:rPr>
            </w:pPr>
          </w:p>
        </w:tc>
        <w:tc>
          <w:tcPr>
            <w:tcW w:w="1260" w:type="dxa"/>
            <w:vAlign w:val="bottom"/>
            <w:shd w:val="clear" w:color="auto" w:fill="86B6A5"/>
          </w:tcPr>
          <w:p>
            <w:pPr>
              <w:jc w:val="right"/>
              <w:ind w:right="256"/>
              <w:spacing w:after="0" w:line="156" w:lineRule="exact"/>
              <w:rPr>
                <w:sz w:val="20"/>
                <w:szCs w:val="20"/>
                <w:color w:val="auto"/>
              </w:rPr>
            </w:pPr>
            <w:r>
              <w:rPr>
                <w:rFonts w:ascii="Arial" w:cs="Arial" w:eastAsia="Arial" w:hAnsi="Arial"/>
                <w:sz w:val="14"/>
                <w:szCs w:val="14"/>
                <w:b w:val="1"/>
                <w:bCs w:val="1"/>
                <w:color w:val="FFFFFF"/>
              </w:rPr>
              <w:t>2012</w:t>
            </w:r>
          </w:p>
        </w:tc>
        <w:tc>
          <w:tcPr>
            <w:tcW w:w="360" w:type="dxa"/>
            <w:vAlign w:val="bottom"/>
          </w:tcPr>
          <w:p>
            <w:pPr>
              <w:spacing w:after="0"/>
              <w:rPr>
                <w:sz w:val="13"/>
                <w:szCs w:val="13"/>
                <w:color w:val="auto"/>
              </w:rPr>
            </w:pPr>
          </w:p>
        </w:tc>
        <w:tc>
          <w:tcPr>
            <w:tcW w:w="840" w:type="dxa"/>
            <w:vAlign w:val="bottom"/>
          </w:tcPr>
          <w:p>
            <w:pPr>
              <w:jc w:val="right"/>
              <w:ind w:right="96"/>
              <w:spacing w:after="0" w:line="156" w:lineRule="exact"/>
              <w:rPr>
                <w:sz w:val="20"/>
                <w:szCs w:val="20"/>
                <w:color w:val="auto"/>
              </w:rPr>
            </w:pPr>
            <w:r>
              <w:rPr>
                <w:rFonts w:ascii="Arial" w:cs="Arial" w:eastAsia="Arial" w:hAnsi="Arial"/>
                <w:sz w:val="14"/>
                <w:szCs w:val="14"/>
                <w:b w:val="1"/>
                <w:bCs w:val="1"/>
                <w:color w:val="86B6A5"/>
              </w:rPr>
              <w:t>2011</w:t>
            </w:r>
          </w:p>
        </w:tc>
        <w:tc>
          <w:tcPr>
            <w:tcW w:w="500" w:type="dxa"/>
            <w:vAlign w:val="bottom"/>
          </w:tcPr>
          <w:p>
            <w:pPr>
              <w:spacing w:after="0"/>
              <w:rPr>
                <w:sz w:val="13"/>
                <w:szCs w:val="13"/>
                <w:color w:val="auto"/>
              </w:rPr>
            </w:pPr>
          </w:p>
        </w:tc>
        <w:tc>
          <w:tcPr>
            <w:tcW w:w="840" w:type="dxa"/>
            <w:vAlign w:val="bottom"/>
          </w:tcPr>
          <w:p>
            <w:pPr>
              <w:jc w:val="right"/>
              <w:ind w:right="36"/>
              <w:spacing w:after="0" w:line="156" w:lineRule="exact"/>
              <w:rPr>
                <w:sz w:val="20"/>
                <w:szCs w:val="20"/>
                <w:color w:val="auto"/>
              </w:rPr>
            </w:pPr>
            <w:r>
              <w:rPr>
                <w:rFonts w:ascii="Arial" w:cs="Arial" w:eastAsia="Arial" w:hAnsi="Arial"/>
                <w:sz w:val="14"/>
                <w:szCs w:val="14"/>
                <w:b w:val="1"/>
                <w:bCs w:val="1"/>
                <w:color w:val="86B6A5"/>
              </w:rPr>
              <w:t>2010</w:t>
            </w:r>
          </w:p>
        </w:tc>
      </w:tr>
      <w:tr>
        <w:trPr>
          <w:trHeight w:val="210"/>
        </w:trPr>
        <w:tc>
          <w:tcPr>
            <w:tcW w:w="20" w:type="dxa"/>
            <w:vAlign w:val="bottom"/>
          </w:tcPr>
          <w:p>
            <w:pPr>
              <w:spacing w:after="0"/>
              <w:rPr>
                <w:sz w:val="18"/>
                <w:szCs w:val="18"/>
                <w:color w:val="auto"/>
              </w:rPr>
            </w:pPr>
          </w:p>
        </w:tc>
        <w:tc>
          <w:tcPr>
            <w:tcW w:w="750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Net earnings (loss) available to common shareholders</w:t>
            </w:r>
          </w:p>
        </w:tc>
        <w:tc>
          <w:tcPr>
            <w:tcW w:w="10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86B6A5"/>
            </w:tcBorders>
            <w:shd w:val="clear" w:color="auto" w:fill="E3F1DA"/>
          </w:tcPr>
          <w:p>
            <w:pPr>
              <w:jc w:val="right"/>
              <w:ind w:right="256"/>
              <w:spacing w:after="0"/>
              <w:rPr>
                <w:sz w:val="20"/>
                <w:szCs w:val="20"/>
                <w:color w:val="auto"/>
              </w:rPr>
            </w:pPr>
            <w:r>
              <w:rPr>
                <w:rFonts w:ascii="Arial" w:cs="Arial" w:eastAsia="Arial" w:hAnsi="Arial"/>
                <w:sz w:val="18"/>
                <w:szCs w:val="18"/>
                <w:color w:val="auto"/>
              </w:rPr>
              <w:t>197.6</w:t>
            </w:r>
          </w:p>
        </w:tc>
        <w:tc>
          <w:tcPr>
            <w:tcW w:w="360" w:type="dxa"/>
            <w:vAlign w:val="bottom"/>
            <w:tcBorders>
              <w:top w:val="single" w:sz="8" w:color="86B6A5"/>
            </w:tcBorders>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86B6A5"/>
            </w:tcBorders>
          </w:tcPr>
          <w:p>
            <w:pPr>
              <w:jc w:val="right"/>
              <w:ind w:right="96"/>
              <w:spacing w:after="0"/>
              <w:rPr>
                <w:sz w:val="20"/>
                <w:szCs w:val="20"/>
                <w:color w:val="auto"/>
              </w:rPr>
            </w:pPr>
            <w:r>
              <w:rPr>
                <w:rFonts w:ascii="Arial" w:cs="Arial" w:eastAsia="Arial" w:hAnsi="Arial"/>
                <w:sz w:val="18"/>
                <w:szCs w:val="18"/>
                <w:color w:val="auto"/>
              </w:rPr>
              <w:t>251.6</w:t>
            </w:r>
          </w:p>
        </w:tc>
        <w:tc>
          <w:tcPr>
            <w:tcW w:w="500" w:type="dxa"/>
            <w:vAlign w:val="bottom"/>
            <w:tcBorders>
              <w:top w:val="single" w:sz="8" w:color="86B6A5"/>
            </w:tcBorders>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(263.6)</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shd w:val="clear" w:color="auto" w:fill="E3F1DA"/>
          </w:tcPr>
          <w:p>
            <w:pPr>
              <w:spacing w:after="0"/>
              <w:rPr>
                <w:sz w:val="18"/>
                <w:szCs w:val="18"/>
                <w:color w:val="auto"/>
              </w:rPr>
            </w:pP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79.5</w:t>
            </w:r>
          </w:p>
        </w:tc>
        <w:tc>
          <w:tcPr>
            <w:tcW w:w="36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81.6</w:t>
            </w:r>
          </w:p>
        </w:tc>
        <w:tc>
          <w:tcPr>
            <w:tcW w:w="5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81.0</w:t>
            </w:r>
          </w:p>
        </w:tc>
      </w:tr>
      <w:tr>
        <w:trPr>
          <w:trHeight w:val="208"/>
        </w:trPr>
        <w:tc>
          <w:tcPr>
            <w:tcW w:w="7520" w:type="dxa"/>
            <w:vAlign w:val="bottom"/>
            <w:gridSpan w:val="2"/>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100" w:type="dxa"/>
            <w:vAlign w:val="bottom"/>
            <w:shd w:val="clear" w:color="auto" w:fill="E3F1DA"/>
          </w:tcPr>
          <w:p>
            <w:pPr>
              <w:spacing w:after="0"/>
              <w:rPr>
                <w:sz w:val="18"/>
                <w:szCs w:val="18"/>
                <w:color w:val="auto"/>
              </w:rPr>
            </w:pP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Effect of other share-based awards (in millions)</w:t>
            </w:r>
          </w:p>
        </w:tc>
        <w:tc>
          <w:tcPr>
            <w:tcW w:w="100" w:type="dxa"/>
            <w:vAlign w:val="bottom"/>
            <w:shd w:val="clear" w:color="auto" w:fill="E3F1DA"/>
          </w:tcPr>
          <w:p>
            <w:pPr>
              <w:spacing w:after="0"/>
              <w:rPr>
                <w:sz w:val="19"/>
                <w:szCs w:val="19"/>
                <w:color w:val="auto"/>
              </w:rPr>
            </w:pPr>
          </w:p>
        </w:tc>
        <w:tc>
          <w:tcPr>
            <w:tcW w:w="12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750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spacing w:after="0"/>
              <w:rPr>
                <w:sz w:val="18"/>
                <w:szCs w:val="18"/>
                <w:color w:val="auto"/>
              </w:rPr>
            </w:pPr>
          </w:p>
        </w:tc>
        <w:tc>
          <w:tcPr>
            <w:tcW w:w="1260" w:type="dxa"/>
            <w:vAlign w:val="bottom"/>
            <w:tcBorders>
              <w:top w:val="single" w:sz="8" w:color="939598"/>
              <w:bottom w:val="single" w:sz="8" w:color="939598"/>
            </w:tcBorders>
            <w:shd w:val="clear" w:color="auto" w:fill="E3F1DA"/>
          </w:tcPr>
          <w:p>
            <w:pPr>
              <w:jc w:val="right"/>
              <w:ind w:right="256"/>
              <w:spacing w:after="0"/>
              <w:rPr>
                <w:sz w:val="20"/>
                <w:szCs w:val="20"/>
                <w:color w:val="auto"/>
              </w:rPr>
            </w:pPr>
            <w:r>
              <w:rPr>
                <w:rFonts w:ascii="Arial" w:cs="Arial" w:eastAsia="Arial" w:hAnsi="Arial"/>
                <w:sz w:val="18"/>
                <w:szCs w:val="18"/>
                <w:color w:val="auto"/>
              </w:rPr>
              <w:t>80.1</w:t>
            </w:r>
          </w:p>
        </w:tc>
        <w:tc>
          <w:tcPr>
            <w:tcW w:w="360" w:type="dxa"/>
            <w:vAlign w:val="bottom"/>
            <w:tcBorders>
              <w:top w:val="single" w:sz="8" w:color="939598"/>
              <w:bottom w:val="single" w:sz="8" w:color="939598"/>
            </w:tcBorders>
          </w:tcPr>
          <w:p>
            <w:pPr>
              <w:spacing w:after="0"/>
              <w:rPr>
                <w:sz w:val="18"/>
                <w:szCs w:val="18"/>
                <w:color w:val="auto"/>
              </w:rPr>
            </w:pPr>
          </w:p>
        </w:tc>
        <w:tc>
          <w:tcPr>
            <w:tcW w:w="840" w:type="dxa"/>
            <w:vAlign w:val="bottom"/>
            <w:tcBorders>
              <w:top w:val="single" w:sz="8" w:color="939598"/>
              <w:bottom w:val="single" w:sz="8" w:color="939598"/>
            </w:tcBorders>
          </w:tcPr>
          <w:p>
            <w:pPr>
              <w:jc w:val="right"/>
              <w:ind w:right="96"/>
              <w:spacing w:after="0"/>
              <w:rPr>
                <w:sz w:val="20"/>
                <w:szCs w:val="20"/>
                <w:color w:val="auto"/>
              </w:rPr>
            </w:pPr>
            <w:r>
              <w:rPr>
                <w:rFonts w:ascii="Arial" w:cs="Arial" w:eastAsia="Arial" w:hAnsi="Arial"/>
                <w:sz w:val="18"/>
                <w:szCs w:val="18"/>
                <w:color w:val="auto"/>
              </w:rPr>
              <w:t>82.8</w:t>
            </w:r>
          </w:p>
        </w:tc>
        <w:tc>
          <w:tcPr>
            <w:tcW w:w="500" w:type="dxa"/>
            <w:vAlign w:val="bottom"/>
            <w:tcBorders>
              <w:top w:val="single" w:sz="8" w:color="939598"/>
              <w:bottom w:val="single" w:sz="8" w:color="939598"/>
            </w:tcBorders>
          </w:tcPr>
          <w:p>
            <w:pPr>
              <w:spacing w:after="0"/>
              <w:rPr>
                <w:sz w:val="18"/>
                <w:szCs w:val="18"/>
                <w:color w:val="auto"/>
              </w:rPr>
            </w:pPr>
          </w:p>
        </w:tc>
        <w:tc>
          <w:tcPr>
            <w:tcW w:w="840" w:type="dxa"/>
            <w:vAlign w:val="bottom"/>
            <w:tcBorders>
              <w:top w:val="single" w:sz="8" w:color="939598"/>
              <w:bottom w:val="single" w:sz="8" w:color="939598"/>
            </w:tcBorders>
          </w:tcPr>
          <w:p>
            <w:pPr>
              <w:jc w:val="right"/>
              <w:ind w:right="36"/>
              <w:spacing w:after="0"/>
              <w:rPr>
                <w:sz w:val="20"/>
                <w:szCs w:val="20"/>
                <w:color w:val="auto"/>
              </w:rPr>
            </w:pPr>
            <w:r>
              <w:rPr>
                <w:rFonts w:ascii="Arial" w:cs="Arial" w:eastAsia="Arial" w:hAnsi="Arial"/>
                <w:sz w:val="18"/>
                <w:szCs w:val="18"/>
                <w:color w:val="auto"/>
              </w:rPr>
              <w:t>81.0</w:t>
            </w:r>
          </w:p>
        </w:tc>
      </w:tr>
      <w:tr>
        <w:trPr>
          <w:trHeight w:val="210"/>
        </w:trPr>
        <w:tc>
          <w:tcPr>
            <w:tcW w:w="20" w:type="dxa"/>
            <w:vAlign w:val="bottom"/>
          </w:tcPr>
          <w:p>
            <w:pPr>
              <w:spacing w:after="0"/>
              <w:rPr>
                <w:sz w:val="18"/>
                <w:szCs w:val="18"/>
                <w:color w:val="auto"/>
              </w:rPr>
            </w:pPr>
          </w:p>
        </w:tc>
        <w:tc>
          <w:tcPr>
            <w:tcW w:w="75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939598"/>
            </w:tcBorders>
            <w:shd w:val="clear" w:color="auto" w:fill="E3F1DA"/>
          </w:tcPr>
          <w:p>
            <w:pPr>
              <w:jc w:val="right"/>
              <w:ind w:right="256"/>
              <w:spacing w:after="0"/>
              <w:rPr>
                <w:sz w:val="20"/>
                <w:szCs w:val="20"/>
                <w:color w:val="auto"/>
              </w:rPr>
            </w:pPr>
            <w:r>
              <w:rPr>
                <w:rFonts w:ascii="Arial" w:cs="Arial" w:eastAsia="Arial" w:hAnsi="Arial"/>
                <w:sz w:val="18"/>
                <w:szCs w:val="18"/>
                <w:color w:val="auto"/>
              </w:rPr>
              <w:t>2.47</w:t>
            </w:r>
          </w:p>
        </w:tc>
        <w:tc>
          <w:tcPr>
            <w:tcW w:w="360" w:type="dxa"/>
            <w:vAlign w:val="bottom"/>
            <w:tcBorders>
              <w:bottom w:val="single" w:sz="8" w:color="939598"/>
            </w:tcBorders>
          </w:tcPr>
          <w:p>
            <w:pPr>
              <w:jc w:val="right"/>
              <w:ind w:right="2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939598"/>
            </w:tcBorders>
          </w:tcPr>
          <w:p>
            <w:pPr>
              <w:jc w:val="right"/>
              <w:ind w:right="96"/>
              <w:spacing w:after="0"/>
              <w:rPr>
                <w:sz w:val="20"/>
                <w:szCs w:val="20"/>
                <w:color w:val="auto"/>
              </w:rPr>
            </w:pPr>
            <w:r>
              <w:rPr>
                <w:rFonts w:ascii="Arial" w:cs="Arial" w:eastAsia="Arial" w:hAnsi="Arial"/>
                <w:sz w:val="18"/>
                <w:szCs w:val="18"/>
                <w:color w:val="auto"/>
              </w:rPr>
              <w:t>3.04</w:t>
            </w: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(3.26)</w:t>
            </w:r>
          </w:p>
        </w:tc>
      </w:tr>
    </w:tbl>
    <w:p>
      <w:pPr>
        <w:spacing w:after="0" w:line="244"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83" w:name="page84"/>
    <w:bookmarkEnd w:id="83"/>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were 4.3 million and 3.1 million share-based awards excluded from the calculation of net earnings per share — diluted for the year ended December 31, 2012 and 2011, respectively, as the exercise prices for these awards were greater than the average market price of the common shares during the period. Due to the net loss for the year ended December 31, 2010, the assumed exercise of share-based awards had an antidilutive effect and therefore was not included in the calculation of net loss per share — diluted. The number, exercise prices and weighted-average remaining life of these antidilutive awards were as follows: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7260" w:type="dxa"/>
            <w:vAlign w:val="bottom"/>
            <w:tcBorders>
              <w:bottom w:val="single" w:sz="8" w:color="86B6A5"/>
            </w:tcBorders>
          </w:tcPr>
          <w:p>
            <w:pPr>
              <w:spacing w:after="0"/>
              <w:rPr>
                <w:sz w:val="12"/>
                <w:szCs w:val="12"/>
                <w:color w:val="auto"/>
              </w:rPr>
            </w:pPr>
          </w:p>
        </w:tc>
        <w:tc>
          <w:tcPr>
            <w:tcW w:w="1380" w:type="dxa"/>
            <w:vAlign w:val="bottom"/>
            <w:tcBorders>
              <w:bottom w:val="single" w:sz="8" w:color="86B6A5"/>
            </w:tcBorders>
            <w:shd w:val="clear" w:color="auto" w:fill="86B6A5"/>
          </w:tcPr>
          <w:p>
            <w:pPr>
              <w:jc w:val="right"/>
              <w:ind w:right="257"/>
              <w:spacing w:after="0" w:line="145" w:lineRule="exact"/>
              <w:rPr>
                <w:sz w:val="20"/>
                <w:szCs w:val="20"/>
                <w:color w:val="auto"/>
              </w:rPr>
            </w:pPr>
            <w:r>
              <w:rPr>
                <w:rFonts w:ascii="Arial" w:cs="Arial" w:eastAsia="Arial" w:hAnsi="Arial"/>
                <w:sz w:val="14"/>
                <w:szCs w:val="14"/>
                <w:b w:val="1"/>
                <w:bCs w:val="1"/>
                <w:color w:val="FFFFFF"/>
              </w:rPr>
              <w:t>2012</w:t>
            </w:r>
          </w:p>
        </w:tc>
        <w:tc>
          <w:tcPr>
            <w:tcW w:w="1580" w:type="dxa"/>
            <w:vAlign w:val="bottom"/>
            <w:tcBorders>
              <w:bottom w:val="single" w:sz="8" w:color="86B6A5"/>
            </w:tcBorders>
          </w:tcPr>
          <w:p>
            <w:pPr>
              <w:jc w:val="right"/>
              <w:ind w:right="357"/>
              <w:spacing w:after="0" w:line="145" w:lineRule="exact"/>
              <w:rPr>
                <w:sz w:val="20"/>
                <w:szCs w:val="20"/>
                <w:color w:val="auto"/>
              </w:rPr>
            </w:pPr>
            <w:r>
              <w:rPr>
                <w:rFonts w:ascii="Arial" w:cs="Arial" w:eastAsia="Arial" w:hAnsi="Arial"/>
                <w:sz w:val="14"/>
                <w:szCs w:val="14"/>
                <w:b w:val="1"/>
                <w:bCs w:val="1"/>
                <w:color w:val="86B6A5"/>
              </w:rPr>
              <w:t>2011</w:t>
            </w:r>
          </w:p>
        </w:tc>
        <w:tc>
          <w:tcPr>
            <w:tcW w:w="1180" w:type="dxa"/>
            <w:vAlign w:val="bottom"/>
            <w:tcBorders>
              <w:bottom w:val="single" w:sz="8" w:color="86B6A5"/>
            </w:tcBorders>
          </w:tcPr>
          <w:p>
            <w:pPr>
              <w:jc w:val="right"/>
              <w:ind w:right="37"/>
              <w:spacing w:after="0" w:line="145" w:lineRule="exact"/>
              <w:rPr>
                <w:sz w:val="20"/>
                <w:szCs w:val="20"/>
                <w:color w:val="auto"/>
              </w:rPr>
            </w:pPr>
            <w:r>
              <w:rPr>
                <w:rFonts w:ascii="Arial" w:cs="Arial" w:eastAsia="Arial" w:hAnsi="Arial"/>
                <w:sz w:val="14"/>
                <w:szCs w:val="14"/>
                <w:b w:val="1"/>
                <w:bCs w:val="1"/>
                <w:color w:val="86B6A5"/>
              </w:rPr>
              <w:t>2010</w:t>
            </w: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Shares (in thousands)</w:t>
            </w:r>
          </w:p>
        </w:tc>
        <w:tc>
          <w:tcPr>
            <w:tcW w:w="13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4,257</w:t>
            </w:r>
          </w:p>
        </w:tc>
        <w:tc>
          <w:tcPr>
            <w:tcW w:w="1580" w:type="dxa"/>
            <w:vAlign w:val="bottom"/>
          </w:tcPr>
          <w:p>
            <w:pPr>
              <w:jc w:val="right"/>
              <w:ind w:right="357"/>
              <w:spacing w:after="0"/>
              <w:rPr>
                <w:sz w:val="20"/>
                <w:szCs w:val="20"/>
                <w:color w:val="auto"/>
              </w:rPr>
            </w:pPr>
            <w:r>
              <w:rPr>
                <w:rFonts w:ascii="Arial" w:cs="Arial" w:eastAsia="Arial" w:hAnsi="Arial"/>
                <w:sz w:val="18"/>
                <w:szCs w:val="18"/>
                <w:color w:val="auto"/>
              </w:rPr>
              <w:t>3,074</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6,583</w:t>
            </w:r>
          </w:p>
        </w:tc>
      </w:tr>
      <w:tr>
        <w:trPr>
          <w:trHeight w:val="208"/>
        </w:trPr>
        <w:tc>
          <w:tcPr>
            <w:tcW w:w="7280" w:type="dxa"/>
            <w:vAlign w:val="bottom"/>
            <w:gridSpan w:val="2"/>
          </w:tcPr>
          <w:p>
            <w:pPr>
              <w:spacing w:after="0"/>
              <w:rPr>
                <w:sz w:val="20"/>
                <w:szCs w:val="20"/>
                <w:color w:val="auto"/>
              </w:rPr>
            </w:pPr>
            <w:r>
              <w:rPr>
                <w:rFonts w:ascii="Arial" w:cs="Arial" w:eastAsia="Arial" w:hAnsi="Arial"/>
                <w:sz w:val="18"/>
                <w:szCs w:val="18"/>
                <w:color w:val="auto"/>
              </w:rPr>
              <w:t>Exercise price ranges</w:t>
            </w:r>
          </w:p>
        </w:tc>
        <w:tc>
          <w:tcPr>
            <w:tcW w:w="13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$40–$93</w:t>
            </w:r>
          </w:p>
        </w:tc>
        <w:tc>
          <w:tcPr>
            <w:tcW w:w="1580" w:type="dxa"/>
            <w:vAlign w:val="bottom"/>
          </w:tcPr>
          <w:p>
            <w:pPr>
              <w:jc w:val="right"/>
              <w:ind w:right="357"/>
              <w:spacing w:after="0"/>
              <w:rPr>
                <w:sz w:val="20"/>
                <w:szCs w:val="20"/>
                <w:color w:val="auto"/>
              </w:rPr>
            </w:pPr>
            <w:r>
              <w:rPr>
                <w:rFonts w:ascii="Arial" w:cs="Arial" w:eastAsia="Arial" w:hAnsi="Arial"/>
                <w:sz w:val="18"/>
                <w:szCs w:val="18"/>
                <w:color w:val="auto"/>
              </w:rPr>
              <w:t>$52–$93</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$11–$93</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Weighted-average remaining life</w:t>
            </w:r>
          </w:p>
        </w:tc>
        <w:tc>
          <w:tcPr>
            <w:tcW w:w="13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4.8 years</w:t>
            </w:r>
          </w:p>
        </w:tc>
        <w:tc>
          <w:tcPr>
            <w:tcW w:w="1580" w:type="dxa"/>
            <w:vAlign w:val="bottom"/>
          </w:tcPr>
          <w:p>
            <w:pPr>
              <w:jc w:val="right"/>
              <w:ind w:right="357"/>
              <w:spacing w:after="0"/>
              <w:rPr>
                <w:sz w:val="20"/>
                <w:szCs w:val="20"/>
                <w:color w:val="auto"/>
              </w:rPr>
            </w:pPr>
            <w:r>
              <w:rPr>
                <w:rFonts w:ascii="Arial" w:cs="Arial" w:eastAsia="Arial" w:hAnsi="Arial"/>
                <w:sz w:val="18"/>
                <w:szCs w:val="18"/>
                <w:color w:val="auto"/>
              </w:rPr>
              <w:t>6.3 years</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5.8 years</w:t>
            </w: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939598"/>
          </w:tcPr>
          <w:p>
            <w:pPr>
              <w:spacing w:after="0" w:line="20" w:lineRule="exact"/>
              <w:rPr>
                <w:sz w:val="1"/>
                <w:szCs w:val="1"/>
                <w:color w:val="auto"/>
              </w:rPr>
            </w:pPr>
          </w:p>
        </w:tc>
        <w:tc>
          <w:tcPr>
            <w:tcW w:w="1380" w:type="dxa"/>
            <w:vAlign w:val="bottom"/>
            <w:shd w:val="clear" w:color="auto" w:fill="939598"/>
          </w:tcPr>
          <w:p>
            <w:pPr>
              <w:spacing w:after="0" w:line="20" w:lineRule="exact"/>
              <w:rPr>
                <w:sz w:val="1"/>
                <w:szCs w:val="1"/>
                <w:color w:val="auto"/>
              </w:rPr>
            </w:pPr>
          </w:p>
        </w:tc>
        <w:tc>
          <w:tcPr>
            <w:tcW w:w="1580" w:type="dxa"/>
            <w:vAlign w:val="bottom"/>
            <w:shd w:val="clear" w:color="auto" w:fill="939598"/>
          </w:tcPr>
          <w:p>
            <w:pPr>
              <w:spacing w:after="0" w:line="20" w:lineRule="exact"/>
              <w:rPr>
                <w:sz w:val="1"/>
                <w:szCs w:val="1"/>
                <w:color w:val="auto"/>
              </w:rPr>
            </w:pPr>
          </w:p>
        </w:tc>
        <w:tc>
          <w:tcPr>
            <w:tcW w:w="1180" w:type="dxa"/>
            <w:vAlign w:val="bottom"/>
            <w:shd w:val="clear" w:color="auto" w:fill="939598"/>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86B6A5"/>
        </w:rPr>
        <w:t>05.</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Income Taxes</w:t>
      </w:r>
    </w:p>
    <w:p>
      <w:pPr>
        <w:spacing w:after="0"/>
        <w:rPr>
          <w:sz w:val="20"/>
          <w:szCs w:val="20"/>
          <w:color w:val="auto"/>
        </w:rPr>
      </w:pPr>
      <w:r>
        <w:rPr>
          <w:rFonts w:ascii="Arial" w:cs="Arial" w:eastAsia="Arial" w:hAnsi="Arial"/>
          <w:sz w:val="18"/>
          <w:szCs w:val="18"/>
          <w:color w:val="auto"/>
        </w:rPr>
        <w:t>The provision for income taxes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2011</w:t>
            </w:r>
          </w:p>
        </w:tc>
        <w:tc>
          <w:tcPr>
            <w:tcW w:w="46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939598"/>
              </w:rPr>
              <w:t>Current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786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17.5</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24.2</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37.4</w:t>
            </w:r>
          </w:p>
        </w:tc>
      </w:tr>
      <w:tr>
        <w:trPr>
          <w:trHeight w:val="216"/>
        </w:trPr>
        <w:tc>
          <w:tcPr>
            <w:tcW w:w="7860" w:type="dxa"/>
            <w:vAlign w:val="bottom"/>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3.2</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Non-United States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4"/>
              <w:spacing w:after="0"/>
              <w:rPr>
                <w:sz w:val="20"/>
                <w:szCs w:val="20"/>
                <w:color w:val="auto"/>
              </w:rPr>
            </w:pPr>
            <w:r>
              <w:rPr>
                <w:rFonts w:ascii="Arial" w:cs="Arial" w:eastAsia="Arial" w:hAnsi="Arial"/>
                <w:sz w:val="18"/>
                <w:szCs w:val="18"/>
                <w:color w:val="auto"/>
              </w:rPr>
              <w:t>155.3</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176.5</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126.3</w:t>
            </w:r>
          </w:p>
        </w:tc>
      </w:tr>
      <w:tr>
        <w:trPr>
          <w:trHeight w:val="211"/>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current</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4"/>
              <w:spacing w:after="0"/>
              <w:rPr>
                <w:sz w:val="20"/>
                <w:szCs w:val="20"/>
                <w:color w:val="auto"/>
              </w:rPr>
            </w:pPr>
            <w:r>
              <w:rPr>
                <w:rFonts w:ascii="Arial" w:cs="Arial" w:eastAsia="Arial" w:hAnsi="Arial"/>
                <w:sz w:val="18"/>
                <w:szCs w:val="18"/>
                <w:color w:val="auto"/>
              </w:rPr>
              <w:t>182.4</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203.5</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166.9</w:t>
            </w: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939598"/>
              </w:rPr>
              <w:t>Deferred</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786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7860" w:type="dxa"/>
            <w:vAlign w:val="bottom"/>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Non-United States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23.8</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15.5</w:t>
            </w:r>
          </w:p>
        </w:tc>
      </w:tr>
      <w:tr>
        <w:trPr>
          <w:trHeight w:val="211"/>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deferred</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194"/>
              <w:spacing w:after="0"/>
              <w:rPr>
                <w:sz w:val="20"/>
                <w:szCs w:val="20"/>
                <w:color w:val="auto"/>
              </w:rPr>
            </w:pPr>
            <w:r>
              <w:rPr>
                <w:rFonts w:ascii="Arial" w:cs="Arial" w:eastAsia="Arial" w:hAnsi="Arial"/>
                <w:sz w:val="18"/>
                <w:szCs w:val="18"/>
                <w:color w:val="auto"/>
              </w:rPr>
              <w:t>(11.6)</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24.8</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(68.5)</w:t>
            </w:r>
          </w:p>
        </w:tc>
      </w:tr>
      <w:tr>
        <w:trPr>
          <w:trHeight w:val="210"/>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provision</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228.3</w:t>
            </w:r>
          </w:p>
        </w:tc>
        <w:tc>
          <w:tcPr>
            <w:tcW w:w="460" w:type="dxa"/>
            <w:vAlign w:val="bottom"/>
            <w:tcBorders>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-848360</wp:posOffset>
            </wp:positionV>
            <wp:extent cx="728980" cy="848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4899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taxes computed at the United States Federal statutory rate of 35% and the consolidated effective tax rate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2011</w:t>
            </w:r>
          </w:p>
        </w:tc>
        <w:tc>
          <w:tcPr>
            <w:tcW w:w="46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Income tax based on statutory rate</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128.9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168.0</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Increase (decrease) resulting from:</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State income taxes, net of Federal benefit</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Non-United States tax rate difference</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Repatriation of non-United States earnings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Change in valuation reserve</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Non-deductible goodwill impairment charge</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109.1</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6.7</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2.1</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Tax provision</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228.3</w:t>
            </w:r>
          </w:p>
        </w:tc>
        <w:tc>
          <w:tcPr>
            <w:tcW w:w="460" w:type="dxa"/>
            <w:vAlign w:val="bottom"/>
            <w:tcBorders>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-1114425</wp:posOffset>
            </wp:positionV>
            <wp:extent cx="728980" cy="1115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1115060"/>
                    </a:xfrm>
                    <a:prstGeom prst="rect">
                      <a:avLst/>
                    </a:prstGeom>
                    <a:noFill/>
                  </pic:spPr>
                </pic:pic>
              </a:graphicData>
            </a:graphic>
          </wp:anchor>
        </w:drawing>
      </w:r>
    </w:p>
    <w:p>
      <w:pPr>
        <w:spacing w:after="0" w:line="224"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84" w:name="page85"/>
    <w:bookmarkEnd w:id="84"/>
    <w:p>
      <w:pPr>
        <w:jc w:val="both"/>
        <w:ind w:right="20"/>
        <w:spacing w:after="0" w:line="265" w:lineRule="auto"/>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 Temporary differences, which gave rise to the deferred taxes, were as follows:</w:t>
      </w:r>
    </w:p>
    <w:tbl>
      <w:tblPr>
        <w:tblLayout w:type="fixed"/>
        <w:tblInd w:w="0" w:type="dxa"/>
        <w:tblCellMar>
          <w:top w:w="0" w:type="dxa"/>
          <w:left w:w="0" w:type="dxa"/>
          <w:bottom w:w="0" w:type="dxa"/>
          <w:right w:w="0" w:type="dxa"/>
        </w:tblCellMar>
      </w:tblPr>
      <w:tr>
        <w:trPr>
          <w:trHeight w:val="146"/>
        </w:trPr>
        <w:tc>
          <w:tcPr>
            <w:tcW w:w="9120" w:type="dxa"/>
            <w:vAlign w:val="bottom"/>
            <w:tcBorders>
              <w:bottom w:val="single" w:sz="8" w:color="86B6A5"/>
            </w:tcBorders>
            <w:gridSpan w:val="2"/>
          </w:tcPr>
          <w:p>
            <w:pPr>
              <w:spacing w:after="0" w:line="145" w:lineRule="exact"/>
              <w:rPr>
                <w:sz w:val="20"/>
                <w:szCs w:val="20"/>
                <w:color w:val="auto"/>
              </w:rPr>
            </w:pPr>
            <w:r>
              <w:rPr>
                <w:rFonts w:ascii="Arial" w:cs="Arial" w:eastAsia="Arial" w:hAnsi="Arial"/>
                <w:sz w:val="14"/>
                <w:szCs w:val="14"/>
                <w:b w:val="1"/>
                <w:bCs w:val="1"/>
                <w:color w:val="86B6A5"/>
              </w:rPr>
              <w:t>Year Ended December 31</w:t>
            </w:r>
          </w:p>
        </w:tc>
        <w:tc>
          <w:tcPr>
            <w:tcW w:w="120" w:type="dxa"/>
            <w:vAlign w:val="bottom"/>
            <w:tcBorders>
              <w:bottom w:val="single" w:sz="8" w:color="86B6A5"/>
            </w:tcBorders>
            <w:shd w:val="clear" w:color="auto" w:fill="86B6A5"/>
          </w:tcPr>
          <w:p>
            <w:pPr>
              <w:spacing w:after="0"/>
              <w:rPr>
                <w:sz w:val="12"/>
                <w:szCs w:val="12"/>
                <w:color w:val="auto"/>
              </w:rPr>
            </w:pPr>
          </w:p>
        </w:tc>
        <w:tc>
          <w:tcPr>
            <w:tcW w:w="1140" w:type="dxa"/>
            <w:vAlign w:val="bottom"/>
            <w:tcBorders>
              <w:bottom w:val="single" w:sz="8" w:color="86B6A5"/>
            </w:tcBorders>
            <w:shd w:val="clear" w:color="auto" w:fill="86B6A5"/>
          </w:tcPr>
          <w:p>
            <w:pPr>
              <w:jc w:val="right"/>
              <w:ind w:right="253"/>
              <w:spacing w:after="0" w:line="145" w:lineRule="exact"/>
              <w:rPr>
                <w:sz w:val="20"/>
                <w:szCs w:val="20"/>
                <w:color w:val="auto"/>
              </w:rPr>
            </w:pPr>
            <w:r>
              <w:rPr>
                <w:rFonts w:ascii="Arial" w:cs="Arial" w:eastAsia="Arial" w:hAnsi="Arial"/>
                <w:sz w:val="14"/>
                <w:szCs w:val="14"/>
                <w:b w:val="1"/>
                <w:bCs w:val="1"/>
                <w:color w:val="FFFFFF"/>
              </w:rPr>
              <w:t>2012</w:t>
            </w:r>
          </w:p>
        </w:tc>
        <w:tc>
          <w:tcPr>
            <w:tcW w:w="280" w:type="dxa"/>
            <w:vAlign w:val="bottom"/>
            <w:tcBorders>
              <w:bottom w:val="single" w:sz="8" w:color="86B6A5"/>
            </w:tcBorders>
          </w:tcPr>
          <w:p>
            <w:pPr>
              <w:spacing w:after="0"/>
              <w:rPr>
                <w:sz w:val="12"/>
                <w:szCs w:val="12"/>
                <w:color w:val="auto"/>
              </w:rPr>
            </w:pPr>
          </w:p>
        </w:tc>
        <w:tc>
          <w:tcPr>
            <w:tcW w:w="760" w:type="dxa"/>
            <w:vAlign w:val="bottom"/>
            <w:tcBorders>
              <w:bottom w:val="single" w:sz="8" w:color="86B6A5"/>
            </w:tcBorders>
          </w:tcPr>
          <w:p>
            <w:pPr>
              <w:jc w:val="right"/>
              <w:ind w:right="33"/>
              <w:spacing w:after="0" w:line="145" w:lineRule="exact"/>
              <w:rPr>
                <w:sz w:val="20"/>
                <w:szCs w:val="20"/>
                <w:color w:val="auto"/>
              </w:rPr>
            </w:pPr>
            <w:r>
              <w:rPr>
                <w:rFonts w:ascii="Arial" w:cs="Arial" w:eastAsia="Arial" w:hAnsi="Arial"/>
                <w:sz w:val="14"/>
                <w:szCs w:val="14"/>
                <w:b w:val="1"/>
                <w:bCs w:val="1"/>
                <w:color w:val="86B6A5"/>
              </w:rPr>
              <w:t>2011</w:t>
            </w: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b w:val="1"/>
                <w:bCs w:val="1"/>
                <w:color w:val="939598"/>
              </w:rPr>
              <w:t>Current Future Income Tax Benefits (Expense)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11.8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10.7</w:t>
            </w: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Employee compensation payable</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22.0</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E3F1DA"/>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20" w:type="dxa"/>
            <w:vAlign w:val="bottom"/>
          </w:tcPr>
          <w:p>
            <w:pPr>
              <w:spacing w:after="0"/>
              <w:rPr>
                <w:sz w:val="18"/>
                <w:szCs w:val="18"/>
                <w:color w:val="auto"/>
              </w:rPr>
            </w:pPr>
          </w:p>
        </w:tc>
        <w:tc>
          <w:tcPr>
            <w:tcW w:w="9100" w:type="dxa"/>
            <w:vAlign w:val="bottom"/>
            <w:tcBorders>
              <w:top w:val="single" w:sz="8" w:color="939598"/>
              <w:bottom w:val="single" w:sz="8" w:color="939598"/>
            </w:tcBorders>
          </w:tcPr>
          <w:p>
            <w:pPr>
              <w:spacing w:after="0"/>
              <w:rPr>
                <w:sz w:val="18"/>
                <w:szCs w:val="18"/>
                <w:color w:val="auto"/>
              </w:rPr>
            </w:pPr>
          </w:p>
        </w:tc>
        <w:tc>
          <w:tcPr>
            <w:tcW w:w="120" w:type="dxa"/>
            <w:vAlign w:val="bottom"/>
            <w:tcBorders>
              <w:top w:val="single" w:sz="8" w:color="939598"/>
              <w:bottom w:val="single" w:sz="8" w:color="939598"/>
            </w:tcBorders>
            <w:shd w:val="clear" w:color="auto" w:fill="E3F1DA"/>
          </w:tcPr>
          <w:p>
            <w:pPr>
              <w:spacing w:after="0"/>
              <w:rPr>
                <w:sz w:val="18"/>
                <w:szCs w:val="18"/>
                <w:color w:val="auto"/>
              </w:rPr>
            </w:pPr>
          </w:p>
        </w:tc>
        <w:tc>
          <w:tcPr>
            <w:tcW w:w="1140" w:type="dxa"/>
            <w:vAlign w:val="bottom"/>
            <w:tcBorders>
              <w:top w:val="single" w:sz="8" w:color="939598"/>
              <w:bottom w:val="single" w:sz="8" w:color="939598"/>
            </w:tcBorders>
          </w:tcPr>
          <w:p>
            <w:pPr>
              <w:jc w:val="right"/>
              <w:ind w:right="253"/>
              <w:spacing w:after="0"/>
              <w:rPr>
                <w:sz w:val="20"/>
                <w:szCs w:val="20"/>
                <w:color w:val="auto"/>
              </w:rPr>
            </w:pPr>
            <w:r>
              <w:rPr>
                <w:rFonts w:ascii="Arial" w:cs="Arial" w:eastAsia="Arial" w:hAnsi="Arial"/>
                <w:sz w:val="18"/>
                <w:szCs w:val="18"/>
                <w:color w:val="auto"/>
              </w:rPr>
              <w:t>56.7</w:t>
            </w:r>
          </w:p>
        </w:tc>
        <w:tc>
          <w:tcPr>
            <w:tcW w:w="280" w:type="dxa"/>
            <w:vAlign w:val="bottom"/>
            <w:tcBorders>
              <w:top w:val="single" w:sz="8" w:color="939598"/>
              <w:bottom w:val="single" w:sz="8" w:color="939598"/>
            </w:tcBorders>
          </w:tcPr>
          <w:p>
            <w:pPr>
              <w:spacing w:after="0"/>
              <w:rPr>
                <w:sz w:val="18"/>
                <w:szCs w:val="18"/>
                <w:color w:val="auto"/>
              </w:rPr>
            </w:pPr>
          </w:p>
        </w:tc>
        <w:tc>
          <w:tcPr>
            <w:tcW w:w="76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51.0</w:t>
            </w: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939598"/>
              </w:rPr>
              <w:t>Noncurrent Future Income Tax Benefits (Expense)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Accrued payroll taxes and insurance</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22.5</w:t>
            </w: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55.0</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(118.1)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operating losses</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149.0</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144.9</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103.5</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E3F1DA"/>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(126.2)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11"/>
        </w:trPr>
        <w:tc>
          <w:tcPr>
            <w:tcW w:w="20" w:type="dxa"/>
            <w:vAlign w:val="bottom"/>
          </w:tcPr>
          <w:p>
            <w:pPr>
              <w:spacing w:after="0"/>
              <w:rPr>
                <w:sz w:val="18"/>
                <w:szCs w:val="18"/>
                <w:color w:val="auto"/>
              </w:rPr>
            </w:pPr>
          </w:p>
        </w:tc>
        <w:tc>
          <w:tcPr>
            <w:tcW w:w="9100" w:type="dxa"/>
            <w:vAlign w:val="bottom"/>
            <w:tcBorders>
              <w:top w:val="single" w:sz="8" w:color="939598"/>
              <w:bottom w:val="single" w:sz="8" w:color="939598"/>
            </w:tcBorders>
          </w:tcPr>
          <w:p>
            <w:pPr>
              <w:spacing w:after="0"/>
              <w:rPr>
                <w:sz w:val="18"/>
                <w:szCs w:val="18"/>
                <w:color w:val="auto"/>
              </w:rPr>
            </w:pPr>
          </w:p>
        </w:tc>
        <w:tc>
          <w:tcPr>
            <w:tcW w:w="120" w:type="dxa"/>
            <w:vAlign w:val="bottom"/>
            <w:tcBorders>
              <w:top w:val="single" w:sz="8" w:color="939598"/>
              <w:bottom w:val="single" w:sz="8" w:color="939598"/>
            </w:tcBorders>
            <w:shd w:val="clear" w:color="auto" w:fill="E3F1DA"/>
          </w:tcPr>
          <w:p>
            <w:pPr>
              <w:spacing w:after="0"/>
              <w:rPr>
                <w:sz w:val="18"/>
                <w:szCs w:val="18"/>
                <w:color w:val="auto"/>
              </w:rPr>
            </w:pPr>
          </w:p>
        </w:tc>
        <w:tc>
          <w:tcPr>
            <w:tcW w:w="1140" w:type="dxa"/>
            <w:vAlign w:val="bottom"/>
            <w:tcBorders>
              <w:top w:val="single" w:sz="8" w:color="939598"/>
              <w:bottom w:val="single" w:sz="8" w:color="939598"/>
            </w:tcBorders>
          </w:tcPr>
          <w:p>
            <w:pPr>
              <w:jc w:val="right"/>
              <w:ind w:right="253"/>
              <w:spacing w:after="0"/>
              <w:rPr>
                <w:sz w:val="20"/>
                <w:szCs w:val="20"/>
                <w:color w:val="auto"/>
              </w:rPr>
            </w:pPr>
            <w:r>
              <w:rPr>
                <w:rFonts w:ascii="Arial" w:cs="Arial" w:eastAsia="Arial" w:hAnsi="Arial"/>
                <w:sz w:val="18"/>
                <w:szCs w:val="18"/>
                <w:color w:val="auto"/>
              </w:rPr>
              <w:t>66.0</w:t>
            </w:r>
          </w:p>
        </w:tc>
        <w:tc>
          <w:tcPr>
            <w:tcW w:w="280" w:type="dxa"/>
            <w:vAlign w:val="bottom"/>
            <w:tcBorders>
              <w:top w:val="single" w:sz="8" w:color="939598"/>
              <w:bottom w:val="single" w:sz="8" w:color="939598"/>
            </w:tcBorders>
          </w:tcPr>
          <w:p>
            <w:pPr>
              <w:spacing w:after="0"/>
              <w:rPr>
                <w:sz w:val="18"/>
                <w:szCs w:val="18"/>
                <w:color w:val="auto"/>
              </w:rPr>
            </w:pPr>
          </w:p>
        </w:tc>
        <w:tc>
          <w:tcPr>
            <w:tcW w:w="76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83.2</w:t>
            </w:r>
          </w:p>
        </w:tc>
      </w:tr>
      <w:tr>
        <w:trPr>
          <w:trHeight w:val="210"/>
        </w:trPr>
        <w:tc>
          <w:tcPr>
            <w:tcW w:w="20" w:type="dxa"/>
            <w:vAlign w:val="bottom"/>
            <w:tcBorders>
              <w:bottom w:val="single" w:sz="8" w:color="939598"/>
            </w:tcBorders>
          </w:tcPr>
          <w:p>
            <w:pPr>
              <w:spacing w:after="0"/>
              <w:rPr>
                <w:sz w:val="18"/>
                <w:szCs w:val="18"/>
                <w:color w:val="auto"/>
              </w:rPr>
            </w:pPr>
          </w:p>
        </w:tc>
        <w:tc>
          <w:tcPr>
            <w:tcW w:w="91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future tax benefits</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939598"/>
            </w:tcBorders>
          </w:tcPr>
          <w:p>
            <w:pPr>
              <w:jc w:val="right"/>
              <w:ind w:right="253"/>
              <w:spacing w:after="0"/>
              <w:rPr>
                <w:sz w:val="20"/>
                <w:szCs w:val="20"/>
                <w:color w:val="auto"/>
              </w:rPr>
            </w:pPr>
            <w:r>
              <w:rPr>
                <w:rFonts w:ascii="Arial" w:cs="Arial" w:eastAsia="Arial" w:hAnsi="Arial"/>
                <w:sz w:val="18"/>
                <w:szCs w:val="18"/>
                <w:color w:val="auto"/>
              </w:rPr>
              <w:t>122.7</w:t>
            </w:r>
          </w:p>
        </w:tc>
        <w:tc>
          <w:tcPr>
            <w:tcW w:w="280" w:type="dxa"/>
            <w:vAlign w:val="bottom"/>
            <w:tcBorders>
              <w:bottom w:val="single" w:sz="8" w:color="939598"/>
            </w:tcBorders>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134.2</w:t>
            </w: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color w:val="auto"/>
              </w:rPr>
              <w:t>Current tax asset</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60.6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52.4</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Current tax liability</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193"/>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8"/>
        </w:trPr>
        <w:tc>
          <w:tcPr>
            <w:tcW w:w="9120" w:type="dxa"/>
            <w:vAlign w:val="bottom"/>
            <w:gridSpan w:val="2"/>
          </w:tcPr>
          <w:p>
            <w:pPr>
              <w:spacing w:after="0"/>
              <w:rPr>
                <w:sz w:val="20"/>
                <w:szCs w:val="20"/>
                <w:color w:val="auto"/>
              </w:rPr>
            </w:pPr>
            <w:r>
              <w:rPr>
                <w:rFonts w:ascii="Arial" w:cs="Arial" w:eastAsia="Arial" w:hAnsi="Arial"/>
                <w:sz w:val="18"/>
                <w:szCs w:val="18"/>
                <w:color w:val="auto"/>
              </w:rPr>
              <w:t>Noncurrent tax asset</w:t>
            </w:r>
          </w:p>
        </w:tc>
        <w:tc>
          <w:tcPr>
            <w:tcW w:w="120" w:type="dxa"/>
            <w:vAlign w:val="bottom"/>
            <w:shd w:val="clear" w:color="auto" w:fill="E3F1DA"/>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84.4</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102.7</w:t>
            </w:r>
          </w:p>
        </w:tc>
      </w:tr>
      <w:tr>
        <w:trPr>
          <w:trHeight w:val="223"/>
        </w:trPr>
        <w:tc>
          <w:tcPr>
            <w:tcW w:w="912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Noncurrent tax liability</w:t>
            </w:r>
          </w:p>
        </w:tc>
        <w:tc>
          <w:tcPr>
            <w:tcW w:w="12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(19.5)</w:t>
            </w:r>
          </w:p>
        </w:tc>
      </w:tr>
      <w:tr>
        <w:trPr>
          <w:trHeight w:val="211"/>
        </w:trPr>
        <w:tc>
          <w:tcPr>
            <w:tcW w:w="9120" w:type="dxa"/>
            <w:vAlign w:val="bottom"/>
            <w:gridSpan w:val="2"/>
          </w:tcPr>
          <w:p>
            <w:pPr>
              <w:spacing w:after="0"/>
              <w:rPr>
                <w:sz w:val="20"/>
                <w:szCs w:val="20"/>
                <w:color w:val="auto"/>
              </w:rPr>
            </w:pPr>
            <w:r>
              <w:rPr>
                <w:rFonts w:ascii="Arial" w:cs="Arial" w:eastAsia="Arial" w:hAnsi="Arial"/>
                <w:sz w:val="18"/>
                <w:szCs w:val="18"/>
                <w:color w:val="auto"/>
              </w:rPr>
              <w:t>Total future tax benefits</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122.7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134.2</w:t>
            </w:r>
          </w:p>
        </w:tc>
      </w:tr>
      <w:tr>
        <w:trPr>
          <w:trHeight w:val="20"/>
        </w:trPr>
        <w:tc>
          <w:tcPr>
            <w:tcW w:w="20" w:type="dxa"/>
            <w:vAlign w:val="bottom"/>
          </w:tcPr>
          <w:p>
            <w:pPr>
              <w:spacing w:after="0" w:line="20" w:lineRule="exact"/>
              <w:rPr>
                <w:sz w:val="1"/>
                <w:szCs w:val="1"/>
                <w:color w:val="auto"/>
              </w:rPr>
            </w:pPr>
          </w:p>
        </w:tc>
        <w:tc>
          <w:tcPr>
            <w:tcW w:w="910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1140" w:type="dxa"/>
            <w:vAlign w:val="bottom"/>
            <w:shd w:val="clear" w:color="auto" w:fill="939598"/>
          </w:tcPr>
          <w:p>
            <w:pPr>
              <w:spacing w:after="0" w:line="20" w:lineRule="exact"/>
              <w:rPr>
                <w:sz w:val="1"/>
                <w:szCs w:val="1"/>
                <w:color w:val="auto"/>
              </w:rPr>
            </w:pPr>
          </w:p>
        </w:tc>
        <w:tc>
          <w:tcPr>
            <w:tcW w:w="280" w:type="dxa"/>
            <w:vAlign w:val="bottom"/>
            <w:shd w:val="clear" w:color="auto" w:fill="939598"/>
          </w:tcPr>
          <w:p>
            <w:pPr>
              <w:spacing w:after="0" w:line="20" w:lineRule="exact"/>
              <w:rPr>
                <w:sz w:val="1"/>
                <w:szCs w:val="1"/>
                <w:color w:val="auto"/>
              </w:rPr>
            </w:pPr>
          </w:p>
        </w:tc>
        <w:tc>
          <w:tcPr>
            <w:tcW w:w="76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-2803525</wp:posOffset>
            </wp:positionV>
            <wp:extent cx="728980" cy="2804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2804160"/>
                    </a:xfrm>
                    <a:prstGeom prst="rect">
                      <a:avLst/>
                    </a:prstGeom>
                    <a:noFill/>
                  </pic:spPr>
                </pic:pic>
              </a:graphicData>
            </a:graphic>
          </wp:anchor>
        </w:drawing>
      </w:r>
    </w:p>
    <w:p>
      <w:pPr>
        <w:spacing w:after="0" w:line="1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current tax liability is recorded in accrued liabilities, the noncurrent tax asset is recorded in other assets and the noncurrent tax liability is recorded in other long-term liabilities in the Consolidated Balance Sheets.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United States Federal and non-United States net operating loss carryforwards and United States state net operating loss carryforwards totaling $483.4 and $310.9, respectively, as of December 31, 2012. The net operating loss carryforwards expire as follows: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40" w:type="dxa"/>
            <w:vAlign w:val="bottom"/>
          </w:tcPr>
          <w:p>
            <w:pPr>
              <w:jc w:val="right"/>
              <w:ind w:right="76"/>
              <w:spacing w:after="0" w:line="150" w:lineRule="exact"/>
              <w:rPr>
                <w:sz w:val="20"/>
                <w:szCs w:val="20"/>
                <w:color w:val="auto"/>
              </w:rPr>
            </w:pPr>
            <w:r>
              <w:rPr>
                <w:rFonts w:ascii="Arial" w:cs="Arial" w:eastAsia="Arial" w:hAnsi="Arial"/>
                <w:sz w:val="14"/>
                <w:szCs w:val="14"/>
                <w:b w:val="1"/>
                <w:bCs w:val="1"/>
                <w:color w:val="86B6A5"/>
              </w:rPr>
              <w:t>United States Federal</w:t>
            </w:r>
          </w:p>
        </w:tc>
        <w:tc>
          <w:tcPr>
            <w:tcW w:w="400" w:type="dxa"/>
            <w:vAlign w:val="bottom"/>
          </w:tcPr>
          <w:p>
            <w:pPr>
              <w:spacing w:after="0"/>
              <w:rPr>
                <w:sz w:val="13"/>
                <w:szCs w:val="13"/>
                <w:color w:val="auto"/>
              </w:rPr>
            </w:pPr>
          </w:p>
        </w:tc>
        <w:tc>
          <w:tcPr>
            <w:tcW w:w="1180" w:type="dxa"/>
            <w:vAlign w:val="bottom"/>
          </w:tcPr>
          <w:p>
            <w:pPr>
              <w:jc w:val="right"/>
              <w:ind w:right="36"/>
              <w:spacing w:after="0" w:line="150" w:lineRule="exact"/>
              <w:rPr>
                <w:sz w:val="20"/>
                <w:szCs w:val="20"/>
                <w:color w:val="auto"/>
              </w:rPr>
            </w:pPr>
            <w:r>
              <w:rPr>
                <w:rFonts w:ascii="Arial" w:cs="Arial" w:eastAsia="Arial" w:hAnsi="Arial"/>
                <w:sz w:val="14"/>
                <w:szCs w:val="14"/>
                <w:b w:val="1"/>
                <w:bCs w:val="1"/>
                <w:color w:val="86B6A5"/>
                <w:w w:val="96"/>
              </w:rPr>
              <w:t>United States —</w:t>
            </w:r>
          </w:p>
        </w:tc>
      </w:tr>
      <w:tr>
        <w:trPr>
          <w:trHeight w:val="161"/>
        </w:trPr>
        <w:tc>
          <w:tcPr>
            <w:tcW w:w="20" w:type="dxa"/>
            <w:vAlign w:val="bottom"/>
          </w:tcPr>
          <w:p>
            <w:pPr>
              <w:spacing w:after="0"/>
              <w:rPr>
                <w:sz w:val="14"/>
                <w:szCs w:val="14"/>
                <w:color w:val="auto"/>
              </w:rPr>
            </w:pPr>
          </w:p>
        </w:tc>
        <w:tc>
          <w:tcPr>
            <w:tcW w:w="5280" w:type="dxa"/>
            <w:vAlign w:val="bottom"/>
            <w:tcBorders>
              <w:bottom w:val="single" w:sz="8" w:color="86B6A5"/>
            </w:tcBorders>
          </w:tcPr>
          <w:p>
            <w:pPr>
              <w:spacing w:after="0"/>
              <w:rPr>
                <w:sz w:val="14"/>
                <w:szCs w:val="14"/>
                <w:color w:val="auto"/>
              </w:rPr>
            </w:pPr>
          </w:p>
        </w:tc>
        <w:tc>
          <w:tcPr>
            <w:tcW w:w="2900" w:type="dxa"/>
            <w:vAlign w:val="bottom"/>
            <w:tcBorders>
              <w:bottom w:val="single" w:sz="8" w:color="86B6A5"/>
            </w:tcBorders>
          </w:tcPr>
          <w:p>
            <w:pPr>
              <w:spacing w:after="0"/>
              <w:rPr>
                <w:sz w:val="14"/>
                <w:szCs w:val="14"/>
                <w:color w:val="auto"/>
              </w:rPr>
            </w:pPr>
          </w:p>
        </w:tc>
        <w:tc>
          <w:tcPr>
            <w:tcW w:w="1640" w:type="dxa"/>
            <w:vAlign w:val="bottom"/>
            <w:tcBorders>
              <w:bottom w:val="single" w:sz="8" w:color="86B6A5"/>
            </w:tcBorders>
          </w:tcPr>
          <w:p>
            <w:pPr>
              <w:jc w:val="right"/>
              <w:ind w:right="76"/>
              <w:spacing w:after="0"/>
              <w:rPr>
                <w:sz w:val="20"/>
                <w:szCs w:val="20"/>
                <w:color w:val="auto"/>
              </w:rPr>
            </w:pPr>
            <w:r>
              <w:rPr>
                <w:rFonts w:ascii="Arial" w:cs="Arial" w:eastAsia="Arial" w:hAnsi="Arial"/>
                <w:sz w:val="14"/>
                <w:szCs w:val="14"/>
                <w:b w:val="1"/>
                <w:bCs w:val="1"/>
                <w:color w:val="86B6A5"/>
                <w:w w:val="97"/>
              </w:rPr>
              <w:t>and Non-United States</w:t>
            </w:r>
          </w:p>
        </w:tc>
        <w:tc>
          <w:tcPr>
            <w:tcW w:w="400" w:type="dxa"/>
            <w:vAlign w:val="bottom"/>
            <w:tcBorders>
              <w:bottom w:val="single" w:sz="8" w:color="86B6A5"/>
            </w:tcBorders>
          </w:tcPr>
          <w:p>
            <w:pPr>
              <w:spacing w:after="0"/>
              <w:rPr>
                <w:sz w:val="14"/>
                <w:szCs w:val="14"/>
                <w:color w:val="auto"/>
              </w:rPr>
            </w:pPr>
          </w:p>
        </w:tc>
        <w:tc>
          <w:tcPr>
            <w:tcW w:w="118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State</w:t>
            </w:r>
          </w:p>
        </w:tc>
      </w:tr>
      <w:tr>
        <w:trPr>
          <w:trHeight w:val="210"/>
        </w:trPr>
        <w:tc>
          <w:tcPr>
            <w:tcW w:w="20" w:type="dxa"/>
            <w:vAlign w:val="bottom"/>
          </w:tcPr>
          <w:p>
            <w:pPr>
              <w:spacing w:after="0"/>
              <w:rPr>
                <w:sz w:val="18"/>
                <w:szCs w:val="18"/>
                <w:color w:val="auto"/>
              </w:rPr>
            </w:pPr>
          </w:p>
        </w:tc>
        <w:tc>
          <w:tcPr>
            <w:tcW w:w="5280" w:type="dxa"/>
            <w:vAlign w:val="bottom"/>
            <w:shd w:val="clear" w:color="auto" w:fill="E3F1DA"/>
          </w:tcPr>
          <w:p>
            <w:pPr>
              <w:spacing w:after="0"/>
              <w:rPr>
                <w:sz w:val="20"/>
                <w:szCs w:val="20"/>
                <w:color w:val="auto"/>
              </w:rPr>
            </w:pPr>
            <w:r>
              <w:rPr>
                <w:rFonts w:ascii="Arial" w:cs="Arial" w:eastAsia="Arial" w:hAnsi="Arial"/>
                <w:sz w:val="18"/>
                <w:szCs w:val="18"/>
                <w:color w:val="auto"/>
              </w:rPr>
              <w:t>2013</w:t>
            </w:r>
          </w:p>
        </w:tc>
        <w:tc>
          <w:tcPr>
            <w:tcW w:w="2900" w:type="dxa"/>
            <w:vAlign w:val="bottom"/>
            <w:shd w:val="clear" w:color="auto" w:fill="E3F1DA"/>
          </w:tcPr>
          <w:p>
            <w:pPr>
              <w:jc w:val="right"/>
              <w:ind w:right="92"/>
              <w:spacing w:after="0"/>
              <w:rPr>
                <w:sz w:val="20"/>
                <w:szCs w:val="20"/>
                <w:color w:val="auto"/>
              </w:rPr>
            </w:pPr>
            <w:r>
              <w:rPr>
                <w:rFonts w:ascii="Arial" w:cs="Arial" w:eastAsia="Arial" w:hAnsi="Arial"/>
                <w:sz w:val="18"/>
                <w:szCs w:val="18"/>
                <w:color w:val="auto"/>
              </w:rPr>
              <w:t>$</w:t>
            </w:r>
          </w:p>
        </w:tc>
        <w:tc>
          <w:tcPr>
            <w:tcW w:w="16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rPr>
              <w:t>1.9</w:t>
            </w:r>
          </w:p>
        </w:tc>
        <w:tc>
          <w:tcPr>
            <w:tcW w:w="400" w:type="dxa"/>
            <w:vAlign w:val="bottom"/>
            <w:shd w:val="clear" w:color="auto" w:fill="E3F1DA"/>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E3F1DA"/>
          </w:tcPr>
          <w:p>
            <w:pPr>
              <w:jc w:val="right"/>
              <w:ind w:right="36"/>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2014</w:t>
            </w:r>
          </w:p>
        </w:tc>
        <w:tc>
          <w:tcPr>
            <w:tcW w:w="2900" w:type="dxa"/>
            <w:vAlign w:val="bottom"/>
          </w:tcPr>
          <w:p>
            <w:pPr>
              <w:spacing w:after="0"/>
              <w:rPr>
                <w:sz w:val="18"/>
                <w:szCs w:val="18"/>
                <w:color w:val="auto"/>
              </w:rPr>
            </w:pP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5280" w:type="dxa"/>
            <w:vAlign w:val="bottom"/>
            <w:shd w:val="clear" w:color="auto" w:fill="E3F1DA"/>
          </w:tcPr>
          <w:p>
            <w:pPr>
              <w:spacing w:after="0"/>
              <w:rPr>
                <w:sz w:val="20"/>
                <w:szCs w:val="20"/>
                <w:color w:val="auto"/>
              </w:rPr>
            </w:pPr>
            <w:r>
              <w:rPr>
                <w:rFonts w:ascii="Arial" w:cs="Arial" w:eastAsia="Arial" w:hAnsi="Arial"/>
                <w:sz w:val="18"/>
                <w:szCs w:val="18"/>
                <w:color w:val="auto"/>
              </w:rPr>
              <w:t>2015</w:t>
            </w:r>
          </w:p>
        </w:tc>
        <w:tc>
          <w:tcPr>
            <w:tcW w:w="2900" w:type="dxa"/>
            <w:vAlign w:val="bottom"/>
            <w:shd w:val="clear" w:color="auto" w:fill="E3F1DA"/>
          </w:tcPr>
          <w:p>
            <w:pPr>
              <w:spacing w:after="0"/>
              <w:rPr>
                <w:sz w:val="18"/>
                <w:szCs w:val="18"/>
                <w:color w:val="auto"/>
              </w:rPr>
            </w:pPr>
          </w:p>
        </w:tc>
        <w:tc>
          <w:tcPr>
            <w:tcW w:w="16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rPr>
              <w:t>7.1</w:t>
            </w:r>
          </w:p>
        </w:tc>
        <w:tc>
          <w:tcPr>
            <w:tcW w:w="400" w:type="dxa"/>
            <w:vAlign w:val="bottom"/>
            <w:shd w:val="clear" w:color="auto" w:fill="E3F1DA"/>
          </w:tcPr>
          <w:p>
            <w:pPr>
              <w:spacing w:after="0"/>
              <w:rPr>
                <w:sz w:val="18"/>
                <w:szCs w:val="18"/>
                <w:color w:val="auto"/>
              </w:rPr>
            </w:pPr>
          </w:p>
        </w:tc>
        <w:tc>
          <w:tcPr>
            <w:tcW w:w="1180" w:type="dxa"/>
            <w:vAlign w:val="bottom"/>
            <w:shd w:val="clear" w:color="auto" w:fill="E3F1DA"/>
          </w:tcPr>
          <w:p>
            <w:pPr>
              <w:jc w:val="right"/>
              <w:ind w:right="36"/>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2016</w:t>
            </w:r>
          </w:p>
        </w:tc>
        <w:tc>
          <w:tcPr>
            <w:tcW w:w="2900" w:type="dxa"/>
            <w:vAlign w:val="bottom"/>
          </w:tcPr>
          <w:p>
            <w:pPr>
              <w:spacing w:after="0"/>
              <w:rPr>
                <w:sz w:val="18"/>
                <w:szCs w:val="18"/>
                <w:color w:val="auto"/>
              </w:rPr>
            </w:pP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280" w:type="dxa"/>
            <w:vAlign w:val="bottom"/>
            <w:shd w:val="clear" w:color="auto" w:fill="E3F1DA"/>
          </w:tcPr>
          <w:p>
            <w:pPr>
              <w:spacing w:after="0"/>
              <w:rPr>
                <w:sz w:val="20"/>
                <w:szCs w:val="20"/>
                <w:color w:val="auto"/>
              </w:rPr>
            </w:pPr>
            <w:r>
              <w:rPr>
                <w:rFonts w:ascii="Arial" w:cs="Arial" w:eastAsia="Arial" w:hAnsi="Arial"/>
                <w:sz w:val="18"/>
                <w:szCs w:val="18"/>
                <w:color w:val="auto"/>
              </w:rPr>
              <w:t>2017</w:t>
            </w:r>
          </w:p>
        </w:tc>
        <w:tc>
          <w:tcPr>
            <w:tcW w:w="2900" w:type="dxa"/>
            <w:vAlign w:val="bottom"/>
            <w:shd w:val="clear" w:color="auto" w:fill="E3F1DA"/>
          </w:tcPr>
          <w:p>
            <w:pPr>
              <w:spacing w:after="0"/>
              <w:rPr>
                <w:sz w:val="18"/>
                <w:szCs w:val="18"/>
                <w:color w:val="auto"/>
              </w:rPr>
            </w:pPr>
          </w:p>
        </w:tc>
        <w:tc>
          <w:tcPr>
            <w:tcW w:w="1640" w:type="dxa"/>
            <w:vAlign w:val="bottom"/>
            <w:shd w:val="clear" w:color="auto" w:fill="E3F1DA"/>
          </w:tcPr>
          <w:p>
            <w:pPr>
              <w:jc w:val="right"/>
              <w:ind w:right="76"/>
              <w:spacing w:after="0"/>
              <w:rPr>
                <w:sz w:val="20"/>
                <w:szCs w:val="20"/>
                <w:color w:val="auto"/>
              </w:rPr>
            </w:pPr>
            <w:r>
              <w:rPr>
                <w:rFonts w:ascii="Arial" w:cs="Arial" w:eastAsia="Arial" w:hAnsi="Arial"/>
                <w:sz w:val="18"/>
                <w:szCs w:val="18"/>
                <w:color w:val="auto"/>
              </w:rPr>
              <w:t>5.6</w:t>
            </w:r>
          </w:p>
        </w:tc>
        <w:tc>
          <w:tcPr>
            <w:tcW w:w="400" w:type="dxa"/>
            <w:vAlign w:val="bottom"/>
            <w:shd w:val="clear" w:color="auto" w:fill="E3F1DA"/>
          </w:tcPr>
          <w:p>
            <w:pPr>
              <w:spacing w:after="0"/>
              <w:rPr>
                <w:sz w:val="18"/>
                <w:szCs w:val="18"/>
                <w:color w:val="auto"/>
              </w:rPr>
            </w:pPr>
          </w:p>
        </w:tc>
        <w:tc>
          <w:tcPr>
            <w:tcW w:w="1180" w:type="dxa"/>
            <w:vAlign w:val="bottom"/>
            <w:shd w:val="clear" w:color="auto" w:fill="E3F1DA"/>
          </w:tcPr>
          <w:p>
            <w:pPr>
              <w:jc w:val="right"/>
              <w:ind w:right="36"/>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640" w:type="dxa"/>
            <w:vAlign w:val="bottom"/>
          </w:tcPr>
          <w:p>
            <w:pPr>
              <w:jc w:val="right"/>
              <w:ind w:right="76"/>
              <w:spacing w:after="0"/>
              <w:rPr>
                <w:sz w:val="20"/>
                <w:szCs w:val="20"/>
                <w:color w:val="auto"/>
              </w:rPr>
            </w:pPr>
            <w:r>
              <w:rPr>
                <w:rFonts w:ascii="Arial" w:cs="Arial" w:eastAsia="Arial" w:hAnsi="Arial"/>
                <w:sz w:val="18"/>
                <w:szCs w:val="18"/>
                <w:color w:val="auto"/>
              </w:rPr>
              <w:t>134.7</w:t>
            </w:r>
          </w:p>
        </w:tc>
        <w:tc>
          <w:tcPr>
            <w:tcW w:w="4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288.1</w:t>
            </w:r>
          </w:p>
        </w:tc>
      </w:tr>
      <w:tr>
        <w:trPr>
          <w:trHeight w:val="216"/>
        </w:trPr>
        <w:tc>
          <w:tcPr>
            <w:tcW w:w="20" w:type="dxa"/>
            <w:vAlign w:val="bottom"/>
          </w:tcPr>
          <w:p>
            <w:pPr>
              <w:spacing w:after="0"/>
              <w:rPr>
                <w:sz w:val="18"/>
                <w:szCs w:val="18"/>
                <w:color w:val="auto"/>
              </w:rPr>
            </w:pPr>
          </w:p>
        </w:tc>
        <w:tc>
          <w:tcPr>
            <w:tcW w:w="528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No expirations</w:t>
            </w:r>
          </w:p>
        </w:tc>
        <w:tc>
          <w:tcPr>
            <w:tcW w:w="2900" w:type="dxa"/>
            <w:vAlign w:val="bottom"/>
            <w:tcBorders>
              <w:bottom w:val="single" w:sz="8" w:color="939598"/>
            </w:tcBorders>
            <w:shd w:val="clear" w:color="auto" w:fill="E3F1DA"/>
          </w:tcPr>
          <w:p>
            <w:pPr>
              <w:spacing w:after="0"/>
              <w:rPr>
                <w:sz w:val="18"/>
                <w:szCs w:val="18"/>
                <w:color w:val="auto"/>
              </w:rPr>
            </w:pPr>
          </w:p>
        </w:tc>
        <w:tc>
          <w:tcPr>
            <w:tcW w:w="1640" w:type="dxa"/>
            <w:vAlign w:val="bottom"/>
            <w:tcBorders>
              <w:bottom w:val="single" w:sz="8" w:color="939598"/>
            </w:tcBorders>
            <w:shd w:val="clear" w:color="auto" w:fill="E3F1DA"/>
          </w:tcPr>
          <w:p>
            <w:pPr>
              <w:jc w:val="right"/>
              <w:ind w:right="76"/>
              <w:spacing w:after="0"/>
              <w:rPr>
                <w:sz w:val="20"/>
                <w:szCs w:val="20"/>
                <w:color w:val="auto"/>
              </w:rPr>
            </w:pPr>
            <w:r>
              <w:rPr>
                <w:rFonts w:ascii="Arial" w:cs="Arial" w:eastAsia="Arial" w:hAnsi="Arial"/>
                <w:sz w:val="18"/>
                <w:szCs w:val="18"/>
                <w:color w:val="auto"/>
              </w:rPr>
              <w:t>316.6</w:t>
            </w:r>
          </w:p>
        </w:tc>
        <w:tc>
          <w:tcPr>
            <w:tcW w:w="400" w:type="dxa"/>
            <w:vAlign w:val="bottom"/>
            <w:tcBorders>
              <w:bottom w:val="single" w:sz="8" w:color="939598"/>
            </w:tcBorders>
            <w:shd w:val="clear" w:color="auto" w:fill="E3F1DA"/>
          </w:tcPr>
          <w:p>
            <w:pPr>
              <w:spacing w:after="0"/>
              <w:rPr>
                <w:sz w:val="18"/>
                <w:szCs w:val="18"/>
                <w:color w:val="auto"/>
              </w:rPr>
            </w:pPr>
          </w:p>
        </w:tc>
        <w:tc>
          <w:tcPr>
            <w:tcW w:w="1180" w:type="dxa"/>
            <w:vAlign w:val="bottom"/>
            <w:tcBorders>
              <w:bottom w:val="single" w:sz="8" w:color="939598"/>
            </w:tcBorders>
            <w:shd w:val="clear" w:color="auto" w:fill="E3F1DA"/>
          </w:tcPr>
          <w:p>
            <w:pPr>
              <w:jc w:val="right"/>
              <w:ind w:right="36"/>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939598"/>
            </w:tcBorders>
          </w:tcPr>
          <w:p>
            <w:pPr>
              <w:spacing w:after="0"/>
              <w:rPr>
                <w:sz w:val="18"/>
                <w:szCs w:val="18"/>
                <w:color w:val="auto"/>
              </w:rPr>
            </w:pPr>
          </w:p>
        </w:tc>
        <w:tc>
          <w:tcPr>
            <w:tcW w:w="52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net operating loss carryforwards</w:t>
            </w:r>
          </w:p>
        </w:tc>
        <w:tc>
          <w:tcPr>
            <w:tcW w:w="2900" w:type="dxa"/>
            <w:vAlign w:val="bottom"/>
            <w:tcBorders>
              <w:bottom w:val="single" w:sz="8" w:color="939598"/>
            </w:tcBorders>
          </w:tcPr>
          <w:p>
            <w:pPr>
              <w:jc w:val="right"/>
              <w:ind w:right="92"/>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939598"/>
            </w:tcBorders>
          </w:tcPr>
          <w:p>
            <w:pPr>
              <w:jc w:val="right"/>
              <w:ind w:right="76"/>
              <w:spacing w:after="0"/>
              <w:rPr>
                <w:sz w:val="20"/>
                <w:szCs w:val="20"/>
                <w:color w:val="auto"/>
              </w:rPr>
            </w:pPr>
            <w:r>
              <w:rPr>
                <w:rFonts w:ascii="Arial" w:cs="Arial" w:eastAsia="Arial" w:hAnsi="Arial"/>
                <w:sz w:val="18"/>
                <w:szCs w:val="18"/>
                <w:color w:val="auto"/>
              </w:rPr>
              <w:t>483.4</w:t>
            </w:r>
          </w:p>
        </w:tc>
        <w:tc>
          <w:tcPr>
            <w:tcW w:w="400" w:type="dxa"/>
            <w:vAlign w:val="bottom"/>
            <w:tcBorders>
              <w:bottom w:val="single" w:sz="8" w:color="939598"/>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310.9</w:t>
            </w: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recorded a deferred tax asset of $149.0 as of December 31, 2012, for the benefit of these net operating losses. Realization of this asset is dependent on generating sufficient taxable income prior to the expiration of the loss carryforwards. A related valuation allowance of $118.1 has been recorded as of December 31, 2012, as management believes that realization of certain net operating loss carryforwards is unlikely.</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Pretax income of non-United States operations was $234.6, $395.5 and $191.1 in 2012, 2011 and 2010, respectively. We have not provided United States income taxes and non-United States withholding taxes on $594.8 of unremitted earnings of non-United States subsidiaries that are considered to be reinvested indefinitely. Deferred taxes are provided on $341.1 of unremitted earnings of non-United States subsidiaries that may be remitted to the United States. As of December 31, 2012 and 2011, we have recorded a deferred tax liability of $15.7 and $22.0, respectively, related to these non-United States earnings that may be remitted.</w:t>
      </w:r>
    </w:p>
    <w:p>
      <w:pPr>
        <w:spacing w:after="0" w:line="3"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85" w:name="page86"/>
    <w:bookmarkEnd w:id="85"/>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2012, we have gross unrecognized tax benefits related to various tax jurisdictions, including interest and penalties, of $28.5. We have related tax benefits of $2.5, and the net amount of $26.0 would favorably affect the effective tax rate if recognized. We do not expect our unrecognized tax benefits to change significantly over the next 12 months.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2011, we had gross unrecognized tax benefits related to various tax jurisdictions, including interest and penalties, of $27.0. We had related tax benefits of $3.6 for a net amount of $23.4.</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We accrued net interest and penalties of $0.1 and $0.6 during 2012 and 2011, respectively. In 2010, we had a net benefit of $1.3 due to a $1.8 benefit from statute expirations.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2012, 2011 and 2010: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Borders>
              <w:bottom w:val="single" w:sz="8" w:color="86B6A5"/>
            </w:tcBorders>
          </w:tcPr>
          <w:p>
            <w:pPr>
              <w:spacing w:after="0"/>
              <w:rPr>
                <w:sz w:val="14"/>
                <w:szCs w:val="14"/>
                <w:color w:val="auto"/>
              </w:rPr>
            </w:pP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40" w:type="dxa"/>
            <w:vAlign w:val="bottom"/>
            <w:tcBorders>
              <w:bottom w:val="single" w:sz="8" w:color="86B6A5"/>
            </w:tcBorders>
          </w:tcPr>
          <w:p>
            <w:pPr>
              <w:spacing w:after="0"/>
              <w:rPr>
                <w:sz w:val="14"/>
                <w:szCs w:val="14"/>
                <w:color w:val="auto"/>
              </w:rPr>
            </w:pPr>
          </w:p>
        </w:tc>
        <w:tc>
          <w:tcPr>
            <w:tcW w:w="76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2011</w:t>
            </w:r>
          </w:p>
        </w:tc>
        <w:tc>
          <w:tcPr>
            <w:tcW w:w="480" w:type="dxa"/>
            <w:vAlign w:val="bottom"/>
            <w:tcBorders>
              <w:bottom w:val="single" w:sz="8" w:color="86B6A5"/>
            </w:tcBorders>
          </w:tcPr>
          <w:p>
            <w:pPr>
              <w:spacing w:after="0"/>
              <w:rPr>
                <w:sz w:val="14"/>
                <w:szCs w:val="14"/>
                <w:color w:val="auto"/>
              </w:rPr>
            </w:pPr>
          </w:p>
        </w:tc>
        <w:tc>
          <w:tcPr>
            <w:tcW w:w="72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2010</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Gross unrecognized tax benefits, beginning of year</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25.0</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25.0</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41.7</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Increases in prior year tax positions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3.0</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Decreases in prior year tax positions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Increases for current year tax positions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Expiration of statute of limitations and audit settlements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4"/>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(17.7)</w:t>
            </w:r>
          </w:p>
        </w:tc>
      </w:tr>
      <w:tr>
        <w:trPr>
          <w:trHeight w:val="211"/>
        </w:trPr>
        <w:tc>
          <w:tcPr>
            <w:tcW w:w="20" w:type="dxa"/>
            <w:vAlign w:val="bottom"/>
            <w:tcBorders>
              <w:bottom w:val="single" w:sz="8" w:color="939598"/>
            </w:tcBorders>
          </w:tcPr>
          <w:p>
            <w:pPr>
              <w:spacing w:after="0"/>
              <w:rPr>
                <w:sz w:val="18"/>
                <w:szCs w:val="18"/>
                <w:color w:val="auto"/>
              </w:rPr>
            </w:pPr>
          </w:p>
        </w:tc>
        <w:tc>
          <w:tcPr>
            <w:tcW w:w="784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Gross unrecognized tax benefits, end of year</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26.4</w:t>
            </w:r>
          </w:p>
        </w:tc>
        <w:tc>
          <w:tcPr>
            <w:tcW w:w="340" w:type="dxa"/>
            <w:vAlign w:val="bottom"/>
            <w:tcBorders>
              <w:bottom w:val="single" w:sz="8" w:color="939598"/>
            </w:tcBorders>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25.0</w:t>
            </w: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25.0</w:t>
            </w:r>
          </w:p>
        </w:tc>
      </w:tr>
      <w:tr>
        <w:trPr>
          <w:trHeight w:val="210"/>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Potential interest and penalties</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1.4</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28.5</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27.0</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26.4</w:t>
            </w: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160" w:type="dxa"/>
            <w:vAlign w:val="bottom"/>
            <w:shd w:val="clear" w:color="auto" w:fill="939598"/>
          </w:tcPr>
          <w:p>
            <w:pPr>
              <w:spacing w:after="0" w:line="20" w:lineRule="exact"/>
              <w:rPr>
                <w:sz w:val="1"/>
                <w:szCs w:val="1"/>
                <w:color w:val="auto"/>
              </w:rPr>
            </w:pPr>
          </w:p>
        </w:tc>
        <w:tc>
          <w:tcPr>
            <w:tcW w:w="340" w:type="dxa"/>
            <w:vAlign w:val="bottom"/>
            <w:shd w:val="clear" w:color="auto" w:fill="939598"/>
          </w:tcPr>
          <w:p>
            <w:pPr>
              <w:spacing w:after="0" w:line="20" w:lineRule="exact"/>
              <w:rPr>
                <w:sz w:val="1"/>
                <w:szCs w:val="1"/>
                <w:color w:val="auto"/>
              </w:rPr>
            </w:pPr>
          </w:p>
        </w:tc>
        <w:tc>
          <w:tcPr>
            <w:tcW w:w="760" w:type="dxa"/>
            <w:vAlign w:val="bottom"/>
            <w:shd w:val="clear" w:color="auto" w:fill="939598"/>
          </w:tcPr>
          <w:p>
            <w:pPr>
              <w:spacing w:after="0" w:line="20" w:lineRule="exact"/>
              <w:rPr>
                <w:sz w:val="1"/>
                <w:szCs w:val="1"/>
                <w:color w:val="auto"/>
              </w:rPr>
            </w:pPr>
          </w:p>
        </w:tc>
        <w:tc>
          <w:tcPr>
            <w:tcW w:w="480" w:type="dxa"/>
            <w:vAlign w:val="bottom"/>
            <w:shd w:val="clear" w:color="auto" w:fill="939598"/>
          </w:tcPr>
          <w:p>
            <w:pPr>
              <w:spacing w:after="0" w:line="20" w:lineRule="exact"/>
              <w:rPr>
                <w:sz w:val="1"/>
                <w:szCs w:val="1"/>
                <w:color w:val="auto"/>
              </w:rPr>
            </w:pPr>
          </w:p>
        </w:tc>
        <w:tc>
          <w:tcPr>
            <w:tcW w:w="72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-994410</wp:posOffset>
            </wp:positionV>
            <wp:extent cx="728980" cy="995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995045"/>
                    </a:xfrm>
                    <a:prstGeom prst="rect">
                      <a:avLst/>
                    </a:prstGeom>
                    <a:noFill/>
                  </pic:spPr>
                </pic:pic>
              </a:graphicData>
            </a:graphic>
          </wp:anchor>
        </w:drawing>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conduct business globally in 80 countries and territories. We are routinely audited by the tax authorities of the various tax jurisdictions in which we operate. Generally, the tax years that could be subject to examination are 2009 through 2011 for our major operations in Germany, Italy, France, Japan, United States and United Kingdom. During 2012, we closed the United States tax examination for our 2008 and 2009 tax years and as of December 31, 2012, we are subject to tax audits in France, Germany, Denmark, Austria, Italy, Spain and Norway. We believe that the resolution of these audits will not have a material impact on earnings.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6B6A5"/>
        </w:rPr>
        <w:t>06.</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Goodwill</w:t>
      </w: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86B6A5"/>
              </w:rPr>
              <w:t>Southern</w:t>
            </w:r>
          </w:p>
        </w:tc>
        <w:tc>
          <w:tcPr>
            <w:tcW w:w="320" w:type="dxa"/>
            <w:vAlign w:val="bottom"/>
          </w:tcPr>
          <w:p>
            <w:pPr>
              <w:spacing w:after="0"/>
              <w:rPr>
                <w:sz w:val="13"/>
                <w:szCs w:val="13"/>
                <w:color w:val="auto"/>
              </w:rPr>
            </w:pPr>
          </w:p>
        </w:tc>
        <w:tc>
          <w:tcPr>
            <w:tcW w:w="80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86B6A5"/>
              </w:rPr>
              <w:t>Northern</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86B6A5"/>
              </w:rPr>
              <w:t>Right</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268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spacing w:after="0"/>
              <w:rPr>
                <w:sz w:val="14"/>
                <w:szCs w:val="14"/>
                <w:color w:val="auto"/>
              </w:rPr>
            </w:pPr>
          </w:p>
        </w:tc>
        <w:tc>
          <w:tcPr>
            <w:tcW w:w="88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w w:val="99"/>
              </w:rPr>
              <w:t>Americas</w:t>
            </w:r>
            <w:r>
              <w:rPr>
                <w:rFonts w:ascii="Arial" w:cs="Arial" w:eastAsia="Arial" w:hAnsi="Arial"/>
                <w:sz w:val="9"/>
                <w:szCs w:val="9"/>
                <w:color w:val="86B6A5"/>
                <w:w w:val="99"/>
              </w:rPr>
              <w:t>(1)</w:t>
            </w:r>
          </w:p>
        </w:tc>
        <w:tc>
          <w:tcPr>
            <w:tcW w:w="320" w:type="dxa"/>
            <w:vAlign w:val="bottom"/>
            <w:tcBorders>
              <w:bottom w:val="single" w:sz="8" w:color="86B6A5"/>
            </w:tcBorders>
          </w:tcPr>
          <w:p>
            <w:pPr>
              <w:spacing w:after="0"/>
              <w:rPr>
                <w:sz w:val="14"/>
                <w:szCs w:val="14"/>
                <w:color w:val="auto"/>
              </w:rPr>
            </w:pPr>
          </w:p>
        </w:tc>
        <w:tc>
          <w:tcPr>
            <w:tcW w:w="880" w:type="dxa"/>
            <w:vAlign w:val="bottom"/>
            <w:tcBorders>
              <w:bottom w:val="single" w:sz="8" w:color="86B6A5"/>
            </w:tcBorders>
          </w:tcPr>
          <w:p>
            <w:pPr>
              <w:jc w:val="right"/>
              <w:ind w:right="37"/>
              <w:spacing w:after="0"/>
              <w:rPr>
                <w:sz w:val="20"/>
                <w:szCs w:val="20"/>
                <w:color w:val="auto"/>
              </w:rPr>
            </w:pPr>
            <w:r>
              <w:rPr>
                <w:rFonts w:ascii="Arial" w:cs="Arial" w:eastAsia="Arial" w:hAnsi="Arial"/>
                <w:sz w:val="14"/>
                <w:szCs w:val="14"/>
                <w:b w:val="1"/>
                <w:bCs w:val="1"/>
                <w:color w:val="86B6A5"/>
              </w:rPr>
              <w:t>Europe</w:t>
            </w:r>
            <w:r>
              <w:rPr>
                <w:rFonts w:ascii="Arial" w:cs="Arial" w:eastAsia="Arial" w:hAnsi="Arial"/>
                <w:sz w:val="9"/>
                <w:szCs w:val="9"/>
                <w:color w:val="86B6A5"/>
              </w:rPr>
              <w:t>(2)</w:t>
            </w:r>
          </w:p>
        </w:tc>
        <w:tc>
          <w:tcPr>
            <w:tcW w:w="32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57"/>
              <w:spacing w:after="0"/>
              <w:rPr>
                <w:sz w:val="20"/>
                <w:szCs w:val="20"/>
                <w:color w:val="auto"/>
              </w:rPr>
            </w:pPr>
            <w:r>
              <w:rPr>
                <w:rFonts w:ascii="Arial" w:cs="Arial" w:eastAsia="Arial" w:hAnsi="Arial"/>
                <w:sz w:val="14"/>
                <w:szCs w:val="14"/>
                <w:b w:val="1"/>
                <w:bCs w:val="1"/>
                <w:color w:val="86B6A5"/>
              </w:rPr>
              <w:t>Europe</w:t>
            </w:r>
          </w:p>
        </w:tc>
        <w:tc>
          <w:tcPr>
            <w:tcW w:w="300" w:type="dxa"/>
            <w:vAlign w:val="bottom"/>
            <w:tcBorders>
              <w:bottom w:val="single" w:sz="8" w:color="86B6A5"/>
            </w:tcBorders>
          </w:tcPr>
          <w:p>
            <w:pPr>
              <w:spacing w:after="0"/>
              <w:rPr>
                <w:sz w:val="14"/>
                <w:szCs w:val="14"/>
                <w:color w:val="auto"/>
              </w:rPr>
            </w:pPr>
          </w:p>
        </w:tc>
        <w:tc>
          <w:tcPr>
            <w:tcW w:w="660" w:type="dxa"/>
            <w:vAlign w:val="bottom"/>
            <w:tcBorders>
              <w:bottom w:val="single" w:sz="8" w:color="86B6A5"/>
            </w:tcBorders>
          </w:tcPr>
          <w:p>
            <w:pPr>
              <w:jc w:val="right"/>
              <w:ind w:right="55"/>
              <w:spacing w:after="0"/>
              <w:rPr>
                <w:sz w:val="20"/>
                <w:szCs w:val="20"/>
                <w:color w:val="auto"/>
              </w:rPr>
            </w:pPr>
            <w:r>
              <w:rPr>
                <w:rFonts w:ascii="Arial" w:cs="Arial" w:eastAsia="Arial" w:hAnsi="Arial"/>
                <w:sz w:val="14"/>
                <w:szCs w:val="14"/>
                <w:b w:val="1"/>
                <w:bCs w:val="1"/>
                <w:color w:val="86B6A5"/>
              </w:rPr>
              <w:t>APME</w:t>
            </w:r>
          </w:p>
        </w:tc>
        <w:tc>
          <w:tcPr>
            <w:tcW w:w="26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77"/>
              <w:spacing w:after="0"/>
              <w:rPr>
                <w:sz w:val="20"/>
                <w:szCs w:val="20"/>
                <w:color w:val="auto"/>
              </w:rPr>
            </w:pPr>
            <w:r>
              <w:rPr>
                <w:rFonts w:ascii="Arial" w:cs="Arial" w:eastAsia="Arial" w:hAnsi="Arial"/>
                <w:sz w:val="14"/>
                <w:szCs w:val="14"/>
                <w:b w:val="1"/>
                <w:bCs w:val="1"/>
                <w:color w:val="86B6A5"/>
                <w:w w:val="93"/>
              </w:rPr>
              <w:t>Management</w:t>
            </w:r>
          </w:p>
        </w:tc>
        <w:tc>
          <w:tcPr>
            <w:tcW w:w="280" w:type="dxa"/>
            <w:vAlign w:val="bottom"/>
            <w:tcBorders>
              <w:bottom w:val="single" w:sz="8" w:color="86B6A5"/>
            </w:tcBorders>
          </w:tcPr>
          <w:p>
            <w:pPr>
              <w:spacing w:after="0"/>
              <w:rPr>
                <w:sz w:val="14"/>
                <w:szCs w:val="14"/>
                <w:color w:val="auto"/>
              </w:rPr>
            </w:pPr>
          </w:p>
        </w:tc>
        <w:tc>
          <w:tcPr>
            <w:tcW w:w="106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rPr>
              <w:t>Corporate</w:t>
            </w:r>
            <w:r>
              <w:rPr>
                <w:rFonts w:ascii="Arial" w:cs="Arial" w:eastAsia="Arial" w:hAnsi="Arial"/>
                <w:sz w:val="9"/>
                <w:szCs w:val="9"/>
                <w:b w:val="1"/>
                <w:bCs w:val="1"/>
                <w:color w:val="86B6A5"/>
              </w:rPr>
              <w:t>(3),(4)</w:t>
            </w:r>
          </w:p>
        </w:tc>
        <w:tc>
          <w:tcPr>
            <w:tcW w:w="34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spacing w:after="0"/>
              <w:rPr>
                <w:sz w:val="20"/>
                <w:szCs w:val="20"/>
                <w:color w:val="auto"/>
              </w:rPr>
            </w:pPr>
            <w:r>
              <w:rPr>
                <w:rFonts w:ascii="Arial" w:cs="Arial" w:eastAsia="Arial" w:hAnsi="Arial"/>
                <w:sz w:val="14"/>
                <w:szCs w:val="14"/>
                <w:b w:val="1"/>
                <w:bCs w:val="1"/>
                <w:color w:val="86B6A5"/>
              </w:rPr>
              <w:t>Total</w:t>
            </w:r>
            <w:r>
              <w:rPr>
                <w:rFonts w:ascii="Arial" w:cs="Arial" w:eastAsia="Arial" w:hAnsi="Arial"/>
                <w:sz w:val="9"/>
                <w:szCs w:val="9"/>
                <w:b w:val="1"/>
                <w:bCs w:val="1"/>
                <w:color w:val="86B6A5"/>
              </w:rPr>
              <w:t>(4)</w:t>
            </w:r>
          </w:p>
        </w:tc>
      </w:tr>
      <w:tr>
        <w:trPr>
          <w:trHeight w:val="210"/>
        </w:trPr>
        <w:tc>
          <w:tcPr>
            <w:tcW w:w="20" w:type="dxa"/>
            <w:vAlign w:val="bottom"/>
          </w:tcPr>
          <w:p>
            <w:pPr>
              <w:spacing w:after="0"/>
              <w:rPr>
                <w:sz w:val="18"/>
                <w:szCs w:val="18"/>
                <w:color w:val="auto"/>
              </w:rPr>
            </w:pPr>
          </w:p>
        </w:tc>
        <w:tc>
          <w:tcPr>
            <w:tcW w:w="2680" w:type="dxa"/>
            <w:vAlign w:val="bottom"/>
            <w:shd w:val="clear" w:color="auto" w:fill="E3F1DA"/>
          </w:tcPr>
          <w:p>
            <w:pPr>
              <w:jc w:val="right"/>
              <w:ind w:right="832"/>
              <w:spacing w:after="0"/>
              <w:rPr>
                <w:sz w:val="20"/>
                <w:szCs w:val="20"/>
                <w:color w:val="auto"/>
              </w:rPr>
            </w:pPr>
            <w:r>
              <w:rPr>
                <w:rFonts w:ascii="Arial" w:cs="Arial" w:eastAsia="Arial" w:hAnsi="Arial"/>
                <w:sz w:val="18"/>
                <w:szCs w:val="18"/>
                <w:color w:val="auto"/>
                <w:w w:val="85"/>
              </w:rPr>
              <w:t>Balance, January 1, 2011</w:t>
            </w:r>
          </w:p>
        </w:tc>
        <w:tc>
          <w:tcPr>
            <w:tcW w:w="84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465.5</w:t>
            </w:r>
          </w:p>
        </w:tc>
        <w:tc>
          <w:tcPr>
            <w:tcW w:w="32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E3F1DA"/>
          </w:tcPr>
          <w:p>
            <w:pPr>
              <w:jc w:val="right"/>
              <w:ind w:right="157"/>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E3F1DA"/>
          </w:tcPr>
          <w:p>
            <w:pPr>
              <w:jc w:val="right"/>
              <w:ind w:right="57"/>
              <w:spacing w:after="0"/>
              <w:rPr>
                <w:sz w:val="20"/>
                <w:szCs w:val="20"/>
                <w:color w:val="auto"/>
              </w:rPr>
            </w:pPr>
            <w:r>
              <w:rPr>
                <w:rFonts w:ascii="Arial" w:cs="Arial" w:eastAsia="Arial" w:hAnsi="Arial"/>
                <w:sz w:val="18"/>
                <w:szCs w:val="18"/>
                <w:color w:val="auto"/>
              </w:rPr>
              <w:t>265.1</w:t>
            </w:r>
          </w:p>
        </w:tc>
        <w:tc>
          <w:tcPr>
            <w:tcW w:w="30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E3F1DA"/>
          </w:tcPr>
          <w:p>
            <w:pPr>
              <w:jc w:val="right"/>
              <w:ind w:right="55"/>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77"/>
              <w:spacing w:after="0"/>
              <w:rPr>
                <w:sz w:val="20"/>
                <w:szCs w:val="20"/>
                <w:color w:val="auto"/>
              </w:rPr>
            </w:pPr>
            <w:r>
              <w:rPr>
                <w:rFonts w:ascii="Arial" w:cs="Arial" w:eastAsia="Arial" w:hAnsi="Arial"/>
                <w:sz w:val="18"/>
                <w:szCs w:val="18"/>
                <w:color w:val="auto"/>
              </w:rPr>
              <w:t>60.6</w:t>
            </w:r>
          </w:p>
        </w:tc>
        <w:tc>
          <w:tcPr>
            <w:tcW w:w="280" w:type="dxa"/>
            <w:vAlign w:val="bottom"/>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64.9</w:t>
            </w:r>
          </w:p>
        </w:tc>
        <w:tc>
          <w:tcPr>
            <w:tcW w:w="34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E3F1DA"/>
          </w:tcPr>
          <w:p>
            <w:pPr>
              <w:jc w:val="right"/>
              <w:ind w:right="55"/>
              <w:spacing w:after="0"/>
              <w:rPr>
                <w:sz w:val="20"/>
                <w:szCs w:val="20"/>
                <w:color w:val="auto"/>
              </w:rPr>
            </w:pPr>
            <w:r>
              <w:rPr>
                <w:rFonts w:ascii="Arial" w:cs="Arial" w:eastAsia="Arial" w:hAnsi="Arial"/>
                <w:sz w:val="18"/>
                <w:szCs w:val="18"/>
                <w:color w:val="auto"/>
              </w:rPr>
              <w:t>954.1</w:t>
            </w:r>
          </w:p>
        </w:tc>
      </w:tr>
      <w:tr>
        <w:trPr>
          <w:trHeight w:val="216"/>
        </w:trPr>
        <w:tc>
          <w:tcPr>
            <w:tcW w:w="20" w:type="dxa"/>
            <w:vAlign w:val="bottom"/>
          </w:tcPr>
          <w:p>
            <w:pPr>
              <w:spacing w:after="0"/>
              <w:rPr>
                <w:sz w:val="18"/>
                <w:szCs w:val="18"/>
                <w:color w:val="auto"/>
              </w:rPr>
            </w:pPr>
          </w:p>
        </w:tc>
        <w:tc>
          <w:tcPr>
            <w:tcW w:w="2680" w:type="dxa"/>
            <w:vAlign w:val="bottom"/>
          </w:tcPr>
          <w:p>
            <w:pPr>
              <w:jc w:val="right"/>
              <w:ind w:right="1132"/>
              <w:spacing w:after="0"/>
              <w:rPr>
                <w:sz w:val="20"/>
                <w:szCs w:val="20"/>
                <w:color w:val="auto"/>
              </w:rPr>
            </w:pPr>
            <w:r>
              <w:rPr>
                <w:rFonts w:ascii="Arial" w:cs="Arial" w:eastAsia="Arial" w:hAnsi="Arial"/>
                <w:sz w:val="18"/>
                <w:szCs w:val="18"/>
                <w:color w:val="auto"/>
              </w:rPr>
              <w:t>Goodwill acquired</w:t>
            </w:r>
          </w:p>
        </w:tc>
        <w:tc>
          <w:tcPr>
            <w:tcW w:w="84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57"/>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2680" w:type="dxa"/>
            <w:vAlign w:val="bottom"/>
            <w:tcBorders>
              <w:bottom w:val="single" w:sz="8" w:color="939598"/>
            </w:tcBorders>
            <w:shd w:val="clear" w:color="auto" w:fill="E3F1DA"/>
          </w:tcPr>
          <w:p>
            <w:pPr>
              <w:jc w:val="right"/>
              <w:ind w:right="572"/>
              <w:spacing w:after="0"/>
              <w:rPr>
                <w:sz w:val="20"/>
                <w:szCs w:val="20"/>
                <w:color w:val="auto"/>
              </w:rPr>
            </w:pPr>
            <w:r>
              <w:rPr>
                <w:rFonts w:ascii="Arial" w:cs="Arial" w:eastAsia="Arial" w:hAnsi="Arial"/>
                <w:sz w:val="18"/>
                <w:szCs w:val="18"/>
                <w:color w:val="auto"/>
                <w:w w:val="94"/>
              </w:rPr>
              <w:t>Currency impact and other</w:t>
            </w:r>
          </w:p>
        </w:tc>
        <w:tc>
          <w:tcPr>
            <w:tcW w:w="840" w:type="dxa"/>
            <w:vAlign w:val="bottom"/>
            <w:tcBorders>
              <w:bottom w:val="single" w:sz="8" w:color="939598"/>
            </w:tcBorders>
            <w:shd w:val="clear" w:color="auto" w:fill="E3F1DA"/>
          </w:tcPr>
          <w:p>
            <w:pPr>
              <w:spacing w:after="0"/>
              <w:rPr>
                <w:sz w:val="18"/>
                <w:szCs w:val="18"/>
                <w:color w:val="auto"/>
              </w:rPr>
            </w:pPr>
          </w:p>
        </w:tc>
        <w:tc>
          <w:tcPr>
            <w:tcW w:w="880" w:type="dxa"/>
            <w:vAlign w:val="bottom"/>
            <w:tcBorders>
              <w:bottom w:val="single" w:sz="8" w:color="939598"/>
            </w:tcBorders>
            <w:shd w:val="clear" w:color="auto" w:fill="E3F1DA"/>
          </w:tcPr>
          <w:p>
            <w:pPr>
              <w:jc w:val="right"/>
              <w:ind w:right="95"/>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939598"/>
            </w:tcBorders>
            <w:shd w:val="clear" w:color="auto" w:fill="E3F1DA"/>
          </w:tcPr>
          <w:p>
            <w:pPr>
              <w:spacing w:after="0"/>
              <w:rPr>
                <w:sz w:val="18"/>
                <w:szCs w:val="18"/>
                <w:color w:val="auto"/>
              </w:rPr>
            </w:pPr>
          </w:p>
        </w:tc>
        <w:tc>
          <w:tcPr>
            <w:tcW w:w="880" w:type="dxa"/>
            <w:vAlign w:val="bottom"/>
            <w:tcBorders>
              <w:bottom w:val="single" w:sz="8" w:color="939598"/>
            </w:tcBorders>
            <w:shd w:val="clear" w:color="auto" w:fill="E3F1DA"/>
          </w:tcPr>
          <w:p>
            <w:pPr>
              <w:jc w:val="right"/>
              <w:ind w:right="97"/>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939598"/>
            </w:tcBorders>
            <w:shd w:val="clear" w:color="auto" w:fill="E3F1DA"/>
          </w:tcPr>
          <w:p>
            <w:pPr>
              <w:spacing w:after="0"/>
              <w:rPr>
                <w:sz w:val="18"/>
                <w:szCs w:val="18"/>
                <w:color w:val="auto"/>
              </w:rPr>
            </w:pPr>
          </w:p>
        </w:tc>
        <w:tc>
          <w:tcPr>
            <w:tcW w:w="66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939598"/>
            </w:tcBorders>
            <w:shd w:val="clear" w:color="auto" w:fill="E3F1DA"/>
          </w:tcPr>
          <w:p>
            <w:pPr>
              <w:spacing w:after="0"/>
              <w:rPr>
                <w:sz w:val="18"/>
                <w:szCs w:val="18"/>
                <w:color w:val="auto"/>
              </w:rPr>
            </w:pPr>
          </w:p>
        </w:tc>
        <w:tc>
          <w:tcPr>
            <w:tcW w:w="980" w:type="dxa"/>
            <w:vAlign w:val="bottom"/>
            <w:tcBorders>
              <w:bottom w:val="single" w:sz="8" w:color="939598"/>
            </w:tcBorders>
            <w:shd w:val="clear" w:color="auto" w:fill="E3F1DA"/>
          </w:tcPr>
          <w:p>
            <w:pPr>
              <w:jc w:val="right"/>
              <w:ind w:right="17"/>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939598"/>
            </w:tcBorders>
            <w:shd w:val="clear" w:color="auto" w:fill="E3F1DA"/>
          </w:tcPr>
          <w:p>
            <w:pPr>
              <w:spacing w:after="0"/>
              <w:rPr>
                <w:sz w:val="18"/>
                <w:szCs w:val="18"/>
                <w:color w:val="auto"/>
              </w:rPr>
            </w:pPr>
          </w:p>
        </w:tc>
        <w:tc>
          <w:tcPr>
            <w:tcW w:w="10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939598"/>
            </w:tcBorders>
            <w:shd w:val="clear" w:color="auto" w:fill="E3F1DA"/>
          </w:tcPr>
          <w:p>
            <w:pPr>
              <w:spacing w:after="0"/>
              <w:rPr>
                <w:sz w:val="18"/>
                <w:szCs w:val="18"/>
                <w:color w:val="auto"/>
              </w:rPr>
            </w:pPr>
          </w:p>
        </w:tc>
        <w:tc>
          <w:tcPr>
            <w:tcW w:w="8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20" w:type="dxa"/>
            <w:vAlign w:val="bottom"/>
          </w:tcPr>
          <w:p>
            <w:pPr>
              <w:spacing w:after="0"/>
              <w:rPr>
                <w:sz w:val="18"/>
                <w:szCs w:val="18"/>
                <w:color w:val="auto"/>
              </w:rPr>
            </w:pPr>
          </w:p>
        </w:tc>
        <w:tc>
          <w:tcPr>
            <w:tcW w:w="2680" w:type="dxa"/>
            <w:vAlign w:val="bottom"/>
          </w:tcPr>
          <w:p>
            <w:pPr>
              <w:jc w:val="right"/>
              <w:ind w:right="572"/>
              <w:spacing w:after="0"/>
              <w:rPr>
                <w:sz w:val="20"/>
                <w:szCs w:val="20"/>
                <w:color w:val="auto"/>
              </w:rPr>
            </w:pPr>
            <w:r>
              <w:rPr>
                <w:rFonts w:ascii="Arial" w:cs="Arial" w:eastAsia="Arial" w:hAnsi="Arial"/>
                <w:sz w:val="18"/>
                <w:szCs w:val="18"/>
                <w:color w:val="auto"/>
                <w:w w:val="85"/>
              </w:rPr>
              <w:t>Balance, December 31, 2011</w:t>
            </w:r>
          </w:p>
        </w:tc>
        <w:tc>
          <w:tcPr>
            <w:tcW w:w="84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461.8</w:t>
            </w:r>
          </w:p>
        </w:tc>
        <w:tc>
          <w:tcPr>
            <w:tcW w:w="320" w:type="dxa"/>
            <w:vAlign w:val="bottom"/>
          </w:tcPr>
          <w:p>
            <w:pPr>
              <w:spacing w:after="0"/>
              <w:rPr>
                <w:sz w:val="18"/>
                <w:szCs w:val="18"/>
                <w:color w:val="auto"/>
              </w:rPr>
            </w:pPr>
          </w:p>
        </w:tc>
        <w:tc>
          <w:tcPr>
            <w:tcW w:w="880" w:type="dxa"/>
            <w:vAlign w:val="bottom"/>
          </w:tcPr>
          <w:p>
            <w:pPr>
              <w:jc w:val="right"/>
              <w:ind w:right="157"/>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260.7</w:t>
            </w:r>
          </w:p>
        </w:tc>
        <w:tc>
          <w:tcPr>
            <w:tcW w:w="30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1060" w:type="dxa"/>
            <w:vAlign w:val="bottom"/>
          </w:tcPr>
          <w:p>
            <w:pPr>
              <w:jc w:val="right"/>
              <w:ind w:right="295"/>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984.7</w:t>
            </w:r>
          </w:p>
        </w:tc>
      </w:tr>
      <w:tr>
        <w:trPr>
          <w:trHeight w:val="216"/>
        </w:trPr>
        <w:tc>
          <w:tcPr>
            <w:tcW w:w="20" w:type="dxa"/>
            <w:vAlign w:val="bottom"/>
          </w:tcPr>
          <w:p>
            <w:pPr>
              <w:spacing w:after="0"/>
              <w:rPr>
                <w:sz w:val="18"/>
                <w:szCs w:val="18"/>
                <w:color w:val="auto"/>
              </w:rPr>
            </w:pPr>
          </w:p>
        </w:tc>
        <w:tc>
          <w:tcPr>
            <w:tcW w:w="2680" w:type="dxa"/>
            <w:vAlign w:val="bottom"/>
            <w:shd w:val="clear" w:color="auto" w:fill="E3F1DA"/>
          </w:tcPr>
          <w:p>
            <w:pPr>
              <w:jc w:val="right"/>
              <w:ind w:right="1132"/>
              <w:spacing w:after="0"/>
              <w:rPr>
                <w:sz w:val="20"/>
                <w:szCs w:val="20"/>
                <w:color w:val="auto"/>
              </w:rPr>
            </w:pPr>
            <w:r>
              <w:rPr>
                <w:rFonts w:ascii="Arial" w:cs="Arial" w:eastAsia="Arial" w:hAnsi="Arial"/>
                <w:sz w:val="18"/>
                <w:szCs w:val="18"/>
                <w:color w:val="auto"/>
              </w:rPr>
              <w:t>Goodwill acquired</w:t>
            </w:r>
          </w:p>
        </w:tc>
        <w:tc>
          <w:tcPr>
            <w:tcW w:w="840" w:type="dxa"/>
            <w:vAlign w:val="bottom"/>
            <w:shd w:val="clear" w:color="auto" w:fill="E3F1DA"/>
          </w:tcPr>
          <w:p>
            <w:pPr>
              <w:spacing w:after="0"/>
              <w:rPr>
                <w:sz w:val="18"/>
                <w:szCs w:val="18"/>
                <w:color w:val="auto"/>
              </w:rPr>
            </w:pPr>
          </w:p>
        </w:tc>
        <w:tc>
          <w:tcPr>
            <w:tcW w:w="880" w:type="dxa"/>
            <w:vAlign w:val="bottom"/>
            <w:shd w:val="clear" w:color="auto" w:fill="E3F1DA"/>
          </w:tcPr>
          <w:p>
            <w:pPr>
              <w:jc w:val="right"/>
              <w:ind w:right="155"/>
              <w:spacing w:after="0"/>
              <w:rPr>
                <w:sz w:val="20"/>
                <w:szCs w:val="20"/>
                <w:color w:val="auto"/>
              </w:rPr>
            </w:pPr>
            <w:r>
              <w:rPr>
                <w:rFonts w:ascii="Arial" w:cs="Arial" w:eastAsia="Arial" w:hAnsi="Arial"/>
                <w:sz w:val="18"/>
                <w:szCs w:val="18"/>
                <w:color w:val="auto"/>
              </w:rPr>
              <w:t>4.8</w:t>
            </w:r>
          </w:p>
        </w:tc>
        <w:tc>
          <w:tcPr>
            <w:tcW w:w="320" w:type="dxa"/>
            <w:vAlign w:val="bottom"/>
            <w:shd w:val="clear" w:color="auto" w:fill="E3F1DA"/>
          </w:tcPr>
          <w:p>
            <w:pPr>
              <w:spacing w:after="0"/>
              <w:rPr>
                <w:sz w:val="18"/>
                <w:szCs w:val="18"/>
                <w:color w:val="auto"/>
              </w:rPr>
            </w:pPr>
          </w:p>
        </w:tc>
        <w:tc>
          <w:tcPr>
            <w:tcW w:w="880" w:type="dxa"/>
            <w:vAlign w:val="bottom"/>
            <w:shd w:val="clear" w:color="auto" w:fill="E3F1DA"/>
          </w:tcPr>
          <w:p>
            <w:pPr>
              <w:jc w:val="right"/>
              <w:ind w:right="157"/>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E3F1DA"/>
          </w:tcPr>
          <w:p>
            <w:pPr>
              <w:spacing w:after="0"/>
              <w:rPr>
                <w:sz w:val="18"/>
                <w:szCs w:val="18"/>
                <w:color w:val="auto"/>
              </w:rPr>
            </w:pPr>
          </w:p>
        </w:tc>
        <w:tc>
          <w:tcPr>
            <w:tcW w:w="660" w:type="dxa"/>
            <w:vAlign w:val="bottom"/>
            <w:shd w:val="clear" w:color="auto" w:fill="E3F1DA"/>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shd w:val="clear" w:color="auto" w:fill="E3F1DA"/>
          </w:tcPr>
          <w:p>
            <w:pPr>
              <w:spacing w:after="0"/>
              <w:rPr>
                <w:sz w:val="18"/>
                <w:szCs w:val="18"/>
                <w:color w:val="auto"/>
              </w:rPr>
            </w:pPr>
          </w:p>
        </w:tc>
        <w:tc>
          <w:tcPr>
            <w:tcW w:w="1060" w:type="dxa"/>
            <w:vAlign w:val="bottom"/>
            <w:shd w:val="clear" w:color="auto" w:fill="E3F1DA"/>
          </w:tcPr>
          <w:p>
            <w:pPr>
              <w:jc w:val="right"/>
              <w:ind w:right="295"/>
              <w:spacing w:after="0"/>
              <w:rPr>
                <w:sz w:val="20"/>
                <w:szCs w:val="20"/>
                <w:color w:val="auto"/>
              </w:rPr>
            </w:pPr>
            <w:r>
              <w:rPr>
                <w:rFonts w:ascii="Arial" w:cs="Arial" w:eastAsia="Arial" w:hAnsi="Arial"/>
                <w:sz w:val="18"/>
                <w:szCs w:val="18"/>
                <w:color w:val="auto"/>
              </w:rPr>
              <w:t>—</w:t>
            </w:r>
          </w:p>
        </w:tc>
        <w:tc>
          <w:tcPr>
            <w:tcW w:w="340" w:type="dxa"/>
            <w:vAlign w:val="bottom"/>
            <w:shd w:val="clear" w:color="auto" w:fill="E3F1DA"/>
          </w:tcPr>
          <w:p>
            <w:pPr>
              <w:spacing w:after="0"/>
              <w:rPr>
                <w:sz w:val="18"/>
                <w:szCs w:val="18"/>
                <w:color w:val="auto"/>
              </w:rPr>
            </w:pPr>
          </w:p>
        </w:tc>
        <w:tc>
          <w:tcPr>
            <w:tcW w:w="800" w:type="dxa"/>
            <w:vAlign w:val="bottom"/>
            <w:shd w:val="clear" w:color="auto" w:fill="E3F1DA"/>
          </w:tcPr>
          <w:p>
            <w:pPr>
              <w:jc w:val="right"/>
              <w:ind w:right="55"/>
              <w:spacing w:after="0"/>
              <w:rPr>
                <w:sz w:val="20"/>
                <w:szCs w:val="20"/>
                <w:color w:val="auto"/>
              </w:rPr>
            </w:pPr>
            <w:r>
              <w:rPr>
                <w:rFonts w:ascii="Arial" w:cs="Arial" w:eastAsia="Arial" w:hAnsi="Arial"/>
                <w:sz w:val="18"/>
                <w:szCs w:val="18"/>
                <w:color w:val="auto"/>
              </w:rPr>
              <w:t>46.2</w:t>
            </w:r>
          </w:p>
        </w:tc>
      </w:tr>
      <w:tr>
        <w:trPr>
          <w:trHeight w:val="216"/>
        </w:trPr>
        <w:tc>
          <w:tcPr>
            <w:tcW w:w="20" w:type="dxa"/>
            <w:vAlign w:val="bottom"/>
          </w:tcPr>
          <w:p>
            <w:pPr>
              <w:spacing w:after="0"/>
              <w:rPr>
                <w:sz w:val="18"/>
                <w:szCs w:val="18"/>
                <w:color w:val="auto"/>
              </w:rPr>
            </w:pPr>
          </w:p>
        </w:tc>
        <w:tc>
          <w:tcPr>
            <w:tcW w:w="2680" w:type="dxa"/>
            <w:vAlign w:val="bottom"/>
            <w:tcBorders>
              <w:bottom w:val="single" w:sz="8" w:color="939598"/>
            </w:tcBorders>
          </w:tcPr>
          <w:p>
            <w:pPr>
              <w:jc w:val="right"/>
              <w:ind w:right="572"/>
              <w:spacing w:after="0"/>
              <w:rPr>
                <w:sz w:val="20"/>
                <w:szCs w:val="20"/>
                <w:color w:val="auto"/>
              </w:rPr>
            </w:pPr>
            <w:r>
              <w:rPr>
                <w:rFonts w:ascii="Arial" w:cs="Arial" w:eastAsia="Arial" w:hAnsi="Arial"/>
                <w:sz w:val="18"/>
                <w:szCs w:val="18"/>
                <w:color w:val="auto"/>
                <w:w w:val="94"/>
              </w:rPr>
              <w:t>Currency impact and other</w:t>
            </w:r>
          </w:p>
        </w:tc>
        <w:tc>
          <w:tcPr>
            <w:tcW w:w="8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ind w:right="155"/>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ind w:right="157"/>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57"/>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939598"/>
            </w:tcBorders>
          </w:tcPr>
          <w:p>
            <w:pPr>
              <w:spacing w:after="0"/>
              <w:rPr>
                <w:sz w:val="18"/>
                <w:szCs w:val="18"/>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77"/>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ind w:right="2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55"/>
              <w:spacing w:after="0"/>
              <w:rPr>
                <w:sz w:val="20"/>
                <w:szCs w:val="20"/>
                <w:color w:val="auto"/>
              </w:rPr>
            </w:pPr>
            <w:r>
              <w:rPr>
                <w:rFonts w:ascii="Arial" w:cs="Arial" w:eastAsia="Arial" w:hAnsi="Arial"/>
                <w:sz w:val="18"/>
                <w:szCs w:val="18"/>
                <w:color w:val="auto"/>
              </w:rPr>
              <w:t>10.4</w:t>
            </w:r>
          </w:p>
        </w:tc>
      </w:tr>
      <w:tr>
        <w:trPr>
          <w:trHeight w:val="210"/>
        </w:trPr>
        <w:tc>
          <w:tcPr>
            <w:tcW w:w="20" w:type="dxa"/>
            <w:vAlign w:val="bottom"/>
          </w:tcPr>
          <w:p>
            <w:pPr>
              <w:spacing w:after="0"/>
              <w:rPr>
                <w:sz w:val="18"/>
                <w:szCs w:val="18"/>
                <w:color w:val="auto"/>
              </w:rPr>
            </w:pPr>
          </w:p>
        </w:tc>
        <w:tc>
          <w:tcPr>
            <w:tcW w:w="2680" w:type="dxa"/>
            <w:vAlign w:val="bottom"/>
            <w:tcBorders>
              <w:bottom w:val="single" w:sz="8" w:color="939598"/>
            </w:tcBorders>
            <w:shd w:val="clear" w:color="auto" w:fill="E3F1DA"/>
          </w:tcPr>
          <w:p>
            <w:pPr>
              <w:jc w:val="right"/>
              <w:ind w:right="572"/>
              <w:spacing w:after="0"/>
              <w:rPr>
                <w:sz w:val="20"/>
                <w:szCs w:val="20"/>
                <w:color w:val="auto"/>
              </w:rPr>
            </w:pPr>
            <w:r>
              <w:rPr>
                <w:rFonts w:ascii="Arial" w:cs="Arial" w:eastAsia="Arial" w:hAnsi="Arial"/>
                <w:sz w:val="18"/>
                <w:szCs w:val="18"/>
                <w:color w:val="auto"/>
                <w:w w:val="85"/>
              </w:rPr>
              <w:t>Balance, December 31, 2012</w:t>
            </w:r>
          </w:p>
        </w:tc>
        <w:tc>
          <w:tcPr>
            <w:tcW w:w="84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39598"/>
            </w:tcBorders>
            <w:shd w:val="clear" w:color="auto" w:fill="E3F1DA"/>
          </w:tcPr>
          <w:p>
            <w:pPr>
              <w:jc w:val="right"/>
              <w:ind w:right="155"/>
              <w:spacing w:after="0"/>
              <w:rPr>
                <w:sz w:val="20"/>
                <w:szCs w:val="20"/>
                <w:color w:val="auto"/>
              </w:rPr>
            </w:pPr>
            <w:r>
              <w:rPr>
                <w:rFonts w:ascii="Arial" w:cs="Arial" w:eastAsia="Arial" w:hAnsi="Arial"/>
                <w:sz w:val="18"/>
                <w:szCs w:val="18"/>
                <w:color w:val="auto"/>
              </w:rPr>
              <w:t>467.1</w:t>
            </w:r>
          </w:p>
        </w:tc>
        <w:tc>
          <w:tcPr>
            <w:tcW w:w="32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939598"/>
            </w:tcBorders>
            <w:shd w:val="clear" w:color="auto" w:fill="E3F1DA"/>
          </w:tcPr>
          <w:p>
            <w:pPr>
              <w:jc w:val="right"/>
              <w:ind w:right="157"/>
              <w:spacing w:after="0"/>
              <w:rPr>
                <w:sz w:val="20"/>
                <w:szCs w:val="20"/>
                <w:color w:val="auto"/>
              </w:rPr>
            </w:pPr>
            <w:r>
              <w:rPr>
                <w:rFonts w:ascii="Arial" w:cs="Arial" w:eastAsia="Arial" w:hAnsi="Arial"/>
                <w:sz w:val="18"/>
                <w:szCs w:val="18"/>
                <w:color w:val="auto"/>
              </w:rPr>
              <w:t>103.3</w:t>
            </w:r>
          </w:p>
        </w:tc>
        <w:tc>
          <w:tcPr>
            <w:tcW w:w="32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shd w:val="clear" w:color="auto" w:fill="E3F1DA"/>
          </w:tcPr>
          <w:p>
            <w:pPr>
              <w:jc w:val="right"/>
              <w:ind w:right="57"/>
              <w:spacing w:after="0"/>
              <w:rPr>
                <w:sz w:val="20"/>
                <w:szCs w:val="20"/>
                <w:color w:val="auto"/>
              </w:rPr>
            </w:pPr>
            <w:r>
              <w:rPr>
                <w:rFonts w:ascii="Arial" w:cs="Arial" w:eastAsia="Arial" w:hAnsi="Arial"/>
                <w:sz w:val="18"/>
                <w:szCs w:val="18"/>
                <w:color w:val="auto"/>
              </w:rPr>
              <w:t>270.7</w:t>
            </w:r>
          </w:p>
        </w:tc>
        <w:tc>
          <w:tcPr>
            <w:tcW w:w="3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939598"/>
            </w:tcBorders>
            <w:shd w:val="clear" w:color="auto" w:fill="E3F1DA"/>
          </w:tcPr>
          <w:p>
            <w:pPr>
              <w:jc w:val="right"/>
              <w:ind w:right="55"/>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shd w:val="clear" w:color="auto" w:fill="E3F1DA"/>
          </w:tcPr>
          <w:p>
            <w:pPr>
              <w:jc w:val="right"/>
              <w:ind w:right="77"/>
              <w:spacing w:after="0"/>
              <w:rPr>
                <w:sz w:val="20"/>
                <w:szCs w:val="20"/>
                <w:color w:val="auto"/>
              </w:rPr>
            </w:pPr>
            <w:r>
              <w:rPr>
                <w:rFonts w:ascii="Arial" w:cs="Arial" w:eastAsia="Arial" w:hAnsi="Arial"/>
                <w:sz w:val="18"/>
                <w:szCs w:val="18"/>
                <w:color w:val="auto"/>
              </w:rPr>
              <w:t>62.1</w:t>
            </w:r>
          </w:p>
        </w:tc>
        <w:tc>
          <w:tcPr>
            <w:tcW w:w="28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939598"/>
            </w:tcBorders>
            <w:shd w:val="clear" w:color="auto" w:fill="E3F1DA"/>
          </w:tcPr>
          <w:p>
            <w:pPr>
              <w:jc w:val="right"/>
              <w:ind w:right="295"/>
              <w:spacing w:after="0"/>
              <w:rPr>
                <w:sz w:val="20"/>
                <w:szCs w:val="20"/>
                <w:color w:val="auto"/>
              </w:rPr>
            </w:pPr>
            <w:r>
              <w:rPr>
                <w:rFonts w:ascii="Arial" w:cs="Arial" w:eastAsia="Arial" w:hAnsi="Arial"/>
                <w:sz w:val="18"/>
                <w:szCs w:val="18"/>
                <w:color w:val="auto"/>
              </w:rPr>
              <w:t>64.9</w:t>
            </w:r>
          </w:p>
        </w:tc>
        <w:tc>
          <w:tcPr>
            <w:tcW w:w="34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39598"/>
            </w:tcBorders>
            <w:shd w:val="clear" w:color="auto" w:fill="E3F1DA"/>
          </w:tcPr>
          <w:p>
            <w:pPr>
              <w:jc w:val="right"/>
              <w:ind w:right="55"/>
              <w:spacing w:after="0"/>
              <w:rPr>
                <w:sz w:val="20"/>
                <w:szCs w:val="20"/>
                <w:color w:val="auto"/>
              </w:rPr>
            </w:pPr>
            <w:r>
              <w:rPr>
                <w:rFonts w:ascii="Arial" w:cs="Arial" w:eastAsia="Arial" w:hAnsi="Arial"/>
                <w:sz w:val="18"/>
                <w:szCs w:val="18"/>
                <w:color w:val="auto"/>
              </w:rPr>
              <w:t>1,041.3</w:t>
            </w:r>
          </w:p>
        </w:tc>
      </w:tr>
    </w:tbl>
    <w:p>
      <w:pPr>
        <w:spacing w:after="0" w:line="248"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Balances related to United States were $451.7, $448.3 and $448.5 as of January 1, 2011, December 31, 2011 and December 31, 2012, respectively.</w:t>
      </w:r>
    </w:p>
    <w:p>
      <w:pPr>
        <w:spacing w:after="0" w:line="180" w:lineRule="exact"/>
        <w:rPr>
          <w:rFonts w:ascii="Arial" w:cs="Arial" w:eastAsia="Arial" w:hAnsi="Arial"/>
          <w:sz w:val="16"/>
          <w:szCs w:val="16"/>
          <w:color w:val="auto"/>
        </w:rPr>
      </w:pPr>
    </w:p>
    <w:p>
      <w:pPr>
        <w:ind w:left="580" w:hanging="572"/>
        <w:spacing w:after="0" w:line="332" w:lineRule="auto"/>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Balances related to France were $15.8, $42.1 and $83.8 as of January 1, 2011, December 31, 2011 and December 31, 2012, respectively. Balances related to Italy were $4.6, $5.4 and $5.5 as of January 1, 2011, December 31, 2011 and December 31, 2012, respectively.</w:t>
      </w:r>
    </w:p>
    <w:p>
      <w:pPr>
        <w:spacing w:after="0" w:line="71" w:lineRule="exact"/>
        <w:rPr>
          <w:rFonts w:ascii="Arial" w:cs="Arial" w:eastAsia="Arial" w:hAnsi="Arial"/>
          <w:sz w:val="16"/>
          <w:szCs w:val="16"/>
          <w:color w:val="auto"/>
        </w:rPr>
      </w:pPr>
    </w:p>
    <w:p>
      <w:pPr>
        <w:jc w:val="both"/>
        <w:ind w:left="580" w:hanging="572"/>
        <w:spacing w:after="0" w:line="256"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majority of the Corporate balance as of December 31, 2012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January 1, 2011, December 31, 2011 and December 31, 2012.</w:t>
      </w:r>
    </w:p>
    <w:p>
      <w:pPr>
        <w:spacing w:after="0" w:line="26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Goodwill balances by reporting unit were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0" w:type="dxa"/>
            <w:vAlign w:val="bottom"/>
            <w:shd w:val="clear" w:color="auto" w:fill="86B6A5"/>
          </w:tcPr>
          <w:p>
            <w:pPr>
              <w:spacing w:after="0"/>
              <w:rPr>
                <w:sz w:val="14"/>
                <w:szCs w:val="14"/>
                <w:color w:val="auto"/>
              </w:rPr>
            </w:pPr>
          </w:p>
        </w:tc>
        <w:tc>
          <w:tcPr>
            <w:tcW w:w="1480" w:type="dxa"/>
            <w:vAlign w:val="bottom"/>
            <w:shd w:val="clear" w:color="auto" w:fill="86B6A5"/>
          </w:tcPr>
          <w:p>
            <w:pPr>
              <w:jc w:val="right"/>
              <w:ind w:right="257"/>
              <w:spacing w:after="0"/>
              <w:rPr>
                <w:sz w:val="20"/>
                <w:szCs w:val="20"/>
                <w:color w:val="auto"/>
              </w:rPr>
            </w:pPr>
            <w:r>
              <w:rPr>
                <w:rFonts w:ascii="Arial" w:cs="Arial" w:eastAsia="Arial" w:hAnsi="Arial"/>
                <w:sz w:val="14"/>
                <w:szCs w:val="14"/>
                <w:b w:val="1"/>
                <w:bCs w:val="1"/>
                <w:color w:val="FFFFFF"/>
              </w:rPr>
              <w:t>December 31,</w:t>
            </w:r>
          </w:p>
        </w:tc>
        <w:tc>
          <w:tcPr>
            <w:tcW w:w="26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4"/>
                <w:szCs w:val="14"/>
                <w:b w:val="1"/>
                <w:bCs w:val="1"/>
                <w:color w:val="86B6A5"/>
              </w:rPr>
              <w:t>January 1,</w:t>
            </w:r>
          </w:p>
        </w:tc>
      </w:tr>
      <w:tr>
        <w:trPr>
          <w:trHeight w:val="161"/>
        </w:trPr>
        <w:tc>
          <w:tcPr>
            <w:tcW w:w="86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December 31</w:t>
            </w:r>
          </w:p>
        </w:tc>
        <w:tc>
          <w:tcPr>
            <w:tcW w:w="120" w:type="dxa"/>
            <w:vAlign w:val="bottom"/>
            <w:tcBorders>
              <w:bottom w:val="single" w:sz="8" w:color="86B6A5"/>
            </w:tcBorders>
            <w:shd w:val="clear" w:color="auto" w:fill="86B6A5"/>
          </w:tcPr>
          <w:p>
            <w:pPr>
              <w:spacing w:after="0"/>
              <w:rPr>
                <w:sz w:val="14"/>
                <w:szCs w:val="14"/>
                <w:color w:val="auto"/>
              </w:rPr>
            </w:pPr>
          </w:p>
        </w:tc>
        <w:tc>
          <w:tcPr>
            <w:tcW w:w="1480" w:type="dxa"/>
            <w:vAlign w:val="bottom"/>
            <w:tcBorders>
              <w:bottom w:val="single" w:sz="8" w:color="86B6A5"/>
            </w:tcBorders>
            <w:shd w:val="clear" w:color="auto" w:fill="86B6A5"/>
          </w:tcPr>
          <w:p>
            <w:pPr>
              <w:jc w:val="right"/>
              <w:ind w:right="257"/>
              <w:spacing w:after="0"/>
              <w:rPr>
                <w:sz w:val="20"/>
                <w:szCs w:val="20"/>
                <w:color w:val="auto"/>
              </w:rPr>
            </w:pPr>
            <w:r>
              <w:rPr>
                <w:rFonts w:ascii="Arial" w:cs="Arial" w:eastAsia="Arial" w:hAnsi="Arial"/>
                <w:sz w:val="14"/>
                <w:szCs w:val="14"/>
                <w:b w:val="1"/>
                <w:bCs w:val="1"/>
                <w:color w:val="FFFFFF"/>
              </w:rPr>
              <w:t>2012</w:t>
            </w:r>
          </w:p>
        </w:tc>
        <w:tc>
          <w:tcPr>
            <w:tcW w:w="260" w:type="dxa"/>
            <w:vAlign w:val="bottom"/>
            <w:tcBorders>
              <w:bottom w:val="single" w:sz="8" w:color="86B6A5"/>
            </w:tcBorders>
          </w:tcPr>
          <w:p>
            <w:pPr>
              <w:spacing w:after="0"/>
              <w:rPr>
                <w:sz w:val="14"/>
                <w:szCs w:val="14"/>
                <w:color w:val="auto"/>
              </w:rPr>
            </w:pPr>
          </w:p>
        </w:tc>
        <w:tc>
          <w:tcPr>
            <w:tcW w:w="900" w:type="dxa"/>
            <w:vAlign w:val="bottom"/>
            <w:tcBorders>
              <w:bottom w:val="single" w:sz="8" w:color="86B6A5"/>
            </w:tcBorders>
          </w:tcPr>
          <w:p>
            <w:pPr>
              <w:jc w:val="right"/>
              <w:ind w:right="37"/>
              <w:spacing w:after="0"/>
              <w:rPr>
                <w:sz w:val="20"/>
                <w:szCs w:val="20"/>
                <w:color w:val="auto"/>
              </w:rPr>
            </w:pPr>
            <w:r>
              <w:rPr>
                <w:rFonts w:ascii="Arial" w:cs="Arial" w:eastAsia="Arial" w:hAnsi="Arial"/>
                <w:sz w:val="14"/>
                <w:szCs w:val="14"/>
                <w:b w:val="1"/>
                <w:bCs w:val="1"/>
                <w:color w:val="86B6A5"/>
              </w:rPr>
              <w:t>2012</w:t>
            </w: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504.0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503.8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42.1</w:t>
            </w:r>
          </w:p>
        </w:tc>
      </w:tr>
      <w:tr>
        <w:trPr>
          <w:trHeight w:val="208"/>
        </w:trPr>
        <w:tc>
          <w:tcPr>
            <w:tcW w:w="8660" w:type="dxa"/>
            <w:vAlign w:val="bottom"/>
          </w:tcPr>
          <w:p>
            <w:pPr>
              <w:spacing w:after="0"/>
              <w:rPr>
                <w:sz w:val="20"/>
                <w:szCs w:val="20"/>
                <w:color w:val="auto"/>
              </w:rPr>
            </w:pPr>
            <w:r>
              <w:rPr>
                <w:rFonts w:ascii="Arial" w:cs="Arial" w:eastAsia="Arial" w:hAnsi="Arial"/>
                <w:sz w:val="18"/>
                <w:szCs w:val="18"/>
                <w:color w:val="auto"/>
              </w:rPr>
              <w:t>Netherlands (Vitae)</w:t>
            </w:r>
          </w:p>
        </w:tc>
        <w:tc>
          <w:tcPr>
            <w:tcW w:w="12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79.3</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Right Management</w:t>
            </w:r>
          </w:p>
        </w:tc>
        <w:tc>
          <w:tcPr>
            <w:tcW w:w="120" w:type="dxa"/>
            <w:vAlign w:val="bottom"/>
            <w:shd w:val="clear" w:color="auto" w:fill="E3F1DA"/>
          </w:tcPr>
          <w:p>
            <w:pPr>
              <w:spacing w:after="0"/>
              <w:rPr>
                <w:sz w:val="18"/>
                <w:szCs w:val="18"/>
                <w:color w:val="auto"/>
              </w:rPr>
            </w:pPr>
          </w:p>
        </w:tc>
        <w:tc>
          <w:tcPr>
            <w:tcW w:w="148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60.3</w:t>
            </w:r>
          </w:p>
        </w:tc>
      </w:tr>
      <w:tr>
        <w:trPr>
          <w:trHeight w:val="228"/>
        </w:trPr>
        <w:tc>
          <w:tcPr>
            <w:tcW w:w="8660" w:type="dxa"/>
            <w:vAlign w:val="bottom"/>
            <w:tcBorders>
              <w:bottom w:val="single" w:sz="8" w:color="939598"/>
            </w:tcBorders>
          </w:tcPr>
          <w:p>
            <w:pPr>
              <w:spacing w:after="0" w:line="227" w:lineRule="exact"/>
              <w:rPr>
                <w:sz w:val="20"/>
                <w:szCs w:val="20"/>
                <w:color w:val="auto"/>
              </w:rPr>
            </w:pPr>
            <w:r>
              <w:rPr>
                <w:rFonts w:ascii="Arial" w:cs="Arial" w:eastAsia="Arial" w:hAnsi="Arial"/>
                <w:sz w:val="18"/>
                <w:szCs w:val="18"/>
                <w:color w:val="auto"/>
              </w:rPr>
              <w:t>Other reporting units</w:t>
            </w:r>
            <w:r>
              <w:rPr>
                <w:rFonts w:ascii="Arial" w:cs="Arial" w:eastAsia="Arial" w:hAnsi="Arial"/>
                <w:sz w:val="24"/>
                <w:szCs w:val="24"/>
                <w:color w:val="auto"/>
                <w:vertAlign w:val="superscript"/>
              </w:rPr>
              <w:t>(1)</w:t>
            </w:r>
          </w:p>
        </w:tc>
        <w:tc>
          <w:tcPr>
            <w:tcW w:w="120" w:type="dxa"/>
            <w:vAlign w:val="bottom"/>
            <w:tcBorders>
              <w:bottom w:val="single" w:sz="8" w:color="939598"/>
            </w:tcBorders>
            <w:shd w:val="clear" w:color="auto" w:fill="E3F1DA"/>
          </w:tcPr>
          <w:p>
            <w:pPr>
              <w:spacing w:after="0"/>
              <w:rPr>
                <w:sz w:val="19"/>
                <w:szCs w:val="19"/>
                <w:color w:val="auto"/>
              </w:rPr>
            </w:pPr>
          </w:p>
        </w:tc>
        <w:tc>
          <w:tcPr>
            <w:tcW w:w="1480" w:type="dxa"/>
            <w:vAlign w:val="bottom"/>
            <w:tcBorders>
              <w:bottom w:val="single" w:sz="8" w:color="939598"/>
            </w:tcBorders>
            <w:shd w:val="clear" w:color="auto" w:fill="E3F1DA"/>
          </w:tcPr>
          <w:p>
            <w:pPr>
              <w:jc w:val="right"/>
              <w:ind w:right="257"/>
              <w:spacing w:after="0"/>
              <w:rPr>
                <w:sz w:val="20"/>
                <w:szCs w:val="20"/>
                <w:color w:val="auto"/>
              </w:rPr>
            </w:pPr>
            <w:r>
              <w:rPr>
                <w:rFonts w:ascii="Arial" w:cs="Arial" w:eastAsia="Arial" w:hAnsi="Arial"/>
                <w:sz w:val="18"/>
                <w:szCs w:val="18"/>
                <w:color w:val="auto"/>
              </w:rPr>
              <w:t>310.7</w:t>
            </w:r>
          </w:p>
        </w:tc>
        <w:tc>
          <w:tcPr>
            <w:tcW w:w="26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jc w:val="right"/>
              <w:ind w:right="37"/>
              <w:spacing w:after="0"/>
              <w:rPr>
                <w:sz w:val="20"/>
                <w:szCs w:val="20"/>
                <w:color w:val="auto"/>
              </w:rPr>
            </w:pPr>
            <w:r>
              <w:rPr>
                <w:rFonts w:ascii="Arial" w:cs="Arial" w:eastAsia="Arial" w:hAnsi="Arial"/>
                <w:sz w:val="18"/>
                <w:szCs w:val="18"/>
                <w:color w:val="auto"/>
              </w:rPr>
              <w:t>299.2</w:t>
            </w:r>
          </w:p>
        </w:tc>
      </w:tr>
      <w:tr>
        <w:trPr>
          <w:trHeight w:val="210"/>
        </w:trPr>
        <w:tc>
          <w:tcPr>
            <w:tcW w:w="86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goodwill</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939598"/>
            </w:tcBorders>
            <w:shd w:val="clear" w:color="auto" w:fill="E3F1DA"/>
          </w:tcPr>
          <w:p>
            <w:pPr>
              <w:jc w:val="right"/>
              <w:ind w:right="257"/>
              <w:spacing w:after="0"/>
              <w:rPr>
                <w:sz w:val="20"/>
                <w:szCs w:val="20"/>
                <w:color w:val="auto"/>
              </w:rPr>
            </w:pPr>
            <w:r>
              <w:rPr>
                <w:rFonts w:ascii="Arial" w:cs="Arial" w:eastAsia="Arial" w:hAnsi="Arial"/>
                <w:sz w:val="18"/>
                <w:szCs w:val="18"/>
                <w:color w:val="auto"/>
              </w:rPr>
              <w:t>1,041.3</w:t>
            </w:r>
          </w:p>
        </w:tc>
        <w:tc>
          <w:tcPr>
            <w:tcW w:w="260" w:type="dxa"/>
            <w:vAlign w:val="bottom"/>
            <w:tcBorders>
              <w:bottom w:val="single" w:sz="8" w:color="939598"/>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939598"/>
            </w:tcBorders>
          </w:tcPr>
          <w:p>
            <w:pPr>
              <w:jc w:val="right"/>
              <w:ind w:right="37"/>
              <w:spacing w:after="0"/>
              <w:rPr>
                <w:sz w:val="20"/>
                <w:szCs w:val="20"/>
                <w:color w:val="auto"/>
              </w:rPr>
            </w:pPr>
            <w:r>
              <w:rPr>
                <w:rFonts w:ascii="Arial" w:cs="Arial" w:eastAsia="Arial" w:hAnsi="Arial"/>
                <w:sz w:val="18"/>
                <w:szCs w:val="18"/>
                <w:color w:val="auto"/>
              </w:rPr>
              <w:t>984.7</w:t>
            </w:r>
          </w:p>
        </w:tc>
      </w:tr>
    </w:tbl>
    <w:p>
      <w:pPr>
        <w:spacing w:after="0" w:line="248" w:lineRule="exact"/>
        <w:rPr>
          <w:sz w:val="20"/>
          <w:szCs w:val="20"/>
          <w:color w:val="auto"/>
        </w:rPr>
      </w:pPr>
    </w:p>
    <w:p>
      <w:pPr>
        <w:ind w:left="580" w:hanging="572"/>
        <w:spacing w:after="0" w:line="268"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Elan reporting unit, which carried $123.8 of goodwill as of December 31, 2011, was integrated into other reporting units within our Northern Europe reportable segment as of January 1,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86B6A5"/>
        </w:rPr>
        <w:t>07.</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Debt</w:t>
      </w:r>
    </w:p>
    <w:p>
      <w:pPr>
        <w:spacing w:after="0"/>
        <w:rPr>
          <w:sz w:val="20"/>
          <w:szCs w:val="20"/>
          <w:color w:val="auto"/>
        </w:rPr>
      </w:pPr>
      <w:r>
        <w:rPr>
          <w:rFonts w:ascii="Arial" w:cs="Arial" w:eastAsia="Arial" w:hAnsi="Arial"/>
          <w:sz w:val="18"/>
          <w:szCs w:val="18"/>
          <w:color w:val="auto"/>
        </w:rPr>
        <w:t>Information concerning short-term borrowings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40" w:type="dxa"/>
            <w:vAlign w:val="bottom"/>
            <w:tcBorders>
              <w:bottom w:val="single" w:sz="8" w:color="86B6A5"/>
            </w:tcBorders>
            <w:shd w:val="clear" w:color="auto" w:fill="86B6A5"/>
          </w:tcPr>
          <w:p>
            <w:pPr>
              <w:jc w:val="right"/>
              <w:ind w:right="259"/>
              <w:spacing w:after="0"/>
              <w:rPr>
                <w:sz w:val="20"/>
                <w:szCs w:val="20"/>
                <w:color w:val="auto"/>
              </w:rPr>
            </w:pPr>
            <w:r>
              <w:rPr>
                <w:rFonts w:ascii="Arial" w:cs="Arial" w:eastAsia="Arial" w:hAnsi="Arial"/>
                <w:sz w:val="14"/>
                <w:szCs w:val="14"/>
                <w:b w:val="1"/>
                <w:bCs w:val="1"/>
                <w:color w:val="FFFFFF"/>
              </w:rPr>
              <w:t>2012</w:t>
            </w:r>
          </w:p>
        </w:tc>
        <w:tc>
          <w:tcPr>
            <w:tcW w:w="34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79"/>
              <w:spacing w:after="0"/>
              <w:rPr>
                <w:sz w:val="20"/>
                <w:szCs w:val="20"/>
                <w:color w:val="auto"/>
              </w:rPr>
            </w:pPr>
            <w:r>
              <w:rPr>
                <w:rFonts w:ascii="Arial" w:cs="Arial" w:eastAsia="Arial" w:hAnsi="Arial"/>
                <w:sz w:val="14"/>
                <w:szCs w:val="14"/>
                <w:b w:val="1"/>
                <w:bCs w:val="1"/>
                <w:color w:val="86B6A5"/>
              </w:rPr>
              <w:t>2011</w:t>
            </w: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3F1DA"/>
          </w:tcPr>
          <w:p>
            <w:pPr>
              <w:jc w:val="right"/>
              <w:ind w:right="259"/>
              <w:spacing w:after="0"/>
              <w:rPr>
                <w:sz w:val="20"/>
                <w:szCs w:val="20"/>
                <w:color w:val="auto"/>
              </w:rPr>
            </w:pPr>
            <w:r>
              <w:rPr>
                <w:rFonts w:ascii="Arial" w:cs="Arial" w:eastAsia="Arial" w:hAnsi="Arial"/>
                <w:sz w:val="18"/>
                <w:szCs w:val="18"/>
                <w:color w:val="auto"/>
              </w:rPr>
              <w:t>43.3</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42.4</w:t>
            </w:r>
          </w:p>
        </w:tc>
      </w:tr>
      <w:tr>
        <w:trPr>
          <w:trHeight w:val="216"/>
        </w:trPr>
        <w:tc>
          <w:tcPr>
            <w:tcW w:w="91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Weighted-average interest rates</w:t>
            </w:r>
          </w:p>
        </w:tc>
        <w:tc>
          <w:tcPr>
            <w:tcW w:w="10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jc w:val="right"/>
              <w:ind w:right="119"/>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11.9%</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2012, such uncommitted credit lines totaled $379.4, of which $334.8 was unused. Due to limitations on subsidiary borrowings in our revolving credit agreement, additional subsidiary borrowings of $255.4 could be made under these facilities as of December 31,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December 31</w:t>
            </w:r>
          </w:p>
        </w:tc>
        <w:tc>
          <w:tcPr>
            <w:tcW w:w="120" w:type="dxa"/>
            <w:vAlign w:val="bottom"/>
            <w:tcBorders>
              <w:bottom w:val="single" w:sz="8" w:color="86B6A5"/>
            </w:tcBorders>
            <w:shd w:val="clear" w:color="auto" w:fill="86B6A5"/>
          </w:tcPr>
          <w:p>
            <w:pPr>
              <w:spacing w:after="0"/>
              <w:rPr>
                <w:sz w:val="14"/>
                <w:szCs w:val="14"/>
                <w:color w:val="auto"/>
              </w:rPr>
            </w:pPr>
          </w:p>
        </w:tc>
        <w:tc>
          <w:tcPr>
            <w:tcW w:w="1140" w:type="dxa"/>
            <w:vAlign w:val="bottom"/>
            <w:tcBorders>
              <w:bottom w:val="single" w:sz="8" w:color="86B6A5"/>
            </w:tcBorders>
            <w:shd w:val="clear" w:color="auto" w:fill="86B6A5"/>
          </w:tcPr>
          <w:p>
            <w:pPr>
              <w:jc w:val="right"/>
              <w:ind w:right="255"/>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rPr>
              <w:t>2011</w:t>
            </w: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color w:val="auto"/>
              </w:rPr>
              <w:t>Euro-denominated notes:</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€350 due June 2018</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461.7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€200 due June 2013</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263.8</w:t>
            </w:r>
          </w:p>
        </w:tc>
        <w:tc>
          <w:tcPr>
            <w:tcW w:w="30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258.9</w:t>
            </w:r>
          </w:p>
        </w:tc>
      </w:tr>
      <w:tr>
        <w:trPr>
          <w:trHeight w:val="216"/>
        </w:trPr>
        <w:tc>
          <w:tcPr>
            <w:tcW w:w="2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€300 due June 2012</w:t>
            </w: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388.7</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3F1DA"/>
          </w:tcPr>
          <w:p>
            <w:pPr>
              <w:spacing w:after="0"/>
              <w:rPr>
                <w:sz w:val="19"/>
                <w:szCs w:val="19"/>
                <w:color w:val="auto"/>
              </w:rPr>
            </w:pPr>
          </w:p>
        </w:tc>
        <w:tc>
          <w:tcPr>
            <w:tcW w:w="114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10.2</w:t>
            </w:r>
          </w:p>
        </w:tc>
      </w:tr>
      <w:tr>
        <w:trPr>
          <w:trHeight w:val="211"/>
        </w:trPr>
        <w:tc>
          <w:tcPr>
            <w:tcW w:w="20" w:type="dxa"/>
            <w:vAlign w:val="bottom"/>
          </w:tcPr>
          <w:p>
            <w:pPr>
              <w:spacing w:after="0"/>
              <w:rPr>
                <w:sz w:val="18"/>
                <w:szCs w:val="18"/>
                <w:color w:val="auto"/>
              </w:rPr>
            </w:pPr>
          </w:p>
        </w:tc>
        <w:tc>
          <w:tcPr>
            <w:tcW w:w="9100" w:type="dxa"/>
            <w:vAlign w:val="bottom"/>
            <w:tcBorders>
              <w:top w:val="single" w:sz="8" w:color="939598"/>
              <w:bottom w:val="single" w:sz="8" w:color="939598"/>
            </w:tcBorders>
          </w:tcPr>
          <w:p>
            <w:pPr>
              <w:spacing w:after="0"/>
              <w:rPr>
                <w:sz w:val="18"/>
                <w:szCs w:val="18"/>
                <w:color w:val="auto"/>
              </w:rPr>
            </w:pPr>
          </w:p>
        </w:tc>
        <w:tc>
          <w:tcPr>
            <w:tcW w:w="120" w:type="dxa"/>
            <w:vAlign w:val="bottom"/>
            <w:tcBorders>
              <w:top w:val="single" w:sz="8" w:color="939598"/>
              <w:bottom w:val="single" w:sz="8" w:color="939598"/>
            </w:tcBorders>
            <w:shd w:val="clear" w:color="auto" w:fill="E3F1DA"/>
          </w:tcPr>
          <w:p>
            <w:pPr>
              <w:spacing w:after="0"/>
              <w:rPr>
                <w:sz w:val="18"/>
                <w:szCs w:val="18"/>
                <w:color w:val="auto"/>
              </w:rPr>
            </w:pPr>
          </w:p>
        </w:tc>
        <w:tc>
          <w:tcPr>
            <w:tcW w:w="1140" w:type="dxa"/>
            <w:vAlign w:val="bottom"/>
            <w:tcBorders>
              <w:top w:val="single" w:sz="8" w:color="939598"/>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726.8</w:t>
            </w:r>
          </w:p>
        </w:tc>
        <w:tc>
          <w:tcPr>
            <w:tcW w:w="300" w:type="dxa"/>
            <w:vAlign w:val="bottom"/>
            <w:tcBorders>
              <w:top w:val="single" w:sz="8" w:color="939598"/>
              <w:bottom w:val="single" w:sz="8" w:color="939598"/>
            </w:tcBorders>
          </w:tcPr>
          <w:p>
            <w:pPr>
              <w:spacing w:after="0"/>
              <w:rPr>
                <w:sz w:val="18"/>
                <w:szCs w:val="18"/>
                <w:color w:val="auto"/>
              </w:rPr>
            </w:pPr>
          </w:p>
        </w:tc>
        <w:tc>
          <w:tcPr>
            <w:tcW w:w="740" w:type="dxa"/>
            <w:vAlign w:val="bottom"/>
            <w:tcBorders>
              <w:top w:val="single" w:sz="8" w:color="939598"/>
              <w:bottom w:val="single" w:sz="8" w:color="939598"/>
            </w:tcBorders>
          </w:tcPr>
          <w:p>
            <w:pPr>
              <w:jc w:val="right"/>
              <w:ind w:right="35"/>
              <w:spacing w:after="0"/>
              <w:rPr>
                <w:sz w:val="20"/>
                <w:szCs w:val="20"/>
                <w:color w:val="auto"/>
              </w:rPr>
            </w:pPr>
            <w:r>
              <w:rPr>
                <w:rFonts w:ascii="Arial" w:cs="Arial" w:eastAsia="Arial" w:hAnsi="Arial"/>
                <w:sz w:val="18"/>
                <w:szCs w:val="18"/>
                <w:color w:val="auto"/>
              </w:rPr>
              <w:t>657.8</w:t>
            </w:r>
          </w:p>
        </w:tc>
      </w:tr>
      <w:tr>
        <w:trPr>
          <w:trHeight w:val="210"/>
        </w:trPr>
        <w:tc>
          <w:tcPr>
            <w:tcW w:w="20" w:type="dxa"/>
            <w:vAlign w:val="bottom"/>
            <w:tcBorders>
              <w:bottom w:val="single" w:sz="8" w:color="939598"/>
            </w:tcBorders>
          </w:tcPr>
          <w:p>
            <w:pPr>
              <w:spacing w:after="0"/>
              <w:rPr>
                <w:sz w:val="18"/>
                <w:szCs w:val="18"/>
                <w:color w:val="auto"/>
              </w:rPr>
            </w:pPr>
          </w:p>
        </w:tc>
        <w:tc>
          <w:tcPr>
            <w:tcW w:w="91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Less — current maturities</w:t>
            </w:r>
          </w:p>
        </w:tc>
        <w:tc>
          <w:tcPr>
            <w:tcW w:w="120" w:type="dxa"/>
            <w:vAlign w:val="bottom"/>
            <w:tcBorders>
              <w:bottom w:val="single" w:sz="8" w:color="939598"/>
            </w:tcBorders>
            <w:shd w:val="clear" w:color="auto" w:fill="E3F1DA"/>
          </w:tcPr>
          <w:p>
            <w:pPr>
              <w:spacing w:after="0"/>
              <w:rPr>
                <w:sz w:val="18"/>
                <w:szCs w:val="18"/>
                <w:color w:val="auto"/>
              </w:rPr>
            </w:pPr>
          </w:p>
        </w:tc>
        <w:tc>
          <w:tcPr>
            <w:tcW w:w="1140" w:type="dxa"/>
            <w:vAlign w:val="bottom"/>
            <w:tcBorders>
              <w:bottom w:val="single" w:sz="8" w:color="939598"/>
            </w:tcBorders>
            <w:shd w:val="clear" w:color="auto" w:fill="E3F1DA"/>
          </w:tcPr>
          <w:p>
            <w:pPr>
              <w:jc w:val="right"/>
              <w:ind w:right="255"/>
              <w:spacing w:after="0"/>
              <w:rPr>
                <w:sz w:val="20"/>
                <w:szCs w:val="20"/>
                <w:color w:val="auto"/>
              </w:rPr>
            </w:pPr>
            <w:r>
              <w:rPr>
                <w:rFonts w:ascii="Arial" w:cs="Arial" w:eastAsia="Arial" w:hAnsi="Arial"/>
                <w:sz w:val="18"/>
                <w:szCs w:val="18"/>
                <w:color w:val="auto"/>
              </w:rPr>
              <w:t>264.7</w:t>
            </w:r>
          </w:p>
        </w:tc>
        <w:tc>
          <w:tcPr>
            <w:tcW w:w="30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rPr>
              <w:t>391.8</w:t>
            </w: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5"/>
              <w:spacing w:after="0"/>
              <w:rPr>
                <w:sz w:val="20"/>
                <w:szCs w:val="20"/>
                <w:color w:val="auto"/>
              </w:rPr>
            </w:pPr>
            <w:r>
              <w:rPr>
                <w:rFonts w:ascii="Arial" w:cs="Arial" w:eastAsia="Arial" w:hAnsi="Arial"/>
                <w:sz w:val="18"/>
                <w:szCs w:val="18"/>
                <w:color w:val="auto"/>
              </w:rPr>
              <w:t>462.1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266.0</w:t>
            </w:r>
          </w:p>
        </w:tc>
      </w:tr>
      <w:tr>
        <w:trPr>
          <w:trHeight w:val="20"/>
        </w:trPr>
        <w:tc>
          <w:tcPr>
            <w:tcW w:w="20" w:type="dxa"/>
            <w:vAlign w:val="bottom"/>
          </w:tcPr>
          <w:p>
            <w:pPr>
              <w:spacing w:after="0" w:line="20" w:lineRule="exact"/>
              <w:rPr>
                <w:sz w:val="1"/>
                <w:szCs w:val="1"/>
                <w:color w:val="auto"/>
              </w:rPr>
            </w:pPr>
          </w:p>
        </w:tc>
        <w:tc>
          <w:tcPr>
            <w:tcW w:w="910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1140" w:type="dxa"/>
            <w:vAlign w:val="bottom"/>
            <w:shd w:val="clear" w:color="auto" w:fill="939598"/>
          </w:tcPr>
          <w:p>
            <w:pPr>
              <w:spacing w:after="0" w:line="20" w:lineRule="exact"/>
              <w:rPr>
                <w:sz w:val="1"/>
                <w:szCs w:val="1"/>
                <w:color w:val="auto"/>
              </w:rPr>
            </w:pPr>
          </w:p>
        </w:tc>
        <w:tc>
          <w:tcPr>
            <w:tcW w:w="300" w:type="dxa"/>
            <w:vAlign w:val="bottom"/>
            <w:shd w:val="clear" w:color="auto" w:fill="939598"/>
          </w:tcPr>
          <w:p>
            <w:pPr>
              <w:spacing w:after="0" w:line="20" w:lineRule="exact"/>
              <w:rPr>
                <w:sz w:val="1"/>
                <w:szCs w:val="1"/>
                <w:color w:val="auto"/>
              </w:rPr>
            </w:pPr>
          </w:p>
        </w:tc>
        <w:tc>
          <w:tcPr>
            <w:tcW w:w="740" w:type="dxa"/>
            <w:vAlign w:val="bottom"/>
            <w:shd w:val="clear" w:color="auto" w:fill="939598"/>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EURO NOTES</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22, 2012, we offered and sold €350.0 aggregate principal amount of the Company’s 4.50% notes due June 22, 2018 (the “€350.0 Notes”). The net proceeds from the €350.0 Notes of €348.7 were used to repay borrowings under our $800.0 revolving credit facility that were drawn in May to repay our €300.0 notes that matured on June 1, 2012 and for general corporate purposes. The €350.0 Notes were issued at a price of 99.974% to yield an effective interest rate of 4.505%. Interest on the €350.0 Notes is payable in arrears on June 22 of each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€200.0 aggregate principal amount of 4.75% notes due June 14, 2013 (the “€200.0 Notes”). The €200.0 Notes were issued at a price of 99.349% to yield an effective interest rate of 4.862%. The discount of €1.3 ($1.6) is being amortized to interest expense over the term of the €200.0 Notes. Interest on the €200.0 Notes is payable in arrears on June 14 of each year.</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Both the €350.0 Notes and €200.0 Notes are unsecured senior obligations and rank equally with all of our existing and future senior unsecured debt and other liabilities. We may redeem these notes, in whole but not in part, at our option at any time for a redemption price determined in accordance with the term of the notes. These notes also contain certain customary non-financial restrictive covenants and events of default.</w:t>
      </w:r>
    </w:p>
    <w:p>
      <w:pPr>
        <w:ind w:left="580" w:hanging="572"/>
        <w:spacing w:after="0"/>
        <w:tabs>
          <w:tab w:leader="none" w:pos="580" w:val="left"/>
        </w:tabs>
        <w:numPr>
          <w:ilvl w:val="0"/>
          <w:numId w:val="83"/>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87" w:name="page88"/>
    <w:bookmarkEnd w:id="87"/>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€350.0 Notes, €200.0 Notes and other euro-denominated borrowings have been designated as a hedge of our net investment in subsidiaries with a euro functional currency. Since our net investment in these subsidiaries exceeds the respective amount of the designated borrowings, translation gains or losses related to these borrowings are included as a component of accumulated other comprehensive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REVOLVING CREDIT AGREEMENT</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5, 2011, we entered into a $800.0 Five-Year Credit Agreement (the “Agreement”) with a syndicate of commercial banks. This Agreement replaced our previous $400.0 revolving credit facility. The Agreement allows for borrowing in various currencies and up to $150.0 may be used for the issuance of stand-by letters of credit. The Agreement terminates in October 2016. Outstanding letters of credit issued under the Agreement totaled $0.9 and $1.6 as of December 31, 2012 and 2011, respectively. Additional borrowings of $799.1 and $798.4 were available to us under the Agreement as of December 31, 2012 and 2011, respectively.</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Agreement, a credit ratings-based pricing grid determines the facility fee and the credit spread that we add to the applicable interbank borrowing rate on all borrowings. At our current credit rating, the annual facility fee is 22.5 bps paid on the entire $800.0 facility and the credit spread is 127.5 bps on any borrowings. Any downgrades from the credit agencies would unfavorably impact our facility fees and result in additional costs ranging from approximately $0.2 to $0.4 annually. We had no borrowings under this Agreement as of both December 31, 2012 and 2011.</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Agreement contains customary restrictive covenants pertaining to our management and operations, including limitations on the amount of subsidiary debt that we may incur and limitations on our ability to pledge assets, as well as financial covenants, including covenants requiring, among other things, that we comply with a leverage ratio (net Debt-to-EBITDA) of not greater than 3.5 to 1 and a fixed charge coverage ratio of not less than 1.5 to 1. The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defined in the Agreement, we had a net Debt-to-EBITDA ratio of 0.97 to 1 (compared to the maximum allowable ratio of 3.5 to 1) and a Fixed Charge Coverage ratio of 2.84 to 1 (compared to the minimum required ratio of 1.5 to 1) as of December 31,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DEBT MATURITIES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maturities of long-term debt payable within each of the four years subsequent to December 31, 2013 are as follows: 2014 — $0.4, 2015 through 2017 — none.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86B6A5"/>
        </w:rPr>
        <w:t>08.</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86B6A5"/>
        </w:rPr>
        <w:t>Retirement and Deferred Compensation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DEFINED BENEFIT PLANS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Year Ended December 31</w:t>
            </w:r>
          </w:p>
        </w:tc>
        <w:tc>
          <w:tcPr>
            <w:tcW w:w="120" w:type="dxa"/>
            <w:vAlign w:val="bottom"/>
            <w:tcBorders>
              <w:bottom w:val="single" w:sz="8" w:color="939598"/>
            </w:tcBorders>
          </w:tcPr>
          <w:p>
            <w:pPr>
              <w:spacing w:after="0"/>
              <w:rPr>
                <w:sz w:val="14"/>
                <w:szCs w:val="14"/>
                <w:color w:val="auto"/>
              </w:rPr>
            </w:pPr>
          </w:p>
        </w:tc>
        <w:tc>
          <w:tcPr>
            <w:tcW w:w="1640" w:type="dxa"/>
            <w:vAlign w:val="bottom"/>
            <w:tcBorders>
              <w:bottom w:val="single" w:sz="8" w:color="939598"/>
            </w:tcBorders>
            <w:gridSpan w:val="2"/>
          </w:tcPr>
          <w:p>
            <w:pPr>
              <w:jc w:val="right"/>
              <w:ind w:right="23"/>
              <w:spacing w:after="0"/>
              <w:rPr>
                <w:sz w:val="20"/>
                <w:szCs w:val="20"/>
                <w:color w:val="auto"/>
              </w:rPr>
            </w:pPr>
            <w:r>
              <w:rPr>
                <w:rFonts w:ascii="Arial" w:cs="Arial" w:eastAsia="Arial" w:hAnsi="Arial"/>
                <w:sz w:val="14"/>
                <w:szCs w:val="14"/>
                <w:b w:val="1"/>
                <w:bCs w:val="1"/>
                <w:color w:val="86B6A5"/>
              </w:rPr>
              <w:t>United States Plans</w:t>
            </w:r>
          </w:p>
        </w:tc>
        <w:tc>
          <w:tcPr>
            <w:tcW w:w="420" w:type="dxa"/>
            <w:vAlign w:val="bottom"/>
            <w:tcBorders>
              <w:bottom w:val="single" w:sz="8" w:color="939598"/>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2140" w:type="dxa"/>
            <w:vAlign w:val="bottom"/>
            <w:tcBorders>
              <w:bottom w:val="single" w:sz="8" w:color="939598"/>
            </w:tcBorders>
            <w:gridSpan w:val="3"/>
          </w:tcPr>
          <w:p>
            <w:pPr>
              <w:jc w:val="right"/>
              <w:ind w:right="394"/>
              <w:spacing w:after="0"/>
              <w:rPr>
                <w:sz w:val="20"/>
                <w:szCs w:val="20"/>
                <w:color w:val="auto"/>
              </w:rPr>
            </w:pPr>
            <w:r>
              <w:rPr>
                <w:rFonts w:ascii="Arial" w:cs="Arial" w:eastAsia="Arial" w:hAnsi="Arial"/>
                <w:sz w:val="14"/>
                <w:szCs w:val="14"/>
                <w:b w:val="1"/>
                <w:bCs w:val="1"/>
                <w:color w:val="86B6A5"/>
              </w:rPr>
              <w:t>Non-United States Plans</w:t>
            </w: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20" w:type="dxa"/>
            <w:vAlign w:val="bottom"/>
            <w:shd w:val="clear" w:color="auto" w:fill="86B6A5"/>
          </w:tcPr>
          <w:p>
            <w:pPr>
              <w:spacing w:after="0"/>
              <w:rPr>
                <w:sz w:val="12"/>
                <w:szCs w:val="12"/>
                <w:color w:val="auto"/>
              </w:rPr>
            </w:pPr>
          </w:p>
        </w:tc>
        <w:tc>
          <w:tcPr>
            <w:tcW w:w="1160" w:type="dxa"/>
            <w:vAlign w:val="bottom"/>
            <w:shd w:val="clear" w:color="auto" w:fill="86B6A5"/>
          </w:tcPr>
          <w:p>
            <w:pPr>
              <w:jc w:val="right"/>
              <w:ind w:right="256"/>
              <w:spacing w:after="0" w:line="142" w:lineRule="exact"/>
              <w:rPr>
                <w:sz w:val="20"/>
                <w:szCs w:val="20"/>
                <w:color w:val="auto"/>
              </w:rPr>
            </w:pPr>
            <w:r>
              <w:rPr>
                <w:rFonts w:ascii="Arial" w:cs="Arial" w:eastAsia="Arial" w:hAnsi="Arial"/>
                <w:sz w:val="14"/>
                <w:szCs w:val="14"/>
                <w:b w:val="1"/>
                <w:bCs w:val="1"/>
                <w:color w:val="FFFFFF"/>
              </w:rPr>
              <w:t>2012</w:t>
            </w:r>
          </w:p>
        </w:tc>
        <w:tc>
          <w:tcPr>
            <w:tcW w:w="4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86B6A5"/>
              </w:rPr>
              <w:t>2011</w:t>
            </w:r>
          </w:p>
        </w:tc>
        <w:tc>
          <w:tcPr>
            <w:tcW w:w="340" w:type="dxa"/>
            <w:vAlign w:val="bottom"/>
          </w:tcPr>
          <w:p>
            <w:pPr>
              <w:spacing w:after="0"/>
              <w:rPr>
                <w:sz w:val="12"/>
                <w:szCs w:val="12"/>
                <w:color w:val="auto"/>
              </w:rPr>
            </w:pPr>
          </w:p>
        </w:tc>
        <w:tc>
          <w:tcPr>
            <w:tcW w:w="120" w:type="dxa"/>
            <w:vAlign w:val="bottom"/>
            <w:shd w:val="clear" w:color="auto" w:fill="86B6A5"/>
          </w:tcPr>
          <w:p>
            <w:pPr>
              <w:spacing w:after="0"/>
              <w:rPr>
                <w:sz w:val="12"/>
                <w:szCs w:val="12"/>
                <w:color w:val="auto"/>
              </w:rPr>
            </w:pPr>
          </w:p>
        </w:tc>
        <w:tc>
          <w:tcPr>
            <w:tcW w:w="1120" w:type="dxa"/>
            <w:vAlign w:val="bottom"/>
            <w:shd w:val="clear" w:color="auto" w:fill="86B6A5"/>
          </w:tcPr>
          <w:p>
            <w:pPr>
              <w:jc w:val="right"/>
              <w:ind w:right="256"/>
              <w:spacing w:after="0" w:line="142" w:lineRule="exact"/>
              <w:rPr>
                <w:sz w:val="20"/>
                <w:szCs w:val="20"/>
                <w:color w:val="auto"/>
              </w:rPr>
            </w:pPr>
            <w:r>
              <w:rPr>
                <w:rFonts w:ascii="Arial" w:cs="Arial" w:eastAsia="Arial" w:hAnsi="Arial"/>
                <w:sz w:val="14"/>
                <w:szCs w:val="14"/>
                <w:b w:val="1"/>
                <w:bCs w:val="1"/>
                <w:color w:val="FFFFFF"/>
              </w:rPr>
              <w:t>2012</w:t>
            </w:r>
          </w:p>
        </w:tc>
        <w:tc>
          <w:tcPr>
            <w:tcW w:w="300" w:type="dxa"/>
            <w:vAlign w:val="bottom"/>
          </w:tcPr>
          <w:p>
            <w:pPr>
              <w:spacing w:after="0"/>
              <w:rPr>
                <w:sz w:val="12"/>
                <w:szCs w:val="12"/>
                <w:color w:val="auto"/>
              </w:rPr>
            </w:pPr>
          </w:p>
        </w:tc>
        <w:tc>
          <w:tcPr>
            <w:tcW w:w="7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86B6A5"/>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86B6A5"/>
            </w:tcBorders>
          </w:tcPr>
          <w:p>
            <w:pPr>
              <w:spacing w:after="0"/>
              <w:rPr>
                <w:sz w:val="20"/>
                <w:szCs w:val="20"/>
                <w:color w:val="auto"/>
              </w:rPr>
            </w:pPr>
            <w:r>
              <w:rPr>
                <w:rFonts w:ascii="Arial" w:cs="Arial" w:eastAsia="Arial" w:hAnsi="Arial"/>
                <w:sz w:val="18"/>
                <w:szCs w:val="18"/>
                <w:b w:val="1"/>
                <w:bCs w:val="1"/>
                <w:color w:val="939598"/>
              </w:rPr>
              <w:t>Change in Benefit Obligation</w:t>
            </w:r>
          </w:p>
        </w:tc>
        <w:tc>
          <w:tcPr>
            <w:tcW w:w="120" w:type="dxa"/>
            <w:vAlign w:val="bottom"/>
            <w:tcBorders>
              <w:top w:val="single" w:sz="8" w:color="86B6A5"/>
            </w:tcBorders>
            <w:shd w:val="clear" w:color="auto" w:fill="E3F1DA"/>
          </w:tcPr>
          <w:p>
            <w:pPr>
              <w:spacing w:after="0"/>
              <w:rPr>
                <w:sz w:val="18"/>
                <w:szCs w:val="18"/>
                <w:color w:val="auto"/>
              </w:rPr>
            </w:pPr>
          </w:p>
        </w:tc>
        <w:tc>
          <w:tcPr>
            <w:tcW w:w="116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tcPr>
          <w:p>
            <w:pPr>
              <w:spacing w:after="0"/>
              <w:rPr>
                <w:sz w:val="18"/>
                <w:szCs w:val="18"/>
                <w:color w:val="auto"/>
              </w:rPr>
            </w:pPr>
          </w:p>
        </w:tc>
        <w:tc>
          <w:tcPr>
            <w:tcW w:w="420" w:type="dxa"/>
            <w:vAlign w:val="bottom"/>
            <w:tcBorders>
              <w:top w:val="single" w:sz="8" w:color="86B6A5"/>
            </w:tcBorders>
          </w:tcPr>
          <w:p>
            <w:pPr>
              <w:spacing w:after="0"/>
              <w:rPr>
                <w:sz w:val="18"/>
                <w:szCs w:val="18"/>
                <w:color w:val="auto"/>
              </w:rPr>
            </w:pPr>
          </w:p>
        </w:tc>
        <w:tc>
          <w:tcPr>
            <w:tcW w:w="340" w:type="dxa"/>
            <w:vAlign w:val="bottom"/>
            <w:tcBorders>
              <w:top w:val="single" w:sz="8" w:color="86B6A5"/>
            </w:tcBorders>
          </w:tcPr>
          <w:p>
            <w:pPr>
              <w:spacing w:after="0"/>
              <w:rPr>
                <w:sz w:val="18"/>
                <w:szCs w:val="18"/>
                <w:color w:val="auto"/>
              </w:rPr>
            </w:pPr>
          </w:p>
        </w:tc>
        <w:tc>
          <w:tcPr>
            <w:tcW w:w="120" w:type="dxa"/>
            <w:vAlign w:val="bottom"/>
            <w:tcBorders>
              <w:top w:val="single" w:sz="8" w:color="86B6A5"/>
            </w:tcBorders>
            <w:shd w:val="clear" w:color="auto" w:fill="E3F1DA"/>
          </w:tcPr>
          <w:p>
            <w:pPr>
              <w:spacing w:after="0"/>
              <w:rPr>
                <w:sz w:val="18"/>
                <w:szCs w:val="18"/>
                <w:color w:val="auto"/>
              </w:rPr>
            </w:pPr>
          </w:p>
        </w:tc>
        <w:tc>
          <w:tcPr>
            <w:tcW w:w="1120" w:type="dxa"/>
            <w:vAlign w:val="bottom"/>
            <w:tcBorders>
              <w:top w:val="single" w:sz="8" w:color="86B6A5"/>
            </w:tcBorders>
            <w:shd w:val="clear" w:color="auto" w:fill="E3F1DA"/>
          </w:tcPr>
          <w:p>
            <w:pPr>
              <w:spacing w:after="0"/>
              <w:rPr>
                <w:sz w:val="18"/>
                <w:szCs w:val="18"/>
                <w:color w:val="auto"/>
              </w:rPr>
            </w:pPr>
          </w:p>
        </w:tc>
        <w:tc>
          <w:tcPr>
            <w:tcW w:w="300" w:type="dxa"/>
            <w:vAlign w:val="bottom"/>
            <w:tcBorders>
              <w:top w:val="single" w:sz="8" w:color="86B6A5"/>
            </w:tcBorders>
          </w:tcPr>
          <w:p>
            <w:pPr>
              <w:spacing w:after="0"/>
              <w:rPr>
                <w:sz w:val="18"/>
                <w:szCs w:val="18"/>
                <w:color w:val="auto"/>
              </w:rPr>
            </w:pPr>
          </w:p>
        </w:tc>
        <w:tc>
          <w:tcPr>
            <w:tcW w:w="720" w:type="dxa"/>
            <w:vAlign w:val="bottom"/>
            <w:tcBorders>
              <w:top w:val="single" w:sz="8" w:color="86B6A5"/>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Benefit obligation, beginning of year</w:t>
            </w:r>
          </w:p>
        </w:tc>
        <w:tc>
          <w:tcPr>
            <w:tcW w:w="12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57.5</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264.7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Curtailments</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Transfers</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Plan participant contributions</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256"/>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20" w:type="dxa"/>
            <w:vAlign w:val="bottom"/>
            <w:shd w:val="clear" w:color="auto" w:fill="E3F1DA"/>
          </w:tcPr>
          <w:p>
            <w:pPr>
              <w:spacing w:after="0"/>
              <w:rPr>
                <w:sz w:val="18"/>
                <w:szCs w:val="18"/>
                <w:color w:val="auto"/>
              </w:rPr>
            </w:pP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E3F1DA"/>
          </w:tcPr>
          <w:p>
            <w:pPr>
              <w:spacing w:after="0"/>
              <w:rPr>
                <w:sz w:val="18"/>
                <w:szCs w:val="18"/>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Currency exchange rate changes</w:t>
            </w:r>
          </w:p>
        </w:tc>
        <w:tc>
          <w:tcPr>
            <w:tcW w:w="12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939598"/>
            </w:tcBorders>
            <w:shd w:val="clear" w:color="auto" w:fill="E3F1DA"/>
          </w:tcPr>
          <w:p>
            <w:pPr>
              <w:spacing w:after="0"/>
              <w:rPr>
                <w:sz w:val="19"/>
                <w:szCs w:val="19"/>
                <w:color w:val="auto"/>
              </w:rPr>
            </w:pPr>
          </w:p>
        </w:tc>
        <w:tc>
          <w:tcPr>
            <w:tcW w:w="112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Benefit obligation, end of year</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61.9</w:t>
            </w:r>
          </w:p>
        </w:tc>
        <w:tc>
          <w:tcPr>
            <w:tcW w:w="480" w:type="dxa"/>
            <w:vAlign w:val="bottom"/>
            <w:tcBorders>
              <w:bottom w:val="single" w:sz="8" w:color="939598"/>
            </w:tcBorders>
          </w:tcPr>
          <w:p>
            <w:pPr>
              <w:jc w:val="right"/>
              <w:ind w:right="3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939598"/>
            </w:tcBorders>
            <w:gridSpan w:val="2"/>
          </w:tcPr>
          <w:p>
            <w:pPr>
              <w:jc w:val="right"/>
              <w:ind w:right="34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315.2</w:t>
            </w:r>
          </w:p>
        </w:tc>
        <w:tc>
          <w:tcPr>
            <w:tcW w:w="300" w:type="dxa"/>
            <w:vAlign w:val="bottom"/>
            <w:tcBorders>
              <w:bottom w:val="single" w:sz="8" w:color="939598"/>
            </w:tcBorders>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939598"/>
            </w:tcBorders>
          </w:tcPr>
          <w:p>
            <w:pPr>
              <w:jc w:val="right"/>
              <w:ind w:right="14"/>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-1388745</wp:posOffset>
            </wp:positionV>
            <wp:extent cx="737235" cy="1389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7235" cy="138938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-1388745</wp:posOffset>
            </wp:positionV>
            <wp:extent cx="720090" cy="1389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1389380"/>
                    </a:xfrm>
                    <a:prstGeom prst="rect">
                      <a:avLst/>
                    </a:prstGeom>
                    <a:noFill/>
                  </pic:spPr>
                </pic:pic>
              </a:graphicData>
            </a:graphic>
          </wp:anchor>
        </w:drawing>
      </w:r>
    </w:p>
    <w:p>
      <w:pPr>
        <w:spacing w:after="0" w:line="224"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Year Ended December 31</w:t>
            </w:r>
          </w:p>
        </w:tc>
        <w:tc>
          <w:tcPr>
            <w:tcW w:w="40" w:type="dxa"/>
            <w:vAlign w:val="bottom"/>
            <w:tcBorders>
              <w:bottom w:val="single" w:sz="8" w:color="939598"/>
            </w:tcBorders>
          </w:tcPr>
          <w:p>
            <w:pPr>
              <w:spacing w:after="0"/>
              <w:rPr>
                <w:sz w:val="14"/>
                <w:szCs w:val="14"/>
                <w:color w:val="auto"/>
              </w:rPr>
            </w:pPr>
          </w:p>
        </w:tc>
        <w:tc>
          <w:tcPr>
            <w:tcW w:w="60" w:type="dxa"/>
            <w:vAlign w:val="bottom"/>
            <w:tcBorders>
              <w:bottom w:val="single" w:sz="8" w:color="939598"/>
            </w:tcBorders>
          </w:tcPr>
          <w:p>
            <w:pPr>
              <w:spacing w:after="0"/>
              <w:rPr>
                <w:sz w:val="14"/>
                <w:szCs w:val="14"/>
                <w:color w:val="auto"/>
              </w:rPr>
            </w:pPr>
          </w:p>
        </w:tc>
        <w:tc>
          <w:tcPr>
            <w:tcW w:w="60" w:type="dxa"/>
            <w:vAlign w:val="bottom"/>
            <w:tcBorders>
              <w:bottom w:val="single" w:sz="8" w:color="939598"/>
            </w:tcBorders>
          </w:tcPr>
          <w:p>
            <w:pPr>
              <w:spacing w:after="0"/>
              <w:rPr>
                <w:sz w:val="14"/>
                <w:szCs w:val="14"/>
                <w:color w:val="auto"/>
              </w:rPr>
            </w:pPr>
          </w:p>
        </w:tc>
        <w:tc>
          <w:tcPr>
            <w:tcW w:w="1580" w:type="dxa"/>
            <w:vAlign w:val="bottom"/>
            <w:tcBorders>
              <w:bottom w:val="single" w:sz="8" w:color="939598"/>
            </w:tcBorders>
            <w:gridSpan w:val="2"/>
          </w:tcPr>
          <w:p>
            <w:pPr>
              <w:jc w:val="right"/>
              <w:ind w:right="20"/>
              <w:spacing w:after="0"/>
              <w:rPr>
                <w:sz w:val="20"/>
                <w:szCs w:val="20"/>
                <w:color w:val="auto"/>
              </w:rPr>
            </w:pPr>
            <w:r>
              <w:rPr>
                <w:rFonts w:ascii="Arial" w:cs="Arial" w:eastAsia="Arial" w:hAnsi="Arial"/>
                <w:sz w:val="14"/>
                <w:szCs w:val="14"/>
                <w:b w:val="1"/>
                <w:bCs w:val="1"/>
                <w:color w:val="86B6A5"/>
              </w:rPr>
              <w:t>United States Plans</w:t>
            </w:r>
          </w:p>
        </w:tc>
        <w:tc>
          <w:tcPr>
            <w:tcW w:w="440" w:type="dxa"/>
            <w:vAlign w:val="bottom"/>
            <w:tcBorders>
              <w:bottom w:val="single" w:sz="8" w:color="939598"/>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939598"/>
            </w:tcBorders>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2140" w:type="dxa"/>
            <w:vAlign w:val="bottom"/>
            <w:tcBorders>
              <w:bottom w:val="single" w:sz="8" w:color="939598"/>
            </w:tcBorders>
            <w:gridSpan w:val="3"/>
          </w:tcPr>
          <w:p>
            <w:pPr>
              <w:jc w:val="right"/>
              <w:ind w:right="434"/>
              <w:spacing w:after="0"/>
              <w:rPr>
                <w:sz w:val="20"/>
                <w:szCs w:val="20"/>
                <w:color w:val="auto"/>
              </w:rPr>
            </w:pPr>
            <w:r>
              <w:rPr>
                <w:rFonts w:ascii="Arial" w:cs="Arial" w:eastAsia="Arial" w:hAnsi="Arial"/>
                <w:sz w:val="14"/>
                <w:szCs w:val="14"/>
                <w:b w:val="1"/>
                <w:bCs w:val="1"/>
                <w:color w:val="86B6A5"/>
                <w:w w:val="98"/>
              </w:rPr>
              <w:t>Non-United States Plans</w:t>
            </w: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40" w:type="dxa"/>
            <w:vAlign w:val="bottom"/>
            <w:shd w:val="clear" w:color="auto" w:fill="86B6A5"/>
          </w:tcPr>
          <w:p>
            <w:pPr>
              <w:spacing w:after="0"/>
              <w:rPr>
                <w:sz w:val="12"/>
                <w:szCs w:val="12"/>
                <w:color w:val="auto"/>
              </w:rPr>
            </w:pPr>
          </w:p>
        </w:tc>
        <w:tc>
          <w:tcPr>
            <w:tcW w:w="60" w:type="dxa"/>
            <w:vAlign w:val="bottom"/>
            <w:shd w:val="clear" w:color="auto" w:fill="86B6A5"/>
          </w:tcPr>
          <w:p>
            <w:pPr>
              <w:spacing w:after="0"/>
              <w:rPr>
                <w:sz w:val="12"/>
                <w:szCs w:val="12"/>
                <w:color w:val="auto"/>
              </w:rPr>
            </w:pPr>
          </w:p>
        </w:tc>
        <w:tc>
          <w:tcPr>
            <w:tcW w:w="60" w:type="dxa"/>
            <w:vAlign w:val="bottom"/>
            <w:shd w:val="clear" w:color="auto" w:fill="86B6A5"/>
          </w:tcPr>
          <w:p>
            <w:pPr>
              <w:spacing w:after="0"/>
              <w:rPr>
                <w:sz w:val="12"/>
                <w:szCs w:val="12"/>
                <w:color w:val="auto"/>
              </w:rPr>
            </w:pPr>
          </w:p>
        </w:tc>
        <w:tc>
          <w:tcPr>
            <w:tcW w:w="1100" w:type="dxa"/>
            <w:vAlign w:val="bottom"/>
            <w:shd w:val="clear" w:color="auto" w:fill="86B6A5"/>
          </w:tcPr>
          <w:p>
            <w:pPr>
              <w:jc w:val="right"/>
              <w:ind w:right="256"/>
              <w:spacing w:after="0" w:line="142" w:lineRule="exact"/>
              <w:rPr>
                <w:sz w:val="20"/>
                <w:szCs w:val="20"/>
                <w:color w:val="auto"/>
              </w:rPr>
            </w:pPr>
            <w:r>
              <w:rPr>
                <w:rFonts w:ascii="Arial" w:cs="Arial" w:eastAsia="Arial" w:hAnsi="Arial"/>
                <w:sz w:val="14"/>
                <w:szCs w:val="14"/>
                <w:b w:val="1"/>
                <w:bCs w:val="1"/>
                <w:color w:val="FFFFFF"/>
              </w:rPr>
              <w:t>2012</w:t>
            </w:r>
          </w:p>
        </w:tc>
        <w:tc>
          <w:tcPr>
            <w:tcW w:w="4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86B6A5"/>
              </w:rPr>
              <w:t>2011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shd w:val="clear" w:color="auto" w:fill="86B6A5"/>
          </w:tcPr>
          <w:p>
            <w:pPr>
              <w:spacing w:after="0"/>
              <w:rPr>
                <w:sz w:val="12"/>
                <w:szCs w:val="12"/>
                <w:color w:val="auto"/>
              </w:rPr>
            </w:pPr>
          </w:p>
        </w:tc>
        <w:tc>
          <w:tcPr>
            <w:tcW w:w="120" w:type="dxa"/>
            <w:vAlign w:val="bottom"/>
            <w:tcBorders>
              <w:left w:val="single" w:sz="8" w:color="86B6A5"/>
            </w:tcBorders>
            <w:shd w:val="clear" w:color="auto" w:fill="86B6A5"/>
          </w:tcPr>
          <w:p>
            <w:pPr>
              <w:spacing w:after="0"/>
              <w:rPr>
                <w:sz w:val="12"/>
                <w:szCs w:val="12"/>
                <w:color w:val="auto"/>
              </w:rPr>
            </w:pPr>
          </w:p>
        </w:tc>
        <w:tc>
          <w:tcPr>
            <w:tcW w:w="1080" w:type="dxa"/>
            <w:vAlign w:val="bottom"/>
            <w:shd w:val="clear" w:color="auto" w:fill="86B6A5"/>
          </w:tcPr>
          <w:p>
            <w:pPr>
              <w:jc w:val="right"/>
              <w:ind w:right="256"/>
              <w:spacing w:after="0" w:line="142" w:lineRule="exact"/>
              <w:rPr>
                <w:sz w:val="20"/>
                <w:szCs w:val="20"/>
                <w:color w:val="auto"/>
              </w:rPr>
            </w:pPr>
            <w:r>
              <w:rPr>
                <w:rFonts w:ascii="Arial" w:cs="Arial" w:eastAsia="Arial" w:hAnsi="Arial"/>
                <w:sz w:val="14"/>
                <w:szCs w:val="14"/>
                <w:b w:val="1"/>
                <w:bCs w:val="1"/>
                <w:color w:val="FFFFFF"/>
              </w:rPr>
              <w:t>2012</w:t>
            </w:r>
          </w:p>
        </w:tc>
        <w:tc>
          <w:tcPr>
            <w:tcW w:w="340" w:type="dxa"/>
            <w:vAlign w:val="bottom"/>
          </w:tcPr>
          <w:p>
            <w:pPr>
              <w:spacing w:after="0"/>
              <w:rPr>
                <w:sz w:val="12"/>
                <w:szCs w:val="12"/>
                <w:color w:val="auto"/>
              </w:rPr>
            </w:pPr>
          </w:p>
        </w:tc>
        <w:tc>
          <w:tcPr>
            <w:tcW w:w="7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86B6A5"/>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86B6A5"/>
            </w:tcBorders>
          </w:tcPr>
          <w:p>
            <w:pPr>
              <w:spacing w:after="0"/>
              <w:rPr>
                <w:sz w:val="20"/>
                <w:szCs w:val="20"/>
                <w:color w:val="auto"/>
              </w:rPr>
            </w:pPr>
            <w:r>
              <w:rPr>
                <w:rFonts w:ascii="Arial" w:cs="Arial" w:eastAsia="Arial" w:hAnsi="Arial"/>
                <w:sz w:val="18"/>
                <w:szCs w:val="18"/>
                <w:b w:val="1"/>
                <w:bCs w:val="1"/>
                <w:color w:val="939598"/>
              </w:rPr>
              <w:t>Change in Plan Assets</w:t>
            </w:r>
          </w:p>
        </w:tc>
        <w:tc>
          <w:tcPr>
            <w:tcW w:w="40" w:type="dxa"/>
            <w:vAlign w:val="bottom"/>
            <w:tcBorders>
              <w:top w:val="single" w:sz="8" w:color="86B6A5"/>
            </w:tcBorders>
            <w:shd w:val="clear" w:color="auto" w:fill="E3F1DA"/>
          </w:tcPr>
          <w:p>
            <w:pPr>
              <w:spacing w:after="0"/>
              <w:rPr>
                <w:sz w:val="18"/>
                <w:szCs w:val="18"/>
                <w:color w:val="auto"/>
              </w:rPr>
            </w:pPr>
          </w:p>
        </w:tc>
        <w:tc>
          <w:tcPr>
            <w:tcW w:w="60" w:type="dxa"/>
            <w:vAlign w:val="bottom"/>
            <w:tcBorders>
              <w:top w:val="single" w:sz="8" w:color="86B6A5"/>
            </w:tcBorders>
            <w:shd w:val="clear" w:color="auto" w:fill="E3F1DA"/>
          </w:tcPr>
          <w:p>
            <w:pPr>
              <w:spacing w:after="0"/>
              <w:rPr>
                <w:sz w:val="18"/>
                <w:szCs w:val="18"/>
                <w:color w:val="auto"/>
              </w:rPr>
            </w:pPr>
          </w:p>
        </w:tc>
        <w:tc>
          <w:tcPr>
            <w:tcW w:w="60" w:type="dxa"/>
            <w:vAlign w:val="bottom"/>
            <w:tcBorders>
              <w:top w:val="single" w:sz="8" w:color="86B6A5"/>
            </w:tcBorders>
            <w:shd w:val="clear" w:color="auto" w:fill="E3F1DA"/>
          </w:tcPr>
          <w:p>
            <w:pPr>
              <w:spacing w:after="0"/>
              <w:rPr>
                <w:sz w:val="18"/>
                <w:szCs w:val="18"/>
                <w:color w:val="auto"/>
              </w:rPr>
            </w:pPr>
          </w:p>
        </w:tc>
        <w:tc>
          <w:tcPr>
            <w:tcW w:w="110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tcPr>
          <w:p>
            <w:pPr>
              <w:spacing w:after="0"/>
              <w:rPr>
                <w:sz w:val="18"/>
                <w:szCs w:val="18"/>
                <w:color w:val="auto"/>
              </w:rPr>
            </w:pPr>
          </w:p>
        </w:tc>
        <w:tc>
          <w:tcPr>
            <w:tcW w:w="440" w:type="dxa"/>
            <w:vAlign w:val="bottom"/>
            <w:tcBorders>
              <w:top w:val="single" w:sz="8" w:color="86B6A5"/>
            </w:tcBorders>
          </w:tcPr>
          <w:p>
            <w:pPr>
              <w:spacing w:after="0"/>
              <w:rPr>
                <w:sz w:val="18"/>
                <w:szCs w:val="18"/>
                <w:color w:val="auto"/>
              </w:rPr>
            </w:pPr>
          </w:p>
        </w:tc>
        <w:tc>
          <w:tcPr>
            <w:tcW w:w="40" w:type="dxa"/>
            <w:vAlign w:val="bottom"/>
            <w:tcBorders>
              <w:top w:val="single" w:sz="8" w:color="86B6A5"/>
            </w:tcBorders>
          </w:tcPr>
          <w:p>
            <w:pPr>
              <w:spacing w:after="0"/>
              <w:rPr>
                <w:sz w:val="18"/>
                <w:szCs w:val="18"/>
                <w:color w:val="auto"/>
              </w:rPr>
            </w:pPr>
          </w:p>
        </w:tc>
        <w:tc>
          <w:tcPr>
            <w:tcW w:w="300" w:type="dxa"/>
            <w:vAlign w:val="bottom"/>
            <w:tcBorders>
              <w:top w:val="single" w:sz="8" w:color="86B6A5"/>
            </w:tcBorders>
          </w:tcPr>
          <w:p>
            <w:pPr>
              <w:spacing w:after="0"/>
              <w:rPr>
                <w:sz w:val="18"/>
                <w:szCs w:val="18"/>
                <w:color w:val="auto"/>
              </w:rPr>
            </w:pPr>
          </w:p>
        </w:tc>
        <w:tc>
          <w:tcPr>
            <w:tcW w:w="40" w:type="dxa"/>
            <w:vAlign w:val="bottom"/>
            <w:tcBorders>
              <w:top w:val="single" w:sz="8" w:color="86B6A5"/>
            </w:tcBorders>
            <w:shd w:val="clear" w:color="auto" w:fill="E3F1DA"/>
          </w:tcPr>
          <w:p>
            <w:pPr>
              <w:spacing w:after="0"/>
              <w:rPr>
                <w:sz w:val="18"/>
                <w:szCs w:val="18"/>
                <w:color w:val="auto"/>
              </w:rPr>
            </w:pPr>
          </w:p>
        </w:tc>
        <w:tc>
          <w:tcPr>
            <w:tcW w:w="120" w:type="dxa"/>
            <w:vAlign w:val="bottom"/>
            <w:tcBorders>
              <w:top w:val="single" w:sz="8" w:color="86B6A5"/>
              <w:left w:val="single" w:sz="8" w:color="E3F1DA"/>
            </w:tcBorders>
            <w:shd w:val="clear" w:color="auto" w:fill="E3F1DA"/>
          </w:tcPr>
          <w:p>
            <w:pPr>
              <w:spacing w:after="0"/>
              <w:rPr>
                <w:sz w:val="18"/>
                <w:szCs w:val="18"/>
                <w:color w:val="auto"/>
              </w:rPr>
            </w:pPr>
          </w:p>
        </w:tc>
        <w:tc>
          <w:tcPr>
            <w:tcW w:w="1080" w:type="dxa"/>
            <w:vAlign w:val="bottom"/>
            <w:tcBorders>
              <w:top w:val="single" w:sz="8" w:color="86B6A5"/>
            </w:tcBorders>
            <w:shd w:val="clear" w:color="auto" w:fill="E3F1DA"/>
          </w:tcPr>
          <w:p>
            <w:pPr>
              <w:spacing w:after="0"/>
              <w:rPr>
                <w:sz w:val="18"/>
                <w:szCs w:val="18"/>
                <w:color w:val="auto"/>
              </w:rPr>
            </w:pPr>
          </w:p>
        </w:tc>
        <w:tc>
          <w:tcPr>
            <w:tcW w:w="340" w:type="dxa"/>
            <w:vAlign w:val="bottom"/>
            <w:tcBorders>
              <w:top w:val="single" w:sz="8" w:color="86B6A5"/>
            </w:tcBorders>
          </w:tcPr>
          <w:p>
            <w:pPr>
              <w:spacing w:after="0"/>
              <w:rPr>
                <w:sz w:val="18"/>
                <w:szCs w:val="18"/>
                <w:color w:val="auto"/>
              </w:rPr>
            </w:pPr>
          </w:p>
        </w:tc>
        <w:tc>
          <w:tcPr>
            <w:tcW w:w="720" w:type="dxa"/>
            <w:vAlign w:val="bottom"/>
            <w:tcBorders>
              <w:top w:val="single" w:sz="8" w:color="86B6A5"/>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100" w:type="dxa"/>
            <w:vAlign w:val="bottom"/>
            <w:gridSpan w:val="2"/>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3F1DA"/>
          </w:tcPr>
          <w:p>
            <w:pPr>
              <w:spacing w:after="0"/>
              <w:rPr>
                <w:sz w:val="18"/>
                <w:szCs w:val="18"/>
                <w:color w:val="auto"/>
              </w:rPr>
            </w:pPr>
          </w:p>
        </w:tc>
        <w:tc>
          <w:tcPr>
            <w:tcW w:w="110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34.7</w:t>
            </w:r>
          </w:p>
        </w:tc>
        <w:tc>
          <w:tcPr>
            <w:tcW w:w="480" w:type="dxa"/>
            <w:vAlign w:val="bottom"/>
          </w:tcPr>
          <w:p>
            <w:pPr>
              <w:jc w:val="right"/>
              <w:ind w:right="32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300" w:type="dxa"/>
            <w:vAlign w:val="bottom"/>
          </w:tcPr>
          <w:p>
            <w:pPr>
              <w:spacing w:after="0"/>
              <w:rPr>
                <w:sz w:val="18"/>
                <w:szCs w:val="18"/>
                <w:color w:val="auto"/>
              </w:rPr>
            </w:pPr>
          </w:p>
        </w:tc>
        <w:tc>
          <w:tcPr>
            <w:tcW w:w="4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left w:val="single" w:sz="8" w:color="E3F1DA"/>
            </w:tcBorders>
            <w:shd w:val="clear" w:color="auto" w:fill="E3F1DA"/>
          </w:tcPr>
          <w:p>
            <w:pPr>
              <w:spacing w:after="0"/>
              <w:rPr>
                <w:sz w:val="18"/>
                <w:szCs w:val="18"/>
                <w:color w:val="auto"/>
              </w:rPr>
            </w:pPr>
          </w:p>
        </w:tc>
        <w:tc>
          <w:tcPr>
            <w:tcW w:w="108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250.4</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(0.4)</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Curtailments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Transfers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Plan participant contributions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Company contributions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256"/>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256"/>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(4.6)</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Currency exchange rate changes</w:t>
            </w:r>
          </w:p>
        </w:tc>
        <w:tc>
          <w:tcPr>
            <w:tcW w:w="40" w:type="dxa"/>
            <w:vAlign w:val="bottom"/>
            <w:tcBorders>
              <w:bottom w:val="single" w:sz="8" w:color="939598"/>
            </w:tcBorders>
            <w:shd w:val="clear" w:color="auto" w:fill="E3F1DA"/>
          </w:tcPr>
          <w:p>
            <w:pPr>
              <w:spacing w:after="0"/>
              <w:rPr>
                <w:sz w:val="19"/>
                <w:szCs w:val="19"/>
                <w:color w:val="auto"/>
              </w:rPr>
            </w:pPr>
          </w:p>
        </w:tc>
        <w:tc>
          <w:tcPr>
            <w:tcW w:w="60" w:type="dxa"/>
            <w:vAlign w:val="bottom"/>
            <w:tcBorders>
              <w:bottom w:val="single" w:sz="8" w:color="939598"/>
            </w:tcBorders>
            <w:shd w:val="clear" w:color="auto" w:fill="E3F1DA"/>
          </w:tcPr>
          <w:p>
            <w:pPr>
              <w:spacing w:after="0"/>
              <w:rPr>
                <w:sz w:val="19"/>
                <w:szCs w:val="19"/>
                <w:color w:val="auto"/>
              </w:rPr>
            </w:pPr>
          </w:p>
        </w:tc>
        <w:tc>
          <w:tcPr>
            <w:tcW w:w="60" w:type="dxa"/>
            <w:vAlign w:val="bottom"/>
            <w:tcBorders>
              <w:bottom w:val="single" w:sz="8" w:color="939598"/>
            </w:tcBorders>
          </w:tcPr>
          <w:p>
            <w:pPr>
              <w:spacing w:after="0"/>
              <w:rPr>
                <w:sz w:val="19"/>
                <w:szCs w:val="19"/>
                <w:color w:val="auto"/>
              </w:rPr>
            </w:pPr>
          </w:p>
        </w:tc>
        <w:tc>
          <w:tcPr>
            <w:tcW w:w="110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939598"/>
            </w:tcBorders>
            <w:shd w:val="clear" w:color="auto" w:fill="E3F1DA"/>
          </w:tcPr>
          <w:p>
            <w:pPr>
              <w:spacing w:after="0"/>
              <w:rPr>
                <w:sz w:val="19"/>
                <w:szCs w:val="19"/>
                <w:color w:val="auto"/>
              </w:rPr>
            </w:pPr>
          </w:p>
        </w:tc>
        <w:tc>
          <w:tcPr>
            <w:tcW w:w="120" w:type="dxa"/>
            <w:vAlign w:val="bottom"/>
            <w:tcBorders>
              <w:left w:val="single" w:sz="8" w:color="E3F1DA"/>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1"/>
        </w:trPr>
        <w:tc>
          <w:tcPr>
            <w:tcW w:w="20" w:type="dxa"/>
            <w:vAlign w:val="bottom"/>
            <w:tcBorders>
              <w:bottom w:val="single" w:sz="8" w:color="939598"/>
            </w:tcBorders>
          </w:tcPr>
          <w:p>
            <w:pPr>
              <w:spacing w:after="0"/>
              <w:rPr>
                <w:sz w:val="18"/>
                <w:szCs w:val="18"/>
                <w:color w:val="auto"/>
              </w:rPr>
            </w:pPr>
          </w:p>
        </w:tc>
        <w:tc>
          <w:tcPr>
            <w:tcW w:w="65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Fair value of plan assets, end of year</w:t>
            </w:r>
          </w:p>
        </w:tc>
        <w:tc>
          <w:tcPr>
            <w:tcW w:w="100" w:type="dxa"/>
            <w:vAlign w:val="bottom"/>
            <w:tcBorders>
              <w:bottom w:val="single" w:sz="8" w:color="939598"/>
            </w:tcBorders>
            <w:gridSpan w:val="2"/>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36.0</w:t>
            </w:r>
          </w:p>
        </w:tc>
        <w:tc>
          <w:tcPr>
            <w:tcW w:w="480" w:type="dxa"/>
            <w:vAlign w:val="bottom"/>
            <w:tcBorders>
              <w:bottom w:val="single" w:sz="8" w:color="939598"/>
            </w:tcBorders>
          </w:tcPr>
          <w:p>
            <w:pPr>
              <w:jc w:val="right"/>
              <w:ind w:right="3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939598"/>
            </w:tcBorders>
            <w:gridSpan w:val="2"/>
          </w:tcPr>
          <w:p>
            <w:pPr>
              <w:jc w:val="right"/>
              <w:ind w:right="40"/>
              <w:spacing w:after="0"/>
              <w:rPr>
                <w:sz w:val="20"/>
                <w:szCs w:val="20"/>
                <w:color w:val="auto"/>
              </w:rPr>
            </w:pPr>
            <w:r>
              <w:rPr>
                <w:rFonts w:ascii="Arial" w:cs="Arial" w:eastAsia="Arial" w:hAnsi="Arial"/>
                <w:sz w:val="18"/>
                <w:szCs w:val="18"/>
                <w:color w:val="auto"/>
              </w:rPr>
              <w:t>34.7</w:t>
            </w:r>
          </w:p>
        </w:tc>
        <w:tc>
          <w:tcPr>
            <w:tcW w:w="300" w:type="dxa"/>
            <w:vAlign w:val="bottom"/>
            <w:tcBorders>
              <w:bottom w:val="single" w:sz="8" w:color="939598"/>
            </w:tcBorders>
          </w:tcPr>
          <w:p>
            <w:pPr>
              <w:spacing w:after="0"/>
              <w:rPr>
                <w:sz w:val="18"/>
                <w:szCs w:val="18"/>
                <w:color w:val="auto"/>
              </w:rPr>
            </w:pPr>
          </w:p>
        </w:tc>
        <w:tc>
          <w:tcPr>
            <w:tcW w:w="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left w:val="single" w:sz="8" w:color="E3F1DA"/>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256"/>
              <w:spacing w:after="0"/>
              <w:rPr>
                <w:sz w:val="20"/>
                <w:szCs w:val="20"/>
                <w:color w:val="auto"/>
              </w:rPr>
            </w:pPr>
            <w:r>
              <w:rPr>
                <w:rFonts w:ascii="Arial" w:cs="Arial" w:eastAsia="Arial" w:hAnsi="Arial"/>
                <w:sz w:val="18"/>
                <w:szCs w:val="18"/>
                <w:color w:val="auto"/>
              </w:rPr>
              <w:t>296.4</w:t>
            </w:r>
          </w:p>
        </w:tc>
        <w:tc>
          <w:tcPr>
            <w:tcW w:w="340" w:type="dxa"/>
            <w:vAlign w:val="bottom"/>
            <w:tcBorders>
              <w:bottom w:val="single" w:sz="8" w:color="939598"/>
            </w:tcBorders>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b w:val="1"/>
                <w:bCs w:val="1"/>
                <w:color w:val="939598"/>
              </w:rPr>
              <w:t>Funded Status at End of Year</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1100" w:type="dxa"/>
            <w:vAlign w:val="bottom"/>
            <w:shd w:val="clear" w:color="auto" w:fill="E3F1DA"/>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shd w:val="clear" w:color="auto" w:fill="E3F1DA"/>
          </w:tcPr>
          <w:p>
            <w:pPr>
              <w:spacing w:after="0"/>
              <w:rPr>
                <w:sz w:val="18"/>
                <w:szCs w:val="18"/>
                <w:color w:val="auto"/>
              </w:rPr>
            </w:pPr>
          </w:p>
        </w:tc>
        <w:tc>
          <w:tcPr>
            <w:tcW w:w="1080" w:type="dxa"/>
            <w:vAlign w:val="bottom"/>
            <w:shd w:val="clear" w:color="auto" w:fill="E3F1DA"/>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Funded status, end of year</w:t>
            </w:r>
          </w:p>
        </w:tc>
        <w:tc>
          <w:tcPr>
            <w:tcW w:w="100" w:type="dxa"/>
            <w:vAlign w:val="bottom"/>
            <w:gridSpan w:val="2"/>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3F1DA"/>
          </w:tcPr>
          <w:p>
            <w:pPr>
              <w:spacing w:after="0"/>
              <w:rPr>
                <w:sz w:val="18"/>
                <w:szCs w:val="18"/>
                <w:color w:val="auto"/>
              </w:rPr>
            </w:pPr>
          </w:p>
        </w:tc>
        <w:tc>
          <w:tcPr>
            <w:tcW w:w="1100" w:type="dxa"/>
            <w:vAlign w:val="bottom"/>
            <w:shd w:val="clear" w:color="auto" w:fill="E3F1DA"/>
          </w:tcPr>
          <w:p>
            <w:pPr>
              <w:jc w:val="right"/>
              <w:ind w:right="196"/>
              <w:spacing w:after="0"/>
              <w:rPr>
                <w:sz w:val="20"/>
                <w:szCs w:val="20"/>
                <w:color w:val="auto"/>
              </w:rPr>
            </w:pPr>
            <w:r>
              <w:rPr>
                <w:rFonts w:ascii="Arial" w:cs="Arial" w:eastAsia="Arial" w:hAnsi="Arial"/>
                <w:sz w:val="18"/>
                <w:szCs w:val="18"/>
                <w:color w:val="auto"/>
              </w:rPr>
              <w:t>(25.9)</w:t>
            </w:r>
          </w:p>
        </w:tc>
        <w:tc>
          <w:tcPr>
            <w:tcW w:w="480" w:type="dxa"/>
            <w:vAlign w:val="bottom"/>
          </w:tcPr>
          <w:p>
            <w:pPr>
              <w:jc w:val="right"/>
              <w:ind w:right="3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(22.8)</w:t>
            </w:r>
          </w:p>
        </w:tc>
        <w:tc>
          <w:tcPr>
            <w:tcW w:w="4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left w:val="single" w:sz="8" w:color="E3F1DA"/>
            </w:tcBorders>
            <w:shd w:val="clear" w:color="auto" w:fill="E3F1DA"/>
          </w:tcPr>
          <w:p>
            <w:pPr>
              <w:spacing w:after="0"/>
              <w:rPr>
                <w:sz w:val="18"/>
                <w:szCs w:val="18"/>
                <w:color w:val="auto"/>
              </w:rPr>
            </w:pPr>
          </w:p>
        </w:tc>
        <w:tc>
          <w:tcPr>
            <w:tcW w:w="1080" w:type="dxa"/>
            <w:vAlign w:val="bottom"/>
            <w:shd w:val="clear" w:color="auto" w:fill="E3F1DA"/>
          </w:tcPr>
          <w:p>
            <w:pPr>
              <w:jc w:val="right"/>
              <w:ind w:right="196"/>
              <w:spacing w:after="0"/>
              <w:rPr>
                <w:sz w:val="20"/>
                <w:szCs w:val="20"/>
                <w:color w:val="auto"/>
              </w:rPr>
            </w:pPr>
            <w:r>
              <w:rPr>
                <w:rFonts w:ascii="Arial" w:cs="Arial" w:eastAsia="Arial" w:hAnsi="Arial"/>
                <w:sz w:val="18"/>
                <w:szCs w:val="18"/>
                <w:color w:val="auto"/>
              </w:rPr>
              <w:t>(18.8)</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939598"/>
            </w:tcBorders>
          </w:tcPr>
          <w:p>
            <w:pPr>
              <w:spacing w:after="0"/>
              <w:rPr>
                <w:sz w:val="20"/>
                <w:szCs w:val="20"/>
                <w:color w:val="auto"/>
              </w:rPr>
            </w:pPr>
            <w:r>
              <w:rPr>
                <w:rFonts w:ascii="Arial" w:cs="Arial" w:eastAsia="Arial" w:hAnsi="Arial"/>
                <w:sz w:val="18"/>
                <w:szCs w:val="18"/>
                <w:b w:val="1"/>
                <w:bCs w:val="1"/>
                <w:color w:val="939598"/>
              </w:rPr>
              <w:t>Amounts Recognized</w:t>
            </w:r>
          </w:p>
        </w:tc>
        <w:tc>
          <w:tcPr>
            <w:tcW w:w="40" w:type="dxa"/>
            <w:vAlign w:val="bottom"/>
            <w:tcBorders>
              <w:top w:val="single" w:sz="8" w:color="939598"/>
            </w:tcBorders>
            <w:shd w:val="clear" w:color="auto" w:fill="E3F1DA"/>
          </w:tcPr>
          <w:p>
            <w:pPr>
              <w:spacing w:after="0"/>
              <w:rPr>
                <w:sz w:val="18"/>
                <w:szCs w:val="18"/>
                <w:color w:val="auto"/>
              </w:rPr>
            </w:pPr>
          </w:p>
        </w:tc>
        <w:tc>
          <w:tcPr>
            <w:tcW w:w="60" w:type="dxa"/>
            <w:vAlign w:val="bottom"/>
            <w:tcBorders>
              <w:top w:val="single" w:sz="8" w:color="939598"/>
            </w:tcBorders>
            <w:shd w:val="clear" w:color="auto" w:fill="E3F1DA"/>
          </w:tcPr>
          <w:p>
            <w:pPr>
              <w:spacing w:after="0"/>
              <w:rPr>
                <w:sz w:val="18"/>
                <w:szCs w:val="18"/>
                <w:color w:val="auto"/>
              </w:rPr>
            </w:pPr>
          </w:p>
        </w:tc>
        <w:tc>
          <w:tcPr>
            <w:tcW w:w="60" w:type="dxa"/>
            <w:vAlign w:val="bottom"/>
            <w:tcBorders>
              <w:top w:val="single" w:sz="8" w:color="939598"/>
            </w:tcBorders>
            <w:shd w:val="clear" w:color="auto" w:fill="E3F1DA"/>
          </w:tcPr>
          <w:p>
            <w:pPr>
              <w:spacing w:after="0"/>
              <w:rPr>
                <w:sz w:val="18"/>
                <w:szCs w:val="18"/>
                <w:color w:val="auto"/>
              </w:rPr>
            </w:pPr>
          </w:p>
        </w:tc>
        <w:tc>
          <w:tcPr>
            <w:tcW w:w="1100" w:type="dxa"/>
            <w:vAlign w:val="bottom"/>
            <w:tcBorders>
              <w:top w:val="single" w:sz="8" w:color="939598"/>
            </w:tcBorders>
            <w:shd w:val="clear" w:color="auto" w:fill="E3F1DA"/>
          </w:tcPr>
          <w:p>
            <w:pPr>
              <w:spacing w:after="0"/>
              <w:rPr>
                <w:sz w:val="18"/>
                <w:szCs w:val="18"/>
                <w:color w:val="auto"/>
              </w:rPr>
            </w:pPr>
          </w:p>
        </w:tc>
        <w:tc>
          <w:tcPr>
            <w:tcW w:w="480" w:type="dxa"/>
            <w:vAlign w:val="bottom"/>
            <w:tcBorders>
              <w:top w:val="single" w:sz="8" w:color="939598"/>
            </w:tcBorders>
          </w:tcPr>
          <w:p>
            <w:pPr>
              <w:spacing w:after="0"/>
              <w:rPr>
                <w:sz w:val="18"/>
                <w:szCs w:val="18"/>
                <w:color w:val="auto"/>
              </w:rPr>
            </w:pPr>
          </w:p>
        </w:tc>
        <w:tc>
          <w:tcPr>
            <w:tcW w:w="440" w:type="dxa"/>
            <w:vAlign w:val="bottom"/>
            <w:tcBorders>
              <w:top w:val="single" w:sz="8" w:color="939598"/>
            </w:tcBorders>
          </w:tcPr>
          <w:p>
            <w:pPr>
              <w:spacing w:after="0"/>
              <w:rPr>
                <w:sz w:val="18"/>
                <w:szCs w:val="18"/>
                <w:color w:val="auto"/>
              </w:rPr>
            </w:pPr>
          </w:p>
        </w:tc>
        <w:tc>
          <w:tcPr>
            <w:tcW w:w="40" w:type="dxa"/>
            <w:vAlign w:val="bottom"/>
            <w:tcBorders>
              <w:top w:val="single" w:sz="8" w:color="939598"/>
            </w:tcBorders>
          </w:tcPr>
          <w:p>
            <w:pPr>
              <w:spacing w:after="0"/>
              <w:rPr>
                <w:sz w:val="18"/>
                <w:szCs w:val="18"/>
                <w:color w:val="auto"/>
              </w:rPr>
            </w:pPr>
          </w:p>
        </w:tc>
        <w:tc>
          <w:tcPr>
            <w:tcW w:w="300" w:type="dxa"/>
            <w:vAlign w:val="bottom"/>
            <w:tcBorders>
              <w:top w:val="single" w:sz="8" w:color="939598"/>
            </w:tcBorders>
          </w:tcPr>
          <w:p>
            <w:pPr>
              <w:spacing w:after="0"/>
              <w:rPr>
                <w:sz w:val="18"/>
                <w:szCs w:val="18"/>
                <w:color w:val="auto"/>
              </w:rPr>
            </w:pPr>
          </w:p>
        </w:tc>
        <w:tc>
          <w:tcPr>
            <w:tcW w:w="40" w:type="dxa"/>
            <w:vAlign w:val="bottom"/>
            <w:tcBorders>
              <w:top w:val="single" w:sz="8" w:color="939598"/>
            </w:tcBorders>
            <w:shd w:val="clear" w:color="auto" w:fill="E3F1DA"/>
          </w:tcPr>
          <w:p>
            <w:pPr>
              <w:spacing w:after="0"/>
              <w:rPr>
                <w:sz w:val="18"/>
                <w:szCs w:val="18"/>
                <w:color w:val="auto"/>
              </w:rPr>
            </w:pPr>
          </w:p>
        </w:tc>
        <w:tc>
          <w:tcPr>
            <w:tcW w:w="120" w:type="dxa"/>
            <w:vAlign w:val="bottom"/>
            <w:tcBorders>
              <w:top w:val="single" w:sz="8" w:color="939598"/>
              <w:left w:val="single" w:sz="8" w:color="E3F1DA"/>
            </w:tcBorders>
            <w:shd w:val="clear" w:color="auto" w:fill="E3F1DA"/>
          </w:tcPr>
          <w:p>
            <w:pPr>
              <w:spacing w:after="0"/>
              <w:rPr>
                <w:sz w:val="18"/>
                <w:szCs w:val="18"/>
                <w:color w:val="auto"/>
              </w:rPr>
            </w:pPr>
          </w:p>
        </w:tc>
        <w:tc>
          <w:tcPr>
            <w:tcW w:w="1080" w:type="dxa"/>
            <w:vAlign w:val="bottom"/>
            <w:tcBorders>
              <w:top w:val="single" w:sz="8" w:color="939598"/>
            </w:tcBorders>
            <w:shd w:val="clear" w:color="auto" w:fill="E3F1DA"/>
          </w:tcPr>
          <w:p>
            <w:pPr>
              <w:spacing w:after="0"/>
              <w:rPr>
                <w:sz w:val="18"/>
                <w:szCs w:val="18"/>
                <w:color w:val="auto"/>
              </w:rPr>
            </w:pPr>
          </w:p>
        </w:tc>
        <w:tc>
          <w:tcPr>
            <w:tcW w:w="340" w:type="dxa"/>
            <w:vAlign w:val="bottom"/>
            <w:tcBorders>
              <w:top w:val="single" w:sz="8" w:color="939598"/>
            </w:tcBorders>
          </w:tcPr>
          <w:p>
            <w:pPr>
              <w:spacing w:after="0"/>
              <w:rPr>
                <w:sz w:val="18"/>
                <w:szCs w:val="18"/>
                <w:color w:val="auto"/>
              </w:rPr>
            </w:pPr>
          </w:p>
        </w:tc>
        <w:tc>
          <w:tcPr>
            <w:tcW w:w="720" w:type="dxa"/>
            <w:vAlign w:val="bottom"/>
            <w:tcBorders>
              <w:top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gridSpan w:val="2"/>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3F1DA"/>
          </w:tcPr>
          <w:p>
            <w:pPr>
              <w:spacing w:after="0"/>
              <w:rPr>
                <w:sz w:val="18"/>
                <w:szCs w:val="18"/>
                <w:color w:val="auto"/>
              </w:rPr>
            </w:pPr>
          </w:p>
        </w:tc>
        <w:tc>
          <w:tcPr>
            <w:tcW w:w="110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11.6</w:t>
            </w:r>
          </w:p>
        </w:tc>
        <w:tc>
          <w:tcPr>
            <w:tcW w:w="480" w:type="dxa"/>
            <w:vAlign w:val="bottom"/>
          </w:tcPr>
          <w:p>
            <w:pPr>
              <w:jc w:val="right"/>
              <w:ind w:right="32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4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left w:val="single" w:sz="8" w:color="E3F1DA"/>
            </w:tcBorders>
            <w:shd w:val="clear" w:color="auto" w:fill="E3F1DA"/>
          </w:tcPr>
          <w:p>
            <w:pPr>
              <w:spacing w:after="0"/>
              <w:rPr>
                <w:sz w:val="18"/>
                <w:szCs w:val="18"/>
                <w:color w:val="auto"/>
              </w:rPr>
            </w:pPr>
          </w:p>
        </w:tc>
        <w:tc>
          <w:tcPr>
            <w:tcW w:w="108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31.4</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8"/>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(2.8)</w:t>
            </w:r>
          </w:p>
        </w:tc>
        <w:tc>
          <w:tcPr>
            <w:tcW w:w="40" w:type="dxa"/>
            <w:vAlign w:val="bottom"/>
            <w:shd w:val="clear" w:color="auto" w:fill="E3F1DA"/>
          </w:tcPr>
          <w:p>
            <w:pPr>
              <w:spacing w:after="0"/>
              <w:rPr>
                <w:sz w:val="18"/>
                <w:szCs w:val="18"/>
                <w:color w:val="auto"/>
              </w:rPr>
            </w:pP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tcBorders>
              <w:bottom w:val="single" w:sz="8" w:color="939598"/>
            </w:tcBorders>
            <w:shd w:val="clear" w:color="auto" w:fill="E3F1DA"/>
          </w:tcPr>
          <w:p>
            <w:pPr>
              <w:spacing w:after="0"/>
              <w:rPr>
                <w:sz w:val="19"/>
                <w:szCs w:val="19"/>
                <w:color w:val="auto"/>
              </w:rPr>
            </w:pPr>
          </w:p>
        </w:tc>
        <w:tc>
          <w:tcPr>
            <w:tcW w:w="60" w:type="dxa"/>
            <w:vAlign w:val="bottom"/>
            <w:tcBorders>
              <w:bottom w:val="single" w:sz="8" w:color="939598"/>
            </w:tcBorders>
            <w:shd w:val="clear" w:color="auto" w:fill="E3F1DA"/>
          </w:tcPr>
          <w:p>
            <w:pPr>
              <w:spacing w:after="0"/>
              <w:rPr>
                <w:sz w:val="19"/>
                <w:szCs w:val="19"/>
                <w:color w:val="auto"/>
              </w:rPr>
            </w:pPr>
          </w:p>
        </w:tc>
        <w:tc>
          <w:tcPr>
            <w:tcW w:w="60" w:type="dxa"/>
            <w:vAlign w:val="bottom"/>
            <w:tcBorders>
              <w:bottom w:val="single" w:sz="8" w:color="939598"/>
            </w:tcBorders>
          </w:tcPr>
          <w:p>
            <w:pPr>
              <w:spacing w:after="0"/>
              <w:rPr>
                <w:sz w:val="19"/>
                <w:szCs w:val="19"/>
                <w:color w:val="auto"/>
              </w:rPr>
            </w:pPr>
          </w:p>
        </w:tc>
        <w:tc>
          <w:tcPr>
            <w:tcW w:w="1100" w:type="dxa"/>
            <w:vAlign w:val="bottom"/>
            <w:tcBorders>
              <w:bottom w:val="single" w:sz="8" w:color="939598"/>
            </w:tcBorders>
          </w:tcPr>
          <w:p>
            <w:pPr>
              <w:jc w:val="right"/>
              <w:ind w:right="196"/>
              <w:spacing w:after="0"/>
              <w:rPr>
                <w:sz w:val="20"/>
                <w:szCs w:val="20"/>
                <w:color w:val="auto"/>
              </w:rPr>
            </w:pPr>
            <w:r>
              <w:rPr>
                <w:rFonts w:ascii="Arial" w:cs="Arial" w:eastAsia="Arial" w:hAnsi="Arial"/>
                <w:sz w:val="18"/>
                <w:szCs w:val="18"/>
                <w:color w:val="auto"/>
              </w:rPr>
              <w:t>(34.6)</w:t>
            </w:r>
          </w:p>
        </w:tc>
        <w:tc>
          <w:tcPr>
            <w:tcW w:w="48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gridSpan w:val="3"/>
          </w:tcPr>
          <w:p>
            <w:pPr>
              <w:jc w:val="right"/>
              <w:ind w:right="280"/>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939598"/>
            </w:tcBorders>
            <w:shd w:val="clear" w:color="auto" w:fill="E3F1DA"/>
          </w:tcPr>
          <w:p>
            <w:pPr>
              <w:spacing w:after="0"/>
              <w:rPr>
                <w:sz w:val="19"/>
                <w:szCs w:val="19"/>
                <w:color w:val="auto"/>
              </w:rPr>
            </w:pPr>
          </w:p>
        </w:tc>
        <w:tc>
          <w:tcPr>
            <w:tcW w:w="120" w:type="dxa"/>
            <w:vAlign w:val="bottom"/>
            <w:tcBorders>
              <w:left w:val="single" w:sz="8" w:color="E3F1DA"/>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196"/>
              <w:spacing w:after="0"/>
              <w:rPr>
                <w:sz w:val="20"/>
                <w:szCs w:val="20"/>
                <w:color w:val="auto"/>
              </w:rPr>
            </w:pPr>
            <w:r>
              <w:rPr>
                <w:rFonts w:ascii="Arial" w:cs="Arial" w:eastAsia="Arial" w:hAnsi="Arial"/>
                <w:sz w:val="18"/>
                <w:szCs w:val="18"/>
                <w:color w:val="auto"/>
              </w:rPr>
              <w:t>(49.9)</w:t>
            </w:r>
          </w:p>
        </w:tc>
        <w:tc>
          <w:tcPr>
            <w:tcW w:w="34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1"/>
        </w:trPr>
        <w:tc>
          <w:tcPr>
            <w:tcW w:w="660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gridSpan w:val="2"/>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100" w:type="dxa"/>
            <w:vAlign w:val="bottom"/>
          </w:tcPr>
          <w:p>
            <w:pPr>
              <w:jc w:val="right"/>
              <w:ind w:right="196"/>
              <w:spacing w:after="0"/>
              <w:rPr>
                <w:sz w:val="20"/>
                <w:szCs w:val="20"/>
                <w:color w:val="auto"/>
              </w:rPr>
            </w:pPr>
            <w:r>
              <w:rPr>
                <w:rFonts w:ascii="Arial" w:cs="Arial" w:eastAsia="Arial" w:hAnsi="Arial"/>
                <w:sz w:val="18"/>
                <w:szCs w:val="18"/>
                <w:color w:val="auto"/>
              </w:rPr>
              <w:t>(25.9)</w:t>
            </w:r>
          </w:p>
        </w:tc>
        <w:tc>
          <w:tcPr>
            <w:tcW w:w="480" w:type="dxa"/>
            <w:vAlign w:val="bottom"/>
          </w:tcPr>
          <w:p>
            <w:pPr>
              <w:jc w:val="right"/>
              <w:ind w:right="32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(22.8)</w:t>
            </w:r>
          </w:p>
        </w:tc>
        <w:tc>
          <w:tcPr>
            <w:tcW w:w="4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left w:val="single" w:sz="8" w:color="E3F1DA"/>
            </w:tcBorders>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8"/>
                <w:szCs w:val="18"/>
                <w:color w:val="auto"/>
              </w:rPr>
              <w:t>(18.8)</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939598"/>
          </w:tcPr>
          <w:p>
            <w:pPr>
              <w:spacing w:after="0" w:line="20" w:lineRule="exact"/>
              <w:rPr>
                <w:sz w:val="1"/>
                <w:szCs w:val="1"/>
                <w:color w:val="auto"/>
              </w:rPr>
            </w:pPr>
          </w:p>
        </w:tc>
        <w:tc>
          <w:tcPr>
            <w:tcW w:w="40" w:type="dxa"/>
            <w:vAlign w:val="bottom"/>
            <w:shd w:val="clear" w:color="auto" w:fill="939598"/>
          </w:tcPr>
          <w:p>
            <w:pPr>
              <w:spacing w:after="0" w:line="20" w:lineRule="exact"/>
              <w:rPr>
                <w:sz w:val="1"/>
                <w:szCs w:val="1"/>
                <w:color w:val="auto"/>
              </w:rPr>
            </w:pPr>
          </w:p>
        </w:tc>
        <w:tc>
          <w:tcPr>
            <w:tcW w:w="60" w:type="dxa"/>
            <w:vAlign w:val="bottom"/>
            <w:shd w:val="clear" w:color="auto" w:fill="939598"/>
          </w:tcPr>
          <w:p>
            <w:pPr>
              <w:spacing w:after="0" w:line="20" w:lineRule="exact"/>
              <w:rPr>
                <w:sz w:val="1"/>
                <w:szCs w:val="1"/>
                <w:color w:val="auto"/>
              </w:rPr>
            </w:pPr>
          </w:p>
        </w:tc>
        <w:tc>
          <w:tcPr>
            <w:tcW w:w="60" w:type="dxa"/>
            <w:vAlign w:val="bottom"/>
            <w:shd w:val="clear" w:color="auto" w:fill="939598"/>
          </w:tcPr>
          <w:p>
            <w:pPr>
              <w:spacing w:after="0" w:line="20" w:lineRule="exact"/>
              <w:rPr>
                <w:sz w:val="1"/>
                <w:szCs w:val="1"/>
                <w:color w:val="auto"/>
              </w:rPr>
            </w:pPr>
          </w:p>
        </w:tc>
        <w:tc>
          <w:tcPr>
            <w:tcW w:w="1100" w:type="dxa"/>
            <w:vAlign w:val="bottom"/>
            <w:shd w:val="clear" w:color="auto" w:fill="939598"/>
          </w:tcPr>
          <w:p>
            <w:pPr>
              <w:spacing w:after="0" w:line="20" w:lineRule="exact"/>
              <w:rPr>
                <w:sz w:val="1"/>
                <w:szCs w:val="1"/>
                <w:color w:val="auto"/>
              </w:rPr>
            </w:pPr>
          </w:p>
        </w:tc>
        <w:tc>
          <w:tcPr>
            <w:tcW w:w="480" w:type="dxa"/>
            <w:vAlign w:val="bottom"/>
            <w:tcBorders>
              <w:left w:val="single" w:sz="8" w:color="939598"/>
            </w:tcBorders>
            <w:shd w:val="clear" w:color="auto" w:fill="939598"/>
          </w:tcPr>
          <w:p>
            <w:pPr>
              <w:spacing w:after="0" w:line="20" w:lineRule="exact"/>
              <w:rPr>
                <w:sz w:val="1"/>
                <w:szCs w:val="1"/>
                <w:color w:val="auto"/>
              </w:rPr>
            </w:pPr>
          </w:p>
        </w:tc>
        <w:tc>
          <w:tcPr>
            <w:tcW w:w="440" w:type="dxa"/>
            <w:vAlign w:val="bottom"/>
            <w:shd w:val="clear" w:color="auto" w:fill="939598"/>
          </w:tcPr>
          <w:p>
            <w:pPr>
              <w:spacing w:after="0" w:line="20" w:lineRule="exact"/>
              <w:rPr>
                <w:sz w:val="1"/>
                <w:szCs w:val="1"/>
                <w:color w:val="auto"/>
              </w:rPr>
            </w:pPr>
          </w:p>
        </w:tc>
        <w:tc>
          <w:tcPr>
            <w:tcW w:w="40" w:type="dxa"/>
            <w:vAlign w:val="bottom"/>
            <w:shd w:val="clear" w:color="auto" w:fill="939598"/>
          </w:tcPr>
          <w:p>
            <w:pPr>
              <w:spacing w:after="0" w:line="20" w:lineRule="exact"/>
              <w:rPr>
                <w:sz w:val="1"/>
                <w:szCs w:val="1"/>
                <w:color w:val="auto"/>
              </w:rPr>
            </w:pPr>
          </w:p>
        </w:tc>
        <w:tc>
          <w:tcPr>
            <w:tcW w:w="300" w:type="dxa"/>
            <w:vAlign w:val="bottom"/>
            <w:shd w:val="clear" w:color="auto" w:fill="939598"/>
          </w:tcPr>
          <w:p>
            <w:pPr>
              <w:spacing w:after="0" w:line="20" w:lineRule="exact"/>
              <w:rPr>
                <w:sz w:val="1"/>
                <w:szCs w:val="1"/>
                <w:color w:val="auto"/>
              </w:rPr>
            </w:pPr>
          </w:p>
        </w:tc>
        <w:tc>
          <w:tcPr>
            <w:tcW w:w="40" w:type="dxa"/>
            <w:vAlign w:val="bottom"/>
            <w:shd w:val="clear" w:color="auto" w:fill="939598"/>
          </w:tcPr>
          <w:p>
            <w:pPr>
              <w:spacing w:after="0" w:line="20" w:lineRule="exact"/>
              <w:rPr>
                <w:sz w:val="1"/>
                <w:szCs w:val="1"/>
                <w:color w:val="auto"/>
              </w:rPr>
            </w:pPr>
          </w:p>
        </w:tc>
        <w:tc>
          <w:tcPr>
            <w:tcW w:w="120" w:type="dxa"/>
            <w:vAlign w:val="bottom"/>
            <w:tcBorders>
              <w:left w:val="single" w:sz="8" w:color="939598"/>
            </w:tcBorders>
            <w:shd w:val="clear" w:color="auto" w:fill="939598"/>
          </w:tcPr>
          <w:p>
            <w:pPr>
              <w:spacing w:after="0" w:line="20" w:lineRule="exact"/>
              <w:rPr>
                <w:sz w:val="1"/>
                <w:szCs w:val="1"/>
                <w:color w:val="auto"/>
              </w:rPr>
            </w:pPr>
          </w:p>
        </w:tc>
        <w:tc>
          <w:tcPr>
            <w:tcW w:w="1080" w:type="dxa"/>
            <w:vAlign w:val="bottom"/>
            <w:shd w:val="clear" w:color="auto" w:fill="939598"/>
          </w:tcPr>
          <w:p>
            <w:pPr>
              <w:spacing w:after="0" w:line="20" w:lineRule="exact"/>
              <w:rPr>
                <w:sz w:val="1"/>
                <w:szCs w:val="1"/>
                <w:color w:val="auto"/>
              </w:rPr>
            </w:pPr>
          </w:p>
        </w:tc>
        <w:tc>
          <w:tcPr>
            <w:tcW w:w="340" w:type="dxa"/>
            <w:vAlign w:val="bottom"/>
            <w:tcBorders>
              <w:left w:val="single" w:sz="8" w:color="939598"/>
            </w:tcBorders>
            <w:shd w:val="clear" w:color="auto" w:fill="939598"/>
          </w:tcPr>
          <w:p>
            <w:pPr>
              <w:spacing w:after="0" w:line="20" w:lineRule="exact"/>
              <w:rPr>
                <w:sz w:val="1"/>
                <w:szCs w:val="1"/>
                <w:color w:val="auto"/>
              </w:rPr>
            </w:pPr>
          </w:p>
        </w:tc>
        <w:tc>
          <w:tcPr>
            <w:tcW w:w="72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600" w:type="dxa"/>
            <w:vAlign w:val="bottom"/>
            <w:gridSpan w:val="2"/>
          </w:tcPr>
          <w:p>
            <w:pPr>
              <w:spacing w:after="0"/>
              <w:rPr>
                <w:sz w:val="20"/>
                <w:szCs w:val="20"/>
                <w:color w:val="auto"/>
              </w:rPr>
            </w:pPr>
            <w:r>
              <w:rPr>
                <w:rFonts w:ascii="Arial" w:cs="Arial" w:eastAsia="Arial" w:hAnsi="Arial"/>
                <w:sz w:val="18"/>
                <w:szCs w:val="18"/>
                <w:color w:val="auto"/>
                <w:w w:val="93"/>
              </w:rPr>
              <w:t>Amounts recognized in accumulated other comprehensive income, net of tax, consist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December 31</w:t>
            </w:r>
          </w:p>
        </w:tc>
        <w:tc>
          <w:tcPr>
            <w:tcW w:w="40" w:type="dxa"/>
            <w:vAlign w:val="bottom"/>
          </w:tcPr>
          <w:p>
            <w:pPr>
              <w:spacing w:after="0"/>
              <w:rPr>
                <w:sz w:val="14"/>
                <w:szCs w:val="14"/>
                <w:color w:val="auto"/>
              </w:rPr>
            </w:pPr>
          </w:p>
        </w:tc>
        <w:tc>
          <w:tcPr>
            <w:tcW w:w="60" w:type="dxa"/>
            <w:vAlign w:val="bottom"/>
            <w:tcBorders>
              <w:bottom w:val="single" w:sz="8" w:color="939598"/>
            </w:tcBorders>
          </w:tcPr>
          <w:p>
            <w:pPr>
              <w:spacing w:after="0"/>
              <w:rPr>
                <w:sz w:val="14"/>
                <w:szCs w:val="14"/>
                <w:color w:val="auto"/>
              </w:rPr>
            </w:pPr>
          </w:p>
        </w:tc>
        <w:tc>
          <w:tcPr>
            <w:tcW w:w="60" w:type="dxa"/>
            <w:vAlign w:val="bottom"/>
            <w:tcBorders>
              <w:bottom w:val="single" w:sz="8" w:color="939598"/>
            </w:tcBorders>
          </w:tcPr>
          <w:p>
            <w:pPr>
              <w:spacing w:after="0"/>
              <w:rPr>
                <w:sz w:val="14"/>
                <w:szCs w:val="14"/>
                <w:color w:val="auto"/>
              </w:rPr>
            </w:pPr>
          </w:p>
        </w:tc>
        <w:tc>
          <w:tcPr>
            <w:tcW w:w="1580" w:type="dxa"/>
            <w:vAlign w:val="bottom"/>
            <w:tcBorders>
              <w:bottom w:val="single" w:sz="8" w:color="939598"/>
            </w:tcBorders>
            <w:gridSpan w:val="2"/>
          </w:tcPr>
          <w:p>
            <w:pPr>
              <w:jc w:val="right"/>
              <w:spacing w:after="0"/>
              <w:rPr>
                <w:sz w:val="20"/>
                <w:szCs w:val="20"/>
                <w:color w:val="auto"/>
              </w:rPr>
            </w:pPr>
            <w:r>
              <w:rPr>
                <w:rFonts w:ascii="Arial" w:cs="Arial" w:eastAsia="Arial" w:hAnsi="Arial"/>
                <w:sz w:val="14"/>
                <w:szCs w:val="14"/>
                <w:b w:val="1"/>
                <w:bCs w:val="1"/>
                <w:color w:val="86B6A5"/>
              </w:rPr>
              <w:t>United States Plans</w:t>
            </w:r>
          </w:p>
        </w:tc>
        <w:tc>
          <w:tcPr>
            <w:tcW w:w="440" w:type="dxa"/>
            <w:vAlign w:val="bottom"/>
            <w:tcBorders>
              <w:bottom w:val="single" w:sz="8" w:color="939598"/>
            </w:tcBorders>
          </w:tcPr>
          <w:p>
            <w:pPr>
              <w:spacing w:after="0"/>
              <w:rPr>
                <w:sz w:val="14"/>
                <w:szCs w:val="14"/>
                <w:color w:val="auto"/>
              </w:rPr>
            </w:pPr>
          </w:p>
        </w:tc>
        <w:tc>
          <w:tcPr>
            <w:tcW w:w="40" w:type="dxa"/>
            <w:vAlign w:val="bottom"/>
            <w:tcBorders>
              <w:bottom w:val="single" w:sz="8" w:color="939598"/>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2140" w:type="dxa"/>
            <w:vAlign w:val="bottom"/>
            <w:tcBorders>
              <w:bottom w:val="single" w:sz="8" w:color="939598"/>
            </w:tcBorders>
            <w:gridSpan w:val="3"/>
          </w:tcPr>
          <w:p>
            <w:pPr>
              <w:jc w:val="right"/>
              <w:ind w:right="394"/>
              <w:spacing w:after="0"/>
              <w:rPr>
                <w:sz w:val="20"/>
                <w:szCs w:val="20"/>
                <w:color w:val="auto"/>
              </w:rPr>
            </w:pPr>
            <w:r>
              <w:rPr>
                <w:rFonts w:ascii="Arial" w:cs="Arial" w:eastAsia="Arial" w:hAnsi="Arial"/>
                <w:sz w:val="14"/>
                <w:szCs w:val="14"/>
                <w:b w:val="1"/>
                <w:bCs w:val="1"/>
                <w:color w:val="86B6A5"/>
              </w:rPr>
              <w:t>Non-United States Plans</w:t>
            </w: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6B6A5"/>
          </w:tcPr>
          <w:p>
            <w:pPr>
              <w:spacing w:after="0"/>
              <w:rPr>
                <w:sz w:val="12"/>
                <w:szCs w:val="12"/>
                <w:color w:val="auto"/>
              </w:rPr>
            </w:pPr>
          </w:p>
        </w:tc>
        <w:tc>
          <w:tcPr>
            <w:tcW w:w="60" w:type="dxa"/>
            <w:vAlign w:val="bottom"/>
            <w:shd w:val="clear" w:color="auto" w:fill="86B6A5"/>
          </w:tcPr>
          <w:p>
            <w:pPr>
              <w:spacing w:after="0"/>
              <w:rPr>
                <w:sz w:val="12"/>
                <w:szCs w:val="12"/>
                <w:color w:val="auto"/>
              </w:rPr>
            </w:pPr>
          </w:p>
        </w:tc>
        <w:tc>
          <w:tcPr>
            <w:tcW w:w="1100" w:type="dxa"/>
            <w:vAlign w:val="bottom"/>
            <w:shd w:val="clear" w:color="auto" w:fill="86B6A5"/>
          </w:tcPr>
          <w:p>
            <w:pPr>
              <w:jc w:val="right"/>
              <w:ind w:right="196"/>
              <w:spacing w:after="0" w:line="142" w:lineRule="exact"/>
              <w:rPr>
                <w:sz w:val="20"/>
                <w:szCs w:val="20"/>
                <w:color w:val="auto"/>
              </w:rPr>
            </w:pPr>
            <w:r>
              <w:rPr>
                <w:rFonts w:ascii="Arial" w:cs="Arial" w:eastAsia="Arial" w:hAnsi="Arial"/>
                <w:sz w:val="14"/>
                <w:szCs w:val="14"/>
                <w:b w:val="1"/>
                <w:bCs w:val="1"/>
                <w:color w:val="FFFFFF"/>
              </w:rPr>
              <w:t>2012</w:t>
            </w:r>
          </w:p>
        </w:tc>
        <w:tc>
          <w:tcPr>
            <w:tcW w:w="480" w:type="dxa"/>
            <w:vAlign w:val="bottom"/>
            <w:tcBorders>
              <w:left w:val="single" w:sz="8" w:color="86B6A5"/>
            </w:tcBorders>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86B6A5"/>
              </w:rPr>
              <w:t>2011</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left w:val="single" w:sz="8" w:color="86B6A5"/>
            </w:tcBorders>
            <w:shd w:val="clear" w:color="auto" w:fill="86B6A5"/>
          </w:tcPr>
          <w:p>
            <w:pPr>
              <w:spacing w:after="0"/>
              <w:rPr>
                <w:sz w:val="12"/>
                <w:szCs w:val="12"/>
                <w:color w:val="auto"/>
              </w:rPr>
            </w:pPr>
          </w:p>
        </w:tc>
        <w:tc>
          <w:tcPr>
            <w:tcW w:w="1080" w:type="dxa"/>
            <w:vAlign w:val="bottom"/>
            <w:shd w:val="clear" w:color="auto" w:fill="86B6A5"/>
          </w:tcPr>
          <w:p>
            <w:pPr>
              <w:jc w:val="right"/>
              <w:ind w:right="216"/>
              <w:spacing w:after="0" w:line="142" w:lineRule="exact"/>
              <w:rPr>
                <w:sz w:val="20"/>
                <w:szCs w:val="20"/>
                <w:color w:val="auto"/>
              </w:rPr>
            </w:pPr>
            <w:r>
              <w:rPr>
                <w:rFonts w:ascii="Arial" w:cs="Arial" w:eastAsia="Arial" w:hAnsi="Arial"/>
                <w:sz w:val="14"/>
                <w:szCs w:val="14"/>
                <w:b w:val="1"/>
                <w:bCs w:val="1"/>
                <w:color w:val="FFFFFF"/>
              </w:rPr>
              <w:t>2012</w:t>
            </w:r>
          </w:p>
        </w:tc>
        <w:tc>
          <w:tcPr>
            <w:tcW w:w="340" w:type="dxa"/>
            <w:vAlign w:val="bottom"/>
            <w:tcBorders>
              <w:left w:val="single" w:sz="8" w:color="86B6A5"/>
            </w:tcBorders>
          </w:tcPr>
          <w:p>
            <w:pPr>
              <w:spacing w:after="0"/>
              <w:rPr>
                <w:sz w:val="12"/>
                <w:szCs w:val="12"/>
                <w:color w:val="auto"/>
              </w:rPr>
            </w:pPr>
          </w:p>
        </w:tc>
        <w:tc>
          <w:tcPr>
            <w:tcW w:w="7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86B6A5"/>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86B6A5"/>
            </w:tcBorders>
          </w:tcPr>
          <w:p>
            <w:pPr>
              <w:spacing w:after="0"/>
              <w:rPr>
                <w:sz w:val="18"/>
                <w:szCs w:val="18"/>
                <w:color w:val="auto"/>
              </w:rPr>
            </w:pPr>
          </w:p>
        </w:tc>
        <w:tc>
          <w:tcPr>
            <w:tcW w:w="120" w:type="dxa"/>
            <w:vAlign w:val="bottom"/>
            <w:tcBorders>
              <w:top w:val="single" w:sz="8" w:color="86B6A5"/>
            </w:tcBorders>
            <w:gridSpan w:val="2"/>
            <w:shd w:val="clear" w:color="auto" w:fill="E3F1DA"/>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86B6A5"/>
            </w:tcBorders>
            <w:shd w:val="clear" w:color="auto" w:fill="E3F1DA"/>
          </w:tcPr>
          <w:p>
            <w:pPr>
              <w:jc w:val="right"/>
              <w:ind w:right="196"/>
              <w:spacing w:after="0"/>
              <w:rPr>
                <w:sz w:val="20"/>
                <w:szCs w:val="20"/>
                <w:color w:val="auto"/>
              </w:rPr>
            </w:pPr>
            <w:r>
              <w:rPr>
                <w:rFonts w:ascii="Arial" w:cs="Arial" w:eastAsia="Arial" w:hAnsi="Arial"/>
                <w:sz w:val="18"/>
                <w:szCs w:val="18"/>
                <w:color w:val="auto"/>
              </w:rPr>
              <w:t>15.8</w:t>
            </w:r>
          </w:p>
        </w:tc>
        <w:tc>
          <w:tcPr>
            <w:tcW w:w="480" w:type="dxa"/>
            <w:vAlign w:val="bottom"/>
            <w:tcBorders>
              <w:top w:val="single" w:sz="8" w:color="86B6A5"/>
              <w:left w:val="single" w:sz="8" w:color="E3F1DA"/>
            </w:tcBorders>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86B6A5"/>
            </w:tcBorders>
            <w:gridSpan w:val="3"/>
          </w:tcPr>
          <w:p>
            <w:pPr>
              <w:jc w:val="right"/>
              <w:ind w:right="300"/>
              <w:spacing w:after="0"/>
              <w:rPr>
                <w:sz w:val="20"/>
                <w:szCs w:val="20"/>
                <w:color w:val="auto"/>
              </w:rPr>
            </w:pPr>
            <w:r>
              <w:rPr>
                <w:rFonts w:ascii="Arial" w:cs="Arial" w:eastAsia="Arial" w:hAnsi="Arial"/>
                <w:sz w:val="18"/>
                <w:szCs w:val="18"/>
                <w:color w:val="auto"/>
              </w:rPr>
              <w:t>12.8</w:t>
            </w:r>
          </w:p>
        </w:tc>
        <w:tc>
          <w:tcPr>
            <w:tcW w:w="40" w:type="dxa"/>
            <w:vAlign w:val="bottom"/>
            <w:tcBorders>
              <w:top w:val="single" w:sz="8" w:color="86B6A5"/>
            </w:tcBorders>
          </w:tcPr>
          <w:p>
            <w:pPr>
              <w:spacing w:after="0"/>
              <w:rPr>
                <w:sz w:val="18"/>
                <w:szCs w:val="18"/>
                <w:color w:val="auto"/>
              </w:rPr>
            </w:pPr>
          </w:p>
        </w:tc>
        <w:tc>
          <w:tcPr>
            <w:tcW w:w="120" w:type="dxa"/>
            <w:vAlign w:val="bottom"/>
            <w:tcBorders>
              <w:top w:val="single" w:sz="8" w:color="86B6A5"/>
              <w:left w:val="single" w:sz="8" w:color="E3F1DA"/>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86B6A5"/>
            </w:tcBorders>
            <w:shd w:val="clear" w:color="auto" w:fill="E3F1DA"/>
          </w:tcPr>
          <w:p>
            <w:pPr>
              <w:jc w:val="right"/>
              <w:ind w:right="216"/>
              <w:spacing w:after="0"/>
              <w:rPr>
                <w:sz w:val="20"/>
                <w:szCs w:val="20"/>
                <w:color w:val="auto"/>
              </w:rPr>
            </w:pPr>
            <w:r>
              <w:rPr>
                <w:rFonts w:ascii="Arial" w:cs="Arial" w:eastAsia="Arial" w:hAnsi="Arial"/>
                <w:sz w:val="18"/>
                <w:szCs w:val="18"/>
                <w:color w:val="auto"/>
              </w:rPr>
              <w:t>14.8</w:t>
            </w:r>
          </w:p>
        </w:tc>
        <w:tc>
          <w:tcPr>
            <w:tcW w:w="340" w:type="dxa"/>
            <w:vAlign w:val="bottom"/>
            <w:tcBorders>
              <w:top w:val="single" w:sz="8" w:color="86B6A5"/>
              <w:left w:val="single" w:sz="8" w:color="E3F1DA"/>
            </w:tcBorders>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6B6A5"/>
            </w:tcBorders>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1100" w:type="dxa"/>
            <w:vAlign w:val="bottom"/>
            <w:shd w:val="clear" w:color="auto" w:fill="E3F1DA"/>
          </w:tcPr>
          <w:p>
            <w:pPr>
              <w:jc w:val="right"/>
              <w:ind w:right="196"/>
              <w:spacing w:after="0"/>
              <w:rPr>
                <w:sz w:val="20"/>
                <w:szCs w:val="20"/>
                <w:color w:val="auto"/>
              </w:rPr>
            </w:pPr>
            <w:r>
              <w:rPr>
                <w:rFonts w:ascii="Arial" w:cs="Arial" w:eastAsia="Arial" w:hAnsi="Arial"/>
                <w:sz w:val="18"/>
                <w:szCs w:val="18"/>
                <w:color w:val="auto"/>
              </w:rPr>
              <w:t>0.1</w:t>
            </w:r>
          </w:p>
        </w:tc>
        <w:tc>
          <w:tcPr>
            <w:tcW w:w="480" w:type="dxa"/>
            <w:vAlign w:val="bottom"/>
            <w:tcBorders>
              <w:left w:val="single" w:sz="8" w:color="E3F1DA"/>
            </w:tcBorders>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Borders>
              <w:left w:val="single" w:sz="8" w:color="E3F1DA"/>
            </w:tcBorders>
            <w:shd w:val="clear" w:color="auto" w:fill="E3F1DA"/>
          </w:tcPr>
          <w:p>
            <w:pPr>
              <w:spacing w:after="0"/>
              <w:rPr>
                <w:sz w:val="18"/>
                <w:szCs w:val="18"/>
                <w:color w:val="auto"/>
              </w:rPr>
            </w:pPr>
          </w:p>
        </w:tc>
        <w:tc>
          <w:tcPr>
            <w:tcW w:w="1080" w:type="dxa"/>
            <w:vAlign w:val="bottom"/>
            <w:shd w:val="clear" w:color="auto" w:fill="E3F1DA"/>
          </w:tcPr>
          <w:p>
            <w:pPr>
              <w:jc w:val="right"/>
              <w:ind w:right="216"/>
              <w:spacing w:after="0"/>
              <w:rPr>
                <w:sz w:val="20"/>
                <w:szCs w:val="20"/>
                <w:color w:val="auto"/>
              </w:rPr>
            </w:pPr>
            <w:r>
              <w:rPr>
                <w:rFonts w:ascii="Arial" w:cs="Arial" w:eastAsia="Arial" w:hAnsi="Arial"/>
                <w:sz w:val="18"/>
                <w:szCs w:val="18"/>
                <w:color w:val="auto"/>
              </w:rPr>
              <w:t>6.3</w:t>
            </w:r>
          </w:p>
        </w:tc>
        <w:tc>
          <w:tcPr>
            <w:tcW w:w="340" w:type="dxa"/>
            <w:vAlign w:val="bottom"/>
            <w:tcBorders>
              <w:left w:val="single" w:sz="8" w:color="E3F1DA"/>
            </w:tcBorders>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939598"/>
              <w:bottom w:val="single" w:sz="8" w:color="939598"/>
            </w:tcBorders>
          </w:tcPr>
          <w:p>
            <w:pPr>
              <w:spacing w:after="0"/>
              <w:rPr>
                <w:sz w:val="18"/>
                <w:szCs w:val="18"/>
                <w:color w:val="auto"/>
              </w:rPr>
            </w:pPr>
          </w:p>
        </w:tc>
        <w:tc>
          <w:tcPr>
            <w:tcW w:w="120" w:type="dxa"/>
            <w:vAlign w:val="bottom"/>
            <w:tcBorders>
              <w:top w:val="single" w:sz="8" w:color="939598"/>
              <w:bottom w:val="single" w:sz="8" w:color="939598"/>
            </w:tcBorders>
            <w:gridSpan w:val="2"/>
            <w:shd w:val="clear" w:color="auto" w:fill="E3F1DA"/>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939598"/>
              <w:bottom w:val="single" w:sz="8" w:color="939598"/>
            </w:tcBorders>
            <w:shd w:val="clear" w:color="auto" w:fill="E3F1DA"/>
          </w:tcPr>
          <w:p>
            <w:pPr>
              <w:jc w:val="right"/>
              <w:ind w:right="196"/>
              <w:spacing w:after="0"/>
              <w:rPr>
                <w:sz w:val="20"/>
                <w:szCs w:val="20"/>
                <w:color w:val="auto"/>
              </w:rPr>
            </w:pPr>
            <w:r>
              <w:rPr>
                <w:rFonts w:ascii="Arial" w:cs="Arial" w:eastAsia="Arial" w:hAnsi="Arial"/>
                <w:sz w:val="18"/>
                <w:szCs w:val="18"/>
                <w:color w:val="auto"/>
              </w:rPr>
              <w:t>15.9</w:t>
            </w:r>
          </w:p>
        </w:tc>
        <w:tc>
          <w:tcPr>
            <w:tcW w:w="480" w:type="dxa"/>
            <w:vAlign w:val="bottom"/>
            <w:tcBorders>
              <w:top w:val="single" w:sz="8" w:color="939598"/>
              <w:left w:val="single" w:sz="8" w:color="E3F1DA"/>
              <w:bottom w:val="single" w:sz="8" w:color="939598"/>
            </w:tcBorders>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939598"/>
              <w:bottom w:val="single" w:sz="8" w:color="939598"/>
            </w:tcBorders>
            <w:gridSpan w:val="3"/>
          </w:tcPr>
          <w:p>
            <w:pPr>
              <w:jc w:val="right"/>
              <w:ind w:right="300"/>
              <w:spacing w:after="0"/>
              <w:rPr>
                <w:sz w:val="20"/>
                <w:szCs w:val="20"/>
                <w:color w:val="auto"/>
              </w:rPr>
            </w:pPr>
            <w:r>
              <w:rPr>
                <w:rFonts w:ascii="Arial" w:cs="Arial" w:eastAsia="Arial" w:hAnsi="Arial"/>
                <w:sz w:val="18"/>
                <w:szCs w:val="18"/>
                <w:color w:val="auto"/>
              </w:rPr>
              <w:t>13.0</w:t>
            </w:r>
          </w:p>
        </w:tc>
        <w:tc>
          <w:tcPr>
            <w:tcW w:w="40" w:type="dxa"/>
            <w:vAlign w:val="bottom"/>
            <w:tcBorders>
              <w:top w:val="single" w:sz="8" w:color="939598"/>
              <w:bottom w:val="single" w:sz="8" w:color="939598"/>
            </w:tcBorders>
          </w:tcPr>
          <w:p>
            <w:pPr>
              <w:spacing w:after="0"/>
              <w:rPr>
                <w:sz w:val="18"/>
                <w:szCs w:val="18"/>
                <w:color w:val="auto"/>
              </w:rPr>
            </w:pPr>
          </w:p>
        </w:tc>
        <w:tc>
          <w:tcPr>
            <w:tcW w:w="120" w:type="dxa"/>
            <w:vAlign w:val="bottom"/>
            <w:tcBorders>
              <w:top w:val="single" w:sz="8" w:color="939598"/>
              <w:left w:val="single" w:sz="8" w:color="E3F1DA"/>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939598"/>
              <w:bottom w:val="single" w:sz="8" w:color="939598"/>
            </w:tcBorders>
            <w:shd w:val="clear" w:color="auto" w:fill="E3F1DA"/>
          </w:tcPr>
          <w:p>
            <w:pPr>
              <w:jc w:val="right"/>
              <w:ind w:right="216"/>
              <w:spacing w:after="0"/>
              <w:rPr>
                <w:sz w:val="20"/>
                <w:szCs w:val="20"/>
                <w:color w:val="auto"/>
              </w:rPr>
            </w:pPr>
            <w:r>
              <w:rPr>
                <w:rFonts w:ascii="Arial" w:cs="Arial" w:eastAsia="Arial" w:hAnsi="Arial"/>
                <w:sz w:val="18"/>
                <w:szCs w:val="18"/>
                <w:color w:val="auto"/>
              </w:rPr>
              <w:t>21.1</w:t>
            </w:r>
          </w:p>
        </w:tc>
        <w:tc>
          <w:tcPr>
            <w:tcW w:w="340" w:type="dxa"/>
            <w:vAlign w:val="bottom"/>
            <w:tcBorders>
              <w:top w:val="single" w:sz="8" w:color="939598"/>
              <w:left w:val="single" w:sz="8" w:color="E3F1DA"/>
              <w:bottom w:val="single" w:sz="8" w:color="939598"/>
            </w:tcBorders>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939598"/>
              <w:bottom w:val="single" w:sz="8" w:color="939598"/>
            </w:tcBorders>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-3155315</wp:posOffset>
            </wp:positionV>
            <wp:extent cx="728980" cy="12522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12522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-3155315</wp:posOffset>
            </wp:positionV>
            <wp:extent cx="728980" cy="12522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125222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-1482725</wp:posOffset>
            </wp:positionV>
            <wp:extent cx="728980" cy="5657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56578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-1482725</wp:posOffset>
            </wp:positionV>
            <wp:extent cx="728980" cy="565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565785"/>
                    </a:xfrm>
                    <a:prstGeom prst="rect">
                      <a:avLst/>
                    </a:prstGeom>
                    <a:noFill/>
                  </pic:spPr>
                </pic:pic>
              </a:graphicData>
            </a:graphic>
          </wp:anchor>
        </w:drawing>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accumulated benefit obligation for our plans that have plan assets was $272.8 and $233.2 as of December 31, 2012 and 2011, respectively. The accumulated benefit obligation for certain of our plans exceeded the fair value of plan assets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December 31</w:t>
            </w:r>
          </w:p>
        </w:tc>
        <w:tc>
          <w:tcPr>
            <w:tcW w:w="860" w:type="dxa"/>
            <w:vAlign w:val="bottom"/>
            <w:tcBorders>
              <w:bottom w:val="single" w:sz="8" w:color="86B6A5"/>
            </w:tcBorders>
          </w:tcPr>
          <w:p>
            <w:pPr>
              <w:spacing w:after="0"/>
              <w:rPr>
                <w:sz w:val="14"/>
                <w:szCs w:val="14"/>
                <w:color w:val="auto"/>
              </w:rPr>
            </w:pPr>
          </w:p>
        </w:tc>
        <w:tc>
          <w:tcPr>
            <w:tcW w:w="120" w:type="dxa"/>
            <w:vAlign w:val="bottom"/>
            <w:tcBorders>
              <w:bottom w:val="single" w:sz="8" w:color="86B6A5"/>
            </w:tcBorders>
            <w:shd w:val="clear" w:color="auto" w:fill="86B6A5"/>
          </w:tcPr>
          <w:p>
            <w:pPr>
              <w:spacing w:after="0"/>
              <w:rPr>
                <w:sz w:val="14"/>
                <w:szCs w:val="14"/>
                <w:color w:val="auto"/>
              </w:rPr>
            </w:pPr>
          </w:p>
        </w:tc>
        <w:tc>
          <w:tcPr>
            <w:tcW w:w="1140" w:type="dxa"/>
            <w:vAlign w:val="bottom"/>
            <w:tcBorders>
              <w:bottom w:val="single" w:sz="8" w:color="86B6A5"/>
            </w:tcBorders>
            <w:shd w:val="clear" w:color="auto" w:fill="86B6A5"/>
          </w:tcPr>
          <w:p>
            <w:pPr>
              <w:jc w:val="right"/>
              <w:ind w:right="259"/>
              <w:spacing w:after="0"/>
              <w:rPr>
                <w:sz w:val="20"/>
                <w:szCs w:val="20"/>
                <w:color w:val="auto"/>
              </w:rPr>
            </w:pPr>
            <w:r>
              <w:rPr>
                <w:rFonts w:ascii="Arial" w:cs="Arial" w:eastAsia="Arial" w:hAnsi="Arial"/>
                <w:sz w:val="14"/>
                <w:szCs w:val="14"/>
                <w:b w:val="1"/>
                <w:bCs w:val="1"/>
                <w:color w:val="FFFFFF"/>
              </w:rPr>
              <w:t>2012</w:t>
            </w:r>
          </w:p>
        </w:tc>
        <w:tc>
          <w:tcPr>
            <w:tcW w:w="340" w:type="dxa"/>
            <w:vAlign w:val="bottom"/>
            <w:tcBorders>
              <w:bottom w:val="single" w:sz="8" w:color="86B6A5"/>
            </w:tcBorders>
          </w:tcPr>
          <w:p>
            <w:pPr>
              <w:spacing w:after="0"/>
              <w:rPr>
                <w:sz w:val="14"/>
                <w:szCs w:val="14"/>
                <w:color w:val="auto"/>
              </w:rPr>
            </w:pPr>
          </w:p>
        </w:tc>
        <w:tc>
          <w:tcPr>
            <w:tcW w:w="700" w:type="dxa"/>
            <w:vAlign w:val="bottom"/>
            <w:tcBorders>
              <w:bottom w:val="single" w:sz="8" w:color="86B6A5"/>
            </w:tcBorders>
          </w:tcPr>
          <w:p>
            <w:pPr>
              <w:jc w:val="right"/>
              <w:ind w:right="39"/>
              <w:spacing w:after="0"/>
              <w:rPr>
                <w:sz w:val="20"/>
                <w:szCs w:val="20"/>
                <w:color w:val="auto"/>
              </w:rPr>
            </w:pPr>
            <w:r>
              <w:rPr>
                <w:rFonts w:ascii="Arial" w:cs="Arial" w:eastAsia="Arial" w:hAnsi="Arial"/>
                <w:sz w:val="14"/>
                <w:szCs w:val="14"/>
                <w:b w:val="1"/>
                <w:bCs w:val="1"/>
                <w:color w:val="86B6A5"/>
              </w:rPr>
              <w:t>2011</w:t>
            </w:r>
          </w:p>
        </w:tc>
        <w:tc>
          <w:tcPr>
            <w:tcW w:w="0" w:type="dxa"/>
            <w:vAlign w:val="bottom"/>
          </w:tcPr>
          <w:p>
            <w:pPr>
              <w:spacing w:after="0"/>
              <w:rPr>
                <w:sz w:val="1"/>
                <w:szCs w:val="1"/>
                <w:color w:val="auto"/>
              </w:rPr>
            </w:pPr>
          </w:p>
        </w:tc>
      </w:tr>
      <w:tr>
        <w:trPr>
          <w:trHeight w:val="210"/>
        </w:trPr>
        <w:tc>
          <w:tcPr>
            <w:tcW w:w="826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860" w:type="dxa"/>
            <w:vAlign w:val="bottom"/>
          </w:tcPr>
          <w:p>
            <w:pPr>
              <w:spacing w:after="0"/>
              <w:rPr>
                <w:sz w:val="18"/>
                <w:szCs w:val="18"/>
                <w:color w:val="auto"/>
              </w:rPr>
            </w:pP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3F1DA"/>
          </w:tcPr>
          <w:p>
            <w:pPr>
              <w:jc w:val="right"/>
              <w:ind w:right="259"/>
              <w:spacing w:after="0"/>
              <w:rPr>
                <w:sz w:val="20"/>
                <w:szCs w:val="20"/>
                <w:color w:val="auto"/>
              </w:rPr>
            </w:pPr>
            <w:r>
              <w:rPr>
                <w:rFonts w:ascii="Arial" w:cs="Arial" w:eastAsia="Arial" w:hAnsi="Arial"/>
                <w:sz w:val="18"/>
                <w:szCs w:val="18"/>
                <w:color w:val="auto"/>
              </w:rPr>
              <w:t>9.2</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Plan assets</w:t>
            </w:r>
          </w:p>
        </w:tc>
        <w:tc>
          <w:tcPr>
            <w:tcW w:w="860" w:type="dxa"/>
            <w:vAlign w:val="bottom"/>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9"/>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shd w:val="clear" w:color="auto" w:fill="939598"/>
          </w:tcPr>
          <w:p>
            <w:pPr>
              <w:spacing w:after="0" w:line="20" w:lineRule="exact"/>
              <w:rPr>
                <w:sz w:val="1"/>
                <w:szCs w:val="1"/>
                <w:color w:val="auto"/>
              </w:rPr>
            </w:pPr>
          </w:p>
        </w:tc>
        <w:tc>
          <w:tcPr>
            <w:tcW w:w="86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1140" w:type="dxa"/>
            <w:vAlign w:val="bottom"/>
            <w:shd w:val="clear" w:color="auto" w:fill="939598"/>
          </w:tcPr>
          <w:p>
            <w:pPr>
              <w:spacing w:after="0" w:line="20" w:lineRule="exact"/>
              <w:rPr>
                <w:sz w:val="1"/>
                <w:szCs w:val="1"/>
                <w:color w:val="auto"/>
              </w:rPr>
            </w:pPr>
          </w:p>
        </w:tc>
        <w:tc>
          <w:tcPr>
            <w:tcW w:w="340" w:type="dxa"/>
            <w:vAlign w:val="bottom"/>
            <w:shd w:val="clear" w:color="auto" w:fill="939598"/>
          </w:tcPr>
          <w:p>
            <w:pPr>
              <w:spacing w:after="0" w:line="20" w:lineRule="exact"/>
              <w:rPr>
                <w:sz w:val="1"/>
                <w:szCs w:val="1"/>
                <w:color w:val="auto"/>
              </w:rPr>
            </w:pPr>
          </w:p>
        </w:tc>
        <w:tc>
          <w:tcPr>
            <w:tcW w:w="70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8260" w:type="dxa"/>
            <w:vAlign w:val="bottom"/>
            <w:gridSpan w:val="2"/>
          </w:tcPr>
          <w:p>
            <w:pPr>
              <w:spacing w:after="0"/>
              <w:rPr>
                <w:sz w:val="20"/>
                <w:szCs w:val="20"/>
                <w:color w:val="auto"/>
              </w:rPr>
            </w:pPr>
            <w:r>
              <w:rPr>
                <w:rFonts w:ascii="Arial" w:cs="Arial" w:eastAsia="Arial" w:hAnsi="Arial"/>
                <w:sz w:val="18"/>
                <w:szCs w:val="18"/>
                <w:color w:val="auto"/>
                <w:w w:val="99"/>
              </w:rPr>
              <w:t>The projected benefit obligation for certain of our plans exceeded the fair value of plan assets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December 31</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86B6A5"/>
              </w:rPr>
              <w:t>2011</w:t>
            </w:r>
          </w:p>
        </w:tc>
        <w:tc>
          <w:tcPr>
            <w:tcW w:w="0" w:type="dxa"/>
            <w:vAlign w:val="bottom"/>
          </w:tcPr>
          <w:p>
            <w:pPr>
              <w:spacing w:after="0"/>
              <w:rPr>
                <w:sz w:val="1"/>
                <w:szCs w:val="1"/>
                <w:color w:val="auto"/>
              </w:rPr>
            </w:pPr>
          </w:p>
        </w:tc>
      </w:tr>
      <w:tr>
        <w:trPr>
          <w:trHeight w:val="149"/>
        </w:trPr>
        <w:tc>
          <w:tcPr>
            <w:tcW w:w="8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shd w:val="clear" w:color="auto" w:fill="86B6A5"/>
          </w:tcPr>
          <w:p>
            <w:pPr>
              <w:spacing w:after="0"/>
              <w:rPr>
                <w:sz w:val="12"/>
                <w:szCs w:val="12"/>
                <w:color w:val="auto"/>
              </w:rPr>
            </w:pPr>
          </w:p>
        </w:tc>
        <w:tc>
          <w:tcPr>
            <w:tcW w:w="1140" w:type="dxa"/>
            <w:vAlign w:val="bottom"/>
            <w:shd w:val="clear" w:color="auto" w:fill="86B6A5"/>
          </w:tcPr>
          <w:p>
            <w:pPr>
              <w:jc w:val="right"/>
              <w:ind w:right="259"/>
              <w:spacing w:after="0" w:line="149" w:lineRule="exact"/>
              <w:rPr>
                <w:sz w:val="20"/>
                <w:szCs w:val="20"/>
                <w:color w:val="auto"/>
              </w:rPr>
            </w:pPr>
            <w:r>
              <w:rPr>
                <w:rFonts w:ascii="Arial" w:cs="Arial" w:eastAsia="Arial" w:hAnsi="Arial"/>
                <w:sz w:val="14"/>
                <w:szCs w:val="14"/>
                <w:b w:val="1"/>
                <w:bCs w:val="1"/>
                <w:color w:val="FFFFFF"/>
              </w:rPr>
              <w:t>2012</w:t>
            </w:r>
          </w:p>
        </w:tc>
        <w:tc>
          <w:tcPr>
            <w:tcW w:w="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Projected benefit obligation</w:t>
            </w:r>
          </w:p>
        </w:tc>
        <w:tc>
          <w:tcPr>
            <w:tcW w:w="860" w:type="dxa"/>
            <w:vAlign w:val="bottom"/>
            <w:tcBorders>
              <w:top w:val="single" w:sz="8" w:color="86B6A5"/>
            </w:tcBorders>
          </w:tcPr>
          <w:p>
            <w:pPr>
              <w:spacing w:after="0"/>
              <w:rPr>
                <w:sz w:val="18"/>
                <w:szCs w:val="18"/>
                <w:color w:val="auto"/>
              </w:rPr>
            </w:pPr>
          </w:p>
        </w:tc>
        <w:tc>
          <w:tcPr>
            <w:tcW w:w="12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86B6A5"/>
            </w:tcBorders>
            <w:shd w:val="clear" w:color="auto" w:fill="E3F1DA"/>
          </w:tcPr>
          <w:p>
            <w:pPr>
              <w:jc w:val="right"/>
              <w:ind w:right="259"/>
              <w:spacing w:after="0"/>
              <w:rPr>
                <w:sz w:val="20"/>
                <w:szCs w:val="20"/>
                <w:color w:val="auto"/>
              </w:rPr>
            </w:pPr>
            <w:r>
              <w:rPr>
                <w:rFonts w:ascii="Arial" w:cs="Arial" w:eastAsia="Arial" w:hAnsi="Arial"/>
                <w:sz w:val="18"/>
                <w:szCs w:val="18"/>
                <w:color w:val="auto"/>
              </w:rPr>
              <w:t>16.7</w:t>
            </w:r>
          </w:p>
        </w:tc>
        <w:tc>
          <w:tcPr>
            <w:tcW w:w="340" w:type="dxa"/>
            <w:vAlign w:val="bottom"/>
            <w:tcBorders>
              <w:top w:val="single" w:sz="8" w:color="86B6A5"/>
            </w:tcBorders>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86B6A5"/>
            </w:tcBorders>
          </w:tcPr>
          <w:p>
            <w:pPr>
              <w:jc w:val="right"/>
              <w:ind w:right="39"/>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Plan assets</w:t>
            </w:r>
          </w:p>
        </w:tc>
        <w:tc>
          <w:tcPr>
            <w:tcW w:w="860" w:type="dxa"/>
            <w:vAlign w:val="bottom"/>
          </w:tcPr>
          <w:p>
            <w:pPr>
              <w:spacing w:after="0"/>
              <w:rPr>
                <w:sz w:val="18"/>
                <w:szCs w:val="18"/>
                <w:color w:val="auto"/>
              </w:rPr>
            </w:pPr>
          </w:p>
        </w:tc>
        <w:tc>
          <w:tcPr>
            <w:tcW w:w="120" w:type="dxa"/>
            <w:vAlign w:val="bottom"/>
            <w:shd w:val="clear" w:color="auto" w:fill="E3F1DA"/>
          </w:tcPr>
          <w:p>
            <w:pPr>
              <w:spacing w:after="0"/>
              <w:rPr>
                <w:sz w:val="18"/>
                <w:szCs w:val="18"/>
                <w:color w:val="auto"/>
              </w:rPr>
            </w:pPr>
          </w:p>
        </w:tc>
        <w:tc>
          <w:tcPr>
            <w:tcW w:w="1140" w:type="dxa"/>
            <w:vAlign w:val="bottom"/>
            <w:shd w:val="clear" w:color="auto" w:fill="E3F1DA"/>
          </w:tcPr>
          <w:p>
            <w:pPr>
              <w:jc w:val="right"/>
              <w:ind w:right="259"/>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shd w:val="clear" w:color="auto" w:fill="939598"/>
          </w:tcPr>
          <w:p>
            <w:pPr>
              <w:spacing w:after="0" w:line="20" w:lineRule="exact"/>
              <w:rPr>
                <w:sz w:val="1"/>
                <w:szCs w:val="1"/>
                <w:color w:val="auto"/>
              </w:rPr>
            </w:pPr>
          </w:p>
        </w:tc>
        <w:tc>
          <w:tcPr>
            <w:tcW w:w="86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1140" w:type="dxa"/>
            <w:vAlign w:val="bottom"/>
            <w:shd w:val="clear" w:color="auto" w:fill="939598"/>
          </w:tcPr>
          <w:p>
            <w:pPr>
              <w:spacing w:after="0" w:line="20" w:lineRule="exact"/>
              <w:rPr>
                <w:sz w:val="1"/>
                <w:szCs w:val="1"/>
                <w:color w:val="auto"/>
              </w:rPr>
            </w:pPr>
          </w:p>
        </w:tc>
        <w:tc>
          <w:tcPr>
            <w:tcW w:w="340" w:type="dxa"/>
            <w:vAlign w:val="bottom"/>
            <w:shd w:val="clear" w:color="auto" w:fill="939598"/>
          </w:tcPr>
          <w:p>
            <w:pPr>
              <w:spacing w:after="0" w:line="20" w:lineRule="exact"/>
              <w:rPr>
                <w:sz w:val="1"/>
                <w:szCs w:val="1"/>
                <w:color w:val="auto"/>
              </w:rPr>
            </w:pPr>
          </w:p>
        </w:tc>
        <w:tc>
          <w:tcPr>
            <w:tcW w:w="70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In 2012, one of our plans saw an improvement in its funded status and its projected benefit obligation no longer exceeded its plan assets as of December 31,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this plan was included in the amounts disclosed above for 2011 but not for 2012.</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$70.0 and $61.3 as of December 31, 2012 and 2011, respectively.</w:t>
      </w:r>
    </w:p>
    <w:p>
      <w:pPr>
        <w:spacing w:after="0" w:line="1"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5" w:right="239" w:bottom="1440" w:gutter="0" w:footer="0" w:header="0"/>
        </w:sectPr>
      </w:pPr>
    </w:p>
    <w:bookmarkStart w:id="89" w:name="page90"/>
    <w:bookmarkEnd w:id="89"/>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and other amounts recognized in other comprehensive loss for all plans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2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2011</w:t>
            </w:r>
          </w:p>
        </w:tc>
        <w:tc>
          <w:tcPr>
            <w:tcW w:w="480" w:type="dxa"/>
            <w:vAlign w:val="bottom"/>
            <w:tcBorders>
              <w:bottom w:val="single" w:sz="8" w:color="86B6A5"/>
            </w:tcBorders>
          </w:tcPr>
          <w:p>
            <w:pPr>
              <w:spacing w:after="0"/>
              <w:rPr>
                <w:sz w:val="14"/>
                <w:szCs w:val="14"/>
                <w:color w:val="auto"/>
              </w:rPr>
            </w:pPr>
          </w:p>
        </w:tc>
        <w:tc>
          <w:tcPr>
            <w:tcW w:w="72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10.4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9.9</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14.5</w:t>
            </w:r>
          </w:p>
        </w:tc>
      </w:tr>
      <w:tr>
        <w:trPr>
          <w:trHeight w:val="208"/>
        </w:trPr>
        <w:tc>
          <w:tcPr>
            <w:tcW w:w="78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Curtailment and settlement</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loss (gain)</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Prior service cost</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0.7</w:t>
            </w:r>
          </w:p>
        </w:tc>
      </w:tr>
      <w:tr>
        <w:trPr>
          <w:trHeight w:val="211"/>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12.6</w:t>
            </w:r>
          </w:p>
        </w:tc>
        <w:tc>
          <w:tcPr>
            <w:tcW w:w="32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9.7</w:t>
            </w:r>
          </w:p>
        </w:tc>
        <w:tc>
          <w:tcPr>
            <w:tcW w:w="48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9.2</w:t>
            </w: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939598"/>
                <w:w w:val="94"/>
              </w:rPr>
              <w:t>Other Changes in Plan Assets and Benefit Obligations Recognized in Other Comprehensive Loss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8.5</w:t>
            </w:r>
          </w:p>
        </w:tc>
      </w:tr>
      <w:tr>
        <w:trPr>
          <w:trHeight w:val="208"/>
        </w:trPr>
        <w:tc>
          <w:tcPr>
            <w:tcW w:w="7860" w:type="dxa"/>
            <w:vAlign w:val="bottom"/>
          </w:tcPr>
          <w:p>
            <w:pPr>
              <w:spacing w:after="0"/>
              <w:rPr>
                <w:sz w:val="20"/>
                <w:szCs w:val="20"/>
                <w:color w:val="auto"/>
              </w:rPr>
            </w:pPr>
            <w:r>
              <w:rPr>
                <w:rFonts w:ascii="Arial" w:cs="Arial" w:eastAsia="Arial" w:hAnsi="Arial"/>
                <w:sz w:val="18"/>
                <w:szCs w:val="18"/>
                <w:color w:val="auto"/>
              </w:rPr>
              <w:t>Amortization of net (loss) gain</w:t>
            </w:r>
          </w:p>
        </w:tc>
        <w:tc>
          <w:tcPr>
            <w:tcW w:w="100" w:type="dxa"/>
            <w:vAlign w:val="bottom"/>
            <w:shd w:val="clear" w:color="auto" w:fill="E3F1DA"/>
          </w:tcPr>
          <w:p>
            <w:pPr>
              <w:spacing w:after="0"/>
              <w:rPr>
                <w:sz w:val="18"/>
                <w:szCs w:val="18"/>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4"/>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54"/>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(0.7)</w:t>
            </w:r>
          </w:p>
        </w:tc>
      </w:tr>
      <w:tr>
        <w:trPr>
          <w:trHeight w:val="211"/>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recognized in other comprehensive loss</w:t>
            </w: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9.0</w:t>
            </w:r>
          </w:p>
        </w:tc>
      </w:tr>
      <w:tr>
        <w:trPr>
          <w:trHeight w:val="210"/>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recognized in net periodic benefit cost and other comprehensive loss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939598"/>
            </w:tcBorders>
          </w:tcPr>
          <w:p>
            <w:pPr>
              <w:jc w:val="right"/>
              <w:ind w:right="254"/>
              <w:spacing w:after="0"/>
              <w:rPr>
                <w:sz w:val="20"/>
                <w:szCs w:val="20"/>
                <w:color w:val="auto"/>
              </w:rPr>
            </w:pPr>
            <w:r>
              <w:rPr>
                <w:rFonts w:ascii="Arial" w:cs="Arial" w:eastAsia="Arial" w:hAnsi="Arial"/>
                <w:sz w:val="18"/>
                <w:szCs w:val="18"/>
                <w:color w:val="auto"/>
              </w:rPr>
              <w:t>26.2</w:t>
            </w:r>
          </w:p>
        </w:tc>
        <w:tc>
          <w:tcPr>
            <w:tcW w:w="320" w:type="dxa"/>
            <w:vAlign w:val="bottom"/>
            <w:tcBorders>
              <w:bottom w:val="single" w:sz="8" w:color="939598"/>
            </w:tcBorders>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20.8</w:t>
            </w: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-1689100</wp:posOffset>
            </wp:positionV>
            <wp:extent cx="728980" cy="1689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1689735"/>
                    </a:xfrm>
                    <a:prstGeom prst="rect">
                      <a:avLst/>
                    </a:prstGeom>
                    <a:noFill/>
                  </pic:spPr>
                </pic:pic>
              </a:graphicData>
            </a:graphic>
          </wp:anchor>
        </w:drawing>
      </w:r>
    </w:p>
    <w:p>
      <w:pPr>
        <w:spacing w:after="0" w:line="18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Effective January 1, 2013, we amended a defined benefit plan in the Netherlands. The defined benefit plan was frozen, and the participants were transitioned to a defined contribution plan. The curtailment gain arising from this plan amendment is expected to be $2.3 and will be recorded in 2013.</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July 1, 2011, we completed a voluntary transition of our Norwegian employees from defined pension plans to defined contribution plans, resulting in a curtailment and settlement gain of $1.0.</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estimated net loss and prior service cost for the defined benefit pension plans that will be amortized from accumulated other comprehensive loss into net periodic benefit cost during 2013 are $3.4 and $0.5,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Year Ended December 31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Borders>
              <w:bottom w:val="single" w:sz="8" w:color="939598"/>
            </w:tcBorders>
            <w:gridSpan w:val="4"/>
          </w:tcPr>
          <w:p>
            <w:pPr>
              <w:ind w:left="400"/>
              <w:spacing w:after="0"/>
              <w:rPr>
                <w:sz w:val="20"/>
                <w:szCs w:val="20"/>
                <w:color w:val="auto"/>
              </w:rPr>
            </w:pPr>
            <w:r>
              <w:rPr>
                <w:rFonts w:ascii="Arial" w:cs="Arial" w:eastAsia="Arial" w:hAnsi="Arial"/>
                <w:sz w:val="14"/>
                <w:szCs w:val="14"/>
                <w:b w:val="1"/>
                <w:bCs w:val="1"/>
                <w:color w:val="86B6A5"/>
                <w:w w:val="87"/>
              </w:rPr>
              <w:t>United States Plans</w:t>
            </w:r>
          </w:p>
        </w:tc>
        <w:tc>
          <w:tcPr>
            <w:tcW w:w="360" w:type="dxa"/>
            <w:vAlign w:val="bottom"/>
            <w:tcBorders>
              <w:bottom w:val="single" w:sz="8" w:color="939598"/>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1580" w:type="dxa"/>
            <w:vAlign w:val="bottom"/>
            <w:tcBorders>
              <w:bottom w:val="single" w:sz="8" w:color="939598"/>
            </w:tcBorders>
            <w:gridSpan w:val="2"/>
          </w:tcPr>
          <w:p>
            <w:pPr>
              <w:ind w:left="180"/>
              <w:spacing w:after="0"/>
              <w:rPr>
                <w:sz w:val="20"/>
                <w:szCs w:val="20"/>
                <w:color w:val="auto"/>
              </w:rPr>
            </w:pPr>
            <w:r>
              <w:rPr>
                <w:rFonts w:ascii="Arial" w:cs="Arial" w:eastAsia="Arial" w:hAnsi="Arial"/>
                <w:sz w:val="14"/>
                <w:szCs w:val="14"/>
                <w:b w:val="1"/>
                <w:bCs w:val="1"/>
                <w:color w:val="86B6A5"/>
                <w:w w:val="84"/>
              </w:rPr>
              <w:t>Non-United States Plans</w:t>
            </w:r>
          </w:p>
        </w:tc>
        <w:tc>
          <w:tcPr>
            <w:tcW w:w="44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Borders>
              <w:right w:val="single" w:sz="8" w:color="86B6A5"/>
            </w:tcBorders>
            <w:gridSpan w:val="2"/>
            <w:shd w:val="clear" w:color="auto" w:fill="86B6A5"/>
          </w:tcPr>
          <w:p>
            <w:pPr>
              <w:jc w:val="right"/>
              <w:ind w:right="340"/>
              <w:spacing w:after="0" w:line="142" w:lineRule="exact"/>
              <w:rPr>
                <w:sz w:val="20"/>
                <w:szCs w:val="20"/>
                <w:color w:val="auto"/>
              </w:rPr>
            </w:pPr>
            <w:r>
              <w:rPr>
                <w:rFonts w:ascii="Arial" w:cs="Arial" w:eastAsia="Arial" w:hAnsi="Arial"/>
                <w:sz w:val="14"/>
                <w:szCs w:val="14"/>
                <w:b w:val="1"/>
                <w:bCs w:val="1"/>
                <w:color w:val="FFFFFF"/>
              </w:rPr>
              <w:t>2012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86B6A5"/>
              </w:rPr>
              <w:t>2011</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shd w:val="clear" w:color="auto" w:fill="86B6A5"/>
          </w:tcPr>
          <w:p>
            <w:pPr>
              <w:jc w:val="right"/>
              <w:ind w:right="237"/>
              <w:spacing w:after="0" w:line="142" w:lineRule="exact"/>
              <w:rPr>
                <w:sz w:val="20"/>
                <w:szCs w:val="20"/>
                <w:color w:val="auto"/>
              </w:rPr>
            </w:pPr>
            <w:r>
              <w:rPr>
                <w:rFonts w:ascii="Arial" w:cs="Arial" w:eastAsia="Arial" w:hAnsi="Arial"/>
                <w:sz w:val="14"/>
                <w:szCs w:val="14"/>
                <w:b w:val="1"/>
                <w:bCs w:val="1"/>
                <w:color w:val="FFFFFF"/>
              </w:rPr>
              <w:t>2012</w:t>
            </w:r>
          </w:p>
        </w:tc>
        <w:tc>
          <w:tcPr>
            <w:tcW w:w="540" w:type="dxa"/>
            <w:vAlign w:val="bottom"/>
          </w:tcPr>
          <w:p>
            <w:pPr>
              <w:spacing w:after="0"/>
              <w:rPr>
                <w:sz w:val="12"/>
                <w:szCs w:val="12"/>
                <w:color w:val="auto"/>
              </w:rPr>
            </w:pPr>
          </w:p>
        </w:tc>
        <w:tc>
          <w:tcPr>
            <w:tcW w:w="4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86B6A5"/>
                <w:w w:val="83"/>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86B6A5"/>
            </w:tcBorders>
          </w:tcPr>
          <w:p>
            <w:pPr>
              <w:spacing w:after="0"/>
              <w:rPr>
                <w:sz w:val="18"/>
                <w:szCs w:val="18"/>
                <w:color w:val="auto"/>
              </w:rPr>
            </w:pPr>
          </w:p>
        </w:tc>
        <w:tc>
          <w:tcPr>
            <w:tcW w:w="840" w:type="dxa"/>
            <w:vAlign w:val="bottom"/>
            <w:tcBorders>
              <w:top w:val="single" w:sz="8" w:color="86B6A5"/>
            </w:tcBorders>
          </w:tcPr>
          <w:p>
            <w:pPr>
              <w:spacing w:after="0"/>
              <w:rPr>
                <w:sz w:val="18"/>
                <w:szCs w:val="18"/>
                <w:color w:val="auto"/>
              </w:rPr>
            </w:pPr>
          </w:p>
        </w:tc>
        <w:tc>
          <w:tcPr>
            <w:tcW w:w="180" w:type="dxa"/>
            <w:vAlign w:val="bottom"/>
            <w:tcBorders>
              <w:top w:val="single" w:sz="8" w:color="86B6A5"/>
            </w:tcBorders>
          </w:tcPr>
          <w:p>
            <w:pPr>
              <w:spacing w:after="0"/>
              <w:rPr>
                <w:sz w:val="18"/>
                <w:szCs w:val="18"/>
                <w:color w:val="auto"/>
              </w:rPr>
            </w:pPr>
          </w:p>
        </w:tc>
        <w:tc>
          <w:tcPr>
            <w:tcW w:w="1180" w:type="dxa"/>
            <w:vAlign w:val="bottom"/>
            <w:tcBorders>
              <w:top w:val="single" w:sz="8" w:color="86B6A5"/>
            </w:tcBorders>
          </w:tcPr>
          <w:p>
            <w:pPr>
              <w:spacing w:after="0"/>
              <w:rPr>
                <w:sz w:val="18"/>
                <w:szCs w:val="18"/>
                <w:color w:val="auto"/>
              </w:rPr>
            </w:pPr>
          </w:p>
        </w:tc>
        <w:tc>
          <w:tcPr>
            <w:tcW w:w="1120" w:type="dxa"/>
            <w:vAlign w:val="bottom"/>
            <w:tcBorders>
              <w:top w:val="single" w:sz="8" w:color="86B6A5"/>
              <w:right w:val="single" w:sz="8" w:color="E3F1DA"/>
            </w:tcBorders>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86B6A5"/>
            </w:tcBorders>
          </w:tcPr>
          <w:p>
            <w:pPr>
              <w:spacing w:after="0"/>
              <w:rPr>
                <w:sz w:val="18"/>
                <w:szCs w:val="18"/>
                <w:color w:val="auto"/>
              </w:rPr>
            </w:pPr>
          </w:p>
        </w:tc>
        <w:tc>
          <w:tcPr>
            <w:tcW w:w="360" w:type="dxa"/>
            <w:vAlign w:val="bottom"/>
            <w:tcBorders>
              <w:top w:val="single" w:sz="8" w:color="86B6A5"/>
            </w:tcBorders>
          </w:tcPr>
          <w:p>
            <w:pPr>
              <w:spacing w:after="0"/>
              <w:rPr>
                <w:sz w:val="18"/>
                <w:szCs w:val="18"/>
                <w:color w:val="auto"/>
              </w:rPr>
            </w:pPr>
          </w:p>
        </w:tc>
        <w:tc>
          <w:tcPr>
            <w:tcW w:w="660" w:type="dxa"/>
            <w:vAlign w:val="bottom"/>
            <w:tcBorders>
              <w:top w:val="single" w:sz="8" w:color="86B6A5"/>
            </w:tcBorders>
            <w:gridSpan w:val="2"/>
          </w:tcPr>
          <w:p>
            <w:pPr>
              <w:jc w:val="right"/>
              <w:ind w:right="92"/>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86B6A5"/>
            </w:tcBorders>
          </w:tcPr>
          <w:p>
            <w:pPr>
              <w:spacing w:after="0"/>
              <w:rPr>
                <w:sz w:val="18"/>
                <w:szCs w:val="18"/>
                <w:color w:val="auto"/>
              </w:rPr>
            </w:pPr>
          </w:p>
        </w:tc>
        <w:tc>
          <w:tcPr>
            <w:tcW w:w="80" w:type="dxa"/>
            <w:vAlign w:val="bottom"/>
            <w:tcBorders>
              <w:top w:val="single" w:sz="8" w:color="86B6A5"/>
            </w:tcBorders>
            <w:shd w:val="clear" w:color="auto" w:fill="E3F1DA"/>
          </w:tcPr>
          <w:p>
            <w:pPr>
              <w:spacing w:after="0"/>
              <w:rPr>
                <w:sz w:val="18"/>
                <w:szCs w:val="18"/>
                <w:color w:val="auto"/>
              </w:rPr>
            </w:pPr>
          </w:p>
        </w:tc>
        <w:tc>
          <w:tcPr>
            <w:tcW w:w="1040" w:type="dxa"/>
            <w:vAlign w:val="bottom"/>
            <w:tcBorders>
              <w:top w:val="single" w:sz="8" w:color="86B6A5"/>
            </w:tcBorders>
            <w:shd w:val="clear" w:color="auto" w:fill="E3F1DA"/>
          </w:tcPr>
          <w:p>
            <w:pPr>
              <w:jc w:val="right"/>
              <w:ind w:right="97"/>
              <w:spacing w:after="0"/>
              <w:rPr>
                <w:sz w:val="20"/>
                <w:szCs w:val="20"/>
                <w:color w:val="auto"/>
              </w:rPr>
            </w:pPr>
            <w:r>
              <w:rPr>
                <w:rFonts w:ascii="Arial" w:cs="Arial" w:eastAsia="Arial" w:hAnsi="Arial"/>
                <w:sz w:val="18"/>
                <w:szCs w:val="18"/>
                <w:color w:val="auto"/>
              </w:rPr>
              <w:t>4.2%</w:t>
            </w:r>
          </w:p>
        </w:tc>
        <w:tc>
          <w:tcPr>
            <w:tcW w:w="540" w:type="dxa"/>
            <w:vAlign w:val="bottom"/>
            <w:tcBorders>
              <w:top w:val="single" w:sz="8" w:color="86B6A5"/>
            </w:tcBorders>
          </w:tcPr>
          <w:p>
            <w:pPr>
              <w:spacing w:after="0"/>
              <w:rPr>
                <w:sz w:val="18"/>
                <w:szCs w:val="18"/>
                <w:color w:val="auto"/>
              </w:rPr>
            </w:pPr>
          </w:p>
        </w:tc>
        <w:tc>
          <w:tcPr>
            <w:tcW w:w="44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w w:val="97"/>
              </w:rPr>
              <w:t>4.7%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Borders>
              <w:right w:val="single" w:sz="8" w:color="E3F1DA"/>
            </w:tcBorders>
            <w:gridSpan w:val="2"/>
            <w:shd w:val="clear" w:color="auto" w:fill="E3F1DA"/>
          </w:tcPr>
          <w:p>
            <w:pPr>
              <w:jc w:val="right"/>
              <w:ind w:right="2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80" w:type="dxa"/>
            <w:vAlign w:val="bottom"/>
            <w:shd w:val="clear" w:color="auto" w:fill="E3F1DA"/>
          </w:tcPr>
          <w:p>
            <w:pPr>
              <w:spacing w:after="0"/>
              <w:rPr>
                <w:sz w:val="18"/>
                <w:szCs w:val="18"/>
                <w:color w:val="auto"/>
              </w:rPr>
            </w:pPr>
          </w:p>
        </w:tc>
        <w:tc>
          <w:tcPr>
            <w:tcW w:w="1040" w:type="dxa"/>
            <w:vAlign w:val="bottom"/>
            <w:shd w:val="clear" w:color="auto" w:fill="E3F1DA"/>
          </w:tcPr>
          <w:p>
            <w:pPr>
              <w:jc w:val="right"/>
              <w:ind w:right="97"/>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840" w:type="dxa"/>
            <w:vAlign w:val="bottom"/>
            <w:shd w:val="clear" w:color="auto" w:fill="939598"/>
          </w:tcPr>
          <w:p>
            <w:pPr>
              <w:spacing w:after="0" w:line="20" w:lineRule="exact"/>
              <w:rPr>
                <w:sz w:val="1"/>
                <w:szCs w:val="1"/>
                <w:color w:val="auto"/>
              </w:rPr>
            </w:pPr>
          </w:p>
        </w:tc>
        <w:tc>
          <w:tcPr>
            <w:tcW w:w="180" w:type="dxa"/>
            <w:vAlign w:val="bottom"/>
            <w:shd w:val="clear" w:color="auto" w:fill="939598"/>
          </w:tcPr>
          <w:p>
            <w:pPr>
              <w:spacing w:after="0" w:line="20" w:lineRule="exact"/>
              <w:rPr>
                <w:sz w:val="1"/>
                <w:szCs w:val="1"/>
                <w:color w:val="auto"/>
              </w:rPr>
            </w:pPr>
          </w:p>
        </w:tc>
        <w:tc>
          <w:tcPr>
            <w:tcW w:w="1180" w:type="dxa"/>
            <w:vAlign w:val="bottom"/>
            <w:shd w:val="clear" w:color="auto" w:fill="939598"/>
          </w:tcPr>
          <w:p>
            <w:pPr>
              <w:spacing w:after="0" w:line="20" w:lineRule="exact"/>
              <w:rPr>
                <w:sz w:val="1"/>
                <w:szCs w:val="1"/>
                <w:color w:val="auto"/>
              </w:rPr>
            </w:pPr>
          </w:p>
        </w:tc>
        <w:tc>
          <w:tcPr>
            <w:tcW w:w="760" w:type="dxa"/>
            <w:vAlign w:val="bottom"/>
            <w:shd w:val="clear" w:color="auto" w:fill="939598"/>
          </w:tcPr>
          <w:p>
            <w:pPr>
              <w:spacing w:after="0" w:line="20" w:lineRule="exact"/>
              <w:rPr>
                <w:sz w:val="1"/>
                <w:szCs w:val="1"/>
                <w:color w:val="auto"/>
              </w:rPr>
            </w:pPr>
          </w:p>
        </w:tc>
        <w:tc>
          <w:tcPr>
            <w:tcW w:w="360" w:type="dxa"/>
            <w:vAlign w:val="bottom"/>
            <w:tcBorders>
              <w:right w:val="single" w:sz="8" w:color="939598"/>
            </w:tcBorders>
            <w:shd w:val="clear" w:color="auto" w:fill="939598"/>
          </w:tcPr>
          <w:p>
            <w:pPr>
              <w:spacing w:after="0" w:line="20" w:lineRule="exact"/>
              <w:rPr>
                <w:sz w:val="1"/>
                <w:szCs w:val="1"/>
                <w:color w:val="auto"/>
              </w:rPr>
            </w:pPr>
          </w:p>
        </w:tc>
        <w:tc>
          <w:tcPr>
            <w:tcW w:w="8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300" w:type="dxa"/>
            <w:vAlign w:val="bottom"/>
            <w:shd w:val="clear" w:color="auto" w:fill="939598"/>
          </w:tcPr>
          <w:p>
            <w:pPr>
              <w:spacing w:after="0" w:line="20" w:lineRule="exact"/>
              <w:rPr>
                <w:sz w:val="1"/>
                <w:szCs w:val="1"/>
                <w:color w:val="auto"/>
              </w:rPr>
            </w:pPr>
          </w:p>
        </w:tc>
        <w:tc>
          <w:tcPr>
            <w:tcW w:w="40" w:type="dxa"/>
            <w:vAlign w:val="bottom"/>
            <w:shd w:val="clear" w:color="auto" w:fill="939598"/>
          </w:tcPr>
          <w:p>
            <w:pPr>
              <w:spacing w:after="0" w:line="20" w:lineRule="exact"/>
              <w:rPr>
                <w:sz w:val="1"/>
                <w:szCs w:val="1"/>
                <w:color w:val="auto"/>
              </w:rPr>
            </w:pPr>
          </w:p>
        </w:tc>
        <w:tc>
          <w:tcPr>
            <w:tcW w:w="8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540" w:type="dxa"/>
            <w:vAlign w:val="bottom"/>
            <w:shd w:val="clear" w:color="auto" w:fill="939598"/>
          </w:tcPr>
          <w:p>
            <w:pPr>
              <w:spacing w:after="0" w:line="20" w:lineRule="exact"/>
              <w:rPr>
                <w:sz w:val="1"/>
                <w:szCs w:val="1"/>
                <w:color w:val="auto"/>
              </w:rPr>
            </w:pPr>
          </w:p>
        </w:tc>
        <w:tc>
          <w:tcPr>
            <w:tcW w:w="44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620" w:type="dxa"/>
            <w:vAlign w:val="bottom"/>
            <w:gridSpan w:val="10"/>
          </w:tcPr>
          <w:p>
            <w:pPr>
              <w:spacing w:after="0"/>
              <w:rPr>
                <w:sz w:val="20"/>
                <w:szCs w:val="20"/>
                <w:color w:val="auto"/>
              </w:rPr>
            </w:pPr>
            <w:r>
              <w:rPr>
                <w:rFonts w:ascii="Arial" w:cs="Arial" w:eastAsia="Arial" w:hAnsi="Arial"/>
                <w:sz w:val="18"/>
                <w:szCs w:val="18"/>
                <w:color w:val="auto"/>
                <w:w w:val="98"/>
              </w:rPr>
              <w:t>The weighted-average assumptions used in the measurement of the net periodic benefit cost were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86B6A5"/>
              </w:rPr>
              <w:t>Year Ended December 31</w:t>
            </w:r>
          </w:p>
        </w:tc>
        <w:tc>
          <w:tcPr>
            <w:tcW w:w="120" w:type="dxa"/>
            <w:vAlign w:val="bottom"/>
            <w:tcBorders>
              <w:bottom w:val="single" w:sz="8" w:color="939598"/>
            </w:tcBorders>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1360" w:type="dxa"/>
            <w:vAlign w:val="bottom"/>
            <w:tcBorders>
              <w:bottom w:val="single" w:sz="8" w:color="939598"/>
            </w:tcBorders>
            <w:gridSpan w:val="2"/>
          </w:tcPr>
          <w:p>
            <w:pPr>
              <w:jc w:val="right"/>
              <w:ind w:right="137"/>
              <w:spacing w:after="0"/>
              <w:rPr>
                <w:sz w:val="20"/>
                <w:szCs w:val="20"/>
                <w:color w:val="auto"/>
              </w:rPr>
            </w:pPr>
            <w:r>
              <w:rPr>
                <w:rFonts w:ascii="Arial" w:cs="Arial" w:eastAsia="Arial" w:hAnsi="Arial"/>
                <w:sz w:val="14"/>
                <w:szCs w:val="14"/>
                <w:b w:val="1"/>
                <w:bCs w:val="1"/>
                <w:color w:val="86B6A5"/>
                <w:w w:val="85"/>
              </w:rPr>
              <w:t>United States Plans</w:t>
            </w:r>
          </w:p>
        </w:tc>
        <w:tc>
          <w:tcPr>
            <w:tcW w:w="760" w:type="dxa"/>
            <w:vAlign w:val="bottom"/>
            <w:tcBorders>
              <w:bottom w:val="single" w:sz="8" w:color="939598"/>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360" w:type="dxa"/>
            <w:vAlign w:val="bottom"/>
            <w:tcBorders>
              <w:bottom w:val="single" w:sz="8" w:color="939598"/>
            </w:tcBorders>
          </w:tcPr>
          <w:p>
            <w:pPr>
              <w:spacing w:after="0"/>
              <w:rPr>
                <w:sz w:val="14"/>
                <w:szCs w:val="14"/>
                <w:color w:val="auto"/>
              </w:rPr>
            </w:pPr>
          </w:p>
        </w:tc>
        <w:tc>
          <w:tcPr>
            <w:tcW w:w="360" w:type="dxa"/>
            <w:vAlign w:val="bottom"/>
            <w:tcBorders>
              <w:bottom w:val="single" w:sz="8" w:color="939598"/>
            </w:tcBorders>
          </w:tcPr>
          <w:p>
            <w:pPr>
              <w:spacing w:after="0"/>
              <w:rPr>
                <w:sz w:val="14"/>
                <w:szCs w:val="14"/>
                <w:color w:val="auto"/>
              </w:rPr>
            </w:pPr>
          </w:p>
        </w:tc>
        <w:tc>
          <w:tcPr>
            <w:tcW w:w="2000" w:type="dxa"/>
            <w:vAlign w:val="bottom"/>
            <w:tcBorders>
              <w:bottom w:val="single" w:sz="8" w:color="939598"/>
            </w:tcBorders>
            <w:gridSpan w:val="5"/>
          </w:tcPr>
          <w:p>
            <w:pPr>
              <w:ind w:left="20"/>
              <w:spacing w:after="0"/>
              <w:rPr>
                <w:sz w:val="20"/>
                <w:szCs w:val="20"/>
                <w:color w:val="auto"/>
              </w:rPr>
            </w:pPr>
            <w:r>
              <w:rPr>
                <w:rFonts w:ascii="Arial" w:cs="Arial" w:eastAsia="Arial" w:hAnsi="Arial"/>
                <w:sz w:val="14"/>
                <w:szCs w:val="14"/>
                <w:b w:val="1"/>
                <w:bCs w:val="1"/>
                <w:color w:val="86B6A5"/>
              </w:rPr>
              <w:t>Non-United States Plans</w:t>
            </w:r>
          </w:p>
        </w:tc>
        <w:tc>
          <w:tcPr>
            <w:tcW w:w="44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960" w:type="dxa"/>
            <w:vAlign w:val="bottom"/>
            <w:gridSpan w:val="2"/>
            <w:shd w:val="clear" w:color="auto" w:fill="86B6A5"/>
          </w:tcPr>
          <w:p>
            <w:pPr>
              <w:jc w:val="right"/>
              <w:ind w:right="72"/>
              <w:spacing w:after="0" w:line="142" w:lineRule="exact"/>
              <w:rPr>
                <w:sz w:val="20"/>
                <w:szCs w:val="20"/>
                <w:color w:val="auto"/>
              </w:rPr>
            </w:pPr>
            <w:r>
              <w:rPr>
                <w:rFonts w:ascii="Arial" w:cs="Arial" w:eastAsia="Arial" w:hAnsi="Arial"/>
                <w:sz w:val="14"/>
                <w:szCs w:val="14"/>
                <w:b w:val="1"/>
                <w:bCs w:val="1"/>
                <w:color w:val="FFFFFF"/>
              </w:rPr>
              <w:t>2012</w:t>
            </w:r>
          </w:p>
        </w:tc>
        <w:tc>
          <w:tcPr>
            <w:tcW w:w="180" w:type="dxa"/>
            <w:vAlign w:val="bottom"/>
            <w:shd w:val="clear" w:color="auto" w:fill="86B6A5"/>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86B6A5"/>
              </w:rPr>
              <w:t>2011</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86B6A5"/>
              </w:rPr>
              <w:t>2010</w:t>
            </w:r>
          </w:p>
        </w:tc>
        <w:tc>
          <w:tcPr>
            <w:tcW w:w="360" w:type="dxa"/>
            <w:vAlign w:val="bottom"/>
            <w:tcBorders>
              <w:right w:val="single" w:sz="8" w:color="86B6A5"/>
            </w:tcBorders>
          </w:tcPr>
          <w:p>
            <w:pPr>
              <w:spacing w:after="0"/>
              <w:rPr>
                <w:sz w:val="12"/>
                <w:szCs w:val="12"/>
                <w:color w:val="auto"/>
              </w:rPr>
            </w:pPr>
          </w:p>
        </w:tc>
        <w:tc>
          <w:tcPr>
            <w:tcW w:w="80" w:type="dxa"/>
            <w:vAlign w:val="bottom"/>
            <w:shd w:val="clear" w:color="auto" w:fill="86B6A5"/>
          </w:tcPr>
          <w:p>
            <w:pPr>
              <w:spacing w:after="0"/>
              <w:rPr>
                <w:sz w:val="12"/>
                <w:szCs w:val="12"/>
                <w:color w:val="auto"/>
              </w:rPr>
            </w:pPr>
          </w:p>
        </w:tc>
        <w:tc>
          <w:tcPr>
            <w:tcW w:w="360" w:type="dxa"/>
            <w:vAlign w:val="bottom"/>
            <w:shd w:val="clear" w:color="auto" w:fill="86B6A5"/>
          </w:tcPr>
          <w:p>
            <w:pPr>
              <w:spacing w:after="0"/>
              <w:rPr>
                <w:sz w:val="12"/>
                <w:szCs w:val="12"/>
                <w:color w:val="auto"/>
              </w:rPr>
            </w:pPr>
          </w:p>
        </w:tc>
        <w:tc>
          <w:tcPr>
            <w:tcW w:w="360" w:type="dxa"/>
            <w:vAlign w:val="bottom"/>
            <w:shd w:val="clear" w:color="auto" w:fill="86B6A5"/>
          </w:tcPr>
          <w:p>
            <w:pPr>
              <w:jc w:val="right"/>
              <w:spacing w:after="0" w:line="142" w:lineRule="exact"/>
              <w:rPr>
                <w:sz w:val="20"/>
                <w:szCs w:val="20"/>
                <w:color w:val="auto"/>
              </w:rPr>
            </w:pPr>
            <w:r>
              <w:rPr>
                <w:rFonts w:ascii="Arial" w:cs="Arial" w:eastAsia="Arial" w:hAnsi="Arial"/>
                <w:sz w:val="14"/>
                <w:szCs w:val="14"/>
                <w:b w:val="1"/>
                <w:bCs w:val="1"/>
                <w:color w:val="FFFFFF"/>
                <w:w w:val="96"/>
              </w:rPr>
              <w:t>2012</w:t>
            </w:r>
          </w:p>
        </w:tc>
        <w:tc>
          <w:tcPr>
            <w:tcW w:w="300" w:type="dxa"/>
            <w:vAlign w:val="bottom"/>
            <w:shd w:val="clear" w:color="auto" w:fill="86B6A5"/>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86B6A5"/>
              </w:rPr>
              <w:t>2011</w:t>
            </w:r>
          </w:p>
        </w:tc>
        <w:tc>
          <w:tcPr>
            <w:tcW w:w="540" w:type="dxa"/>
            <w:vAlign w:val="bottom"/>
          </w:tcPr>
          <w:p>
            <w:pPr>
              <w:spacing w:after="0"/>
              <w:rPr>
                <w:sz w:val="12"/>
                <w:szCs w:val="12"/>
                <w:color w:val="auto"/>
              </w:rPr>
            </w:pPr>
          </w:p>
        </w:tc>
        <w:tc>
          <w:tcPr>
            <w:tcW w:w="4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86B6A5"/>
                <w:w w:val="83"/>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86B6A5"/>
            </w:tcBorders>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86B6A5"/>
            </w:tcBorders>
            <w:shd w:val="clear" w:color="auto" w:fill="E3F1DA"/>
          </w:tcPr>
          <w:p>
            <w:pPr>
              <w:spacing w:after="0"/>
              <w:rPr>
                <w:sz w:val="18"/>
                <w:szCs w:val="18"/>
                <w:color w:val="auto"/>
              </w:rPr>
            </w:pPr>
          </w:p>
        </w:tc>
        <w:tc>
          <w:tcPr>
            <w:tcW w:w="84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86B6A5"/>
            </w:tcBorders>
            <w:shd w:val="clear" w:color="auto" w:fill="E3F1DA"/>
          </w:tcPr>
          <w:p>
            <w:pPr>
              <w:spacing w:after="0"/>
              <w:rPr>
                <w:sz w:val="18"/>
                <w:szCs w:val="18"/>
                <w:color w:val="auto"/>
              </w:rPr>
            </w:pPr>
          </w:p>
        </w:tc>
        <w:tc>
          <w:tcPr>
            <w:tcW w:w="1180" w:type="dxa"/>
            <w:vAlign w:val="bottom"/>
            <w:tcBorders>
              <w:top w:val="single" w:sz="8" w:color="86B6A5"/>
            </w:tcBorders>
          </w:tcPr>
          <w:p>
            <w:pPr>
              <w:jc w:val="right"/>
              <w:ind w:right="157"/>
              <w:spacing w:after="0"/>
              <w:rPr>
                <w:sz w:val="20"/>
                <w:szCs w:val="20"/>
                <w:color w:val="auto"/>
              </w:rPr>
            </w:pPr>
            <w:r>
              <w:rPr>
                <w:rFonts w:ascii="Arial" w:cs="Arial" w:eastAsia="Arial" w:hAnsi="Arial"/>
                <w:sz w:val="18"/>
                <w:szCs w:val="18"/>
                <w:color w:val="auto"/>
              </w:rPr>
              <w:t>5.1%</w:t>
            </w:r>
          </w:p>
        </w:tc>
        <w:tc>
          <w:tcPr>
            <w:tcW w:w="1120" w:type="dxa"/>
            <w:vAlign w:val="bottom"/>
            <w:tcBorders>
              <w:top w:val="single" w:sz="8" w:color="86B6A5"/>
              <w:right w:val="single" w:sz="8" w:color="E3F1DA"/>
            </w:tcBorders>
            <w:gridSpan w:val="2"/>
          </w:tcPr>
          <w:p>
            <w:pPr>
              <w:jc w:val="right"/>
              <w:ind w:right="220"/>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86B6A5"/>
            </w:tcBorders>
            <w:shd w:val="clear" w:color="auto" w:fill="E3F1DA"/>
          </w:tcPr>
          <w:p>
            <w:pPr>
              <w:spacing w:after="0"/>
              <w:rPr>
                <w:sz w:val="18"/>
                <w:szCs w:val="18"/>
                <w:color w:val="auto"/>
              </w:rPr>
            </w:pPr>
          </w:p>
        </w:tc>
        <w:tc>
          <w:tcPr>
            <w:tcW w:w="360" w:type="dxa"/>
            <w:vAlign w:val="bottom"/>
            <w:tcBorders>
              <w:top w:val="single" w:sz="8" w:color="86B6A5"/>
            </w:tcBorders>
            <w:shd w:val="clear" w:color="auto" w:fill="E3F1DA"/>
          </w:tcPr>
          <w:p>
            <w:pPr>
              <w:spacing w:after="0"/>
              <w:rPr>
                <w:sz w:val="18"/>
                <w:szCs w:val="18"/>
                <w:color w:val="auto"/>
              </w:rPr>
            </w:pPr>
          </w:p>
        </w:tc>
        <w:tc>
          <w:tcPr>
            <w:tcW w:w="660" w:type="dxa"/>
            <w:vAlign w:val="bottom"/>
            <w:tcBorders>
              <w:top w:val="single" w:sz="8" w:color="86B6A5"/>
            </w:tcBorders>
            <w:gridSpan w:val="2"/>
            <w:shd w:val="clear" w:color="auto" w:fill="E3F1DA"/>
          </w:tcPr>
          <w:p>
            <w:pPr>
              <w:jc w:val="right"/>
              <w:ind w:right="112"/>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939598"/>
            </w:tcBorders>
          </w:tcPr>
          <w:p>
            <w:pPr>
              <w:spacing w:after="0"/>
              <w:rPr>
                <w:sz w:val="18"/>
                <w:szCs w:val="18"/>
                <w:color w:val="auto"/>
              </w:rPr>
            </w:pPr>
          </w:p>
        </w:tc>
        <w:tc>
          <w:tcPr>
            <w:tcW w:w="80" w:type="dxa"/>
            <w:vAlign w:val="bottom"/>
            <w:tcBorders>
              <w:top w:val="single" w:sz="8" w:color="939598"/>
            </w:tcBorders>
          </w:tcPr>
          <w:p>
            <w:pPr>
              <w:spacing w:after="0"/>
              <w:rPr>
                <w:sz w:val="18"/>
                <w:szCs w:val="18"/>
                <w:color w:val="auto"/>
              </w:rPr>
            </w:pPr>
          </w:p>
        </w:tc>
        <w:tc>
          <w:tcPr>
            <w:tcW w:w="1040" w:type="dxa"/>
            <w:vAlign w:val="bottom"/>
            <w:tcBorders>
              <w:top w:val="single" w:sz="8" w:color="86B6A5"/>
            </w:tcBorders>
          </w:tcPr>
          <w:p>
            <w:pPr>
              <w:jc w:val="right"/>
              <w:ind w:right="117"/>
              <w:spacing w:after="0"/>
              <w:rPr>
                <w:sz w:val="20"/>
                <w:szCs w:val="20"/>
                <w:color w:val="auto"/>
              </w:rPr>
            </w:pPr>
            <w:r>
              <w:rPr>
                <w:rFonts w:ascii="Arial" w:cs="Arial" w:eastAsia="Arial" w:hAnsi="Arial"/>
                <w:sz w:val="18"/>
                <w:szCs w:val="18"/>
                <w:color w:val="auto"/>
              </w:rPr>
              <w:t>5.1%</w:t>
            </w:r>
          </w:p>
        </w:tc>
        <w:tc>
          <w:tcPr>
            <w:tcW w:w="540" w:type="dxa"/>
            <w:vAlign w:val="bottom"/>
            <w:tcBorders>
              <w:top w:val="single" w:sz="8" w:color="86B6A5"/>
            </w:tcBorders>
          </w:tcPr>
          <w:p>
            <w:pPr>
              <w:spacing w:after="0"/>
              <w:rPr>
                <w:sz w:val="18"/>
                <w:szCs w:val="18"/>
                <w:color w:val="auto"/>
              </w:rPr>
            </w:pPr>
          </w:p>
        </w:tc>
        <w:tc>
          <w:tcPr>
            <w:tcW w:w="44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w w:val="97"/>
              </w:rPr>
              <w:t>5.5%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120" w:type="dxa"/>
            <w:vAlign w:val="bottom"/>
            <w:shd w:val="clear" w:color="auto" w:fill="E3F1DA"/>
          </w:tcPr>
          <w:p>
            <w:pPr>
              <w:spacing w:after="0"/>
              <w:rPr>
                <w:sz w:val="18"/>
                <w:szCs w:val="18"/>
                <w:color w:val="auto"/>
              </w:rPr>
            </w:pPr>
          </w:p>
        </w:tc>
        <w:tc>
          <w:tcPr>
            <w:tcW w:w="8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3F1DA"/>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7.0%</w:t>
            </w:r>
          </w:p>
        </w:tc>
        <w:tc>
          <w:tcPr>
            <w:tcW w:w="1120" w:type="dxa"/>
            <w:vAlign w:val="bottom"/>
            <w:tcBorders>
              <w:right w:val="single" w:sz="8" w:color="E3F1DA"/>
            </w:tcBorders>
            <w:gridSpan w:val="2"/>
          </w:tcPr>
          <w:p>
            <w:pPr>
              <w:jc w:val="right"/>
              <w:ind w:right="2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E3F1DA"/>
          </w:tcPr>
          <w:p>
            <w:pPr>
              <w:spacing w:after="0"/>
              <w:rPr>
                <w:sz w:val="18"/>
                <w:szCs w:val="18"/>
                <w:color w:val="auto"/>
              </w:rPr>
            </w:pPr>
          </w:p>
        </w:tc>
        <w:tc>
          <w:tcPr>
            <w:tcW w:w="360" w:type="dxa"/>
            <w:vAlign w:val="bottom"/>
            <w:shd w:val="clear" w:color="auto" w:fill="E3F1DA"/>
          </w:tcPr>
          <w:p>
            <w:pPr>
              <w:spacing w:after="0"/>
              <w:rPr>
                <w:sz w:val="18"/>
                <w:szCs w:val="18"/>
                <w:color w:val="auto"/>
              </w:rPr>
            </w:pPr>
          </w:p>
        </w:tc>
        <w:tc>
          <w:tcPr>
            <w:tcW w:w="660" w:type="dxa"/>
            <w:vAlign w:val="bottom"/>
            <w:gridSpan w:val="2"/>
            <w:shd w:val="clear" w:color="auto" w:fill="E3F1DA"/>
          </w:tcPr>
          <w:p>
            <w:pPr>
              <w:jc w:val="right"/>
              <w:ind w:right="112"/>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120" w:type="dxa"/>
            <w:vAlign w:val="bottom"/>
            <w:gridSpan w:val="2"/>
          </w:tcPr>
          <w:p>
            <w:pPr>
              <w:jc w:val="right"/>
              <w:ind w:right="117"/>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120" w:type="dxa"/>
            <w:vAlign w:val="bottom"/>
            <w:shd w:val="clear" w:color="auto" w:fill="E3F1DA"/>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4.0%</w:t>
            </w:r>
          </w:p>
        </w:tc>
        <w:tc>
          <w:tcPr>
            <w:tcW w:w="1120" w:type="dxa"/>
            <w:vAlign w:val="bottom"/>
            <w:tcBorders>
              <w:right w:val="single" w:sz="8" w:color="E3F1DA"/>
            </w:tcBorders>
            <w:gridSpan w:val="2"/>
          </w:tcPr>
          <w:p>
            <w:pPr>
              <w:jc w:val="right"/>
              <w:ind w:right="2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E3F1DA"/>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1120" w:type="dxa"/>
            <w:vAlign w:val="bottom"/>
            <w:gridSpan w:val="2"/>
          </w:tcPr>
          <w:p>
            <w:pPr>
              <w:jc w:val="right"/>
              <w:ind w:right="117"/>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939598"/>
          </w:tcPr>
          <w:p>
            <w:pPr>
              <w:spacing w:after="0" w:line="20" w:lineRule="exact"/>
              <w:rPr>
                <w:sz w:val="1"/>
                <w:szCs w:val="1"/>
                <w:color w:val="auto"/>
              </w:rPr>
            </w:pPr>
          </w:p>
        </w:tc>
        <w:tc>
          <w:tcPr>
            <w:tcW w:w="120" w:type="dxa"/>
            <w:vAlign w:val="bottom"/>
            <w:shd w:val="clear" w:color="auto" w:fill="939598"/>
          </w:tcPr>
          <w:p>
            <w:pPr>
              <w:spacing w:after="0" w:line="20" w:lineRule="exact"/>
              <w:rPr>
                <w:sz w:val="1"/>
                <w:szCs w:val="1"/>
                <w:color w:val="auto"/>
              </w:rPr>
            </w:pPr>
          </w:p>
        </w:tc>
        <w:tc>
          <w:tcPr>
            <w:tcW w:w="840" w:type="dxa"/>
            <w:vAlign w:val="bottom"/>
            <w:shd w:val="clear" w:color="auto" w:fill="939598"/>
          </w:tcPr>
          <w:p>
            <w:pPr>
              <w:spacing w:after="0" w:line="20" w:lineRule="exact"/>
              <w:rPr>
                <w:sz w:val="1"/>
                <w:szCs w:val="1"/>
                <w:color w:val="auto"/>
              </w:rPr>
            </w:pPr>
          </w:p>
        </w:tc>
        <w:tc>
          <w:tcPr>
            <w:tcW w:w="180" w:type="dxa"/>
            <w:vAlign w:val="bottom"/>
            <w:shd w:val="clear" w:color="auto" w:fill="939598"/>
          </w:tcPr>
          <w:p>
            <w:pPr>
              <w:spacing w:after="0" w:line="20" w:lineRule="exact"/>
              <w:rPr>
                <w:sz w:val="1"/>
                <w:szCs w:val="1"/>
                <w:color w:val="auto"/>
              </w:rPr>
            </w:pPr>
          </w:p>
        </w:tc>
        <w:tc>
          <w:tcPr>
            <w:tcW w:w="1180" w:type="dxa"/>
            <w:vAlign w:val="bottom"/>
            <w:shd w:val="clear" w:color="auto" w:fill="939598"/>
          </w:tcPr>
          <w:p>
            <w:pPr>
              <w:spacing w:after="0" w:line="20" w:lineRule="exact"/>
              <w:rPr>
                <w:sz w:val="1"/>
                <w:szCs w:val="1"/>
                <w:color w:val="auto"/>
              </w:rPr>
            </w:pPr>
          </w:p>
        </w:tc>
        <w:tc>
          <w:tcPr>
            <w:tcW w:w="760" w:type="dxa"/>
            <w:vAlign w:val="bottom"/>
            <w:shd w:val="clear" w:color="auto" w:fill="939598"/>
          </w:tcPr>
          <w:p>
            <w:pPr>
              <w:spacing w:after="0" w:line="20" w:lineRule="exact"/>
              <w:rPr>
                <w:sz w:val="1"/>
                <w:szCs w:val="1"/>
                <w:color w:val="auto"/>
              </w:rPr>
            </w:pPr>
          </w:p>
        </w:tc>
        <w:tc>
          <w:tcPr>
            <w:tcW w:w="360" w:type="dxa"/>
            <w:vAlign w:val="bottom"/>
            <w:tcBorders>
              <w:right w:val="single" w:sz="8" w:color="939598"/>
            </w:tcBorders>
            <w:shd w:val="clear" w:color="auto" w:fill="939598"/>
          </w:tcPr>
          <w:p>
            <w:pPr>
              <w:spacing w:after="0" w:line="20" w:lineRule="exact"/>
              <w:rPr>
                <w:sz w:val="1"/>
                <w:szCs w:val="1"/>
                <w:color w:val="auto"/>
              </w:rPr>
            </w:pPr>
          </w:p>
        </w:tc>
        <w:tc>
          <w:tcPr>
            <w:tcW w:w="8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300" w:type="dxa"/>
            <w:vAlign w:val="bottom"/>
            <w:shd w:val="clear" w:color="auto" w:fill="939598"/>
          </w:tcPr>
          <w:p>
            <w:pPr>
              <w:spacing w:after="0" w:line="20" w:lineRule="exact"/>
              <w:rPr>
                <w:sz w:val="1"/>
                <w:szCs w:val="1"/>
                <w:color w:val="auto"/>
              </w:rPr>
            </w:pPr>
          </w:p>
        </w:tc>
        <w:tc>
          <w:tcPr>
            <w:tcW w:w="40" w:type="dxa"/>
            <w:vAlign w:val="bottom"/>
            <w:shd w:val="clear" w:color="auto" w:fill="939598"/>
          </w:tcPr>
          <w:p>
            <w:pPr>
              <w:spacing w:after="0" w:line="20" w:lineRule="exact"/>
              <w:rPr>
                <w:sz w:val="1"/>
                <w:szCs w:val="1"/>
                <w:color w:val="auto"/>
              </w:rPr>
            </w:pPr>
          </w:p>
        </w:tc>
        <w:tc>
          <w:tcPr>
            <w:tcW w:w="8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540" w:type="dxa"/>
            <w:vAlign w:val="bottom"/>
            <w:shd w:val="clear" w:color="auto" w:fill="939598"/>
          </w:tcPr>
          <w:p>
            <w:pPr>
              <w:spacing w:after="0" w:line="20" w:lineRule="exact"/>
              <w:rPr>
                <w:sz w:val="1"/>
                <w:szCs w:val="1"/>
                <w:color w:val="auto"/>
              </w:rPr>
            </w:pPr>
          </w:p>
        </w:tc>
        <w:tc>
          <w:tcPr>
            <w:tcW w:w="44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-282575</wp:posOffset>
            </wp:positionV>
            <wp:extent cx="651510"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28321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-282575</wp:posOffset>
            </wp:positionV>
            <wp:extent cx="651510" cy="283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283210"/>
                    </a:xfrm>
                    <a:prstGeom prst="rect">
                      <a:avLst/>
                    </a:prstGeom>
                    <a:noFill/>
                  </pic:spPr>
                </pic:pic>
              </a:graphicData>
            </a:graphic>
          </wp:anchor>
        </w:drawing>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determine our assumption for the discount rate to be used for purposes of computing annual service and interest costs based on an index of high-quality corporate bond yields and matched-funding yield curve analysis as of the end of each fiscal year.</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overall expected long-term rate of return on United States plan assets is 6.3%, while our overall expected long-term rate of return on our non-United States plans varies by country and ranges from 3.5% to 5.0%.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 of our foreign plans. Peer data and historical returns are reviewed to check for reasonableness and appropriateness of our expected rate of return.</w:t>
      </w:r>
    </w:p>
    <w:p>
      <w:pPr>
        <w:spacing w:after="0" w:line="17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90" w:name="page91"/>
    <w:bookmarkEnd w:id="90"/>
    <w:p>
      <w:pPr>
        <w:spacing w:after="0" w:line="217" w:lineRule="auto"/>
        <w:framePr w:w="1220" w:h="156" w:wrap="auto" w:vAnchor="page" w:hAnchor="page" w:x="200" w:y="8856"/>
        <w:rPr>
          <w:rFonts w:ascii="Arial" w:cs="Arial" w:eastAsia="Arial" w:hAnsi="Arial"/>
          <w:sz w:val="15"/>
          <w:szCs w:val="15"/>
          <w:b w:val="1"/>
          <w:bCs w:val="1"/>
          <w:color w:val="939598"/>
        </w:rPr>
      </w:pPr>
      <w:r>
        <w:rPr>
          <w:rFonts w:ascii="Arial" w:cs="Arial" w:eastAsia="Arial" w:hAnsi="Arial"/>
          <w:sz w:val="15"/>
          <w:szCs w:val="15"/>
          <w:b w:val="1"/>
          <w:bCs w:val="1"/>
          <w:color w:val="939598"/>
        </w:rPr>
        <w:t>Asset Category</w:t>
      </w:r>
    </w:p>
    <w:p>
      <w:pPr>
        <w:jc w:val="both"/>
        <w:spacing w:after="0" w:line="255"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2012 allocations, are determined based on the favorable risk tolerance characteristics of the plan and, at times, may be adjusted within a specified range to advance our overall objective.</w:t>
      </w:r>
    </w:p>
    <w:p>
      <w:pPr>
        <w:spacing w:after="0" w:line="197" w:lineRule="exact"/>
        <w:rPr>
          <w:rFonts w:ascii="Arial" w:cs="Arial" w:eastAsia="Arial" w:hAnsi="Arial"/>
          <w:sz w:val="15"/>
          <w:szCs w:val="15"/>
          <w:b w:val="1"/>
          <w:bCs w:val="1"/>
          <w:color w:val="939598"/>
        </w:rPr>
      </w:pPr>
    </w:p>
    <w:p>
      <w:pPr>
        <w:jc w:val="both"/>
        <w:ind w:right="20"/>
        <w:spacing w:after="0" w:line="255" w:lineRule="auto"/>
        <w:rPr>
          <w:sz w:val="20"/>
          <w:szCs w:val="20"/>
          <w:color w:val="auto"/>
        </w:rPr>
      </w:pPr>
      <w:r>
        <w:rPr>
          <w:rFonts w:ascii="Arial" w:cs="Arial" w:eastAsia="Arial" w:hAnsi="Arial"/>
          <w:sz w:val="18"/>
          <w:szCs w:val="18"/>
          <w:color w:val="auto"/>
        </w:rPr>
        <w:t>The fair value of our pension plan assets are primarily determined by using market quotes and other relevant information that is generated by market transactions involving identical or comparable assets. The fair value of our pension plan assets by asset category was as follows:</w:t>
      </w:r>
    </w:p>
    <w:p>
      <w:pPr>
        <w:sectPr>
          <w:pgSz w:w="11900" w:h="16838" w:orient="portrait"/>
          <w:cols w:equalWidth="0" w:num="1">
            <w:col w:w="11420"/>
          </w:cols>
          <w:pgMar w:left="240" w:top="766" w:right="239" w:bottom="1440" w:gutter="0" w:footer="0" w:header="0"/>
        </w:sectPr>
      </w:pPr>
    </w:p>
    <w:p>
      <w:pPr>
        <w:spacing w:after="0" w:line="1" w:lineRule="exact"/>
        <w:rPr>
          <w:rFonts w:ascii="Arial" w:cs="Arial" w:eastAsia="Arial" w:hAnsi="Arial"/>
          <w:sz w:val="15"/>
          <w:szCs w:val="15"/>
          <w:b w:val="1"/>
          <w:bCs w:val="1"/>
          <w:color w:val="939598"/>
        </w:rPr>
      </w:pPr>
    </w:p>
    <w:p>
      <w:pPr>
        <w:jc w:val="right"/>
        <w:spacing w:after="0"/>
        <w:rPr>
          <w:sz w:val="20"/>
          <w:szCs w:val="20"/>
          <w:color w:val="auto"/>
        </w:rPr>
      </w:pPr>
      <w:r>
        <w:rPr>
          <w:rFonts w:ascii="Arial" w:cs="Arial" w:eastAsia="Arial" w:hAnsi="Arial"/>
          <w:sz w:val="14"/>
          <w:szCs w:val="14"/>
          <w:b w:val="1"/>
          <w:bCs w:val="1"/>
          <w:color w:val="86B6A5"/>
        </w:rPr>
        <w:t>United States Plans</w:t>
      </w:r>
    </w:p>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1463040</wp:posOffset>
            </wp:positionH>
            <wp:positionV relativeFrom="paragraph">
              <wp:posOffset>0</wp:posOffset>
            </wp:positionV>
            <wp:extent cx="28727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86B6A5"/>
        </w:rPr>
        <w:t>Fair Value Measurements Using</w:t>
      </w:r>
    </w:p>
    <w:tbl>
      <w:tblPr>
        <w:tblLayout w:type="fixed"/>
        <w:tblInd w:w="2300" w:type="dxa"/>
        <w:tblCellMar>
          <w:top w:w="0" w:type="dxa"/>
          <w:left w:w="0" w:type="dxa"/>
          <w:bottom w:w="0" w:type="dxa"/>
          <w:right w:w="0" w:type="dxa"/>
        </w:tblCellMar>
      </w:tblPr>
      <w:tr>
        <w:trPr>
          <w:trHeight w:val="129"/>
        </w:trPr>
        <w:tc>
          <w:tcPr>
            <w:tcW w:w="1220" w:type="dxa"/>
            <w:vAlign w:val="bottom"/>
            <w:tcBorders>
              <w:top w:val="single" w:sz="8" w:color="939598"/>
            </w:tcBorders>
          </w:tcPr>
          <w:p>
            <w:pPr>
              <w:spacing w:after="0"/>
              <w:rPr>
                <w:sz w:val="11"/>
                <w:szCs w:val="11"/>
                <w:color w:val="auto"/>
              </w:rPr>
            </w:pPr>
          </w:p>
        </w:tc>
        <w:tc>
          <w:tcPr>
            <w:tcW w:w="1240" w:type="dxa"/>
            <w:vAlign w:val="bottom"/>
            <w:tcBorders>
              <w:top w:val="single" w:sz="8" w:color="939598"/>
            </w:tcBorders>
          </w:tcPr>
          <w:p>
            <w:pPr>
              <w:jc w:val="right"/>
              <w:ind w:right="192"/>
              <w:spacing w:after="0" w:line="129" w:lineRule="exact"/>
              <w:rPr>
                <w:sz w:val="20"/>
                <w:szCs w:val="20"/>
                <w:color w:val="auto"/>
              </w:rPr>
            </w:pPr>
            <w:r>
              <w:rPr>
                <w:rFonts w:ascii="Arial" w:cs="Arial" w:eastAsia="Arial" w:hAnsi="Arial"/>
                <w:sz w:val="14"/>
                <w:szCs w:val="14"/>
                <w:b w:val="1"/>
                <w:bCs w:val="1"/>
                <w:color w:val="86B6A5"/>
              </w:rPr>
              <w:t>Quoted Prices</w:t>
            </w:r>
          </w:p>
        </w:tc>
        <w:tc>
          <w:tcPr>
            <w:tcW w:w="1080" w:type="dxa"/>
            <w:vAlign w:val="bottom"/>
            <w:tcBorders>
              <w:top w:val="single" w:sz="8" w:color="939598"/>
            </w:tcBorders>
          </w:tcPr>
          <w:p>
            <w:pPr>
              <w:spacing w:after="0"/>
              <w:rPr>
                <w:sz w:val="11"/>
                <w:szCs w:val="11"/>
                <w:color w:val="auto"/>
              </w:rPr>
            </w:pPr>
          </w:p>
        </w:tc>
        <w:tc>
          <w:tcPr>
            <w:tcW w:w="980" w:type="dxa"/>
            <w:vAlign w:val="bottom"/>
            <w:tcBorders>
              <w:top w:val="single" w:sz="8" w:color="939598"/>
            </w:tcBorders>
          </w:tcPr>
          <w:p>
            <w:pPr>
              <w:spacing w:after="0"/>
              <w:rPr>
                <w:sz w:val="11"/>
                <w:szCs w:val="11"/>
                <w:color w:val="auto"/>
              </w:rPr>
            </w:pP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in Active</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Significant</w:t>
            </w:r>
          </w:p>
        </w:tc>
        <w:tc>
          <w:tcPr>
            <w:tcW w:w="98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Markets for</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Other</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Significant</w:t>
            </w: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Identical</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Observable</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Unobservable</w:t>
            </w:r>
          </w:p>
        </w:tc>
      </w:tr>
      <w:tr>
        <w:trPr>
          <w:trHeight w:val="149"/>
        </w:trPr>
        <w:tc>
          <w:tcPr>
            <w:tcW w:w="12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December 31,</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Assets</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Inputs</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Inputs</w:t>
            </w:r>
          </w:p>
        </w:tc>
      </w:tr>
      <w:tr>
        <w:trPr>
          <w:trHeight w:val="161"/>
        </w:trPr>
        <w:tc>
          <w:tcPr>
            <w:tcW w:w="1220" w:type="dxa"/>
            <w:vAlign w:val="bottom"/>
          </w:tcPr>
          <w:p>
            <w:pPr>
              <w:jc w:val="right"/>
              <w:ind w:right="112"/>
              <w:spacing w:after="0"/>
              <w:rPr>
                <w:sz w:val="20"/>
                <w:szCs w:val="20"/>
                <w:color w:val="auto"/>
              </w:rPr>
            </w:pPr>
            <w:r>
              <w:rPr>
                <w:rFonts w:ascii="Arial" w:cs="Arial" w:eastAsia="Arial" w:hAnsi="Arial"/>
                <w:sz w:val="14"/>
                <w:szCs w:val="14"/>
                <w:b w:val="1"/>
                <w:bCs w:val="1"/>
                <w:color w:val="86B6A5"/>
              </w:rPr>
              <w:t>2012</w:t>
            </w: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86B6A5"/>
              </w:rPr>
              <w:t>(Level 1)</w:t>
            </w: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86B6A5"/>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86B6A5"/>
              </w:rPr>
              <w:t>(Level 3)</w:t>
            </w:r>
          </w:p>
        </w:tc>
      </w:tr>
    </w:tbl>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br w:type="column"/>
      </w:r>
    </w:p>
    <w:p>
      <w:pPr>
        <w:jc w:val="right"/>
        <w:ind w:right="100"/>
        <w:spacing w:after="0"/>
        <w:rPr>
          <w:sz w:val="20"/>
          <w:szCs w:val="20"/>
          <w:color w:val="auto"/>
        </w:rPr>
      </w:pPr>
      <w:r>
        <w:rPr>
          <w:rFonts w:ascii="Arial" w:cs="Arial" w:eastAsia="Arial" w:hAnsi="Arial"/>
          <w:sz w:val="14"/>
          <w:szCs w:val="14"/>
          <w:b w:val="1"/>
          <w:bCs w:val="1"/>
          <w:color w:val="86B6A5"/>
        </w:rPr>
        <w:t>Non-United States Plans</w:t>
      </w:r>
    </w:p>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-1905</wp:posOffset>
            </wp:positionH>
            <wp:positionV relativeFrom="paragraph">
              <wp:posOffset>0</wp:posOffset>
            </wp:positionV>
            <wp:extent cx="28473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4"/>
          <w:szCs w:val="14"/>
          <w:b w:val="1"/>
          <w:bCs w:val="1"/>
          <w:color w:val="86B6A5"/>
        </w:rPr>
        <w:t>Fair Value Measurements Using</w:t>
      </w:r>
    </w:p>
    <w:tbl>
      <w:tblPr>
        <w:tblLayout w:type="fixed"/>
        <w:tblInd w:w="0" w:type="dxa"/>
        <w:tblCellMar>
          <w:top w:w="0" w:type="dxa"/>
          <w:left w:w="0" w:type="dxa"/>
          <w:bottom w:w="0" w:type="dxa"/>
          <w:right w:w="0" w:type="dxa"/>
        </w:tblCellMar>
      </w:tblPr>
      <w:tr>
        <w:trPr>
          <w:trHeight w:val="129"/>
        </w:trPr>
        <w:tc>
          <w:tcPr>
            <w:tcW w:w="1160" w:type="dxa"/>
            <w:vAlign w:val="bottom"/>
            <w:tcBorders>
              <w:top w:val="single" w:sz="8" w:color="939598"/>
            </w:tcBorders>
          </w:tcPr>
          <w:p>
            <w:pPr>
              <w:spacing w:after="0"/>
              <w:rPr>
                <w:sz w:val="11"/>
                <w:szCs w:val="11"/>
                <w:color w:val="auto"/>
              </w:rPr>
            </w:pPr>
          </w:p>
        </w:tc>
        <w:tc>
          <w:tcPr>
            <w:tcW w:w="1200" w:type="dxa"/>
            <w:vAlign w:val="bottom"/>
            <w:tcBorders>
              <w:top w:val="single" w:sz="8" w:color="939598"/>
            </w:tcBorders>
          </w:tcPr>
          <w:p>
            <w:pPr>
              <w:jc w:val="right"/>
              <w:ind w:right="152"/>
              <w:spacing w:after="0" w:line="129" w:lineRule="exact"/>
              <w:rPr>
                <w:sz w:val="20"/>
                <w:szCs w:val="20"/>
                <w:color w:val="auto"/>
              </w:rPr>
            </w:pPr>
            <w:r>
              <w:rPr>
                <w:rFonts w:ascii="Arial" w:cs="Arial" w:eastAsia="Arial" w:hAnsi="Arial"/>
                <w:sz w:val="14"/>
                <w:szCs w:val="14"/>
                <w:b w:val="1"/>
                <w:bCs w:val="1"/>
                <w:color w:val="86B6A5"/>
              </w:rPr>
              <w:t>Quoted Prices</w:t>
            </w:r>
          </w:p>
        </w:tc>
        <w:tc>
          <w:tcPr>
            <w:tcW w:w="1060" w:type="dxa"/>
            <w:vAlign w:val="bottom"/>
            <w:tcBorders>
              <w:top w:val="single" w:sz="8" w:color="939598"/>
            </w:tcBorders>
          </w:tcPr>
          <w:p>
            <w:pPr>
              <w:spacing w:after="0"/>
              <w:rPr>
                <w:sz w:val="11"/>
                <w:szCs w:val="11"/>
                <w:color w:val="auto"/>
              </w:rPr>
            </w:pPr>
          </w:p>
        </w:tc>
        <w:tc>
          <w:tcPr>
            <w:tcW w:w="1060" w:type="dxa"/>
            <w:vAlign w:val="bottom"/>
            <w:tcBorders>
              <w:top w:val="single" w:sz="8" w:color="939598"/>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in Active</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Significant</w:t>
            </w:r>
          </w:p>
        </w:tc>
        <w:tc>
          <w:tcPr>
            <w:tcW w:w="10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Markets for</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Other</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Significant</w:t>
            </w: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Identical</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Observable</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Unobservable</w:t>
            </w:r>
          </w:p>
        </w:tc>
      </w:tr>
      <w:tr>
        <w:trPr>
          <w:trHeight w:val="149"/>
        </w:trPr>
        <w:tc>
          <w:tcPr>
            <w:tcW w:w="11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December 31,</w:t>
            </w: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Assets</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Inputs</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Inputs</w:t>
            </w:r>
          </w:p>
        </w:tc>
      </w:tr>
      <w:tr>
        <w:trPr>
          <w:trHeight w:val="161"/>
        </w:trPr>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86B6A5"/>
              </w:rPr>
              <w:t>2012</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86B6A5"/>
              </w:rPr>
              <w:t>(Level 1)</w:t>
            </w:r>
          </w:p>
        </w:tc>
        <w:tc>
          <w:tcPr>
            <w:tcW w:w="1060" w:type="dxa"/>
            <w:vAlign w:val="bottom"/>
          </w:tcPr>
          <w:p>
            <w:pPr>
              <w:jc w:val="right"/>
              <w:ind w:right="92"/>
              <w:spacing w:after="0"/>
              <w:rPr>
                <w:sz w:val="20"/>
                <w:szCs w:val="20"/>
                <w:color w:val="auto"/>
              </w:rPr>
            </w:pPr>
            <w:r>
              <w:rPr>
                <w:rFonts w:ascii="Arial" w:cs="Arial" w:eastAsia="Arial" w:hAnsi="Arial"/>
                <w:sz w:val="14"/>
                <w:szCs w:val="14"/>
                <w:b w:val="1"/>
                <w:bCs w:val="1"/>
                <w:color w:val="86B6A5"/>
              </w:rPr>
              <w:t>(Level 2)</w:t>
            </w: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86B6A5"/>
              </w:rPr>
              <w:t>(Level 3)</w:t>
            </w:r>
          </w:p>
        </w:tc>
      </w:tr>
    </w:tbl>
    <w:p>
      <w:pPr>
        <w:spacing w:after="0" w:line="1" w:lineRule="exact"/>
        <w:rPr>
          <w:rFonts w:ascii="Arial" w:cs="Arial" w:eastAsia="Arial" w:hAnsi="Arial"/>
          <w:sz w:val="15"/>
          <w:szCs w:val="15"/>
          <w:b w:val="1"/>
          <w:bCs w:val="1"/>
          <w:color w:val="939598"/>
        </w:rPr>
      </w:pPr>
    </w:p>
    <w:p>
      <w:pPr>
        <w:sectPr>
          <w:pgSz w:w="11900" w:h="16838" w:orient="portrait"/>
          <w:cols w:equalWidth="0" w:num="2">
            <w:col w:w="6820" w:space="120"/>
            <w:col w:w="4480"/>
          </w:cols>
          <w:pgMar w:left="240" w:top="76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18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b w:val="1"/>
                <w:bCs w:val="1"/>
                <w:color w:val="939598"/>
              </w:rPr>
              <w:t>Asset Category</w:t>
            </w:r>
          </w:p>
        </w:tc>
        <w:tc>
          <w:tcPr>
            <w:tcW w:w="540" w:type="dxa"/>
            <w:vAlign w:val="bottom"/>
            <w:tcBorders>
              <w:top w:val="single" w:sz="8" w:color="86B6A5"/>
            </w:tcBorders>
            <w:shd w:val="clear" w:color="auto" w:fill="E3F1DA"/>
          </w:tcPr>
          <w:p>
            <w:pPr>
              <w:spacing w:after="0"/>
              <w:rPr>
                <w:sz w:val="18"/>
                <w:szCs w:val="18"/>
                <w:color w:val="auto"/>
              </w:rPr>
            </w:pPr>
          </w:p>
        </w:tc>
        <w:tc>
          <w:tcPr>
            <w:tcW w:w="68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shd w:val="clear" w:color="auto" w:fill="E3F1DA"/>
          </w:tcPr>
          <w:p>
            <w:pPr>
              <w:spacing w:after="0"/>
              <w:rPr>
                <w:sz w:val="18"/>
                <w:szCs w:val="18"/>
                <w:color w:val="auto"/>
              </w:rPr>
            </w:pPr>
          </w:p>
        </w:tc>
        <w:tc>
          <w:tcPr>
            <w:tcW w:w="680" w:type="dxa"/>
            <w:vAlign w:val="bottom"/>
            <w:tcBorders>
              <w:top w:val="single" w:sz="8" w:color="86B6A5"/>
            </w:tcBorders>
            <w:shd w:val="clear" w:color="auto" w:fill="E3F1DA"/>
          </w:tcPr>
          <w:p>
            <w:pPr>
              <w:spacing w:after="0"/>
              <w:rPr>
                <w:sz w:val="18"/>
                <w:szCs w:val="18"/>
                <w:color w:val="auto"/>
              </w:rPr>
            </w:pPr>
          </w:p>
        </w:tc>
        <w:tc>
          <w:tcPr>
            <w:tcW w:w="480" w:type="dxa"/>
            <w:vAlign w:val="bottom"/>
            <w:tcBorders>
              <w:top w:val="single" w:sz="8" w:color="86B6A5"/>
            </w:tcBorders>
            <w:shd w:val="clear" w:color="auto" w:fill="E3F1DA"/>
          </w:tcPr>
          <w:p>
            <w:pPr>
              <w:spacing w:after="0"/>
              <w:rPr>
                <w:sz w:val="18"/>
                <w:szCs w:val="18"/>
                <w:color w:val="auto"/>
              </w:rPr>
            </w:pPr>
          </w:p>
        </w:tc>
        <w:tc>
          <w:tcPr>
            <w:tcW w:w="680" w:type="dxa"/>
            <w:vAlign w:val="bottom"/>
            <w:tcBorders>
              <w:top w:val="single" w:sz="8" w:color="86B6A5"/>
            </w:tcBorders>
            <w:shd w:val="clear" w:color="auto" w:fill="E3F1DA"/>
          </w:tcPr>
          <w:p>
            <w:pPr>
              <w:spacing w:after="0"/>
              <w:rPr>
                <w:sz w:val="18"/>
                <w:szCs w:val="18"/>
                <w:color w:val="auto"/>
              </w:rPr>
            </w:pPr>
          </w:p>
        </w:tc>
        <w:tc>
          <w:tcPr>
            <w:tcW w:w="540" w:type="dxa"/>
            <w:vAlign w:val="bottom"/>
            <w:tcBorders>
              <w:top w:val="single" w:sz="8" w:color="86B6A5"/>
            </w:tcBorders>
            <w:shd w:val="clear" w:color="auto" w:fill="E3F1DA"/>
          </w:tcPr>
          <w:p>
            <w:pPr>
              <w:spacing w:after="0"/>
              <w:rPr>
                <w:sz w:val="18"/>
                <w:szCs w:val="18"/>
                <w:color w:val="auto"/>
              </w:rPr>
            </w:pPr>
          </w:p>
        </w:tc>
        <w:tc>
          <w:tcPr>
            <w:tcW w:w="620" w:type="dxa"/>
            <w:vAlign w:val="bottom"/>
            <w:tcBorders>
              <w:top w:val="single" w:sz="8" w:color="86B6A5"/>
            </w:tcBorders>
            <w:shd w:val="clear" w:color="auto" w:fill="E3F1DA"/>
          </w:tcPr>
          <w:p>
            <w:pPr>
              <w:spacing w:after="0"/>
              <w:rPr>
                <w:sz w:val="18"/>
                <w:szCs w:val="18"/>
                <w:color w:val="auto"/>
              </w:rPr>
            </w:pPr>
          </w:p>
        </w:tc>
        <w:tc>
          <w:tcPr>
            <w:tcW w:w="60" w:type="dxa"/>
            <w:vAlign w:val="bottom"/>
            <w:tcBorders>
              <w:top w:val="single" w:sz="8" w:color="86B6A5"/>
            </w:tcBorders>
            <w:shd w:val="clear" w:color="auto" w:fill="E3F1DA"/>
          </w:tcPr>
          <w:p>
            <w:pPr>
              <w:spacing w:after="0"/>
              <w:rPr>
                <w:sz w:val="18"/>
                <w:szCs w:val="18"/>
                <w:color w:val="auto"/>
              </w:rPr>
            </w:pPr>
          </w:p>
        </w:tc>
        <w:tc>
          <w:tcPr>
            <w:tcW w:w="340" w:type="dxa"/>
            <w:vAlign w:val="bottom"/>
            <w:tcBorders>
              <w:top w:val="single" w:sz="8" w:color="939598"/>
            </w:tcBorders>
            <w:shd w:val="clear" w:color="auto" w:fill="E3F1DA"/>
          </w:tcPr>
          <w:p>
            <w:pPr>
              <w:spacing w:after="0"/>
              <w:rPr>
                <w:sz w:val="18"/>
                <w:szCs w:val="18"/>
                <w:color w:val="auto"/>
              </w:rPr>
            </w:pPr>
          </w:p>
        </w:tc>
        <w:tc>
          <w:tcPr>
            <w:tcW w:w="660" w:type="dxa"/>
            <w:vAlign w:val="bottom"/>
            <w:tcBorders>
              <w:top w:val="single" w:sz="8" w:color="939598"/>
            </w:tcBorders>
            <w:shd w:val="clear" w:color="auto" w:fill="E3F1DA"/>
          </w:tcPr>
          <w:p>
            <w:pPr>
              <w:spacing w:after="0"/>
              <w:rPr>
                <w:sz w:val="18"/>
                <w:szCs w:val="18"/>
                <w:color w:val="auto"/>
              </w:rPr>
            </w:pPr>
          </w:p>
        </w:tc>
        <w:tc>
          <w:tcPr>
            <w:tcW w:w="60" w:type="dxa"/>
            <w:vAlign w:val="bottom"/>
            <w:tcBorders>
              <w:top w:val="single" w:sz="8" w:color="86B6A5"/>
            </w:tcBorders>
            <w:shd w:val="clear" w:color="auto" w:fill="E3F1DA"/>
          </w:tcPr>
          <w:p>
            <w:pPr>
              <w:spacing w:after="0"/>
              <w:rPr>
                <w:sz w:val="18"/>
                <w:szCs w:val="18"/>
                <w:color w:val="auto"/>
              </w:rPr>
            </w:pPr>
          </w:p>
        </w:tc>
        <w:tc>
          <w:tcPr>
            <w:tcW w:w="420" w:type="dxa"/>
            <w:vAlign w:val="bottom"/>
            <w:tcBorders>
              <w:top w:val="single" w:sz="8" w:color="86B6A5"/>
            </w:tcBorders>
            <w:shd w:val="clear" w:color="auto" w:fill="E3F1DA"/>
          </w:tcPr>
          <w:p>
            <w:pPr>
              <w:spacing w:after="0"/>
              <w:rPr>
                <w:sz w:val="18"/>
                <w:szCs w:val="18"/>
                <w:color w:val="auto"/>
              </w:rPr>
            </w:pPr>
          </w:p>
        </w:tc>
        <w:tc>
          <w:tcPr>
            <w:tcW w:w="700" w:type="dxa"/>
            <w:vAlign w:val="bottom"/>
            <w:tcBorders>
              <w:top w:val="single" w:sz="8" w:color="86B6A5"/>
            </w:tcBorders>
            <w:shd w:val="clear" w:color="auto" w:fill="E3F1DA"/>
          </w:tcPr>
          <w:p>
            <w:pPr>
              <w:spacing w:after="0"/>
              <w:rPr>
                <w:sz w:val="18"/>
                <w:szCs w:val="18"/>
                <w:color w:val="auto"/>
              </w:rPr>
            </w:pPr>
          </w:p>
        </w:tc>
        <w:tc>
          <w:tcPr>
            <w:tcW w:w="420" w:type="dxa"/>
            <w:vAlign w:val="bottom"/>
            <w:tcBorders>
              <w:top w:val="single" w:sz="8" w:color="86B6A5"/>
            </w:tcBorders>
            <w:shd w:val="clear" w:color="auto" w:fill="E3F1DA"/>
          </w:tcPr>
          <w:p>
            <w:pPr>
              <w:spacing w:after="0"/>
              <w:rPr>
                <w:sz w:val="18"/>
                <w:szCs w:val="18"/>
                <w:color w:val="auto"/>
              </w:rPr>
            </w:pPr>
          </w:p>
        </w:tc>
        <w:tc>
          <w:tcPr>
            <w:tcW w:w="700" w:type="dxa"/>
            <w:vAlign w:val="bottom"/>
            <w:tcBorders>
              <w:top w:val="single" w:sz="8" w:color="86B6A5"/>
            </w:tcBorders>
            <w:shd w:val="clear" w:color="auto" w:fill="E3F1DA"/>
          </w:tcPr>
          <w:p>
            <w:pPr>
              <w:spacing w:after="0"/>
              <w:rPr>
                <w:sz w:val="18"/>
                <w:szCs w:val="18"/>
                <w:color w:val="auto"/>
              </w:rPr>
            </w:pPr>
          </w:p>
        </w:tc>
        <w:tc>
          <w:tcPr>
            <w:tcW w:w="520" w:type="dxa"/>
            <w:vAlign w:val="bottom"/>
            <w:tcBorders>
              <w:top w:val="single" w:sz="8" w:color="86B6A5"/>
            </w:tcBorders>
            <w:shd w:val="clear" w:color="auto" w:fill="E3F1DA"/>
          </w:tcPr>
          <w:p>
            <w:pPr>
              <w:spacing w:after="0"/>
              <w:rPr>
                <w:sz w:val="18"/>
                <w:szCs w:val="18"/>
                <w:color w:val="auto"/>
              </w:rPr>
            </w:pPr>
          </w:p>
        </w:tc>
        <w:tc>
          <w:tcPr>
            <w:tcW w:w="660" w:type="dxa"/>
            <w:vAlign w:val="bottom"/>
            <w:tcBorders>
              <w:top w:val="single" w:sz="8" w:color="86B6A5"/>
            </w:tcBorders>
            <w:shd w:val="clear" w:color="auto" w:fill="E3F1DA"/>
          </w:tcPr>
          <w:p>
            <w:pPr>
              <w:spacing w:after="0"/>
              <w:rPr>
                <w:sz w:val="18"/>
                <w:szCs w:val="18"/>
                <w:color w:val="auto"/>
              </w:rPr>
            </w:pPr>
          </w:p>
        </w:tc>
      </w:tr>
      <w:tr>
        <w:trPr>
          <w:trHeight w:val="216"/>
        </w:trPr>
        <w:tc>
          <w:tcPr>
            <w:tcW w:w="2180" w:type="dxa"/>
            <w:vAlign w:val="bottom"/>
          </w:tcPr>
          <w:p>
            <w:pPr>
              <w:spacing w:after="0" w:line="216" w:lineRule="exact"/>
              <w:rPr>
                <w:sz w:val="20"/>
                <w:szCs w:val="20"/>
                <w:color w:val="auto"/>
              </w:rPr>
            </w:pPr>
            <w:r>
              <w:rPr>
                <w:rFonts w:ascii="Arial" w:cs="Arial" w:eastAsia="Arial" w:hAnsi="Arial"/>
                <w:sz w:val="18"/>
                <w:szCs w:val="18"/>
                <w:color w:val="auto"/>
                <w:w w:val="91"/>
              </w:rPr>
              <w:t>Cash and cash equivalents</w:t>
            </w:r>
            <w:r>
              <w:rPr>
                <w:rFonts w:ascii="Arial" w:cs="Arial" w:eastAsia="Arial" w:hAnsi="Arial"/>
                <w:sz w:val="24"/>
                <w:szCs w:val="24"/>
                <w:color w:val="auto"/>
                <w:w w:val="91"/>
                <w:vertAlign w:val="superscript"/>
              </w:rPr>
              <w:t>(1)</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shd w:val="clear" w:color="auto" w:fill="E3F1DA"/>
          </w:tcPr>
          <w:p>
            <w:pPr>
              <w:spacing w:after="0"/>
              <w:rPr>
                <w:sz w:val="20"/>
                <w:szCs w:val="20"/>
                <w:color w:val="auto"/>
              </w:rPr>
            </w:pPr>
            <w:r>
              <w:rPr>
                <w:rFonts w:ascii="Arial" w:cs="Arial" w:eastAsia="Arial" w:hAnsi="Arial"/>
                <w:sz w:val="18"/>
                <w:szCs w:val="18"/>
                <w:color w:val="auto"/>
              </w:rPr>
              <w:t>Equity securities:</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r>
      <w:tr>
        <w:trPr>
          <w:trHeight w:val="216"/>
        </w:trPr>
        <w:tc>
          <w:tcPr>
            <w:tcW w:w="2180" w:type="dxa"/>
            <w:vAlign w:val="bottom"/>
          </w:tcPr>
          <w:p>
            <w:pPr>
              <w:ind w:left="320"/>
              <w:spacing w:after="0"/>
              <w:rPr>
                <w:sz w:val="20"/>
                <w:szCs w:val="20"/>
                <w:color w:val="auto"/>
              </w:rPr>
            </w:pPr>
            <w:r>
              <w:rPr>
                <w:rFonts w:ascii="Arial" w:cs="Arial" w:eastAsia="Arial" w:hAnsi="Arial"/>
                <w:sz w:val="18"/>
                <w:szCs w:val="18"/>
                <w:color w:val="auto"/>
                <w:w w:val="91"/>
              </w:rPr>
              <w:t>United States companies</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shd w:val="clear" w:color="auto" w:fill="E3F1DA"/>
          </w:tcPr>
          <w:p>
            <w:pPr>
              <w:ind w:left="320"/>
              <w:spacing w:after="0"/>
              <w:rPr>
                <w:sz w:val="20"/>
                <w:szCs w:val="20"/>
                <w:color w:val="auto"/>
              </w:rPr>
            </w:pPr>
            <w:r>
              <w:rPr>
                <w:rFonts w:ascii="Arial" w:cs="Arial" w:eastAsia="Arial" w:hAnsi="Arial"/>
                <w:sz w:val="18"/>
                <w:szCs w:val="18"/>
                <w:color w:val="auto"/>
                <w:w w:val="96"/>
              </w:rPr>
              <w:t>International companies</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72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color w:val="auto"/>
              </w:rPr>
              <w:t>72.8</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72.8</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180" w:type="dxa"/>
            <w:vAlign w:val="bottom"/>
            <w:shd w:val="clear" w:color="auto" w:fill="E3F1DA"/>
          </w:tcPr>
          <w:p>
            <w:pPr>
              <w:ind w:left="320"/>
              <w:spacing w:after="0" w:line="216" w:lineRule="exact"/>
              <w:rPr>
                <w:sz w:val="20"/>
                <w:szCs w:val="20"/>
                <w:color w:val="auto"/>
              </w:rPr>
            </w:pPr>
            <w:r>
              <w:rPr>
                <w:rFonts w:ascii="Arial" w:cs="Arial" w:eastAsia="Arial" w:hAnsi="Arial"/>
                <w:sz w:val="18"/>
                <w:szCs w:val="18"/>
                <w:color w:val="auto"/>
              </w:rPr>
              <w:t>Government bonds</w:t>
            </w:r>
            <w:r>
              <w:rPr>
                <w:rFonts w:ascii="Arial" w:cs="Arial" w:eastAsia="Arial" w:hAnsi="Arial"/>
                <w:sz w:val="24"/>
                <w:szCs w:val="24"/>
                <w:color w:val="auto"/>
                <w:vertAlign w:val="superscript"/>
              </w:rPr>
              <w:t>(2)</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18.1</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18.1</w:t>
            </w: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72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2180" w:type="dxa"/>
            <w:vAlign w:val="bottom"/>
          </w:tcPr>
          <w:p>
            <w:pPr>
              <w:ind w:left="320"/>
              <w:spacing w:after="0"/>
              <w:rPr>
                <w:sz w:val="20"/>
                <w:szCs w:val="20"/>
                <w:color w:val="auto"/>
              </w:rPr>
            </w:pPr>
            <w:r>
              <w:rPr>
                <w:rFonts w:ascii="Arial" w:cs="Arial" w:eastAsia="Arial" w:hAnsi="Arial"/>
                <w:sz w:val="18"/>
                <w:szCs w:val="18"/>
                <w:color w:val="auto"/>
              </w:rPr>
              <w:t>Guaranteed insurance</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2180" w:type="dxa"/>
            <w:vAlign w:val="bottom"/>
          </w:tcPr>
          <w:p>
            <w:pPr>
              <w:ind w:left="480"/>
              <w:spacing w:after="0"/>
              <w:rPr>
                <w:sz w:val="20"/>
                <w:szCs w:val="20"/>
                <w:color w:val="auto"/>
              </w:rPr>
            </w:pPr>
            <w:r>
              <w:rPr>
                <w:rFonts w:ascii="Arial" w:cs="Arial" w:eastAsia="Arial" w:hAnsi="Arial"/>
                <w:sz w:val="18"/>
                <w:szCs w:val="18"/>
                <w:color w:val="auto"/>
              </w:rPr>
              <w:t>contracts</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112.9</w:t>
            </w:r>
          </w:p>
        </w:tc>
        <w:tc>
          <w:tcPr>
            <w:tcW w:w="5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8"/>
        </w:trPr>
        <w:tc>
          <w:tcPr>
            <w:tcW w:w="2180" w:type="dxa"/>
            <w:vAlign w:val="bottom"/>
            <w:shd w:val="clear" w:color="auto" w:fill="E3F1DA"/>
          </w:tcPr>
          <w:p>
            <w:pPr>
              <w:spacing w:after="0"/>
              <w:rPr>
                <w:sz w:val="20"/>
                <w:szCs w:val="20"/>
                <w:color w:val="auto"/>
              </w:rPr>
            </w:pPr>
            <w:r>
              <w:rPr>
                <w:rFonts w:ascii="Arial" w:cs="Arial" w:eastAsia="Arial" w:hAnsi="Arial"/>
                <w:sz w:val="18"/>
                <w:szCs w:val="18"/>
                <w:color w:val="auto"/>
                <w:w w:val="98"/>
              </w:rPr>
              <w:t>Other types of investments:</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34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c>
          <w:tcPr>
            <w:tcW w:w="6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r>
      <w:tr>
        <w:trPr>
          <w:trHeight w:val="216"/>
        </w:trPr>
        <w:tc>
          <w:tcPr>
            <w:tcW w:w="2180" w:type="dxa"/>
            <w:vAlign w:val="bottom"/>
          </w:tcPr>
          <w:p>
            <w:pPr>
              <w:ind w:left="320"/>
              <w:spacing w:after="0" w:line="216" w:lineRule="exact"/>
              <w:rPr>
                <w:sz w:val="20"/>
                <w:szCs w:val="20"/>
                <w:color w:val="auto"/>
              </w:rPr>
            </w:pPr>
            <w:r>
              <w:rPr>
                <w:rFonts w:ascii="Arial" w:cs="Arial" w:eastAsia="Arial" w:hAnsi="Arial"/>
                <w:sz w:val="18"/>
                <w:szCs w:val="18"/>
                <w:color w:val="auto"/>
              </w:rPr>
              <w:t>Unitized funds</w:t>
            </w:r>
            <w:r>
              <w:rPr>
                <w:rFonts w:ascii="Arial" w:cs="Arial" w:eastAsia="Arial" w:hAnsi="Arial"/>
                <w:sz w:val="24"/>
                <w:szCs w:val="24"/>
                <w:color w:val="auto"/>
                <w:vertAlign w:val="superscript"/>
              </w:rPr>
              <w:t>(3)</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Borders>
              <w:bottom w:val="single" w:sz="8" w:color="939598"/>
            </w:tcBorders>
            <w:shd w:val="clear" w:color="auto" w:fill="E3F1DA"/>
          </w:tcPr>
          <w:p>
            <w:pPr>
              <w:ind w:left="320"/>
              <w:spacing w:after="0"/>
              <w:rPr>
                <w:sz w:val="20"/>
                <w:szCs w:val="20"/>
                <w:color w:val="auto"/>
              </w:rPr>
            </w:pPr>
            <w:r>
              <w:rPr>
                <w:rFonts w:ascii="Arial" w:cs="Arial" w:eastAsia="Arial" w:hAnsi="Arial"/>
                <w:sz w:val="18"/>
                <w:szCs w:val="18"/>
                <w:color w:val="auto"/>
              </w:rPr>
              <w:t>Real estate funds</w:t>
            </w:r>
          </w:p>
        </w:tc>
        <w:tc>
          <w:tcPr>
            <w:tcW w:w="54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shd w:val="clear" w:color="auto" w:fill="E3F1DA"/>
          </w:tcPr>
          <w:p>
            <w:pPr>
              <w:spacing w:after="0"/>
              <w:rPr>
                <w:sz w:val="18"/>
                <w:szCs w:val="18"/>
                <w:color w:val="auto"/>
              </w:rPr>
            </w:pP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939598"/>
            </w:tcBorders>
            <w:shd w:val="clear" w:color="auto" w:fill="E3F1DA"/>
          </w:tcPr>
          <w:p>
            <w:pPr>
              <w:spacing w:after="0"/>
              <w:rPr>
                <w:sz w:val="18"/>
                <w:szCs w:val="18"/>
                <w:color w:val="auto"/>
              </w:rPr>
            </w:pPr>
          </w:p>
        </w:tc>
        <w:tc>
          <w:tcPr>
            <w:tcW w:w="620" w:type="dxa"/>
            <w:vAlign w:val="bottom"/>
            <w:tcBorders>
              <w:bottom w:val="single" w:sz="8" w:color="939598"/>
            </w:tcBorders>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939598"/>
            </w:tcBorders>
            <w:shd w:val="clear" w:color="auto" w:fill="E3F1DA"/>
          </w:tcPr>
          <w:p>
            <w:pPr>
              <w:spacing w:after="0"/>
              <w:rPr>
                <w:sz w:val="18"/>
                <w:szCs w:val="18"/>
                <w:color w:val="auto"/>
              </w:rPr>
            </w:pPr>
          </w:p>
        </w:tc>
        <w:tc>
          <w:tcPr>
            <w:tcW w:w="340" w:type="dxa"/>
            <w:vAlign w:val="bottom"/>
            <w:tcBorders>
              <w:bottom w:val="single" w:sz="8" w:color="939598"/>
            </w:tcBorders>
            <w:shd w:val="clear" w:color="auto" w:fill="E3F1DA"/>
          </w:tcPr>
          <w:p>
            <w:pPr>
              <w:spacing w:after="0"/>
              <w:rPr>
                <w:sz w:val="18"/>
                <w:szCs w:val="18"/>
                <w:color w:val="auto"/>
              </w:rPr>
            </w:pPr>
          </w:p>
        </w:tc>
        <w:tc>
          <w:tcPr>
            <w:tcW w:w="720" w:type="dxa"/>
            <w:vAlign w:val="bottom"/>
            <w:tcBorders>
              <w:bottom w:val="single" w:sz="8" w:color="939598"/>
            </w:tcBorders>
            <w:gridSpan w:val="2"/>
            <w:shd w:val="clear" w:color="auto" w:fill="E3F1DA"/>
          </w:tcPr>
          <w:p>
            <w:pPr>
              <w:jc w:val="right"/>
              <w:ind w:right="60"/>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939598"/>
            </w:tcBorders>
            <w:shd w:val="clear" w:color="auto" w:fill="E3F1DA"/>
          </w:tcPr>
          <w:p>
            <w:pPr>
              <w:spacing w:after="0"/>
              <w:rPr>
                <w:sz w:val="18"/>
                <w:szCs w:val="18"/>
                <w:color w:val="auto"/>
              </w:rPr>
            </w:pPr>
          </w:p>
        </w:tc>
        <w:tc>
          <w:tcPr>
            <w:tcW w:w="7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shd w:val="clear" w:color="auto" w:fill="E3F1DA"/>
          </w:tcPr>
          <w:p>
            <w:pPr>
              <w:spacing w:after="0"/>
              <w:rPr>
                <w:sz w:val="18"/>
                <w:szCs w:val="18"/>
                <w:color w:val="auto"/>
              </w:rPr>
            </w:pPr>
          </w:p>
        </w:tc>
        <w:tc>
          <w:tcPr>
            <w:tcW w:w="7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6.8</w:t>
            </w:r>
          </w:p>
        </w:tc>
        <w:tc>
          <w:tcPr>
            <w:tcW w:w="520" w:type="dxa"/>
            <w:vAlign w:val="bottom"/>
            <w:tcBorders>
              <w:bottom w:val="single" w:sz="8" w:color="939598"/>
            </w:tcBorders>
            <w:shd w:val="clear" w:color="auto" w:fill="E3F1DA"/>
          </w:tcPr>
          <w:p>
            <w:pPr>
              <w:spacing w:after="0"/>
              <w:rPr>
                <w:sz w:val="18"/>
                <w:szCs w:val="18"/>
                <w:color w:val="auto"/>
              </w:rPr>
            </w:pPr>
          </w:p>
        </w:tc>
        <w:tc>
          <w:tcPr>
            <w:tcW w:w="660" w:type="dxa"/>
            <w:vAlign w:val="bottom"/>
            <w:tcBorders>
              <w:bottom w:val="single" w:sz="8" w:color="939598"/>
            </w:tcBorders>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18"/>
                <w:szCs w:val="18"/>
                <w:color w:val="auto"/>
              </w:rPr>
            </w:pP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36.0</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296.4</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176.7</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119.7</w:t>
            </w:r>
          </w:p>
        </w:tc>
        <w:tc>
          <w:tcPr>
            <w:tcW w:w="5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category includes a prime obligations money market portfolio.</w:t>
      </w:r>
    </w:p>
    <w:p>
      <w:pPr>
        <w:spacing w:after="0" w:line="14" w:lineRule="exact"/>
        <w:rPr>
          <w:rFonts w:ascii="Arial" w:cs="Arial" w:eastAsia="Arial" w:hAnsi="Arial"/>
          <w:sz w:val="18"/>
          <w:szCs w:val="18"/>
          <w:color w:val="auto"/>
        </w:rPr>
      </w:pPr>
    </w:p>
    <w:p>
      <w:pPr>
        <w:ind w:left="440" w:hanging="432"/>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category includes United States Treasury/Federal agency securities and foreign government securities.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category includes investments in approximately 80% fixed income securities and 20% equity.</w:t>
      </w:r>
    </w:p>
    <w:p>
      <w:pPr>
        <w:sectPr>
          <w:pgSz w:w="11900" w:h="16838" w:orient="portrait"/>
          <w:cols w:equalWidth="0" w:num="1">
            <w:col w:w="11420"/>
          </w:cols>
          <w:pgMar w:left="240" w:top="766" w:right="239" w:bottom="1440" w:gutter="0" w:footer="0" w:header="0"/>
          <w:type w:val="continuous"/>
        </w:sectPr>
      </w:pPr>
    </w:p>
    <w:p>
      <w:pPr>
        <w:spacing w:after="0" w:line="322" w:lineRule="exact"/>
        <w:rPr>
          <w:rFonts w:ascii="Arial" w:cs="Arial" w:eastAsia="Arial" w:hAnsi="Arial"/>
          <w:sz w:val="15"/>
          <w:szCs w:val="15"/>
          <w:b w:val="1"/>
          <w:bCs w:val="1"/>
          <w:color w:val="939598"/>
        </w:rPr>
      </w:pPr>
    </w:p>
    <w:p>
      <w:pPr>
        <w:jc w:val="right"/>
        <w:spacing w:after="0"/>
        <w:rPr>
          <w:sz w:val="20"/>
          <w:szCs w:val="20"/>
          <w:color w:val="auto"/>
        </w:rPr>
      </w:pPr>
      <w:r>
        <w:rPr>
          <w:rFonts w:ascii="Arial" w:cs="Arial" w:eastAsia="Arial" w:hAnsi="Arial"/>
          <w:sz w:val="14"/>
          <w:szCs w:val="14"/>
          <w:b w:val="1"/>
          <w:bCs w:val="1"/>
          <w:color w:val="86B6A5"/>
        </w:rPr>
        <w:t>United States Plans</w:t>
      </w:r>
    </w:p>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1463040</wp:posOffset>
            </wp:positionH>
            <wp:positionV relativeFrom="paragraph">
              <wp:posOffset>0</wp:posOffset>
            </wp:positionV>
            <wp:extent cx="2872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49" w:lineRule="exact"/>
        <w:rPr>
          <w:rFonts w:ascii="Arial" w:cs="Arial" w:eastAsia="Arial" w:hAnsi="Arial"/>
          <w:sz w:val="15"/>
          <w:szCs w:val="15"/>
          <w:b w:val="1"/>
          <w:bCs w:val="1"/>
          <w:color w:val="939598"/>
        </w:rPr>
      </w:pPr>
    </w:p>
    <w:p>
      <w:pPr>
        <w:jc w:val="right"/>
        <w:spacing w:after="0"/>
        <w:rPr>
          <w:sz w:val="20"/>
          <w:szCs w:val="20"/>
          <w:color w:val="auto"/>
        </w:rPr>
      </w:pPr>
      <w:r>
        <w:rPr>
          <w:rFonts w:ascii="Arial" w:cs="Arial" w:eastAsia="Arial" w:hAnsi="Arial"/>
          <w:sz w:val="14"/>
          <w:szCs w:val="14"/>
          <w:b w:val="1"/>
          <w:bCs w:val="1"/>
          <w:color w:val="86B6A5"/>
        </w:rPr>
        <w:t>Fair Value Measurements Using</w:t>
      </w:r>
    </w:p>
    <w:tbl>
      <w:tblPr>
        <w:tblLayout w:type="fixed"/>
        <w:tblInd w:w="2300" w:type="dxa"/>
        <w:tblCellMar>
          <w:top w:w="0" w:type="dxa"/>
          <w:left w:w="0" w:type="dxa"/>
          <w:bottom w:w="0" w:type="dxa"/>
          <w:right w:w="0" w:type="dxa"/>
        </w:tblCellMar>
      </w:tblPr>
      <w:tr>
        <w:trPr>
          <w:trHeight w:val="129"/>
        </w:trPr>
        <w:tc>
          <w:tcPr>
            <w:tcW w:w="1220" w:type="dxa"/>
            <w:vAlign w:val="bottom"/>
            <w:tcBorders>
              <w:top w:val="single" w:sz="8" w:color="939598"/>
            </w:tcBorders>
          </w:tcPr>
          <w:p>
            <w:pPr>
              <w:spacing w:after="0"/>
              <w:rPr>
                <w:sz w:val="11"/>
                <w:szCs w:val="11"/>
                <w:color w:val="auto"/>
              </w:rPr>
            </w:pPr>
          </w:p>
        </w:tc>
        <w:tc>
          <w:tcPr>
            <w:tcW w:w="1240" w:type="dxa"/>
            <w:vAlign w:val="bottom"/>
            <w:tcBorders>
              <w:top w:val="single" w:sz="8" w:color="939598"/>
            </w:tcBorders>
          </w:tcPr>
          <w:p>
            <w:pPr>
              <w:jc w:val="right"/>
              <w:ind w:right="192"/>
              <w:spacing w:after="0" w:line="129" w:lineRule="exact"/>
              <w:rPr>
                <w:sz w:val="20"/>
                <w:szCs w:val="20"/>
                <w:color w:val="auto"/>
              </w:rPr>
            </w:pPr>
            <w:r>
              <w:rPr>
                <w:rFonts w:ascii="Arial" w:cs="Arial" w:eastAsia="Arial" w:hAnsi="Arial"/>
                <w:sz w:val="14"/>
                <w:szCs w:val="14"/>
                <w:b w:val="1"/>
                <w:bCs w:val="1"/>
                <w:color w:val="86B6A5"/>
              </w:rPr>
              <w:t>Quoted Prices</w:t>
            </w:r>
          </w:p>
        </w:tc>
        <w:tc>
          <w:tcPr>
            <w:tcW w:w="1080" w:type="dxa"/>
            <w:vAlign w:val="bottom"/>
            <w:tcBorders>
              <w:top w:val="single" w:sz="8" w:color="939598"/>
            </w:tcBorders>
          </w:tcPr>
          <w:p>
            <w:pPr>
              <w:spacing w:after="0"/>
              <w:rPr>
                <w:sz w:val="11"/>
                <w:szCs w:val="11"/>
                <w:color w:val="auto"/>
              </w:rPr>
            </w:pPr>
          </w:p>
        </w:tc>
        <w:tc>
          <w:tcPr>
            <w:tcW w:w="980" w:type="dxa"/>
            <w:vAlign w:val="bottom"/>
            <w:tcBorders>
              <w:top w:val="single" w:sz="8" w:color="939598"/>
            </w:tcBorders>
          </w:tcPr>
          <w:p>
            <w:pPr>
              <w:spacing w:after="0"/>
              <w:rPr>
                <w:sz w:val="11"/>
                <w:szCs w:val="11"/>
                <w:color w:val="auto"/>
              </w:rPr>
            </w:pP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in Active</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Significant</w:t>
            </w:r>
          </w:p>
        </w:tc>
        <w:tc>
          <w:tcPr>
            <w:tcW w:w="98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Markets for</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Other</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Significant</w:t>
            </w:r>
          </w:p>
        </w:tc>
      </w:tr>
      <w:tr>
        <w:trPr>
          <w:trHeight w:val="149"/>
        </w:trPr>
        <w:tc>
          <w:tcPr>
            <w:tcW w:w="1220" w:type="dxa"/>
            <w:vAlign w:val="bottom"/>
          </w:tcPr>
          <w:p>
            <w:pPr>
              <w:spacing w:after="0"/>
              <w:rPr>
                <w:sz w:val="12"/>
                <w:szCs w:val="12"/>
                <w:color w:val="auto"/>
              </w:rPr>
            </w:pP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Identical</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Observable</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Unobservable</w:t>
            </w:r>
          </w:p>
        </w:tc>
      </w:tr>
      <w:tr>
        <w:trPr>
          <w:trHeight w:val="149"/>
        </w:trPr>
        <w:tc>
          <w:tcPr>
            <w:tcW w:w="12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December 31,</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86B6A5"/>
              </w:rPr>
              <w:t>Assets</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86B6A5"/>
              </w:rPr>
              <w:t>Inputs</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86B6A5"/>
              </w:rPr>
              <w:t>Inputs</w:t>
            </w:r>
          </w:p>
        </w:tc>
      </w:tr>
      <w:tr>
        <w:trPr>
          <w:trHeight w:val="161"/>
        </w:trPr>
        <w:tc>
          <w:tcPr>
            <w:tcW w:w="1220" w:type="dxa"/>
            <w:vAlign w:val="bottom"/>
          </w:tcPr>
          <w:p>
            <w:pPr>
              <w:jc w:val="right"/>
              <w:ind w:right="112"/>
              <w:spacing w:after="0"/>
              <w:rPr>
                <w:sz w:val="20"/>
                <w:szCs w:val="20"/>
                <w:color w:val="auto"/>
              </w:rPr>
            </w:pPr>
            <w:r>
              <w:rPr>
                <w:rFonts w:ascii="Arial" w:cs="Arial" w:eastAsia="Arial" w:hAnsi="Arial"/>
                <w:sz w:val="14"/>
                <w:szCs w:val="14"/>
                <w:b w:val="1"/>
                <w:bCs w:val="1"/>
                <w:color w:val="86B6A5"/>
              </w:rPr>
              <w:t>2011</w:t>
            </w: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86B6A5"/>
              </w:rPr>
              <w:t>(Level 1)</w:t>
            </w: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86B6A5"/>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86B6A5"/>
              </w:rPr>
              <w:t>(Level 3)</w:t>
            </w:r>
          </w:p>
        </w:tc>
      </w:tr>
    </w:tbl>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br w:type="column"/>
      </w:r>
    </w:p>
    <w:p>
      <w:pPr>
        <w:spacing w:after="0" w:line="302" w:lineRule="exact"/>
        <w:rPr>
          <w:rFonts w:ascii="Arial" w:cs="Arial" w:eastAsia="Arial" w:hAnsi="Arial"/>
          <w:sz w:val="15"/>
          <w:szCs w:val="15"/>
          <w:b w:val="1"/>
          <w:bCs w:val="1"/>
          <w:color w:val="939598"/>
        </w:rPr>
      </w:pPr>
    </w:p>
    <w:p>
      <w:pPr>
        <w:jc w:val="right"/>
        <w:ind w:right="100"/>
        <w:spacing w:after="0"/>
        <w:rPr>
          <w:sz w:val="20"/>
          <w:szCs w:val="20"/>
          <w:color w:val="auto"/>
        </w:rPr>
      </w:pPr>
      <w:r>
        <w:rPr>
          <w:rFonts w:ascii="Arial" w:cs="Arial" w:eastAsia="Arial" w:hAnsi="Arial"/>
          <w:sz w:val="14"/>
          <w:szCs w:val="14"/>
          <w:b w:val="1"/>
          <w:bCs w:val="1"/>
          <w:color w:val="86B6A5"/>
        </w:rPr>
        <w:t>Non-United States Plans</w:t>
      </w:r>
    </w:p>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-1905</wp:posOffset>
            </wp:positionH>
            <wp:positionV relativeFrom="paragraph">
              <wp:posOffset>0</wp:posOffset>
            </wp:positionV>
            <wp:extent cx="28473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49" w:lineRule="exact"/>
        <w:rPr>
          <w:rFonts w:ascii="Arial" w:cs="Arial" w:eastAsia="Arial" w:hAnsi="Arial"/>
          <w:sz w:val="15"/>
          <w:szCs w:val="15"/>
          <w:b w:val="1"/>
          <w:bCs w:val="1"/>
          <w:color w:val="939598"/>
        </w:rPr>
      </w:pPr>
    </w:p>
    <w:p>
      <w:pPr>
        <w:jc w:val="right"/>
        <w:ind w:right="100"/>
        <w:spacing w:after="0"/>
        <w:rPr>
          <w:sz w:val="20"/>
          <w:szCs w:val="20"/>
          <w:color w:val="auto"/>
        </w:rPr>
      </w:pPr>
      <w:r>
        <w:rPr>
          <w:rFonts w:ascii="Arial" w:cs="Arial" w:eastAsia="Arial" w:hAnsi="Arial"/>
          <w:sz w:val="14"/>
          <w:szCs w:val="14"/>
          <w:b w:val="1"/>
          <w:bCs w:val="1"/>
          <w:color w:val="86B6A5"/>
        </w:rPr>
        <w:t>Fair Value Measurements Using</w:t>
      </w:r>
    </w:p>
    <w:tbl>
      <w:tblPr>
        <w:tblLayout w:type="fixed"/>
        <w:tblInd w:w="0" w:type="dxa"/>
        <w:tblCellMar>
          <w:top w:w="0" w:type="dxa"/>
          <w:left w:w="0" w:type="dxa"/>
          <w:bottom w:w="0" w:type="dxa"/>
          <w:right w:w="0" w:type="dxa"/>
        </w:tblCellMar>
      </w:tblPr>
      <w:tr>
        <w:trPr>
          <w:trHeight w:val="129"/>
        </w:trPr>
        <w:tc>
          <w:tcPr>
            <w:tcW w:w="1160" w:type="dxa"/>
            <w:vAlign w:val="bottom"/>
            <w:tcBorders>
              <w:top w:val="single" w:sz="8" w:color="939598"/>
            </w:tcBorders>
          </w:tcPr>
          <w:p>
            <w:pPr>
              <w:spacing w:after="0"/>
              <w:rPr>
                <w:sz w:val="11"/>
                <w:szCs w:val="11"/>
                <w:color w:val="auto"/>
              </w:rPr>
            </w:pPr>
          </w:p>
        </w:tc>
        <w:tc>
          <w:tcPr>
            <w:tcW w:w="1200" w:type="dxa"/>
            <w:vAlign w:val="bottom"/>
            <w:tcBorders>
              <w:top w:val="single" w:sz="8" w:color="939598"/>
            </w:tcBorders>
          </w:tcPr>
          <w:p>
            <w:pPr>
              <w:jc w:val="right"/>
              <w:ind w:right="152"/>
              <w:spacing w:after="0" w:line="129" w:lineRule="exact"/>
              <w:rPr>
                <w:sz w:val="20"/>
                <w:szCs w:val="20"/>
                <w:color w:val="auto"/>
              </w:rPr>
            </w:pPr>
            <w:r>
              <w:rPr>
                <w:rFonts w:ascii="Arial" w:cs="Arial" w:eastAsia="Arial" w:hAnsi="Arial"/>
                <w:sz w:val="14"/>
                <w:szCs w:val="14"/>
                <w:b w:val="1"/>
                <w:bCs w:val="1"/>
                <w:color w:val="86B6A5"/>
              </w:rPr>
              <w:t>Quoted Prices</w:t>
            </w:r>
          </w:p>
        </w:tc>
        <w:tc>
          <w:tcPr>
            <w:tcW w:w="1060" w:type="dxa"/>
            <w:vAlign w:val="bottom"/>
            <w:tcBorders>
              <w:top w:val="single" w:sz="8" w:color="939598"/>
            </w:tcBorders>
          </w:tcPr>
          <w:p>
            <w:pPr>
              <w:spacing w:after="0"/>
              <w:rPr>
                <w:sz w:val="11"/>
                <w:szCs w:val="11"/>
                <w:color w:val="auto"/>
              </w:rPr>
            </w:pPr>
          </w:p>
        </w:tc>
        <w:tc>
          <w:tcPr>
            <w:tcW w:w="1060" w:type="dxa"/>
            <w:vAlign w:val="bottom"/>
            <w:tcBorders>
              <w:top w:val="single" w:sz="8" w:color="939598"/>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in Active</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Significant</w:t>
            </w:r>
          </w:p>
        </w:tc>
        <w:tc>
          <w:tcPr>
            <w:tcW w:w="10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Markets for</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Other</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Significant</w:t>
            </w:r>
          </w:p>
        </w:tc>
      </w:tr>
      <w:tr>
        <w:trPr>
          <w:trHeight w:val="149"/>
        </w:trPr>
        <w:tc>
          <w:tcPr>
            <w:tcW w:w="1160" w:type="dxa"/>
            <w:vAlign w:val="bottom"/>
          </w:tcPr>
          <w:p>
            <w:pPr>
              <w:spacing w:after="0"/>
              <w:rPr>
                <w:sz w:val="12"/>
                <w:szCs w:val="12"/>
                <w:color w:val="auto"/>
              </w:rPr>
            </w:pP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Identical</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Observable</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Unobservable</w:t>
            </w:r>
          </w:p>
        </w:tc>
      </w:tr>
      <w:tr>
        <w:trPr>
          <w:trHeight w:val="149"/>
        </w:trPr>
        <w:tc>
          <w:tcPr>
            <w:tcW w:w="11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December 31,</w:t>
            </w:r>
          </w:p>
        </w:tc>
        <w:tc>
          <w:tcPr>
            <w:tcW w:w="12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86B6A5"/>
              </w:rPr>
              <w:t>Assets</w:t>
            </w: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86B6A5"/>
              </w:rPr>
              <w:t>Inputs</w:t>
            </w: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86B6A5"/>
              </w:rPr>
              <w:t>Inputs</w:t>
            </w:r>
          </w:p>
        </w:tc>
      </w:tr>
      <w:tr>
        <w:trPr>
          <w:trHeight w:val="161"/>
        </w:trPr>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86B6A5"/>
              </w:rPr>
              <w:t>2011</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86B6A5"/>
              </w:rPr>
              <w:t>(Level 1)</w:t>
            </w:r>
          </w:p>
        </w:tc>
        <w:tc>
          <w:tcPr>
            <w:tcW w:w="1060" w:type="dxa"/>
            <w:vAlign w:val="bottom"/>
          </w:tcPr>
          <w:p>
            <w:pPr>
              <w:jc w:val="right"/>
              <w:ind w:right="92"/>
              <w:spacing w:after="0"/>
              <w:rPr>
                <w:sz w:val="20"/>
                <w:szCs w:val="20"/>
                <w:color w:val="auto"/>
              </w:rPr>
            </w:pPr>
            <w:r>
              <w:rPr>
                <w:rFonts w:ascii="Arial" w:cs="Arial" w:eastAsia="Arial" w:hAnsi="Arial"/>
                <w:sz w:val="14"/>
                <w:szCs w:val="14"/>
                <w:b w:val="1"/>
                <w:bCs w:val="1"/>
                <w:color w:val="86B6A5"/>
              </w:rPr>
              <w:t>(Level 2)</w:t>
            </w: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86B6A5"/>
              </w:rPr>
              <w:t>(Level 3)</w:t>
            </w:r>
          </w:p>
        </w:tc>
      </w:tr>
    </w:tbl>
    <w:p>
      <w:pPr>
        <w:spacing w:after="0" w:line="196" w:lineRule="exact"/>
        <w:rPr>
          <w:rFonts w:ascii="Arial" w:cs="Arial" w:eastAsia="Arial" w:hAnsi="Arial"/>
          <w:sz w:val="15"/>
          <w:szCs w:val="15"/>
          <w:b w:val="1"/>
          <w:bCs w:val="1"/>
          <w:color w:val="939598"/>
        </w:rPr>
      </w:pPr>
    </w:p>
    <w:p>
      <w:pPr>
        <w:sectPr>
          <w:pgSz w:w="11900" w:h="16838" w:orient="portrait"/>
          <w:cols w:equalWidth="0" w:num="2">
            <w:col w:w="6820" w:space="120"/>
            <w:col w:w="4480"/>
          </w:cols>
          <w:pgMar w:left="240" w:top="76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Borders>
              <w:top w:val="single" w:sz="8" w:color="86B6A5"/>
            </w:tcBorders>
          </w:tcPr>
          <w:p>
            <w:pPr>
              <w:spacing w:after="0" w:line="230" w:lineRule="exact"/>
              <w:rPr>
                <w:sz w:val="20"/>
                <w:szCs w:val="20"/>
                <w:color w:val="auto"/>
              </w:rPr>
            </w:pPr>
            <w:r>
              <w:rPr>
                <w:rFonts w:ascii="Arial" w:cs="Arial" w:eastAsia="Arial" w:hAnsi="Arial"/>
                <w:sz w:val="18"/>
                <w:szCs w:val="18"/>
                <w:color w:val="auto"/>
                <w:w w:val="90"/>
              </w:rPr>
              <w:t>Cash and cash equivalents</w:t>
            </w:r>
            <w:r>
              <w:rPr>
                <w:rFonts w:ascii="Arial" w:cs="Arial" w:eastAsia="Arial" w:hAnsi="Arial"/>
                <w:sz w:val="24"/>
                <w:szCs w:val="24"/>
                <w:color w:val="auto"/>
                <w:w w:val="90"/>
                <w:vertAlign w:val="superscript"/>
              </w:rPr>
              <w:t>(1)</w:t>
            </w:r>
          </w:p>
        </w:tc>
        <w:tc>
          <w:tcPr>
            <w:tcW w:w="540" w:type="dxa"/>
            <w:vAlign w:val="bottom"/>
            <w:tcBorders>
              <w:top w:val="single" w:sz="8" w:color="86B6A5"/>
            </w:tcBorders>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top w:val="single" w:sz="8" w:color="86B6A5"/>
            </w:tcBorders>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top w:val="single" w:sz="8" w:color="86B6A5"/>
            </w:tcBorders>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86B6A5"/>
            </w:tcBorders>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86B6A5"/>
            </w:tcBorders>
          </w:tcPr>
          <w:p>
            <w:pPr>
              <w:ind w:left="4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6B6A5"/>
            </w:tcBorders>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86B6A5"/>
            </w:tcBorders>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86B6A5"/>
            </w:tcBorders>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86B6A5"/>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86B6A5"/>
            </w:tcBorders>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86B6A5"/>
            </w:tcBorders>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shd w:val="clear" w:color="auto" w:fill="E3F1DA"/>
          </w:tcPr>
          <w:p>
            <w:pPr>
              <w:spacing w:after="0"/>
              <w:rPr>
                <w:sz w:val="20"/>
                <w:szCs w:val="20"/>
                <w:color w:val="auto"/>
              </w:rPr>
            </w:pPr>
            <w:r>
              <w:rPr>
                <w:rFonts w:ascii="Arial" w:cs="Arial" w:eastAsia="Arial" w:hAnsi="Arial"/>
                <w:sz w:val="18"/>
                <w:szCs w:val="18"/>
                <w:color w:val="auto"/>
              </w:rPr>
              <w:t>Equity securities:</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spacing w:after="0"/>
              <w:rPr>
                <w:sz w:val="18"/>
                <w:szCs w:val="18"/>
                <w:color w:val="auto"/>
              </w:rPr>
            </w:pPr>
          </w:p>
        </w:tc>
        <w:tc>
          <w:tcPr>
            <w:tcW w:w="400" w:type="dxa"/>
            <w:vAlign w:val="bottom"/>
            <w:shd w:val="clear" w:color="auto" w:fill="E3F1DA"/>
          </w:tcPr>
          <w:p>
            <w:pPr>
              <w:spacing w:after="0"/>
              <w:rPr>
                <w:sz w:val="18"/>
                <w:szCs w:val="18"/>
                <w:color w:val="auto"/>
              </w:rPr>
            </w:pPr>
          </w:p>
        </w:tc>
        <w:tc>
          <w:tcPr>
            <w:tcW w:w="72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300"/>
              <w:spacing w:after="0"/>
              <w:rPr>
                <w:sz w:val="20"/>
                <w:szCs w:val="20"/>
                <w:color w:val="auto"/>
              </w:rPr>
            </w:pPr>
            <w:r>
              <w:rPr>
                <w:rFonts w:ascii="Arial" w:cs="Arial" w:eastAsia="Arial" w:hAnsi="Arial"/>
                <w:sz w:val="18"/>
                <w:szCs w:val="18"/>
                <w:color w:val="auto"/>
                <w:w w:val="91"/>
              </w:rPr>
              <w:t>United States companies</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shd w:val="clear" w:color="auto" w:fill="E3F1DA"/>
          </w:tcPr>
          <w:p>
            <w:pPr>
              <w:ind w:left="300"/>
              <w:spacing w:after="0"/>
              <w:rPr>
                <w:sz w:val="20"/>
                <w:szCs w:val="20"/>
                <w:color w:val="auto"/>
              </w:rPr>
            </w:pPr>
            <w:r>
              <w:rPr>
                <w:rFonts w:ascii="Arial" w:cs="Arial" w:eastAsia="Arial" w:hAnsi="Arial"/>
                <w:sz w:val="18"/>
                <w:szCs w:val="18"/>
                <w:color w:val="auto"/>
                <w:w w:val="96"/>
              </w:rPr>
              <w:t>International companies</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3F1DA"/>
          </w:tcPr>
          <w:p>
            <w:pPr>
              <w:spacing w:after="0"/>
              <w:rPr>
                <w:sz w:val="18"/>
                <w:szCs w:val="18"/>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57.9</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57.9</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3F1DA"/>
          </w:tcPr>
          <w:p>
            <w:pPr>
              <w:ind w:left="300"/>
              <w:spacing w:after="0" w:line="216" w:lineRule="exact"/>
              <w:rPr>
                <w:sz w:val="20"/>
                <w:szCs w:val="20"/>
                <w:color w:val="auto"/>
              </w:rPr>
            </w:pPr>
            <w:r>
              <w:rPr>
                <w:rFonts w:ascii="Arial" w:cs="Arial" w:eastAsia="Arial" w:hAnsi="Arial"/>
                <w:sz w:val="18"/>
                <w:szCs w:val="18"/>
                <w:color w:val="auto"/>
              </w:rPr>
              <w:t>Government bonds</w:t>
            </w:r>
            <w:r>
              <w:rPr>
                <w:rFonts w:ascii="Arial" w:cs="Arial" w:eastAsia="Arial" w:hAnsi="Arial"/>
                <w:sz w:val="24"/>
                <w:szCs w:val="24"/>
                <w:color w:val="auto"/>
                <w:vertAlign w:val="superscript"/>
              </w:rPr>
              <w:t>(2)</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17.5</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17.5</w:t>
            </w: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3F1DA"/>
          </w:tcPr>
          <w:p>
            <w:pPr>
              <w:spacing w:after="0"/>
              <w:rPr>
                <w:sz w:val="18"/>
                <w:szCs w:val="18"/>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tcPr>
          <w:p>
            <w:pPr>
              <w:ind w:left="300"/>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160" w:type="dxa"/>
            <w:vAlign w:val="bottom"/>
            <w:shd w:val="clear" w:color="auto" w:fill="E3F1DA"/>
          </w:tcPr>
          <w:p>
            <w:pPr>
              <w:ind w:left="300"/>
              <w:spacing w:after="0"/>
              <w:rPr>
                <w:sz w:val="20"/>
                <w:szCs w:val="20"/>
                <w:color w:val="auto"/>
              </w:rPr>
            </w:pPr>
            <w:r>
              <w:rPr>
                <w:rFonts w:ascii="Arial" w:cs="Arial" w:eastAsia="Arial" w:hAnsi="Arial"/>
                <w:sz w:val="18"/>
                <w:szCs w:val="18"/>
                <w:color w:val="auto"/>
              </w:rPr>
              <w:t>Guaranteed insurance</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spacing w:after="0"/>
              <w:rPr>
                <w:sz w:val="18"/>
                <w:szCs w:val="18"/>
                <w:color w:val="auto"/>
              </w:rPr>
            </w:pP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spacing w:after="0"/>
              <w:rPr>
                <w:sz w:val="18"/>
                <w:szCs w:val="18"/>
                <w:color w:val="auto"/>
              </w:rPr>
            </w:pPr>
          </w:p>
        </w:tc>
        <w:tc>
          <w:tcPr>
            <w:tcW w:w="400" w:type="dxa"/>
            <w:vAlign w:val="bottom"/>
            <w:shd w:val="clear" w:color="auto" w:fill="E3F1DA"/>
          </w:tcPr>
          <w:p>
            <w:pPr>
              <w:spacing w:after="0"/>
              <w:rPr>
                <w:sz w:val="18"/>
                <w:szCs w:val="18"/>
                <w:color w:val="auto"/>
              </w:rPr>
            </w:pPr>
          </w:p>
        </w:tc>
        <w:tc>
          <w:tcPr>
            <w:tcW w:w="72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E3F1DA"/>
          </w:tcPr>
          <w:p>
            <w:pPr>
              <w:ind w:left="460"/>
              <w:spacing w:after="0"/>
              <w:rPr>
                <w:sz w:val="20"/>
                <w:szCs w:val="20"/>
                <w:color w:val="auto"/>
              </w:rPr>
            </w:pPr>
            <w:r>
              <w:rPr>
                <w:rFonts w:ascii="Arial" w:cs="Arial" w:eastAsia="Arial" w:hAnsi="Arial"/>
                <w:sz w:val="18"/>
                <w:szCs w:val="18"/>
                <w:color w:val="auto"/>
              </w:rPr>
              <w:t>contracts</w:t>
            </w:r>
          </w:p>
        </w:tc>
        <w:tc>
          <w:tcPr>
            <w:tcW w:w="540" w:type="dxa"/>
            <w:vAlign w:val="bottom"/>
            <w:shd w:val="clear" w:color="auto" w:fill="E3F1DA"/>
          </w:tcPr>
          <w:p>
            <w:pPr>
              <w:spacing w:after="0"/>
              <w:rPr>
                <w:sz w:val="19"/>
                <w:szCs w:val="19"/>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9"/>
                <w:szCs w:val="19"/>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9"/>
                <w:szCs w:val="19"/>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3F1DA"/>
          </w:tcPr>
          <w:p>
            <w:pPr>
              <w:spacing w:after="0"/>
              <w:rPr>
                <w:sz w:val="19"/>
                <w:szCs w:val="19"/>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3F1DA"/>
          </w:tcPr>
          <w:p>
            <w:pPr>
              <w:spacing w:after="0"/>
              <w:rPr>
                <w:sz w:val="19"/>
                <w:szCs w:val="19"/>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38.4</w:t>
            </w:r>
          </w:p>
        </w:tc>
        <w:tc>
          <w:tcPr>
            <w:tcW w:w="420" w:type="dxa"/>
            <w:vAlign w:val="bottom"/>
            <w:shd w:val="clear" w:color="auto" w:fill="E3F1DA"/>
          </w:tcPr>
          <w:p>
            <w:pPr>
              <w:spacing w:after="0"/>
              <w:rPr>
                <w:sz w:val="19"/>
                <w:szCs w:val="19"/>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3F1DA"/>
          </w:tcPr>
          <w:p>
            <w:pPr>
              <w:spacing w:after="0"/>
              <w:rPr>
                <w:sz w:val="19"/>
                <w:szCs w:val="19"/>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38.4</w:t>
            </w:r>
          </w:p>
        </w:tc>
        <w:tc>
          <w:tcPr>
            <w:tcW w:w="520" w:type="dxa"/>
            <w:vAlign w:val="bottom"/>
            <w:shd w:val="clear" w:color="auto" w:fill="E3F1DA"/>
          </w:tcPr>
          <w:p>
            <w:pPr>
              <w:spacing w:after="0"/>
              <w:rPr>
                <w:sz w:val="19"/>
                <w:szCs w:val="19"/>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Other types of investments: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3F1DA"/>
          </w:tcPr>
          <w:p>
            <w:pPr>
              <w:ind w:left="300"/>
              <w:spacing w:after="0" w:line="216" w:lineRule="exact"/>
              <w:rPr>
                <w:sz w:val="20"/>
                <w:szCs w:val="20"/>
                <w:color w:val="auto"/>
              </w:rPr>
            </w:pPr>
            <w:r>
              <w:rPr>
                <w:rFonts w:ascii="Arial" w:cs="Arial" w:eastAsia="Arial" w:hAnsi="Arial"/>
                <w:sz w:val="18"/>
                <w:szCs w:val="18"/>
                <w:color w:val="auto"/>
              </w:rPr>
              <w:t>Unitized funds</w:t>
            </w:r>
            <w:r>
              <w:rPr>
                <w:rFonts w:ascii="Arial" w:cs="Arial" w:eastAsia="Arial" w:hAnsi="Arial"/>
                <w:sz w:val="24"/>
                <w:szCs w:val="24"/>
                <w:color w:val="auto"/>
                <w:vertAlign w:val="superscript"/>
              </w:rPr>
              <w:t>(3)</w:t>
            </w:r>
          </w:p>
        </w:tc>
        <w:tc>
          <w:tcPr>
            <w:tcW w:w="54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3F1DA"/>
          </w:tcPr>
          <w:p>
            <w:pPr>
              <w:spacing w:after="0"/>
              <w:rPr>
                <w:sz w:val="18"/>
                <w:szCs w:val="18"/>
                <w:color w:val="auto"/>
              </w:rPr>
            </w:pPr>
          </w:p>
        </w:tc>
        <w:tc>
          <w:tcPr>
            <w:tcW w:w="6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3F1DA"/>
          </w:tcPr>
          <w:p>
            <w:pPr>
              <w:spacing w:after="0"/>
              <w:rPr>
                <w:sz w:val="18"/>
                <w:szCs w:val="18"/>
                <w:color w:val="auto"/>
              </w:rPr>
            </w:pPr>
          </w:p>
        </w:tc>
        <w:tc>
          <w:tcPr>
            <w:tcW w:w="620" w:type="dxa"/>
            <w:vAlign w:val="bottom"/>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3F1DA"/>
          </w:tcPr>
          <w:p>
            <w:pPr>
              <w:spacing w:after="0"/>
              <w:rPr>
                <w:sz w:val="18"/>
                <w:szCs w:val="18"/>
                <w:color w:val="auto"/>
              </w:rPr>
            </w:pPr>
          </w:p>
        </w:tc>
        <w:tc>
          <w:tcPr>
            <w:tcW w:w="720" w:type="dxa"/>
            <w:vAlign w:val="bottom"/>
            <w:shd w:val="clear" w:color="auto" w:fill="E3F1DA"/>
          </w:tcPr>
          <w:p>
            <w:pPr>
              <w:jc w:val="right"/>
              <w:spacing w:after="0"/>
              <w:rPr>
                <w:sz w:val="20"/>
                <w:szCs w:val="20"/>
                <w:color w:val="auto"/>
              </w:rPr>
            </w:pPr>
            <w:r>
              <w:rPr>
                <w:rFonts w:ascii="Arial" w:cs="Arial" w:eastAsia="Arial" w:hAnsi="Arial"/>
                <w:sz w:val="18"/>
                <w:szCs w:val="18"/>
                <w:color w:val="auto"/>
              </w:rPr>
              <w:t>87.9</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87.9</w:t>
            </w:r>
          </w:p>
        </w:tc>
        <w:tc>
          <w:tcPr>
            <w:tcW w:w="420" w:type="dxa"/>
            <w:vAlign w:val="bottom"/>
            <w:shd w:val="clear" w:color="auto" w:fill="E3F1DA"/>
          </w:tcPr>
          <w:p>
            <w:pPr>
              <w:spacing w:after="0"/>
              <w:rPr>
                <w:sz w:val="18"/>
                <w:szCs w:val="18"/>
                <w:color w:val="auto"/>
              </w:rPr>
            </w:pPr>
          </w:p>
        </w:tc>
        <w:tc>
          <w:tcPr>
            <w:tcW w:w="700" w:type="dxa"/>
            <w:vAlign w:val="bottom"/>
            <w:shd w:val="clear" w:color="auto" w:fill="E3F1DA"/>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660" w:type="dxa"/>
            <w:vAlign w:val="bottom"/>
            <w:shd w:val="clear" w:color="auto" w:fill="E3F1DA"/>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tcBorders>
              <w:bottom w:val="single" w:sz="8" w:color="939598"/>
            </w:tcBorders>
          </w:tcPr>
          <w:p>
            <w:pPr>
              <w:ind w:left="300"/>
              <w:spacing w:after="0"/>
              <w:rPr>
                <w:sz w:val="20"/>
                <w:szCs w:val="20"/>
                <w:color w:val="auto"/>
              </w:rPr>
            </w:pPr>
            <w:r>
              <w:rPr>
                <w:rFonts w:ascii="Arial" w:cs="Arial" w:eastAsia="Arial" w:hAnsi="Arial"/>
                <w:sz w:val="18"/>
                <w:szCs w:val="18"/>
                <w:color w:val="auto"/>
              </w:rPr>
              <w:t>Real estate funds</w:t>
            </w:r>
          </w:p>
        </w:tc>
        <w:tc>
          <w:tcPr>
            <w:tcW w:w="54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939598"/>
            </w:tcBorders>
          </w:tcPr>
          <w:p>
            <w:pPr>
              <w:spacing w:after="0"/>
              <w:rPr>
                <w:sz w:val="18"/>
                <w:szCs w:val="18"/>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ind w:left="4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5.3</w:t>
            </w:r>
          </w:p>
        </w:tc>
        <w:tc>
          <w:tcPr>
            <w:tcW w:w="520" w:type="dxa"/>
            <w:vAlign w:val="bottom"/>
            <w:tcBorders>
              <w:bottom w:val="single" w:sz="8" w:color="939598"/>
            </w:tcBorders>
          </w:tcPr>
          <w:p>
            <w:pPr>
              <w:spacing w:after="0"/>
              <w:rPr>
                <w:sz w:val="18"/>
                <w:szCs w:val="18"/>
                <w:color w:val="auto"/>
              </w:rPr>
            </w:pPr>
          </w:p>
        </w:tc>
        <w:tc>
          <w:tcPr>
            <w:tcW w:w="660" w:type="dxa"/>
            <w:vAlign w:val="bottom"/>
            <w:tcBorders>
              <w:bottom w:val="single" w:sz="8" w:color="939598"/>
            </w:tcBorders>
          </w:tcPr>
          <w:p>
            <w:pPr>
              <w:ind w:left="3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160" w:type="dxa"/>
            <w:vAlign w:val="bottom"/>
            <w:tcBorders>
              <w:bottom w:val="single" w:sz="8" w:color="939598"/>
            </w:tcBorders>
            <w:shd w:val="clear" w:color="auto" w:fill="E3F1DA"/>
          </w:tcPr>
          <w:p>
            <w:pPr>
              <w:spacing w:after="0"/>
              <w:rPr>
                <w:sz w:val="18"/>
                <w:szCs w:val="18"/>
                <w:color w:val="auto"/>
              </w:rPr>
            </w:pPr>
          </w:p>
        </w:tc>
        <w:tc>
          <w:tcPr>
            <w:tcW w:w="540" w:type="dxa"/>
            <w:vAlign w:val="bottom"/>
            <w:tcBorders>
              <w:bottom w:val="single" w:sz="8" w:color="939598"/>
            </w:tcBorders>
            <w:shd w:val="clear" w:color="auto" w:fill="E3F1DA"/>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34.7</w:t>
            </w:r>
          </w:p>
        </w:tc>
        <w:tc>
          <w:tcPr>
            <w:tcW w:w="480" w:type="dxa"/>
            <w:vAlign w:val="bottom"/>
            <w:tcBorders>
              <w:bottom w:val="single" w:sz="8" w:color="939598"/>
            </w:tcBorders>
            <w:shd w:val="clear" w:color="auto" w:fill="E3F1DA"/>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17.2</w:t>
            </w:r>
          </w:p>
        </w:tc>
        <w:tc>
          <w:tcPr>
            <w:tcW w:w="480" w:type="dxa"/>
            <w:vAlign w:val="bottom"/>
            <w:tcBorders>
              <w:bottom w:val="single" w:sz="8" w:color="939598"/>
            </w:tcBorders>
            <w:shd w:val="clear" w:color="auto" w:fill="E3F1DA"/>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17.5</w:t>
            </w:r>
          </w:p>
        </w:tc>
        <w:tc>
          <w:tcPr>
            <w:tcW w:w="540" w:type="dxa"/>
            <w:vAlign w:val="bottom"/>
            <w:tcBorders>
              <w:bottom w:val="single" w:sz="8" w:color="939598"/>
            </w:tcBorders>
            <w:shd w:val="clear" w:color="auto" w:fill="E3F1DA"/>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939598"/>
            </w:tcBorders>
            <w:shd w:val="clear" w:color="auto" w:fill="E3F1DA"/>
          </w:tcPr>
          <w:p>
            <w:pPr>
              <w:ind w:left="4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939598"/>
            </w:tcBorders>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250.4</w:t>
            </w:r>
          </w:p>
        </w:tc>
        <w:tc>
          <w:tcPr>
            <w:tcW w:w="420" w:type="dxa"/>
            <w:vAlign w:val="bottom"/>
            <w:tcBorders>
              <w:bottom w:val="single" w:sz="8" w:color="939598"/>
            </w:tcBorders>
            <w:shd w:val="clear" w:color="auto" w:fill="E3F1DA"/>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147.3</w:t>
            </w:r>
          </w:p>
        </w:tc>
        <w:tc>
          <w:tcPr>
            <w:tcW w:w="420" w:type="dxa"/>
            <w:vAlign w:val="bottom"/>
            <w:tcBorders>
              <w:bottom w:val="single" w:sz="8" w:color="939598"/>
            </w:tcBorders>
            <w:shd w:val="clear" w:color="auto" w:fill="E3F1DA"/>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103.1</w:t>
            </w:r>
          </w:p>
        </w:tc>
        <w:tc>
          <w:tcPr>
            <w:tcW w:w="520" w:type="dxa"/>
            <w:vAlign w:val="bottom"/>
            <w:tcBorders>
              <w:bottom w:val="single" w:sz="8" w:color="939598"/>
            </w:tcBorders>
            <w:shd w:val="clear" w:color="auto" w:fill="E3F1DA"/>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939598"/>
            </w:tcBorders>
            <w:shd w:val="clear" w:color="auto" w:fill="E3F1DA"/>
          </w:tcPr>
          <w:p>
            <w:pPr>
              <w:ind w:left="380"/>
              <w:spacing w:after="0"/>
              <w:rPr>
                <w:sz w:val="20"/>
                <w:szCs w:val="20"/>
                <w:color w:val="auto"/>
              </w:rPr>
            </w:pPr>
            <w:r>
              <w:rPr>
                <w:rFonts w:ascii="Arial" w:cs="Arial" w:eastAsia="Arial" w:hAnsi="Arial"/>
                <w:sz w:val="18"/>
                <w:szCs w:val="18"/>
                <w:color w:val="auto"/>
              </w:rPr>
              <w:t>—</w:t>
            </w:r>
          </w:p>
        </w:tc>
      </w:tr>
    </w:tbl>
    <w:p>
      <w:pPr>
        <w:spacing w:after="0" w:line="5" w:lineRule="exact"/>
        <w:rPr>
          <w:rFonts w:ascii="Arial" w:cs="Arial" w:eastAsia="Arial" w:hAnsi="Arial"/>
          <w:sz w:val="15"/>
          <w:szCs w:val="15"/>
          <w:b w:val="1"/>
          <w:bCs w:val="1"/>
          <w:color w:val="939598"/>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category includes a prime obligations money market portfolio.</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category includes United States Treasury/Federal agency securities and foreign government securities.</w:t>
      </w:r>
    </w:p>
    <w:p>
      <w:pPr>
        <w:spacing w:after="0" w:line="11" w:lineRule="exact"/>
        <w:rPr>
          <w:rFonts w:ascii="Arial" w:cs="Arial" w:eastAsia="Arial" w:hAnsi="Arial"/>
          <w:sz w:val="18"/>
          <w:szCs w:val="18"/>
          <w:color w:val="auto"/>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category includes investments in approximately 80% fixed income securities, 10% equity and 10% cash and cash equivalents.</w:t>
      </w:r>
    </w:p>
    <w:p>
      <w:pPr>
        <w:spacing w:after="0" w:line="253" w:lineRule="exact"/>
        <w:rPr>
          <w:rFonts w:ascii="Arial" w:cs="Arial" w:eastAsia="Arial" w:hAnsi="Arial"/>
          <w:sz w:val="15"/>
          <w:szCs w:val="15"/>
          <w:b w:val="1"/>
          <w:bCs w:val="1"/>
          <w:color w:val="939598"/>
        </w:rPr>
      </w:pPr>
    </w:p>
    <w:p>
      <w:pPr>
        <w:ind w:left="580" w:hanging="572"/>
        <w:spacing w:after="0"/>
        <w:tabs>
          <w:tab w:leader="none" w:pos="580" w:val="left"/>
        </w:tabs>
        <w:numPr>
          <w:ilvl w:val="0"/>
          <w:numId w:val="89"/>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rFonts w:ascii="Arial" w:cs="Arial" w:eastAsia="Arial" w:hAnsi="Arial"/>
          <w:sz w:val="15"/>
          <w:szCs w:val="15"/>
          <w:b w:val="1"/>
          <w:bCs w:val="1"/>
          <w:color w:val="939598"/>
        </w:rPr>
      </w:pPr>
      <w:r>
        <w:rPr>
          <w:rFonts w:ascii="Arial" w:cs="Arial" w:eastAsia="Arial" w:hAnsi="Arial"/>
          <w:sz w:val="15"/>
          <w:szCs w:val="15"/>
          <w:b w:val="1"/>
          <w:bCs w:val="1"/>
          <w:color w:val="939598"/>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RETIREE HEALTH CARE PLAN</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tbl>
      <w:tblPr>
        <w:tblLayout w:type="fixed"/>
        <w:tblInd w:w="0" w:type="dxa"/>
        <w:tblCellMar>
          <w:top w:w="0" w:type="dxa"/>
          <w:left w:w="0" w:type="dxa"/>
          <w:bottom w:w="0" w:type="dxa"/>
          <w:right w:w="0" w:type="dxa"/>
        </w:tblCellMar>
      </w:tblPr>
      <w:tr>
        <w:trPr>
          <w:trHeight w:val="146"/>
        </w:trPr>
        <w:tc>
          <w:tcPr>
            <w:tcW w:w="8200" w:type="dxa"/>
            <w:vAlign w:val="bottom"/>
            <w:tcBorders>
              <w:bottom w:val="single" w:sz="8" w:color="86B6A5"/>
            </w:tcBorders>
            <w:gridSpan w:val="2"/>
          </w:tcPr>
          <w:p>
            <w:pPr>
              <w:spacing w:after="0" w:line="146" w:lineRule="exact"/>
              <w:rPr>
                <w:sz w:val="20"/>
                <w:szCs w:val="20"/>
                <w:color w:val="auto"/>
              </w:rPr>
            </w:pPr>
            <w:r>
              <w:rPr>
                <w:rFonts w:ascii="Arial" w:cs="Arial" w:eastAsia="Arial" w:hAnsi="Arial"/>
                <w:sz w:val="14"/>
                <w:szCs w:val="14"/>
                <w:b w:val="1"/>
                <w:bCs w:val="1"/>
                <w:color w:val="86B6A5"/>
              </w:rPr>
              <w:t>Year Ended December 31</w:t>
            </w:r>
          </w:p>
        </w:tc>
        <w:tc>
          <w:tcPr>
            <w:tcW w:w="120" w:type="dxa"/>
            <w:vAlign w:val="bottom"/>
            <w:tcBorders>
              <w:bottom w:val="single" w:sz="8" w:color="86B6A5"/>
            </w:tcBorders>
            <w:shd w:val="clear" w:color="auto" w:fill="86B6A5"/>
          </w:tcPr>
          <w:p>
            <w:pPr>
              <w:spacing w:after="0"/>
              <w:rPr>
                <w:sz w:val="12"/>
                <w:szCs w:val="12"/>
                <w:color w:val="auto"/>
              </w:rPr>
            </w:pPr>
          </w:p>
        </w:tc>
        <w:tc>
          <w:tcPr>
            <w:tcW w:w="1480" w:type="dxa"/>
            <w:vAlign w:val="bottom"/>
            <w:tcBorders>
              <w:bottom w:val="single" w:sz="8" w:color="86B6A5"/>
            </w:tcBorders>
            <w:shd w:val="clear" w:color="auto" w:fill="86B6A5"/>
          </w:tcPr>
          <w:p>
            <w:pPr>
              <w:jc w:val="right"/>
              <w:ind w:right="14"/>
              <w:spacing w:after="0" w:line="146" w:lineRule="exact"/>
              <w:rPr>
                <w:sz w:val="20"/>
                <w:szCs w:val="20"/>
                <w:color w:val="auto"/>
              </w:rPr>
            </w:pPr>
            <w:r>
              <w:rPr>
                <w:rFonts w:ascii="Arial" w:cs="Arial" w:eastAsia="Arial" w:hAnsi="Arial"/>
                <w:sz w:val="14"/>
                <w:szCs w:val="14"/>
                <w:b w:val="1"/>
                <w:bCs w:val="1"/>
                <w:color w:val="FFFFFF"/>
              </w:rPr>
              <w:t>2012</w:t>
            </w:r>
          </w:p>
        </w:tc>
        <w:tc>
          <w:tcPr>
            <w:tcW w:w="620" w:type="dxa"/>
            <w:vAlign w:val="bottom"/>
            <w:tcBorders>
              <w:bottom w:val="single" w:sz="8" w:color="86B6A5"/>
            </w:tcBorders>
          </w:tcPr>
          <w:p>
            <w:pPr>
              <w:spacing w:after="0"/>
              <w:rPr>
                <w:sz w:val="12"/>
                <w:szCs w:val="12"/>
                <w:color w:val="auto"/>
              </w:rPr>
            </w:pPr>
          </w:p>
        </w:tc>
        <w:tc>
          <w:tcPr>
            <w:tcW w:w="1000" w:type="dxa"/>
            <w:vAlign w:val="bottom"/>
            <w:tcBorders>
              <w:bottom w:val="single" w:sz="8" w:color="86B6A5"/>
            </w:tcBorders>
          </w:tcPr>
          <w:p>
            <w:pPr>
              <w:jc w:val="right"/>
              <w:ind w:right="34"/>
              <w:spacing w:after="0" w:line="146" w:lineRule="exact"/>
              <w:rPr>
                <w:sz w:val="20"/>
                <w:szCs w:val="20"/>
                <w:color w:val="auto"/>
              </w:rPr>
            </w:pPr>
            <w:r>
              <w:rPr>
                <w:rFonts w:ascii="Arial" w:cs="Arial" w:eastAsia="Arial" w:hAnsi="Arial"/>
                <w:sz w:val="14"/>
                <w:szCs w:val="14"/>
                <w:b w:val="1"/>
                <w:bCs w:val="1"/>
                <w:color w:val="86B6A5"/>
              </w:rPr>
              <w:t>2011</w:t>
            </w:r>
          </w:p>
        </w:tc>
      </w:tr>
      <w:tr>
        <w:trPr>
          <w:trHeight w:val="210"/>
        </w:trPr>
        <w:tc>
          <w:tcPr>
            <w:tcW w:w="8200" w:type="dxa"/>
            <w:vAlign w:val="bottom"/>
            <w:gridSpan w:val="2"/>
          </w:tcPr>
          <w:p>
            <w:pPr>
              <w:spacing w:after="0"/>
              <w:rPr>
                <w:sz w:val="20"/>
                <w:szCs w:val="20"/>
                <w:color w:val="auto"/>
              </w:rPr>
            </w:pPr>
            <w:r>
              <w:rPr>
                <w:rFonts w:ascii="Arial" w:cs="Arial" w:eastAsia="Arial" w:hAnsi="Arial"/>
                <w:sz w:val="18"/>
                <w:szCs w:val="18"/>
                <w:b w:val="1"/>
                <w:bCs w:val="1"/>
                <w:color w:val="939598"/>
              </w:rPr>
              <w:t>Change in Benefit Obligation</w:t>
            </w:r>
          </w:p>
        </w:tc>
        <w:tc>
          <w:tcPr>
            <w:tcW w:w="120" w:type="dxa"/>
            <w:vAlign w:val="bottom"/>
            <w:shd w:val="clear" w:color="auto" w:fill="E3F1DA"/>
          </w:tcPr>
          <w:p>
            <w:pPr>
              <w:spacing w:after="0"/>
              <w:rPr>
                <w:sz w:val="18"/>
                <w:szCs w:val="18"/>
                <w:color w:val="auto"/>
              </w:rPr>
            </w:pPr>
          </w:p>
        </w:tc>
        <w:tc>
          <w:tcPr>
            <w:tcW w:w="1480" w:type="dxa"/>
            <w:vAlign w:val="bottom"/>
            <w:shd w:val="clear" w:color="auto" w:fill="E3F1DA"/>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Benefit obligation, beginning of year</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28.5</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25.5</w:t>
            </w:r>
          </w:p>
        </w:tc>
      </w:tr>
      <w:tr>
        <w:trPr>
          <w:trHeight w:val="208"/>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E3F1DA"/>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E3F1DA"/>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E3F1DA"/>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20" w:type="dxa"/>
            <w:vAlign w:val="bottom"/>
            <w:shd w:val="clear" w:color="auto" w:fill="E3F1DA"/>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Plan participant contributions</w:t>
            </w:r>
          </w:p>
        </w:tc>
        <w:tc>
          <w:tcPr>
            <w:tcW w:w="120" w:type="dxa"/>
            <w:vAlign w:val="bottom"/>
            <w:shd w:val="clear" w:color="auto" w:fill="E3F1DA"/>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818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Retiree drug subsidy reimbursement</w:t>
            </w:r>
          </w:p>
        </w:tc>
        <w:tc>
          <w:tcPr>
            <w:tcW w:w="120" w:type="dxa"/>
            <w:vAlign w:val="bottom"/>
            <w:tcBorders>
              <w:bottom w:val="single" w:sz="8" w:color="939598"/>
            </w:tcBorders>
            <w:shd w:val="clear" w:color="auto" w:fill="E3F1DA"/>
          </w:tcPr>
          <w:p>
            <w:pPr>
              <w:spacing w:after="0"/>
              <w:rPr>
                <w:sz w:val="19"/>
                <w:szCs w:val="19"/>
                <w:color w:val="auto"/>
              </w:rPr>
            </w:pPr>
          </w:p>
        </w:tc>
        <w:tc>
          <w:tcPr>
            <w:tcW w:w="1480" w:type="dxa"/>
            <w:vAlign w:val="bottom"/>
            <w:tcBorders>
              <w:bottom w:val="single" w:sz="8" w:color="939598"/>
            </w:tcBorders>
          </w:tcPr>
          <w:p>
            <w:pPr>
              <w:jc w:val="right"/>
              <w:ind w:right="14"/>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939598"/>
            </w:tcBorders>
          </w:tcPr>
          <w:p>
            <w:pPr>
              <w:spacing w:after="0"/>
              <w:rPr>
                <w:sz w:val="19"/>
                <w:szCs w:val="19"/>
                <w:color w:val="auto"/>
              </w:rPr>
            </w:pPr>
          </w:p>
        </w:tc>
        <w:tc>
          <w:tcPr>
            <w:tcW w:w="100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0.1</w:t>
            </w:r>
          </w:p>
        </w:tc>
      </w:tr>
      <w:tr>
        <w:trPr>
          <w:trHeight w:val="211"/>
        </w:trPr>
        <w:tc>
          <w:tcPr>
            <w:tcW w:w="20" w:type="dxa"/>
            <w:vAlign w:val="bottom"/>
            <w:tcBorders>
              <w:bottom w:val="single" w:sz="8" w:color="939598"/>
            </w:tcBorders>
          </w:tcPr>
          <w:p>
            <w:pPr>
              <w:spacing w:after="0"/>
              <w:rPr>
                <w:sz w:val="18"/>
                <w:szCs w:val="18"/>
                <w:color w:val="auto"/>
              </w:rPr>
            </w:pPr>
          </w:p>
        </w:tc>
        <w:tc>
          <w:tcPr>
            <w:tcW w:w="81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Benefit obligation, end of year</w:t>
            </w:r>
          </w:p>
        </w:tc>
        <w:tc>
          <w:tcPr>
            <w:tcW w:w="12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939598"/>
            </w:tcBorders>
          </w:tcPr>
          <w:p>
            <w:pPr>
              <w:jc w:val="right"/>
              <w:ind w:right="14"/>
              <w:spacing w:after="0"/>
              <w:rPr>
                <w:sz w:val="20"/>
                <w:szCs w:val="20"/>
                <w:color w:val="auto"/>
              </w:rPr>
            </w:pPr>
            <w:r>
              <w:rPr>
                <w:rFonts w:ascii="Arial" w:cs="Arial" w:eastAsia="Arial" w:hAnsi="Arial"/>
                <w:sz w:val="18"/>
                <w:szCs w:val="18"/>
                <w:color w:val="auto"/>
              </w:rPr>
              <w:t>31.5</w:t>
            </w:r>
          </w:p>
        </w:tc>
        <w:tc>
          <w:tcPr>
            <w:tcW w:w="620" w:type="dxa"/>
            <w:vAlign w:val="bottom"/>
            <w:tcBorders>
              <w:bottom w:val="single" w:sz="8" w:color="939598"/>
            </w:tcBorders>
          </w:tcPr>
          <w:p>
            <w:pPr>
              <w:jc w:val="right"/>
              <w:ind w:right="4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28.5</w:t>
            </w:r>
          </w:p>
        </w:tc>
      </w:tr>
      <w:tr>
        <w:trPr>
          <w:trHeight w:val="210"/>
        </w:trPr>
        <w:tc>
          <w:tcPr>
            <w:tcW w:w="8200" w:type="dxa"/>
            <w:vAlign w:val="bottom"/>
            <w:gridSpan w:val="2"/>
          </w:tcPr>
          <w:p>
            <w:pPr>
              <w:spacing w:after="0"/>
              <w:rPr>
                <w:sz w:val="20"/>
                <w:szCs w:val="20"/>
                <w:color w:val="auto"/>
              </w:rPr>
            </w:pPr>
            <w:r>
              <w:rPr>
                <w:rFonts w:ascii="Arial" w:cs="Arial" w:eastAsia="Arial" w:hAnsi="Arial"/>
                <w:sz w:val="18"/>
                <w:szCs w:val="18"/>
                <w:b w:val="1"/>
                <w:bCs w:val="1"/>
                <w:color w:val="939598"/>
              </w:rPr>
              <w:t>Funded Status at End of Year</w:t>
            </w:r>
          </w:p>
        </w:tc>
        <w:tc>
          <w:tcPr>
            <w:tcW w:w="120" w:type="dxa"/>
            <w:vAlign w:val="bottom"/>
            <w:shd w:val="clear" w:color="auto" w:fill="E3F1DA"/>
          </w:tcPr>
          <w:p>
            <w:pPr>
              <w:spacing w:after="0"/>
              <w:rPr>
                <w:sz w:val="18"/>
                <w:szCs w:val="18"/>
                <w:color w:val="auto"/>
              </w:rPr>
            </w:pPr>
          </w:p>
        </w:tc>
        <w:tc>
          <w:tcPr>
            <w:tcW w:w="1480" w:type="dxa"/>
            <w:vAlign w:val="bottom"/>
            <w:shd w:val="clear" w:color="auto" w:fill="E3F1DA"/>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Funded status, end of year</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(31.5)</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10"/>
        </w:trPr>
        <w:tc>
          <w:tcPr>
            <w:tcW w:w="20" w:type="dxa"/>
            <w:vAlign w:val="bottom"/>
          </w:tcPr>
          <w:p>
            <w:pPr>
              <w:spacing w:after="0"/>
              <w:rPr>
                <w:sz w:val="18"/>
                <w:szCs w:val="18"/>
                <w:color w:val="auto"/>
              </w:rPr>
            </w:pPr>
          </w:p>
        </w:tc>
        <w:tc>
          <w:tcPr>
            <w:tcW w:w="8180" w:type="dxa"/>
            <w:vAlign w:val="bottom"/>
            <w:tcBorders>
              <w:top w:val="single" w:sz="8" w:color="939598"/>
            </w:tcBorders>
          </w:tcPr>
          <w:p>
            <w:pPr>
              <w:spacing w:after="0"/>
              <w:rPr>
                <w:sz w:val="20"/>
                <w:szCs w:val="20"/>
                <w:color w:val="auto"/>
              </w:rPr>
            </w:pPr>
            <w:r>
              <w:rPr>
                <w:rFonts w:ascii="Arial" w:cs="Arial" w:eastAsia="Arial" w:hAnsi="Arial"/>
                <w:sz w:val="18"/>
                <w:szCs w:val="18"/>
                <w:b w:val="1"/>
                <w:bCs w:val="1"/>
                <w:color w:val="939598"/>
              </w:rPr>
              <w:t>Amounts Recognized</w:t>
            </w:r>
          </w:p>
        </w:tc>
        <w:tc>
          <w:tcPr>
            <w:tcW w:w="120" w:type="dxa"/>
            <w:vAlign w:val="bottom"/>
            <w:tcBorders>
              <w:top w:val="single" w:sz="8" w:color="939598"/>
            </w:tcBorders>
            <w:shd w:val="clear" w:color="auto" w:fill="E3F1DA"/>
          </w:tcPr>
          <w:p>
            <w:pPr>
              <w:spacing w:after="0"/>
              <w:rPr>
                <w:sz w:val="18"/>
                <w:szCs w:val="18"/>
                <w:color w:val="auto"/>
              </w:rPr>
            </w:pPr>
          </w:p>
        </w:tc>
        <w:tc>
          <w:tcPr>
            <w:tcW w:w="1480" w:type="dxa"/>
            <w:vAlign w:val="bottom"/>
            <w:tcBorders>
              <w:top w:val="single" w:sz="8" w:color="939598"/>
            </w:tcBorders>
            <w:shd w:val="clear" w:color="auto" w:fill="E3F1DA"/>
          </w:tcPr>
          <w:p>
            <w:pPr>
              <w:spacing w:after="0"/>
              <w:rPr>
                <w:sz w:val="18"/>
                <w:szCs w:val="18"/>
                <w:color w:val="auto"/>
              </w:rPr>
            </w:pPr>
          </w:p>
        </w:tc>
        <w:tc>
          <w:tcPr>
            <w:tcW w:w="620" w:type="dxa"/>
            <w:vAlign w:val="bottom"/>
            <w:tcBorders>
              <w:top w:val="single" w:sz="8" w:color="939598"/>
            </w:tcBorders>
          </w:tcPr>
          <w:p>
            <w:pPr>
              <w:spacing w:after="0"/>
              <w:rPr>
                <w:sz w:val="18"/>
                <w:szCs w:val="18"/>
                <w:color w:val="auto"/>
              </w:rPr>
            </w:pPr>
          </w:p>
        </w:tc>
        <w:tc>
          <w:tcPr>
            <w:tcW w:w="1000" w:type="dxa"/>
            <w:vAlign w:val="bottom"/>
            <w:tcBorders>
              <w:top w:val="single" w:sz="8" w:color="939598"/>
            </w:tcBorders>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3F1DA"/>
          </w:tcPr>
          <w:p>
            <w:pPr>
              <w:jc w:val="right"/>
              <w:ind w:right="14"/>
              <w:spacing w:after="0"/>
              <w:rPr>
                <w:sz w:val="20"/>
                <w:szCs w:val="20"/>
                <w:color w:val="auto"/>
              </w:rPr>
            </w:pPr>
            <w:r>
              <w:rPr>
                <w:rFonts w:ascii="Arial" w:cs="Arial" w:eastAsia="Arial" w:hAnsi="Arial"/>
                <w:sz w:val="18"/>
                <w:szCs w:val="18"/>
                <w:color w:val="auto"/>
              </w:rPr>
              <w:t>(1.8)</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E3F1DA"/>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0"/>
        </w:trPr>
        <w:tc>
          <w:tcPr>
            <w:tcW w:w="20" w:type="dxa"/>
            <w:vAlign w:val="bottom"/>
          </w:tcPr>
          <w:p>
            <w:pPr>
              <w:spacing w:after="0"/>
              <w:rPr>
                <w:sz w:val="18"/>
                <w:szCs w:val="18"/>
                <w:color w:val="auto"/>
              </w:rPr>
            </w:pPr>
          </w:p>
        </w:tc>
        <w:tc>
          <w:tcPr>
            <w:tcW w:w="818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Net amount recognized</w:t>
            </w:r>
          </w:p>
        </w:tc>
        <w:tc>
          <w:tcPr>
            <w:tcW w:w="12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(31.5)</w:t>
            </w:r>
          </w:p>
        </w:tc>
        <w:tc>
          <w:tcPr>
            <w:tcW w:w="620" w:type="dxa"/>
            <w:vAlign w:val="bottom"/>
            <w:tcBorders>
              <w:top w:val="single" w:sz="8" w:color="939598"/>
              <w:bottom w:val="single" w:sz="8" w:color="939598"/>
            </w:tcBorders>
          </w:tcPr>
          <w:p>
            <w:pPr>
              <w:jc w:val="right"/>
              <w:ind w:right="4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-1963420</wp:posOffset>
            </wp:positionV>
            <wp:extent cx="943610" cy="1115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3610" cy="111506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-427990</wp:posOffset>
            </wp:positionV>
            <wp:extent cx="943610" cy="428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3610" cy="42862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amount recognized in accumulated other comprehensive income, net of tax, consisted of a net loss of $2.7 and $0.7 in 2012 and 2011, respectively.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used in the measurement of the benefit obligation was 3.9% and 4.8% in 2012 and 2011, respectively. The discount rate used in the measurement of net periodic benefit cost was 4.8%, 5.3% and 5.7% in 2012, 2011 and 2010, respectively. The components of net periodic benefit cost for this plan were as follows:</w:t>
      </w:r>
    </w:p>
    <w:tbl>
      <w:tblPr>
        <w:tblLayout w:type="fixed"/>
        <w:tblInd w:w="0" w:type="dxa"/>
        <w:tblCellMar>
          <w:top w:w="0" w:type="dxa"/>
          <w:left w:w="0" w:type="dxa"/>
          <w:bottom w:w="0" w:type="dxa"/>
          <w:right w:w="0" w:type="dxa"/>
        </w:tblCellMar>
      </w:tblPr>
      <w:tr>
        <w:trPr>
          <w:trHeight w:val="149"/>
        </w:trPr>
        <w:tc>
          <w:tcPr>
            <w:tcW w:w="6600" w:type="dxa"/>
            <w:vAlign w:val="bottom"/>
            <w:tcBorders>
              <w:bottom w:val="single" w:sz="8" w:color="86B6A5"/>
            </w:tcBorders>
            <w:gridSpan w:val="2"/>
          </w:tcPr>
          <w:p>
            <w:pPr>
              <w:spacing w:after="0" w:line="149" w:lineRule="exact"/>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2"/>
                <w:szCs w:val="12"/>
                <w:color w:val="auto"/>
              </w:rPr>
            </w:pPr>
          </w:p>
        </w:tc>
        <w:tc>
          <w:tcPr>
            <w:tcW w:w="1500" w:type="dxa"/>
            <w:vAlign w:val="bottom"/>
            <w:tcBorders>
              <w:bottom w:val="single" w:sz="8" w:color="86B6A5"/>
            </w:tcBorders>
            <w:shd w:val="clear" w:color="auto" w:fill="86B6A5"/>
          </w:tcPr>
          <w:p>
            <w:pPr>
              <w:jc w:val="right"/>
              <w:ind w:right="34"/>
              <w:spacing w:after="0" w:line="149" w:lineRule="exact"/>
              <w:rPr>
                <w:sz w:val="20"/>
                <w:szCs w:val="20"/>
                <w:color w:val="auto"/>
              </w:rPr>
            </w:pPr>
            <w:r>
              <w:rPr>
                <w:rFonts w:ascii="Arial" w:cs="Arial" w:eastAsia="Arial" w:hAnsi="Arial"/>
                <w:sz w:val="14"/>
                <w:szCs w:val="14"/>
                <w:b w:val="1"/>
                <w:bCs w:val="1"/>
                <w:color w:val="FFFFFF"/>
              </w:rPr>
              <w:t>2012</w:t>
            </w:r>
          </w:p>
        </w:tc>
        <w:tc>
          <w:tcPr>
            <w:tcW w:w="660" w:type="dxa"/>
            <w:vAlign w:val="bottom"/>
            <w:tcBorders>
              <w:bottom w:val="single" w:sz="8" w:color="86B6A5"/>
            </w:tcBorders>
          </w:tcPr>
          <w:p>
            <w:pPr>
              <w:spacing w:after="0"/>
              <w:rPr>
                <w:sz w:val="12"/>
                <w:szCs w:val="12"/>
                <w:color w:val="auto"/>
              </w:rPr>
            </w:pPr>
          </w:p>
        </w:tc>
        <w:tc>
          <w:tcPr>
            <w:tcW w:w="880" w:type="dxa"/>
            <w:vAlign w:val="bottom"/>
            <w:tcBorders>
              <w:bottom w:val="single" w:sz="8" w:color="86B6A5"/>
            </w:tcBorders>
          </w:tcPr>
          <w:p>
            <w:pPr>
              <w:jc w:val="right"/>
              <w:spacing w:after="0" w:line="149" w:lineRule="exact"/>
              <w:rPr>
                <w:sz w:val="20"/>
                <w:szCs w:val="20"/>
                <w:color w:val="auto"/>
              </w:rPr>
            </w:pPr>
            <w:r>
              <w:rPr>
                <w:rFonts w:ascii="Arial" w:cs="Arial" w:eastAsia="Arial" w:hAnsi="Arial"/>
                <w:sz w:val="14"/>
                <w:szCs w:val="14"/>
                <w:b w:val="1"/>
                <w:bCs w:val="1"/>
                <w:color w:val="86B6A5"/>
              </w:rPr>
              <w:t>2011</w:t>
            </w:r>
          </w:p>
        </w:tc>
        <w:tc>
          <w:tcPr>
            <w:tcW w:w="720" w:type="dxa"/>
            <w:vAlign w:val="bottom"/>
            <w:tcBorders>
              <w:bottom w:val="single" w:sz="8" w:color="86B6A5"/>
            </w:tcBorders>
          </w:tcPr>
          <w:p>
            <w:pPr>
              <w:spacing w:after="0"/>
              <w:rPr>
                <w:sz w:val="12"/>
                <w:szCs w:val="12"/>
                <w:color w:val="auto"/>
              </w:rPr>
            </w:pPr>
          </w:p>
        </w:tc>
        <w:tc>
          <w:tcPr>
            <w:tcW w:w="960" w:type="dxa"/>
            <w:vAlign w:val="bottom"/>
            <w:tcBorders>
              <w:bottom w:val="single" w:sz="8" w:color="86B6A5"/>
            </w:tcBorders>
          </w:tcPr>
          <w:p>
            <w:pPr>
              <w:jc w:val="right"/>
              <w:ind w:right="34"/>
              <w:spacing w:after="0" w:line="149" w:lineRule="exact"/>
              <w:rPr>
                <w:sz w:val="20"/>
                <w:szCs w:val="20"/>
                <w:color w:val="auto"/>
              </w:rPr>
            </w:pPr>
            <w:r>
              <w:rPr>
                <w:rFonts w:ascii="Arial" w:cs="Arial" w:eastAsia="Arial" w:hAnsi="Arial"/>
                <w:sz w:val="14"/>
                <w:szCs w:val="14"/>
                <w:b w:val="1"/>
                <w:bCs w:val="1"/>
                <w:color w:val="86B6A5"/>
              </w:rPr>
              <w:t>2010</w:t>
            </w: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b w:val="1"/>
                <w:bCs w:val="1"/>
                <w:color w:val="939598"/>
              </w:rPr>
              <w:t>Net Periodic Benefit Cost</w:t>
            </w:r>
          </w:p>
        </w:tc>
        <w:tc>
          <w:tcPr>
            <w:tcW w:w="100" w:type="dxa"/>
            <w:vAlign w:val="bottom"/>
            <w:shd w:val="clear" w:color="auto" w:fill="E3F1DA"/>
          </w:tcPr>
          <w:p>
            <w:pPr>
              <w:spacing w:after="0"/>
              <w:rPr>
                <w:sz w:val="18"/>
                <w:szCs w:val="18"/>
                <w:color w:val="auto"/>
              </w:rPr>
            </w:pPr>
          </w:p>
        </w:tc>
        <w:tc>
          <w:tcPr>
            <w:tcW w:w="1500" w:type="dxa"/>
            <w:vAlign w:val="bottom"/>
            <w:shd w:val="clear" w:color="auto" w:fill="E3F1DA"/>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5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0.1</w:t>
            </w:r>
          </w:p>
        </w:tc>
      </w:tr>
      <w:tr>
        <w:trPr>
          <w:trHeight w:val="208"/>
        </w:trPr>
        <w:tc>
          <w:tcPr>
            <w:tcW w:w="66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E3F1DA"/>
          </w:tcPr>
          <w:p>
            <w:pPr>
              <w:spacing w:after="0"/>
              <w:rPr>
                <w:sz w:val="18"/>
                <w:szCs w:val="18"/>
                <w:color w:val="auto"/>
              </w:rPr>
            </w:pPr>
          </w:p>
        </w:tc>
        <w:tc>
          <w:tcPr>
            <w:tcW w:w="150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w:t>
            </w:r>
          </w:p>
        </w:tc>
      </w:tr>
      <w:tr>
        <w:trPr>
          <w:trHeight w:val="223"/>
        </w:trPr>
        <w:tc>
          <w:tcPr>
            <w:tcW w:w="66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Net gain</w:t>
            </w:r>
          </w:p>
        </w:tc>
        <w:tc>
          <w:tcPr>
            <w:tcW w:w="100" w:type="dxa"/>
            <w:vAlign w:val="bottom"/>
            <w:tcBorders>
              <w:bottom w:val="single" w:sz="8" w:color="939598"/>
            </w:tcBorders>
            <w:shd w:val="clear" w:color="auto" w:fill="E3F1DA"/>
          </w:tcPr>
          <w:p>
            <w:pPr>
              <w:spacing w:after="0"/>
              <w:rPr>
                <w:sz w:val="19"/>
                <w:szCs w:val="19"/>
                <w:color w:val="auto"/>
              </w:rPr>
            </w:pPr>
          </w:p>
        </w:tc>
        <w:tc>
          <w:tcPr>
            <w:tcW w:w="1500" w:type="dxa"/>
            <w:vAlign w:val="bottom"/>
            <w:tcBorders>
              <w:bottom w:val="single" w:sz="8" w:color="939598"/>
            </w:tcBorders>
            <w:shd w:val="clear" w:color="auto" w:fill="E3F1DA"/>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939598"/>
            </w:tcBorders>
          </w:tcPr>
          <w:p>
            <w:pPr>
              <w:spacing w:after="0"/>
              <w:rPr>
                <w:sz w:val="19"/>
                <w:szCs w:val="19"/>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939598"/>
            </w:tcBorders>
          </w:tcPr>
          <w:p>
            <w:pPr>
              <w:spacing w:after="0"/>
              <w:rPr>
                <w:sz w:val="19"/>
                <w:szCs w:val="19"/>
                <w:color w:val="auto"/>
              </w:rPr>
            </w:pP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(0.1)</w:t>
            </w:r>
          </w:p>
        </w:tc>
      </w:tr>
      <w:tr>
        <w:trPr>
          <w:trHeight w:val="211"/>
        </w:trPr>
        <w:tc>
          <w:tcPr>
            <w:tcW w:w="660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939598"/>
            </w:tcBorders>
            <w:shd w:val="clear" w:color="auto" w:fill="E3F1DA"/>
          </w:tcPr>
          <w:p>
            <w:pPr>
              <w:spacing w:after="0"/>
              <w:rPr>
                <w:sz w:val="18"/>
                <w:szCs w:val="18"/>
                <w:color w:val="auto"/>
              </w:rPr>
            </w:pPr>
          </w:p>
        </w:tc>
        <w:tc>
          <w:tcPr>
            <w:tcW w:w="1500" w:type="dxa"/>
            <w:vAlign w:val="bottom"/>
            <w:tcBorders>
              <w:bottom w:val="single" w:sz="8" w:color="939598"/>
            </w:tcBorders>
            <w:shd w:val="clear" w:color="auto" w:fill="E3F1DA"/>
          </w:tcPr>
          <w:p>
            <w:pPr>
              <w:jc w:val="right"/>
              <w:ind w:right="34"/>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939598"/>
            </w:tcBorders>
          </w:tcPr>
          <w:p>
            <w:pPr>
              <w:spacing w:after="0"/>
              <w:rPr>
                <w:sz w:val="18"/>
                <w:szCs w:val="18"/>
                <w:color w:val="auto"/>
              </w:rPr>
            </w:pPr>
          </w:p>
        </w:tc>
        <w:tc>
          <w:tcPr>
            <w:tcW w:w="96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1.4</w:t>
            </w:r>
          </w:p>
        </w:tc>
      </w:tr>
      <w:tr>
        <w:trPr>
          <w:trHeight w:val="195"/>
        </w:trPr>
        <w:tc>
          <w:tcPr>
            <w:tcW w:w="6600" w:type="dxa"/>
            <w:vAlign w:val="bottom"/>
            <w:gridSpan w:val="2"/>
          </w:tcPr>
          <w:p>
            <w:pPr>
              <w:spacing w:after="0" w:line="195" w:lineRule="exact"/>
              <w:rPr>
                <w:sz w:val="20"/>
                <w:szCs w:val="20"/>
                <w:color w:val="auto"/>
              </w:rPr>
            </w:pPr>
            <w:r>
              <w:rPr>
                <w:rFonts w:ascii="Arial" w:cs="Arial" w:eastAsia="Arial" w:hAnsi="Arial"/>
                <w:sz w:val="18"/>
                <w:szCs w:val="18"/>
                <w:b w:val="1"/>
                <w:bCs w:val="1"/>
                <w:color w:val="939598"/>
              </w:rPr>
              <w:t>Other Changes in Plan Assets and Benefit Obligations Recognized in Other</w:t>
            </w:r>
          </w:p>
        </w:tc>
        <w:tc>
          <w:tcPr>
            <w:tcW w:w="100" w:type="dxa"/>
            <w:vAlign w:val="bottom"/>
            <w:shd w:val="clear" w:color="auto" w:fill="E3F1DA"/>
          </w:tcPr>
          <w:p>
            <w:pPr>
              <w:spacing w:after="0"/>
              <w:rPr>
                <w:sz w:val="16"/>
                <w:szCs w:val="16"/>
                <w:color w:val="auto"/>
              </w:rPr>
            </w:pPr>
          </w:p>
        </w:tc>
        <w:tc>
          <w:tcPr>
            <w:tcW w:w="1500" w:type="dxa"/>
            <w:vAlign w:val="bottom"/>
            <w:shd w:val="clear" w:color="auto" w:fill="E3F1DA"/>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8"/>
                <w:szCs w:val="18"/>
                <w:b w:val="1"/>
                <w:bCs w:val="1"/>
                <w:color w:val="939598"/>
              </w:rPr>
              <w:t>Comprehensive Loss</w:t>
            </w:r>
          </w:p>
        </w:tc>
        <w:tc>
          <w:tcPr>
            <w:tcW w:w="100" w:type="dxa"/>
            <w:vAlign w:val="bottom"/>
            <w:shd w:val="clear" w:color="auto" w:fill="E3F1DA"/>
          </w:tcPr>
          <w:p>
            <w:pPr>
              <w:spacing w:after="0"/>
              <w:rPr>
                <w:sz w:val="19"/>
                <w:szCs w:val="19"/>
                <w:color w:val="auto"/>
              </w:rPr>
            </w:pPr>
          </w:p>
        </w:tc>
        <w:tc>
          <w:tcPr>
            <w:tcW w:w="1500" w:type="dxa"/>
            <w:vAlign w:val="bottom"/>
            <w:shd w:val="clear" w:color="auto" w:fill="E3F1DA"/>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8"/>
        </w:trPr>
        <w:tc>
          <w:tcPr>
            <w:tcW w:w="6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E3F1DA"/>
          </w:tcPr>
          <w:p>
            <w:pPr>
              <w:spacing w:after="0"/>
              <w:rPr>
                <w:sz w:val="18"/>
                <w:szCs w:val="18"/>
                <w:color w:val="auto"/>
              </w:rPr>
            </w:pPr>
          </w:p>
        </w:tc>
        <w:tc>
          <w:tcPr>
            <w:tcW w:w="150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Amortization of net gain</w:t>
            </w:r>
          </w:p>
        </w:tc>
        <w:tc>
          <w:tcPr>
            <w:tcW w:w="100" w:type="dxa"/>
            <w:vAlign w:val="bottom"/>
            <w:shd w:val="clear" w:color="auto" w:fill="E3F1DA"/>
          </w:tcPr>
          <w:p>
            <w:pPr>
              <w:spacing w:after="0"/>
              <w:rPr>
                <w:sz w:val="18"/>
                <w:szCs w:val="18"/>
                <w:color w:val="auto"/>
              </w:rPr>
            </w:pPr>
          </w:p>
        </w:tc>
        <w:tc>
          <w:tcPr>
            <w:tcW w:w="150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0.1</w:t>
            </w:r>
          </w:p>
        </w:tc>
      </w:tr>
      <w:tr>
        <w:trPr>
          <w:trHeight w:val="210"/>
        </w:trPr>
        <w:tc>
          <w:tcPr>
            <w:tcW w:w="20" w:type="dxa"/>
            <w:vAlign w:val="bottom"/>
            <w:tcBorders>
              <w:bottom w:val="single" w:sz="8" w:color="939598"/>
            </w:tcBorders>
          </w:tcPr>
          <w:p>
            <w:pPr>
              <w:spacing w:after="0"/>
              <w:rPr>
                <w:sz w:val="18"/>
                <w:szCs w:val="18"/>
                <w:color w:val="auto"/>
              </w:rPr>
            </w:pPr>
          </w:p>
        </w:tc>
        <w:tc>
          <w:tcPr>
            <w:tcW w:w="658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8"/>
                <w:szCs w:val="18"/>
                <w:color w:val="auto"/>
              </w:rPr>
              <w:t>Total recognized in other comprehensive loss</w:t>
            </w:r>
          </w:p>
        </w:tc>
        <w:tc>
          <w:tcPr>
            <w:tcW w:w="100" w:type="dxa"/>
            <w:vAlign w:val="bottom"/>
            <w:tcBorders>
              <w:top w:val="single" w:sz="8" w:color="939598"/>
              <w:bottom w:val="single" w:sz="8" w:color="939598"/>
            </w:tcBorders>
            <w:shd w:val="clear" w:color="auto" w:fill="E3F1DA"/>
          </w:tcPr>
          <w:p>
            <w:pPr>
              <w:spacing w:after="0"/>
              <w:rPr>
                <w:sz w:val="18"/>
                <w:szCs w:val="18"/>
                <w:color w:val="auto"/>
              </w:rPr>
            </w:pPr>
          </w:p>
        </w:tc>
        <w:tc>
          <w:tcPr>
            <w:tcW w:w="1500" w:type="dxa"/>
            <w:vAlign w:val="bottom"/>
            <w:tcBorders>
              <w:top w:val="single" w:sz="8" w:color="939598"/>
              <w:bottom w:val="single" w:sz="8" w:color="939598"/>
            </w:tcBorders>
            <w:shd w:val="clear" w:color="auto" w:fill="E3F1DA"/>
          </w:tcPr>
          <w:p>
            <w:pPr>
              <w:jc w:val="right"/>
              <w:ind w:right="34"/>
              <w:spacing w:after="0"/>
              <w:rPr>
                <w:sz w:val="20"/>
                <w:szCs w:val="20"/>
                <w:color w:val="auto"/>
              </w:rPr>
            </w:pPr>
            <w:r>
              <w:rPr>
                <w:rFonts w:ascii="Arial" w:cs="Arial" w:eastAsia="Arial" w:hAnsi="Arial"/>
                <w:sz w:val="18"/>
                <w:szCs w:val="18"/>
                <w:color w:val="auto"/>
              </w:rPr>
              <w:t>3.2</w:t>
            </w:r>
          </w:p>
        </w:tc>
        <w:tc>
          <w:tcPr>
            <w:tcW w:w="660" w:type="dxa"/>
            <w:vAlign w:val="bottom"/>
            <w:tcBorders>
              <w:top w:val="single" w:sz="8" w:color="939598"/>
              <w:bottom w:val="single" w:sz="8" w:color="939598"/>
            </w:tcBorders>
          </w:tcPr>
          <w:p>
            <w:pPr>
              <w:spacing w:after="0"/>
              <w:rPr>
                <w:sz w:val="18"/>
                <w:szCs w:val="18"/>
                <w:color w:val="auto"/>
              </w:rPr>
            </w:pPr>
          </w:p>
        </w:tc>
        <w:tc>
          <w:tcPr>
            <w:tcW w:w="8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8"/>
                <w:szCs w:val="18"/>
                <w:color w:val="auto"/>
              </w:rPr>
              <w:t>3.3</w:t>
            </w:r>
          </w:p>
        </w:tc>
        <w:tc>
          <w:tcPr>
            <w:tcW w:w="720" w:type="dxa"/>
            <w:vAlign w:val="bottom"/>
            <w:tcBorders>
              <w:top w:val="single" w:sz="8" w:color="939598"/>
              <w:bottom w:val="single" w:sz="8" w:color="939598"/>
            </w:tcBorders>
          </w:tcPr>
          <w:p>
            <w:pPr>
              <w:spacing w:after="0"/>
              <w:rPr>
                <w:sz w:val="18"/>
                <w:szCs w:val="18"/>
                <w:color w:val="auto"/>
              </w:rPr>
            </w:pPr>
          </w:p>
        </w:tc>
        <w:tc>
          <w:tcPr>
            <w:tcW w:w="960" w:type="dxa"/>
            <w:vAlign w:val="bottom"/>
            <w:tcBorders>
              <w:top w:val="single" w:sz="8" w:color="939598"/>
              <w:bottom w:val="single" w:sz="8" w:color="939598"/>
            </w:tcBorders>
          </w:tcPr>
          <w:p>
            <w:pPr>
              <w:jc w:val="right"/>
              <w:ind w:right="34"/>
              <w:spacing w:after="0"/>
              <w:rPr>
                <w:sz w:val="20"/>
                <w:szCs w:val="20"/>
                <w:color w:val="auto"/>
              </w:rPr>
            </w:pPr>
            <w:r>
              <w:rPr>
                <w:rFonts w:ascii="Arial" w:cs="Arial" w:eastAsia="Arial" w:hAnsi="Arial"/>
                <w:sz w:val="18"/>
                <w:szCs w:val="18"/>
                <w:color w:val="auto"/>
              </w:rPr>
              <w:t>1.2</w:t>
            </w: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Total recognized in net periodic benefit cost and other comprehensive loss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4.6</w:t>
            </w:r>
          </w:p>
        </w:tc>
        <w:tc>
          <w:tcPr>
            <w:tcW w:w="660" w:type="dxa"/>
            <w:vAlign w:val="bottom"/>
          </w:tcPr>
          <w:p>
            <w:pPr>
              <w:jc w:val="right"/>
              <w:ind w:right="5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500" w:type="dxa"/>
            <w:vAlign w:val="bottom"/>
            <w:shd w:val="clear" w:color="auto" w:fill="939598"/>
          </w:tcPr>
          <w:p>
            <w:pPr>
              <w:spacing w:after="0" w:line="20" w:lineRule="exact"/>
              <w:rPr>
                <w:sz w:val="1"/>
                <w:szCs w:val="1"/>
                <w:color w:val="auto"/>
              </w:rPr>
            </w:pPr>
          </w:p>
        </w:tc>
        <w:tc>
          <w:tcPr>
            <w:tcW w:w="660" w:type="dxa"/>
            <w:vAlign w:val="bottom"/>
            <w:shd w:val="clear" w:color="auto" w:fill="939598"/>
          </w:tcPr>
          <w:p>
            <w:pPr>
              <w:spacing w:after="0" w:line="20" w:lineRule="exact"/>
              <w:rPr>
                <w:sz w:val="1"/>
                <w:szCs w:val="1"/>
                <w:color w:val="auto"/>
              </w:rPr>
            </w:pPr>
          </w:p>
        </w:tc>
        <w:tc>
          <w:tcPr>
            <w:tcW w:w="880" w:type="dxa"/>
            <w:vAlign w:val="bottom"/>
            <w:shd w:val="clear" w:color="auto" w:fill="939598"/>
          </w:tcPr>
          <w:p>
            <w:pPr>
              <w:spacing w:after="0" w:line="20" w:lineRule="exact"/>
              <w:rPr>
                <w:sz w:val="1"/>
                <w:szCs w:val="1"/>
                <w:color w:val="auto"/>
              </w:rPr>
            </w:pPr>
          </w:p>
        </w:tc>
        <w:tc>
          <w:tcPr>
            <w:tcW w:w="720" w:type="dxa"/>
            <w:vAlign w:val="bottom"/>
            <w:shd w:val="clear" w:color="auto" w:fill="939598"/>
          </w:tcPr>
          <w:p>
            <w:pPr>
              <w:spacing w:after="0" w:line="20" w:lineRule="exact"/>
              <w:rPr>
                <w:sz w:val="1"/>
                <w:szCs w:val="1"/>
                <w:color w:val="auto"/>
              </w:rPr>
            </w:pPr>
          </w:p>
        </w:tc>
        <w:tc>
          <w:tcPr>
            <w:tcW w:w="960" w:type="dxa"/>
            <w:vAlign w:val="bottom"/>
            <w:shd w:val="clear" w:color="auto" w:fill="939598"/>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estimated net loss for the retiree health care plan that will be amortized from accumulated other comprehensive loss into net periodic benefit cost during 2013 is $0.3.</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health care cost trend rate was assumed to remain flat at 7.5% through 2013, then grading to an ultimate rate of 5.0% in 2020. Assumed health care cost trend rates have a significant effect on the amounts reported. A one-percentage point change in the assumed health care cost trend rate would have the following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Borders>
              <w:bottom w:val="single" w:sz="8" w:color="86B6A5"/>
            </w:tcBorders>
          </w:tcPr>
          <w:p>
            <w:pPr>
              <w:spacing w:after="0"/>
              <w:rPr>
                <w:sz w:val="14"/>
                <w:szCs w:val="14"/>
                <w:color w:val="auto"/>
              </w:rPr>
            </w:pPr>
          </w:p>
        </w:tc>
        <w:tc>
          <w:tcPr>
            <w:tcW w:w="3380" w:type="dxa"/>
            <w:vAlign w:val="bottom"/>
            <w:tcBorders>
              <w:bottom w:val="single" w:sz="8" w:color="86B6A5"/>
            </w:tcBorders>
          </w:tcPr>
          <w:p>
            <w:pPr>
              <w:jc w:val="right"/>
              <w:ind w:right="22"/>
              <w:spacing w:after="0"/>
              <w:rPr>
                <w:sz w:val="20"/>
                <w:szCs w:val="20"/>
                <w:color w:val="auto"/>
              </w:rPr>
            </w:pPr>
            <w:r>
              <w:rPr>
                <w:rFonts w:ascii="Arial" w:cs="Arial" w:eastAsia="Arial" w:hAnsi="Arial"/>
                <w:sz w:val="14"/>
                <w:szCs w:val="14"/>
                <w:b w:val="1"/>
                <w:bCs w:val="1"/>
                <w:color w:val="86B6A5"/>
              </w:rPr>
              <w:t>1% Increase</w:t>
            </w:r>
          </w:p>
        </w:tc>
        <w:tc>
          <w:tcPr>
            <w:tcW w:w="340" w:type="dxa"/>
            <w:vAlign w:val="bottom"/>
            <w:tcBorders>
              <w:bottom w:val="single" w:sz="8" w:color="86B6A5"/>
            </w:tcBorders>
          </w:tcPr>
          <w:p>
            <w:pPr>
              <w:spacing w:after="0"/>
              <w:rPr>
                <w:sz w:val="14"/>
                <w:szCs w:val="14"/>
                <w:color w:val="auto"/>
              </w:rPr>
            </w:pPr>
          </w:p>
        </w:tc>
        <w:tc>
          <w:tcPr>
            <w:tcW w:w="300" w:type="dxa"/>
            <w:vAlign w:val="bottom"/>
            <w:tcBorders>
              <w:bottom w:val="single" w:sz="8" w:color="86B6A5"/>
            </w:tcBorders>
          </w:tcPr>
          <w:p>
            <w:pPr>
              <w:spacing w:after="0"/>
              <w:rPr>
                <w:sz w:val="14"/>
                <w:szCs w:val="14"/>
                <w:color w:val="auto"/>
              </w:rPr>
            </w:pPr>
          </w:p>
        </w:tc>
        <w:tc>
          <w:tcPr>
            <w:tcW w:w="1380" w:type="dxa"/>
            <w:vAlign w:val="bottom"/>
            <w:tcBorders>
              <w:bottom w:val="single" w:sz="8" w:color="86B6A5"/>
            </w:tcBorders>
          </w:tcPr>
          <w:p>
            <w:pPr>
              <w:jc w:val="right"/>
              <w:ind w:right="419"/>
              <w:spacing w:after="0"/>
              <w:rPr>
                <w:sz w:val="20"/>
                <w:szCs w:val="20"/>
                <w:color w:val="auto"/>
              </w:rPr>
            </w:pPr>
            <w:r>
              <w:rPr>
                <w:rFonts w:ascii="Arial" w:cs="Arial" w:eastAsia="Arial" w:hAnsi="Arial"/>
                <w:sz w:val="14"/>
                <w:szCs w:val="14"/>
                <w:b w:val="1"/>
                <w:bCs w:val="1"/>
                <w:color w:val="86B6A5"/>
                <w:w w:val="99"/>
              </w:rPr>
              <w:t>1% Decrease</w:t>
            </w:r>
          </w:p>
        </w:tc>
      </w:tr>
      <w:tr>
        <w:trPr>
          <w:trHeight w:val="210"/>
        </w:trPr>
        <w:tc>
          <w:tcPr>
            <w:tcW w:w="20" w:type="dxa"/>
            <w:vAlign w:val="bottom"/>
          </w:tcPr>
          <w:p>
            <w:pPr>
              <w:spacing w:after="0"/>
              <w:rPr>
                <w:sz w:val="18"/>
                <w:szCs w:val="18"/>
                <w:color w:val="auto"/>
              </w:rPr>
            </w:pPr>
          </w:p>
        </w:tc>
        <w:tc>
          <w:tcPr>
            <w:tcW w:w="6000" w:type="dxa"/>
            <w:vAlign w:val="bottom"/>
            <w:shd w:val="clear" w:color="auto" w:fill="E3F1DA"/>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3380" w:type="dxa"/>
            <w:vAlign w:val="bottom"/>
            <w:shd w:val="clear" w:color="auto" w:fill="E3F1DA"/>
          </w:tcPr>
          <w:p>
            <w:pPr>
              <w:jc w:val="right"/>
              <w:ind w:right="1022"/>
              <w:spacing w:after="0"/>
              <w:rPr>
                <w:sz w:val="20"/>
                <w:szCs w:val="20"/>
                <w:color w:val="auto"/>
              </w:rPr>
            </w:pPr>
            <w:r>
              <w:rPr>
                <w:rFonts w:ascii="Arial" w:cs="Arial" w:eastAsia="Arial" w:hAnsi="Arial"/>
                <w:sz w:val="18"/>
                <w:szCs w:val="18"/>
                <w:color w:val="auto"/>
              </w:rPr>
              <w:t>$</w:t>
            </w:r>
          </w:p>
        </w:tc>
        <w:tc>
          <w:tcPr>
            <w:tcW w:w="3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E3F1DA"/>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Borders>
              <w:bottom w:val="single" w:sz="8" w:color="939598"/>
            </w:tcBorders>
          </w:tcPr>
          <w:p>
            <w:pPr>
              <w:spacing w:after="0"/>
              <w:rPr>
                <w:sz w:val="18"/>
                <w:szCs w:val="18"/>
                <w:color w:val="auto"/>
              </w:rPr>
            </w:pPr>
          </w:p>
        </w:tc>
        <w:tc>
          <w:tcPr>
            <w:tcW w:w="60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Effect on benefit obligation</w:t>
            </w:r>
          </w:p>
        </w:tc>
        <w:tc>
          <w:tcPr>
            <w:tcW w:w="3380" w:type="dxa"/>
            <w:vAlign w:val="bottom"/>
            <w:tcBorders>
              <w:bottom w:val="single" w:sz="8" w:color="939598"/>
            </w:tcBorders>
          </w:tcPr>
          <w:p>
            <w:pPr>
              <w:spacing w:after="0"/>
              <w:rPr>
                <w:sz w:val="18"/>
                <w:szCs w:val="18"/>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939598"/>
            </w:tcBorders>
          </w:tcPr>
          <w:p>
            <w:pPr>
              <w:spacing w:after="0"/>
              <w:rPr>
                <w:sz w:val="18"/>
                <w:szCs w:val="18"/>
                <w:color w:val="auto"/>
              </w:rPr>
            </w:pPr>
          </w:p>
        </w:tc>
        <w:tc>
          <w:tcPr>
            <w:tcW w:w="13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(3.5)</w:t>
            </w:r>
          </w:p>
        </w:tc>
      </w:tr>
    </w:tbl>
    <w:p>
      <w:pPr>
        <w:spacing w:after="0" w:line="244"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4D8ABE"/>
        </w:rPr>
        <w:t>FUTURE CONTRIBUTIONS AND PAYMENTS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2013, we plan to contribute $18.0 to our pension plans and to fund our retiree health care payments as incurred. Projected benefit payments from the plans as of December 31, 2012 were estimated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86B6A5"/>
                <w:w w:val="97"/>
              </w:rPr>
              <w:t>Retiree Health</w:t>
            </w:r>
          </w:p>
        </w:tc>
      </w:t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86B6A5"/>
              </w:rPr>
              <w:t>Year</w:t>
            </w:r>
          </w:p>
        </w:tc>
        <w:tc>
          <w:tcPr>
            <w:tcW w:w="3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86B6A5"/>
                <w:w w:val="93"/>
              </w:rPr>
              <w:t>Pension Plans</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86B6A5"/>
              </w:rPr>
              <w:t>Care Plan</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color w:val="auto"/>
              </w:rPr>
              <w:t>2013</w:t>
            </w:r>
          </w:p>
        </w:tc>
        <w:tc>
          <w:tcPr>
            <w:tcW w:w="3500" w:type="dxa"/>
            <w:vAlign w:val="bottom"/>
            <w:tcBorders>
              <w:top w:val="single" w:sz="8" w:color="86B6A5"/>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top w:val="single" w:sz="8" w:color="86B6A5"/>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86B6A5"/>
            </w:tcBorders>
            <w:shd w:val="clear" w:color="auto" w:fill="E3F1DA"/>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86B6A5"/>
            </w:tcBorders>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3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3F1DA"/>
          </w:tcPr>
          <w:p>
            <w:pPr>
              <w:spacing w:after="0"/>
              <w:rPr>
                <w:sz w:val="20"/>
                <w:szCs w:val="20"/>
                <w:color w:val="auto"/>
              </w:rPr>
            </w:pPr>
            <w:r>
              <w:rPr>
                <w:rFonts w:ascii="Arial" w:cs="Arial" w:eastAsia="Arial" w:hAnsi="Arial"/>
                <w:sz w:val="18"/>
                <w:szCs w:val="18"/>
                <w:color w:val="auto"/>
              </w:rPr>
              <w:t>2015</w:t>
            </w:r>
          </w:p>
        </w:tc>
        <w:tc>
          <w:tcPr>
            <w:tcW w:w="3500" w:type="dxa"/>
            <w:vAlign w:val="bottom"/>
            <w:shd w:val="clear" w:color="auto" w:fill="E3F1DA"/>
          </w:tcPr>
          <w:p>
            <w:pPr>
              <w:spacing w:after="0"/>
              <w:rPr>
                <w:sz w:val="18"/>
                <w:szCs w:val="18"/>
                <w:color w:val="auto"/>
              </w:rPr>
            </w:pPr>
          </w:p>
        </w:tc>
        <w:tc>
          <w:tcPr>
            <w:tcW w:w="9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3F1DA"/>
          </w:tcPr>
          <w:p>
            <w:pPr>
              <w:spacing w:after="0"/>
              <w:rPr>
                <w:sz w:val="18"/>
                <w:szCs w:val="18"/>
                <w:color w:val="auto"/>
              </w:rPr>
            </w:pPr>
          </w:p>
        </w:tc>
        <w:tc>
          <w:tcPr>
            <w:tcW w:w="9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2016</w:t>
            </w:r>
          </w:p>
        </w:tc>
        <w:tc>
          <w:tcPr>
            <w:tcW w:w="3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3F1DA"/>
          </w:tcPr>
          <w:p>
            <w:pPr>
              <w:spacing w:after="0"/>
              <w:rPr>
                <w:sz w:val="20"/>
                <w:szCs w:val="20"/>
                <w:color w:val="auto"/>
              </w:rPr>
            </w:pPr>
            <w:r>
              <w:rPr>
                <w:rFonts w:ascii="Arial" w:cs="Arial" w:eastAsia="Arial" w:hAnsi="Arial"/>
                <w:sz w:val="18"/>
                <w:szCs w:val="18"/>
                <w:color w:val="auto"/>
              </w:rPr>
              <w:t>2017</w:t>
            </w:r>
          </w:p>
        </w:tc>
        <w:tc>
          <w:tcPr>
            <w:tcW w:w="3500" w:type="dxa"/>
            <w:vAlign w:val="bottom"/>
            <w:shd w:val="clear" w:color="auto" w:fill="E3F1DA"/>
          </w:tcPr>
          <w:p>
            <w:pPr>
              <w:spacing w:after="0"/>
              <w:rPr>
                <w:sz w:val="18"/>
                <w:szCs w:val="18"/>
                <w:color w:val="auto"/>
              </w:rPr>
            </w:pPr>
          </w:p>
        </w:tc>
        <w:tc>
          <w:tcPr>
            <w:tcW w:w="98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3F1DA"/>
          </w:tcPr>
          <w:p>
            <w:pPr>
              <w:spacing w:after="0"/>
              <w:rPr>
                <w:sz w:val="18"/>
                <w:szCs w:val="18"/>
                <w:color w:val="auto"/>
              </w:rPr>
            </w:pPr>
          </w:p>
        </w:tc>
        <w:tc>
          <w:tcPr>
            <w:tcW w:w="9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2018–2022</w:t>
            </w:r>
          </w:p>
        </w:tc>
        <w:tc>
          <w:tcPr>
            <w:tcW w:w="350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Total projected benefit payments</w:t>
            </w:r>
          </w:p>
        </w:tc>
        <w:tc>
          <w:tcPr>
            <w:tcW w:w="350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144.6</w:t>
            </w:r>
          </w:p>
        </w:tc>
        <w:tc>
          <w:tcPr>
            <w:tcW w:w="260" w:type="dxa"/>
            <w:vAlign w:val="bottom"/>
            <w:tcBorders>
              <w:bottom w:val="single" w:sz="8" w:color="939598"/>
            </w:tcBorders>
            <w:shd w:val="clear" w:color="auto" w:fill="E3F1DA"/>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E3F1DA"/>
            </w:tcBorders>
            <w:shd w:val="clear" w:color="auto" w:fill="E3F1DA"/>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DEFINED CONTRIBUTION PLANS AND DEFERRED COMPENSATION PLANS</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defined contribution plans covering substantially all permanent United States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$21.5, $24.6 and $23.7 for the years ended December 31, 2012, 2011 and 2010, respectively.</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$55.5 and $41.3 as of December 31, 2012 and 2011,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86B6A5"/>
        </w:rPr>
        <w:t>09.</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Accumulated Other Comprehensive Income</w:t>
      </w:r>
    </w:p>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40" w:type="dxa"/>
            <w:vAlign w:val="bottom"/>
            <w:tcBorders>
              <w:bottom w:val="single" w:sz="8" w:color="86B6A5"/>
            </w:tcBorders>
            <w:shd w:val="clear" w:color="auto" w:fill="86B6A5"/>
          </w:tcPr>
          <w:p>
            <w:pPr>
              <w:jc w:val="right"/>
              <w:ind w:right="35"/>
              <w:spacing w:after="0"/>
              <w:rPr>
                <w:sz w:val="20"/>
                <w:szCs w:val="20"/>
                <w:color w:val="auto"/>
              </w:rPr>
            </w:pPr>
            <w:r>
              <w:rPr>
                <w:rFonts w:ascii="Arial" w:cs="Arial" w:eastAsia="Arial" w:hAnsi="Arial"/>
                <w:sz w:val="14"/>
                <w:szCs w:val="14"/>
                <w:b w:val="1"/>
                <w:bCs w:val="1"/>
                <w:color w:val="FFFFFF"/>
              </w:rPr>
              <w:t>2012</w:t>
            </w:r>
          </w:p>
        </w:tc>
        <w:tc>
          <w:tcPr>
            <w:tcW w:w="42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35"/>
              <w:spacing w:after="0"/>
              <w:rPr>
                <w:sz w:val="20"/>
                <w:szCs w:val="20"/>
                <w:color w:val="auto"/>
              </w:rPr>
            </w:pPr>
            <w:r>
              <w:rPr>
                <w:rFonts w:ascii="Arial" w:cs="Arial" w:eastAsia="Arial" w:hAnsi="Arial"/>
                <w:sz w:val="14"/>
                <w:szCs w:val="14"/>
                <w:b w:val="1"/>
                <w:bCs w:val="1"/>
                <w:color w:val="86B6A5"/>
              </w:rPr>
              <w:t>2011</w:t>
            </w: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3F1DA"/>
          </w:tcPr>
          <w:p>
            <w:pPr>
              <w:jc w:val="right"/>
              <w:ind w:right="35"/>
              <w:spacing w:after="0"/>
              <w:rPr>
                <w:sz w:val="20"/>
                <w:szCs w:val="20"/>
                <w:color w:val="auto"/>
              </w:rPr>
            </w:pPr>
            <w:r>
              <w:rPr>
                <w:rFonts w:ascii="Arial" w:cs="Arial" w:eastAsia="Arial" w:hAnsi="Arial"/>
                <w:sz w:val="18"/>
                <w:szCs w:val="18"/>
                <w:color w:val="auto"/>
              </w:rPr>
              <w:t>186.8</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186.6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Translation loss on net investment hedge, net of income taxes of $(31.3) and $(26.5), respectively</w:t>
            </w:r>
          </w:p>
        </w:tc>
        <w:tc>
          <w:tcPr>
            <w:tcW w:w="100" w:type="dxa"/>
            <w:vAlign w:val="bottom"/>
            <w:shd w:val="clear" w:color="auto" w:fill="E3F1DA"/>
          </w:tcPr>
          <w:p>
            <w:pPr>
              <w:spacing w:after="0"/>
              <w:rPr>
                <w:sz w:val="18"/>
                <w:szCs w:val="18"/>
                <w:color w:val="auto"/>
              </w:rPr>
            </w:pPr>
          </w:p>
        </w:tc>
        <w:tc>
          <w:tcPr>
            <w:tcW w:w="1140" w:type="dxa"/>
            <w:vAlign w:val="bottom"/>
            <w:shd w:val="clear" w:color="auto" w:fill="E3F1DA"/>
          </w:tcPr>
          <w:p>
            <w:pPr>
              <w:jc w:val="right"/>
              <w:spacing w:after="0"/>
              <w:rPr>
                <w:sz w:val="20"/>
                <w:szCs w:val="20"/>
                <w:color w:val="auto"/>
              </w:rPr>
            </w:pPr>
            <w:r>
              <w:rPr>
                <w:rFonts w:ascii="Arial" w:cs="Arial" w:eastAsia="Arial" w:hAnsi="Arial"/>
                <w:sz w:val="18"/>
                <w:szCs w:val="18"/>
                <w:color w:val="auto"/>
              </w:rPr>
              <w:t>(51.1)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08"/>
        </w:trPr>
        <w:tc>
          <w:tcPr>
            <w:tcW w:w="8920" w:type="dxa"/>
            <w:vAlign w:val="bottom"/>
          </w:tcPr>
          <w:p>
            <w:pPr>
              <w:spacing w:after="0"/>
              <w:rPr>
                <w:sz w:val="20"/>
                <w:szCs w:val="20"/>
                <w:color w:val="auto"/>
              </w:rPr>
            </w:pPr>
            <w:r>
              <w:rPr>
                <w:rFonts w:ascii="Arial" w:cs="Arial" w:eastAsia="Arial" w:hAnsi="Arial"/>
                <w:sz w:val="18"/>
                <w:szCs w:val="18"/>
                <w:color w:val="auto"/>
              </w:rPr>
              <w:t>Translation loss on long-term intercompany loans</w:t>
            </w:r>
          </w:p>
        </w:tc>
        <w:tc>
          <w:tcPr>
            <w:tcW w:w="100" w:type="dxa"/>
            <w:vAlign w:val="bottom"/>
            <w:shd w:val="clear" w:color="auto" w:fill="E3F1DA"/>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Unrealized gain on investments, net of income taxes of $3.9 and $2.8, respectively</w:t>
            </w:r>
          </w:p>
        </w:tc>
        <w:tc>
          <w:tcPr>
            <w:tcW w:w="100" w:type="dxa"/>
            <w:vAlign w:val="bottom"/>
            <w:shd w:val="clear" w:color="auto" w:fill="E3F1DA"/>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Defined benefit pension plans, net of income taxes of $(22.6) and $(19.5), respectively</w:t>
            </w:r>
          </w:p>
        </w:tc>
        <w:tc>
          <w:tcPr>
            <w:tcW w:w="100" w:type="dxa"/>
            <w:vAlign w:val="bottom"/>
            <w:shd w:val="clear" w:color="auto" w:fill="E3F1DA"/>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89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Retiree health care plan, net of income taxes of $(1.7) and $(0.5), respectively</w:t>
            </w:r>
          </w:p>
        </w:tc>
        <w:tc>
          <w:tcPr>
            <w:tcW w:w="100" w:type="dxa"/>
            <w:vAlign w:val="bottom"/>
            <w:tcBorders>
              <w:bottom w:val="single" w:sz="8" w:color="939598"/>
            </w:tcBorders>
            <w:shd w:val="clear" w:color="auto" w:fill="E3F1DA"/>
          </w:tcPr>
          <w:p>
            <w:pPr>
              <w:spacing w:after="0"/>
              <w:rPr>
                <w:sz w:val="19"/>
                <w:szCs w:val="19"/>
                <w:color w:val="auto"/>
              </w:rPr>
            </w:pP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(0.7)</w:t>
            </w:r>
          </w:p>
        </w:tc>
      </w:tr>
      <w:tr>
        <w:trPr>
          <w:trHeight w:val="211"/>
        </w:trPr>
        <w:tc>
          <w:tcPr>
            <w:tcW w:w="892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rPr>
              <w:t>34.4</w:t>
            </w:r>
          </w:p>
        </w:tc>
        <w:tc>
          <w:tcPr>
            <w:tcW w:w="420" w:type="dxa"/>
            <w:vAlign w:val="bottom"/>
            <w:tcBorders>
              <w:bottom w:val="single" w:sz="8" w:color="939598"/>
            </w:tcBorders>
          </w:tcPr>
          <w:p>
            <w:pPr>
              <w:jc w:val="right"/>
              <w:ind w:right="2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939598"/>
            </w:tcBorders>
          </w:tcPr>
          <w:p>
            <w:pPr>
              <w:jc w:val="right"/>
              <w:ind w:right="35"/>
              <w:spacing w:after="0"/>
              <w:rPr>
                <w:sz w:val="20"/>
                <w:szCs w:val="20"/>
                <w:color w:val="auto"/>
              </w:rPr>
            </w:pPr>
            <w:r>
              <w:rPr>
                <w:rFonts w:ascii="Arial" w:cs="Arial" w:eastAsia="Arial" w:hAnsi="Arial"/>
                <w:sz w:val="18"/>
                <w:szCs w:val="18"/>
                <w:color w:val="auto"/>
              </w:rPr>
              <w:t>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-840105</wp:posOffset>
            </wp:positionV>
            <wp:extent cx="720090" cy="840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090" cy="8407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86B6A5"/>
        </w:rPr>
        <w:t>10.</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Leases</w:t>
      </w:r>
    </w:p>
    <w:p>
      <w:pPr>
        <w:spacing w:after="0" w:line="278"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Year</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80" w:type="dxa"/>
            <w:vAlign w:val="bottom"/>
            <w:tcBorders>
              <w:top w:val="single" w:sz="8" w:color="86B6A5"/>
            </w:tcBorders>
            <w:shd w:val="clear" w:color="auto" w:fill="E3F1DA"/>
          </w:tcPr>
          <w:p>
            <w:pPr>
              <w:spacing w:after="0"/>
              <w:rPr>
                <w:sz w:val="20"/>
                <w:szCs w:val="20"/>
                <w:color w:val="auto"/>
              </w:rPr>
            </w:pPr>
            <w:r>
              <w:rPr>
                <w:rFonts w:ascii="Arial" w:cs="Arial" w:eastAsia="Arial" w:hAnsi="Arial"/>
                <w:sz w:val="18"/>
                <w:szCs w:val="18"/>
                <w:color w:val="auto"/>
              </w:rPr>
              <w:t>2013</w:t>
            </w:r>
          </w:p>
        </w:tc>
        <w:tc>
          <w:tcPr>
            <w:tcW w:w="4400" w:type="dxa"/>
            <w:vAlign w:val="bottom"/>
            <w:tcBorders>
              <w:top w:val="single" w:sz="8" w:color="86B6A5"/>
            </w:tcBorders>
            <w:shd w:val="clear" w:color="auto" w:fill="E3F1DA"/>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86B6A5"/>
            </w:tcBorders>
            <w:shd w:val="clear" w:color="auto" w:fill="E3F1DA"/>
          </w:tcPr>
          <w:p>
            <w:pPr>
              <w:jc w:val="right"/>
              <w:ind w:right="32"/>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44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160.4</w:t>
            </w:r>
          </w:p>
        </w:tc>
      </w:tr>
      <w:tr>
        <w:trPr>
          <w:trHeight w:val="216"/>
        </w:trPr>
        <w:tc>
          <w:tcPr>
            <w:tcW w:w="20" w:type="dxa"/>
            <w:vAlign w:val="bottom"/>
          </w:tcPr>
          <w:p>
            <w:pPr>
              <w:spacing w:after="0"/>
              <w:rPr>
                <w:sz w:val="18"/>
                <w:szCs w:val="18"/>
                <w:color w:val="auto"/>
              </w:rPr>
            </w:pPr>
          </w:p>
        </w:tc>
        <w:tc>
          <w:tcPr>
            <w:tcW w:w="5980" w:type="dxa"/>
            <w:vAlign w:val="bottom"/>
            <w:shd w:val="clear" w:color="auto" w:fill="E3F1DA"/>
          </w:tcPr>
          <w:p>
            <w:pPr>
              <w:spacing w:after="0"/>
              <w:rPr>
                <w:sz w:val="20"/>
                <w:szCs w:val="20"/>
                <w:color w:val="auto"/>
              </w:rPr>
            </w:pPr>
            <w:r>
              <w:rPr>
                <w:rFonts w:ascii="Arial" w:cs="Arial" w:eastAsia="Arial" w:hAnsi="Arial"/>
                <w:sz w:val="18"/>
                <w:szCs w:val="18"/>
                <w:color w:val="auto"/>
              </w:rPr>
              <w:t>2015</w:t>
            </w:r>
          </w:p>
        </w:tc>
        <w:tc>
          <w:tcPr>
            <w:tcW w:w="4400" w:type="dxa"/>
            <w:vAlign w:val="bottom"/>
            <w:shd w:val="clear" w:color="auto" w:fill="E3F1DA"/>
          </w:tcPr>
          <w:p>
            <w:pPr>
              <w:spacing w:after="0"/>
              <w:rPr>
                <w:sz w:val="18"/>
                <w:szCs w:val="18"/>
                <w:color w:val="auto"/>
              </w:rPr>
            </w:pPr>
          </w:p>
        </w:tc>
        <w:tc>
          <w:tcPr>
            <w:tcW w:w="102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119.0</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2016</w:t>
            </w:r>
          </w:p>
        </w:tc>
        <w:tc>
          <w:tcPr>
            <w:tcW w:w="44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87.1</w:t>
            </w:r>
          </w:p>
        </w:tc>
      </w:tr>
      <w:tr>
        <w:trPr>
          <w:trHeight w:val="216"/>
        </w:trPr>
        <w:tc>
          <w:tcPr>
            <w:tcW w:w="20" w:type="dxa"/>
            <w:vAlign w:val="bottom"/>
          </w:tcPr>
          <w:p>
            <w:pPr>
              <w:spacing w:after="0"/>
              <w:rPr>
                <w:sz w:val="18"/>
                <w:szCs w:val="18"/>
                <w:color w:val="auto"/>
              </w:rPr>
            </w:pPr>
          </w:p>
        </w:tc>
        <w:tc>
          <w:tcPr>
            <w:tcW w:w="5980" w:type="dxa"/>
            <w:vAlign w:val="bottom"/>
            <w:shd w:val="clear" w:color="auto" w:fill="E3F1DA"/>
          </w:tcPr>
          <w:p>
            <w:pPr>
              <w:spacing w:after="0"/>
              <w:rPr>
                <w:sz w:val="20"/>
                <w:szCs w:val="20"/>
                <w:color w:val="auto"/>
              </w:rPr>
            </w:pPr>
            <w:r>
              <w:rPr>
                <w:rFonts w:ascii="Arial" w:cs="Arial" w:eastAsia="Arial" w:hAnsi="Arial"/>
                <w:sz w:val="18"/>
                <w:szCs w:val="18"/>
                <w:color w:val="auto"/>
              </w:rPr>
              <w:t>2017</w:t>
            </w:r>
          </w:p>
        </w:tc>
        <w:tc>
          <w:tcPr>
            <w:tcW w:w="4400" w:type="dxa"/>
            <w:vAlign w:val="bottom"/>
            <w:shd w:val="clear" w:color="auto" w:fill="E3F1DA"/>
          </w:tcPr>
          <w:p>
            <w:pPr>
              <w:spacing w:after="0"/>
              <w:rPr>
                <w:sz w:val="18"/>
                <w:szCs w:val="18"/>
                <w:color w:val="auto"/>
              </w:rPr>
            </w:pPr>
          </w:p>
        </w:tc>
        <w:tc>
          <w:tcPr>
            <w:tcW w:w="1020" w:type="dxa"/>
            <w:vAlign w:val="bottom"/>
            <w:shd w:val="clear" w:color="auto" w:fill="E3F1DA"/>
          </w:tcPr>
          <w:p>
            <w:pPr>
              <w:jc w:val="right"/>
              <w:ind w:right="32"/>
              <w:spacing w:after="0"/>
              <w:rPr>
                <w:sz w:val="20"/>
                <w:szCs w:val="20"/>
                <w:color w:val="auto"/>
              </w:rPr>
            </w:pPr>
            <w:r>
              <w:rPr>
                <w:rFonts w:ascii="Arial" w:cs="Arial" w:eastAsia="Arial" w:hAnsi="Arial"/>
                <w:sz w:val="18"/>
                <w:szCs w:val="18"/>
                <w:color w:val="auto"/>
              </w:rPr>
              <w:t>66.8</w:t>
            </w:r>
          </w:p>
        </w:tc>
      </w:tr>
      <w:tr>
        <w:trPr>
          <w:trHeight w:val="216"/>
        </w:trPr>
        <w:tc>
          <w:tcPr>
            <w:tcW w:w="20" w:type="dxa"/>
            <w:vAlign w:val="bottom"/>
          </w:tcPr>
          <w:p>
            <w:pPr>
              <w:spacing w:after="0"/>
              <w:rPr>
                <w:sz w:val="18"/>
                <w:szCs w:val="18"/>
                <w:color w:val="auto"/>
              </w:rPr>
            </w:pPr>
          </w:p>
        </w:tc>
        <w:tc>
          <w:tcPr>
            <w:tcW w:w="598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Thereafter</w:t>
            </w:r>
          </w:p>
        </w:tc>
        <w:tc>
          <w:tcPr>
            <w:tcW w:w="4400" w:type="dxa"/>
            <w:vAlign w:val="bottom"/>
            <w:tcBorders>
              <w:bottom w:val="single" w:sz="8" w:color="939598"/>
            </w:tcBorders>
          </w:tcPr>
          <w:p>
            <w:pPr>
              <w:spacing w:after="0"/>
              <w:rPr>
                <w:sz w:val="18"/>
                <w:szCs w:val="18"/>
                <w:color w:val="auto"/>
              </w:rPr>
            </w:pPr>
          </w:p>
        </w:tc>
        <w:tc>
          <w:tcPr>
            <w:tcW w:w="1020" w:type="dxa"/>
            <w:vAlign w:val="bottom"/>
            <w:tcBorders>
              <w:bottom w:val="single" w:sz="8" w:color="939598"/>
            </w:tcBorders>
          </w:tcPr>
          <w:p>
            <w:pPr>
              <w:jc w:val="right"/>
              <w:ind w:right="32"/>
              <w:spacing w:after="0"/>
              <w:rPr>
                <w:sz w:val="20"/>
                <w:szCs w:val="20"/>
                <w:color w:val="auto"/>
              </w:rPr>
            </w:pPr>
            <w:r>
              <w:rPr>
                <w:rFonts w:ascii="Arial" w:cs="Arial" w:eastAsia="Arial" w:hAnsi="Arial"/>
                <w:sz w:val="18"/>
                <w:szCs w:val="18"/>
                <w:color w:val="auto"/>
              </w:rPr>
              <w:t>154.6</w:t>
            </w:r>
          </w:p>
        </w:tc>
      </w:tr>
      <w:tr>
        <w:trPr>
          <w:trHeight w:val="210"/>
        </w:trPr>
        <w:tc>
          <w:tcPr>
            <w:tcW w:w="20" w:type="dxa"/>
            <w:vAlign w:val="bottom"/>
          </w:tcPr>
          <w:p>
            <w:pPr>
              <w:spacing w:after="0"/>
              <w:rPr>
                <w:sz w:val="18"/>
                <w:szCs w:val="18"/>
                <w:color w:val="auto"/>
              </w:rPr>
            </w:pPr>
          </w:p>
        </w:tc>
        <w:tc>
          <w:tcPr>
            <w:tcW w:w="598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Total minimum lease payments</w:t>
            </w:r>
          </w:p>
        </w:tc>
        <w:tc>
          <w:tcPr>
            <w:tcW w:w="4400" w:type="dxa"/>
            <w:vAlign w:val="bottom"/>
            <w:tcBorders>
              <w:bottom w:val="single" w:sz="8" w:color="939598"/>
            </w:tcBorders>
            <w:shd w:val="clear" w:color="auto" w:fill="E3F1DA"/>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939598"/>
            </w:tcBorders>
            <w:shd w:val="clear" w:color="auto" w:fill="E3F1DA"/>
          </w:tcPr>
          <w:p>
            <w:pPr>
              <w:jc w:val="right"/>
              <w:ind w:right="32"/>
              <w:spacing w:after="0"/>
              <w:rPr>
                <w:sz w:val="20"/>
                <w:szCs w:val="20"/>
                <w:color w:val="auto"/>
              </w:rPr>
            </w:pPr>
            <w:r>
              <w:rPr>
                <w:rFonts w:ascii="Arial" w:cs="Arial" w:eastAsia="Arial" w:hAnsi="Arial"/>
                <w:sz w:val="18"/>
                <w:szCs w:val="18"/>
                <w:color w:val="auto"/>
              </w:rPr>
              <w:t>798.2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$245.1, $254.3 and $248.8 for the years ended December 31, 2012, 2011 and 2010, respectively.</w:t>
      </w:r>
    </w:p>
    <w:p>
      <w:pPr>
        <w:spacing w:after="0" w:line="18" w:lineRule="exact"/>
        <w:rPr>
          <w:sz w:val="20"/>
          <w:szCs w:val="20"/>
          <w:color w:val="auto"/>
        </w:rPr>
      </w:pPr>
    </w:p>
    <w:p>
      <w:pPr>
        <w:ind w:left="580" w:hanging="572"/>
        <w:spacing w:after="0"/>
        <w:tabs>
          <w:tab w:leader="none" w:pos="580"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3" w:name="page94"/>
    <w:bookmarkEnd w:id="93"/>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86B6A5"/>
        </w:rPr>
        <w:t>11.</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Interest and Other Expenses</w:t>
      </w: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500" w:type="dxa"/>
            <w:vAlign w:val="bottom"/>
            <w:tcBorders>
              <w:bottom w:val="single" w:sz="8" w:color="86B6A5"/>
            </w:tcBorders>
            <w:gridSpan w:val="2"/>
            <w:shd w:val="clear" w:color="auto" w:fill="86B6A5"/>
          </w:tcPr>
          <w:p>
            <w:pPr>
              <w:jc w:val="right"/>
              <w:ind w:right="120"/>
              <w:spacing w:after="0"/>
              <w:rPr>
                <w:sz w:val="20"/>
                <w:szCs w:val="20"/>
                <w:color w:val="auto"/>
              </w:rPr>
            </w:pPr>
            <w:r>
              <w:rPr>
                <w:rFonts w:ascii="Arial" w:cs="Arial" w:eastAsia="Arial" w:hAnsi="Arial"/>
                <w:sz w:val="14"/>
                <w:szCs w:val="14"/>
                <w:b w:val="1"/>
                <w:bCs w:val="1"/>
                <w:color w:val="FFFFFF"/>
              </w:rPr>
              <w:t>2012</w:t>
            </w:r>
          </w:p>
        </w:tc>
        <w:tc>
          <w:tcPr>
            <w:tcW w:w="640" w:type="dxa"/>
            <w:vAlign w:val="bottom"/>
            <w:tcBorders>
              <w:bottom w:val="single" w:sz="8" w:color="86B6A5"/>
            </w:tcBorders>
          </w:tcPr>
          <w:p>
            <w:pPr>
              <w:spacing w:after="0"/>
              <w:rPr>
                <w:sz w:val="14"/>
                <w:szCs w:val="14"/>
                <w:color w:val="auto"/>
              </w:rPr>
            </w:pPr>
          </w:p>
        </w:tc>
        <w:tc>
          <w:tcPr>
            <w:tcW w:w="940" w:type="dxa"/>
            <w:vAlign w:val="bottom"/>
            <w:tcBorders>
              <w:bottom w:val="single" w:sz="8" w:color="86B6A5"/>
            </w:tcBorders>
          </w:tcPr>
          <w:p>
            <w:pPr>
              <w:jc w:val="right"/>
              <w:spacing w:after="0"/>
              <w:rPr>
                <w:sz w:val="20"/>
                <w:szCs w:val="20"/>
                <w:color w:val="auto"/>
              </w:rPr>
            </w:pPr>
            <w:r>
              <w:rPr>
                <w:rFonts w:ascii="Arial" w:cs="Arial" w:eastAsia="Arial" w:hAnsi="Arial"/>
                <w:sz w:val="14"/>
                <w:szCs w:val="14"/>
                <w:b w:val="1"/>
                <w:bCs w:val="1"/>
                <w:color w:val="86B6A5"/>
              </w:rPr>
              <w:t>2011</w:t>
            </w:r>
          </w:p>
        </w:tc>
        <w:tc>
          <w:tcPr>
            <w:tcW w:w="66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2010</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3F1DA"/>
          </w:tcPr>
          <w:p>
            <w:pPr>
              <w:jc w:val="right"/>
              <w:ind w:right="120"/>
              <w:spacing w:after="0"/>
              <w:rPr>
                <w:sz w:val="20"/>
                <w:szCs w:val="20"/>
                <w:color w:val="auto"/>
              </w:rPr>
            </w:pPr>
            <w:r>
              <w:rPr>
                <w:rFonts w:ascii="Arial" w:cs="Arial" w:eastAsia="Arial" w:hAnsi="Arial"/>
                <w:sz w:val="18"/>
                <w:szCs w:val="18"/>
                <w:color w:val="auto"/>
              </w:rPr>
              <w:t>41.8</w:t>
            </w:r>
          </w:p>
        </w:tc>
        <w:tc>
          <w:tcPr>
            <w:tcW w:w="640" w:type="dxa"/>
            <w:vAlign w:val="bottom"/>
          </w:tcPr>
          <w:p>
            <w:pPr>
              <w:jc w:val="right"/>
              <w:ind w:right="4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43.7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E3F1DA"/>
          </w:tcPr>
          <w:p>
            <w:pPr>
              <w:spacing w:after="0"/>
              <w:rPr>
                <w:sz w:val="18"/>
                <w:szCs w:val="18"/>
                <w:color w:val="auto"/>
              </w:rPr>
            </w:pPr>
          </w:p>
        </w:tc>
        <w:tc>
          <w:tcPr>
            <w:tcW w:w="1500" w:type="dxa"/>
            <w:vAlign w:val="bottom"/>
            <w:gridSpan w:val="2"/>
            <w:shd w:val="clear" w:color="auto" w:fill="E3F1DA"/>
          </w:tcPr>
          <w:p>
            <w:pPr>
              <w:jc w:val="right"/>
              <w:ind w:right="60"/>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8"/>
        </w:trPr>
        <w:tc>
          <w:tcPr>
            <w:tcW w:w="660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00" w:type="dxa"/>
            <w:vAlign w:val="bottom"/>
            <w:shd w:val="clear" w:color="auto" w:fill="E3F1DA"/>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E3F1DA"/>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3.3</w:t>
            </w:r>
          </w:p>
        </w:tc>
      </w:tr>
      <w:tr>
        <w:trPr>
          <w:trHeight w:val="223"/>
        </w:trPr>
        <w:tc>
          <w:tcPr>
            <w:tcW w:w="66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Miscellaneous expenses, net</w:t>
            </w:r>
          </w:p>
        </w:tc>
        <w:tc>
          <w:tcPr>
            <w:tcW w:w="100" w:type="dxa"/>
            <w:vAlign w:val="bottom"/>
            <w:tcBorders>
              <w:bottom w:val="single" w:sz="8" w:color="939598"/>
            </w:tcBorders>
            <w:shd w:val="clear" w:color="auto" w:fill="E3F1DA"/>
          </w:tcPr>
          <w:p>
            <w:pPr>
              <w:spacing w:after="0"/>
              <w:rPr>
                <w:sz w:val="19"/>
                <w:szCs w:val="19"/>
                <w:color w:val="auto"/>
              </w:rPr>
            </w:pPr>
          </w:p>
        </w:tc>
        <w:tc>
          <w:tcPr>
            <w:tcW w:w="13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939598"/>
            </w:tcBorders>
            <w:shd w:val="clear" w:color="auto" w:fill="E3F1DA"/>
          </w:tcPr>
          <w:p>
            <w:pPr>
              <w:spacing w:after="0"/>
              <w:rPr>
                <w:sz w:val="19"/>
                <w:szCs w:val="19"/>
                <w:color w:val="auto"/>
              </w:rPr>
            </w:pPr>
          </w:p>
        </w:tc>
        <w:tc>
          <w:tcPr>
            <w:tcW w:w="640" w:type="dxa"/>
            <w:vAlign w:val="bottom"/>
            <w:tcBorders>
              <w:bottom w:val="single" w:sz="8" w:color="939598"/>
            </w:tcBorders>
          </w:tcPr>
          <w:p>
            <w:pPr>
              <w:spacing w:after="0"/>
              <w:rPr>
                <w:sz w:val="19"/>
                <w:szCs w:val="19"/>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939598"/>
            </w:tcBorders>
          </w:tcPr>
          <w:p>
            <w:pPr>
              <w:spacing w:after="0"/>
              <w:rPr>
                <w:sz w:val="19"/>
                <w:szCs w:val="19"/>
                <w:color w:val="auto"/>
              </w:rPr>
            </w:pPr>
          </w:p>
        </w:tc>
        <w:tc>
          <w:tcPr>
            <w:tcW w:w="98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2.4</w:t>
            </w:r>
          </w:p>
        </w:tc>
      </w:tr>
      <w:tr>
        <w:trPr>
          <w:trHeight w:val="211"/>
        </w:trPr>
        <w:tc>
          <w:tcPr>
            <w:tcW w:w="66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Borders>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939598"/>
            </w:tcBorders>
            <w:shd w:val="clear" w:color="auto" w:fill="E3F1DA"/>
          </w:tcPr>
          <w:p>
            <w:pPr>
              <w:spacing w:after="0"/>
              <w:rPr>
                <w:sz w:val="18"/>
                <w:szCs w:val="18"/>
                <w:color w:val="auto"/>
              </w:rPr>
            </w:pPr>
          </w:p>
        </w:tc>
        <w:tc>
          <w:tcPr>
            <w:tcW w:w="640" w:type="dxa"/>
            <w:vAlign w:val="bottom"/>
            <w:tcBorders>
              <w:bottom w:val="single" w:sz="8" w:color="939598"/>
            </w:tcBorders>
          </w:tcPr>
          <w:p>
            <w:pPr>
              <w:jc w:val="right"/>
              <w:ind w:right="4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44.3</w:t>
            </w:r>
          </w:p>
        </w:tc>
        <w:tc>
          <w:tcPr>
            <w:tcW w:w="660" w:type="dxa"/>
            <w:vAlign w:val="bottom"/>
            <w:tcBorders>
              <w:bottom w:val="single" w:sz="8" w:color="939598"/>
            </w:tcBorders>
          </w:tcPr>
          <w:p>
            <w:pPr>
              <w:jc w:val="right"/>
              <w:ind w:right="4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-565150</wp:posOffset>
            </wp:positionV>
            <wp:extent cx="875030" cy="565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5030" cy="56578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86B6A5"/>
        </w:rPr>
        <w:t>12.</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Derivative Financial Instruments</w:t>
      </w:r>
    </w:p>
    <w:p>
      <w:pPr>
        <w:jc w:val="both"/>
        <w:spacing w:after="0" w:line="287"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manage interest rate risk through the use of a combination of fixed and variable rate borrowings. In the past, we have also used interest rate swap agreements, however, we have not had any such agreements in 2012, 2011 or 2010. In accordance with the current accounting guidance for derivative instruments and hedging activities, we record all of our derivative instruments as either an asset or liability measured at their fair values.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FOREIGN CURRENCY EXCHANGE RATE RISK MANAGEMENT</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€350.0 ($461.7) Notes and the €200.0 ($263.8) Notes were designated as economic hedges of our net investment in our foreign subsidiaries with a euro functional currency as of December 31, 2012.</w:t>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derivatives designated as an economic hedge of the foreign currency exposure of a net investment in a foreign subsidiary, the gain or loss associated with foreign currency translation is recorded as a component of accumulated other comprehensive income, net of taxes. As of December 31, 2012, we had a $51.1 unrealized loss included in accumulated other comprehensive income, net of taxes, as the net investment hedge was deemed effective.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$0.8 associated with our forward contracts in interest and other expenses for the year ended December 31, 2012, offsetting the losses recorded for the items noted above.</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fair value measurements of these items recorded in our Consolidated Balance Sheets as of December 31, 2012 and 2011 are disclosed in Note 1 to the Consolidated Financial Statements.</w:t>
      </w:r>
    </w:p>
    <w:p>
      <w:pPr>
        <w:spacing w:after="0" w:line="1" w:lineRule="exact"/>
        <w:rPr>
          <w:sz w:val="20"/>
          <w:szCs w:val="20"/>
          <w:color w:val="auto"/>
        </w:rPr>
      </w:pPr>
    </w:p>
    <w:p>
      <w:pPr>
        <w:ind w:left="580" w:hanging="572"/>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86B6A5"/>
        </w:rPr>
        <w:t>13.</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86B6A5"/>
        </w:rPr>
        <w:t>Contingencies</w:t>
      </w:r>
    </w:p>
    <w:p>
      <w:pPr>
        <w:spacing w:after="0"/>
        <w:rPr>
          <w:sz w:val="20"/>
          <w:szCs w:val="20"/>
          <w:color w:val="auto"/>
        </w:rPr>
      </w:pPr>
      <w:r>
        <w:rPr>
          <w:rFonts w:ascii="Arial" w:cs="Arial" w:eastAsia="Arial" w:hAnsi="Arial"/>
          <w:sz w:val="18"/>
          <w:szCs w:val="18"/>
          <w:b w:val="1"/>
          <w:bCs w:val="1"/>
          <w:color w:val="4D8ABE"/>
        </w:rPr>
        <w:t>LITIGATION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the Company is named as defendant in various legal proceedings in which claims are asserted against the Company. We record reserves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2012, we recorded legal costs of $10.0 in the United States for various legal matters, the majority of which was related to our entry into a settlement agreement in connection with a purported class action lawsuit involving allegations regarding our vacation pay policies in Illinois. Under the settlement agreement, we agreed to pay $8.0 plus certain related taxes and administrative fees. We maintain that our vacation pay policies were appropriate and we admit no liability or wrongdoing, but we believe that settlement is in our best interest to avoid the costs and disruption of ongoing litigation.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GUARANTEES</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entered into certain guarantee contracts and stand-by letters of credit that total $166.8 ($128.9 for guarantees and $37.9 for stand-by letters of credit) as of December 31, 2012.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86B6A5"/>
        </w:rPr>
        <w:t>14.</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86B6A5"/>
        </w:rPr>
        <w:t>Segment Data</w:t>
      </w:r>
    </w:p>
    <w:p>
      <w:pPr>
        <w:spacing w:after="0" w:line="273" w:lineRule="auto"/>
        <w:rPr>
          <w:sz w:val="20"/>
          <w:szCs w:val="20"/>
          <w:color w:val="auto"/>
        </w:rPr>
      </w:pPr>
      <w:r>
        <w:rPr>
          <w:rFonts w:ascii="Arial" w:cs="Arial" w:eastAsia="Arial" w:hAnsi="Arial"/>
          <w:sz w:val="17"/>
          <w:szCs w:val="17"/>
          <w:color w:val="auto"/>
        </w:rPr>
        <w:t xml:space="preserve">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w:t>
      </w:r>
      <w:r>
        <w:rPr>
          <w:rFonts w:ascii="Arial" w:cs="Arial" w:eastAsia="Arial" w:hAnsi="Arial"/>
          <w:sz w:val="16"/>
          <w:szCs w:val="16"/>
          <w:color w:val="auto"/>
        </w:rPr>
        <w:t>Each operation reports directly or</w:t>
      </w:r>
      <w:r>
        <w:rPr>
          <w:rFonts w:ascii="Arial" w:cs="Arial" w:eastAsia="Arial" w:hAnsi="Arial"/>
          <w:sz w:val="17"/>
          <w:szCs w:val="17"/>
          <w:color w:val="auto"/>
        </w:rPr>
        <w:t xml:space="preserve"> </w:t>
      </w:r>
      <w:r>
        <w:rPr>
          <w:rFonts w:ascii="Arial" w:cs="Arial" w:eastAsia="Arial" w:hAnsi="Arial"/>
          <w:sz w:val="16"/>
          <w:szCs w:val="16"/>
          <w:color w:val="auto"/>
        </w:rPr>
        <w:t>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Recruitment Process Outsourcing (RPO), Borderless Talent Solutions (BTS) and Strategic Workforce Consulting (SWC).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5" w:name="page96"/>
    <w:bookmarkEnd w:id="95"/>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Total assets for the segments are reported after the elimination of investments in subsidiaries and intercompany accounts.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180" w:type="dxa"/>
            <w:vAlign w:val="bottom"/>
            <w:tcBorders>
              <w:bottom w:val="single" w:sz="8" w:color="86B6A5"/>
            </w:tcBorders>
          </w:tcPr>
          <w:p>
            <w:pPr>
              <w:spacing w:after="0"/>
              <w:rPr>
                <w:sz w:val="14"/>
                <w:szCs w:val="14"/>
                <w:color w:val="auto"/>
              </w:rPr>
            </w:pPr>
          </w:p>
        </w:tc>
        <w:tc>
          <w:tcPr>
            <w:tcW w:w="920" w:type="dxa"/>
            <w:vAlign w:val="bottom"/>
            <w:tcBorders>
              <w:bottom w:val="single" w:sz="8" w:color="86B6A5"/>
            </w:tcBorders>
          </w:tcPr>
          <w:p>
            <w:pPr>
              <w:jc w:val="right"/>
              <w:ind w:right="113"/>
              <w:spacing w:after="0"/>
              <w:rPr>
                <w:sz w:val="20"/>
                <w:szCs w:val="20"/>
                <w:color w:val="auto"/>
              </w:rPr>
            </w:pPr>
            <w:r>
              <w:rPr>
                <w:rFonts w:ascii="Arial" w:cs="Arial" w:eastAsia="Arial" w:hAnsi="Arial"/>
                <w:sz w:val="14"/>
                <w:szCs w:val="14"/>
                <w:b w:val="1"/>
                <w:bCs w:val="1"/>
                <w:color w:val="86B6A5"/>
              </w:rPr>
              <w:t>2011</w:t>
            </w:r>
          </w:p>
        </w:tc>
        <w:tc>
          <w:tcPr>
            <w:tcW w:w="34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line="210" w:lineRule="exact"/>
              <w:rPr>
                <w:sz w:val="20"/>
                <w:szCs w:val="20"/>
                <w:color w:val="auto"/>
              </w:rPr>
            </w:pPr>
            <w:r>
              <w:rPr>
                <w:rFonts w:ascii="Arial" w:cs="Arial" w:eastAsia="Arial" w:hAnsi="Arial"/>
                <w:sz w:val="18"/>
                <w:szCs w:val="18"/>
                <w:b w:val="1"/>
                <w:bCs w:val="1"/>
                <w:color w:val="939598"/>
              </w:rPr>
              <w:t>Revenues from Services</w:t>
            </w:r>
            <w:r>
              <w:rPr>
                <w:rFonts w:ascii="Arial" w:cs="Arial" w:eastAsia="Arial" w:hAnsi="Arial"/>
                <w:sz w:val="24"/>
                <w:szCs w:val="24"/>
                <w:b w:val="1"/>
                <w:bCs w:val="1"/>
                <w:color w:val="939598"/>
                <w:vertAlign w:val="superscript"/>
              </w:rPr>
              <w:t>(a)</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5"/>
        </w:trPr>
        <w:tc>
          <w:tcPr>
            <w:tcW w:w="7860" w:type="dxa"/>
            <w:vAlign w:val="bottom"/>
            <w:gridSpan w:val="2"/>
          </w:tcPr>
          <w:p>
            <w:pPr>
              <w:spacing w:after="0" w:line="205" w:lineRule="exact"/>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7"/>
                <w:szCs w:val="17"/>
                <w:color w:val="auto"/>
              </w:rPr>
            </w:pPr>
          </w:p>
        </w:tc>
        <w:tc>
          <w:tcPr>
            <w:tcW w:w="1160" w:type="dxa"/>
            <w:vAlign w:val="bottom"/>
            <w:shd w:val="clear" w:color="auto" w:fill="E3F1DA"/>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140"/>
              <w:spacing w:after="0" w:line="219" w:lineRule="exact"/>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(b)</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3,010.5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3,137.3</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2,783.4</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1,585.4</w:t>
            </w:r>
          </w:p>
        </w:tc>
        <w:tc>
          <w:tcPr>
            <w:tcW w:w="18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1,512.1</w:t>
            </w:r>
          </w:p>
        </w:tc>
        <w:tc>
          <w:tcPr>
            <w:tcW w:w="34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1,265.5</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4,595.9</w:t>
            </w:r>
          </w:p>
        </w:tc>
        <w:tc>
          <w:tcPr>
            <w:tcW w:w="18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4,649.4</w:t>
            </w:r>
          </w:p>
        </w:tc>
        <w:tc>
          <w:tcPr>
            <w:tcW w:w="3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4,048.9</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5,425.6</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6,179.1</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5,208.6</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1,056.8</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1,255.8</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1,044.2</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768.5</w:t>
            </w:r>
          </w:p>
        </w:tc>
        <w:tc>
          <w:tcPr>
            <w:tcW w:w="18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776.9</w:t>
            </w:r>
          </w:p>
        </w:tc>
        <w:tc>
          <w:tcPr>
            <w:tcW w:w="34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698.9</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7,250.9</w:t>
            </w:r>
          </w:p>
        </w:tc>
        <w:tc>
          <w:tcPr>
            <w:tcW w:w="18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8,211.8</w:t>
            </w:r>
          </w:p>
        </w:tc>
        <w:tc>
          <w:tcPr>
            <w:tcW w:w="3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6,951.7</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5,773.9</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6,159.4</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5,344.1</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2,728.8</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2,661.7</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2,147.2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328.5</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323.7</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374.6</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20,678.0</w:t>
            </w:r>
          </w:p>
        </w:tc>
        <w:tc>
          <w:tcPr>
            <w:tcW w:w="180" w:type="dxa"/>
            <w:vAlign w:val="bottom"/>
            <w:tcBorders>
              <w:top w:val="single" w:sz="8" w:color="939598"/>
              <w:bottom w:val="single" w:sz="8" w:color="939598"/>
            </w:tcBorders>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w w:val="99"/>
              </w:rPr>
              <w:t>22,006.0</w:t>
            </w:r>
          </w:p>
        </w:tc>
        <w:tc>
          <w:tcPr>
            <w:tcW w:w="340" w:type="dxa"/>
            <w:vAlign w:val="bottom"/>
            <w:tcBorders>
              <w:top w:val="single" w:sz="8" w:color="939598"/>
              <w:bottom w:val="single" w:sz="8" w:color="939598"/>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18,866.5</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939598"/>
              </w:rPr>
              <w:t>Operating Unit Profit (Loss)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60.8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94.1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42.8</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50.6</w:t>
            </w:r>
          </w:p>
        </w:tc>
        <w:tc>
          <w:tcPr>
            <w:tcW w:w="18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47.8</w:t>
            </w:r>
          </w:p>
        </w:tc>
        <w:tc>
          <w:tcPr>
            <w:tcW w:w="34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36.5</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111.4</w:t>
            </w:r>
          </w:p>
        </w:tc>
        <w:tc>
          <w:tcPr>
            <w:tcW w:w="18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141.9</w:t>
            </w:r>
          </w:p>
        </w:tc>
        <w:tc>
          <w:tcPr>
            <w:tcW w:w="3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79.3</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85.2</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47.1</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74.1</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7.2</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112.2</w:t>
            </w:r>
          </w:p>
        </w:tc>
        <w:tc>
          <w:tcPr>
            <w:tcW w:w="18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170.1</w:t>
            </w:r>
          </w:p>
        </w:tc>
        <w:tc>
          <w:tcPr>
            <w:tcW w:w="3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101.8</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159.8</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212.6</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150.2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spacing w:after="0"/>
              <w:rPr>
                <w:sz w:val="18"/>
                <w:szCs w:val="18"/>
                <w:color w:val="auto"/>
              </w:rPr>
            </w:pP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487.5</w:t>
            </w:r>
          </w:p>
        </w:tc>
        <w:tc>
          <w:tcPr>
            <w:tcW w:w="18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rPr>
              <w:t>602.0</w:t>
            </w:r>
          </w:p>
        </w:tc>
        <w:tc>
          <w:tcPr>
            <w:tcW w:w="340" w:type="dxa"/>
            <w:vAlign w:val="bottom"/>
            <w:tcBorders>
              <w:top w:val="single" w:sz="8" w:color="939598"/>
              <w:bottom w:val="single" w:sz="8" w:color="939598"/>
            </w:tcBorders>
          </w:tcPr>
          <w:p>
            <w:pPr>
              <w:spacing w:after="0"/>
              <w:rPr>
                <w:sz w:val="18"/>
                <w:szCs w:val="18"/>
                <w:color w:val="auto"/>
              </w:rPr>
            </w:pPr>
          </w:p>
        </w:tc>
        <w:tc>
          <w:tcPr>
            <w:tcW w:w="86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382.0</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Corporate expenses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193"/>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(123.1)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16"/>
        </w:trPr>
        <w:tc>
          <w:tcPr>
            <w:tcW w:w="7860" w:type="dxa"/>
            <w:vAlign w:val="bottom"/>
            <w:gridSpan w:val="2"/>
          </w:tcPr>
          <w:p>
            <w:pPr>
              <w:spacing w:after="0" w:line="205" w:lineRule="exact"/>
              <w:rPr>
                <w:sz w:val="20"/>
                <w:szCs w:val="20"/>
                <w:color w:val="auto"/>
              </w:rPr>
            </w:pPr>
            <w:r>
              <w:rPr>
                <w:rFonts w:ascii="Arial" w:cs="Arial" w:eastAsia="Arial" w:hAnsi="Arial"/>
                <w:sz w:val="18"/>
                <w:szCs w:val="18"/>
                <w:color w:val="auto"/>
              </w:rPr>
              <w:t>Goodwill and intangible asset impairment charges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line="20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113"/>
              <w:spacing w:after="0" w:line="20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(428.8)</w:t>
            </w:r>
          </w:p>
        </w:tc>
      </w:tr>
      <w:tr>
        <w:trPr>
          <w:trHeight w:val="205"/>
        </w:trPr>
        <w:tc>
          <w:tcPr>
            <w:tcW w:w="7860" w:type="dxa"/>
            <w:vAlign w:val="bottom"/>
            <w:gridSpan w:val="2"/>
          </w:tcPr>
          <w:p>
            <w:pPr>
              <w:spacing w:after="0" w:line="204"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(c)</w:t>
            </w:r>
          </w:p>
        </w:tc>
        <w:tc>
          <w:tcPr>
            <w:tcW w:w="100" w:type="dxa"/>
            <w:vAlign w:val="bottom"/>
            <w:shd w:val="clear" w:color="auto" w:fill="E3F1DA"/>
          </w:tcPr>
          <w:p>
            <w:pPr>
              <w:spacing w:after="0"/>
              <w:rPr>
                <w:sz w:val="17"/>
                <w:szCs w:val="17"/>
                <w:color w:val="auto"/>
              </w:rPr>
            </w:pPr>
          </w:p>
        </w:tc>
        <w:tc>
          <w:tcPr>
            <w:tcW w:w="1160" w:type="dxa"/>
            <w:vAlign w:val="bottom"/>
          </w:tcPr>
          <w:p>
            <w:pPr>
              <w:jc w:val="right"/>
              <w:ind w:right="193"/>
              <w:spacing w:after="0" w:line="205" w:lineRule="exact"/>
              <w:rPr>
                <w:sz w:val="20"/>
                <w:szCs w:val="20"/>
                <w:color w:val="auto"/>
              </w:rPr>
            </w:pPr>
            <w:r>
              <w:rPr>
                <w:rFonts w:ascii="Arial" w:cs="Arial" w:eastAsia="Arial" w:hAnsi="Arial"/>
                <w:sz w:val="18"/>
                <w:szCs w:val="18"/>
                <w:color w:val="auto"/>
              </w:rPr>
              <w:t>(36.7)</w:t>
            </w:r>
          </w:p>
        </w:tc>
        <w:tc>
          <w:tcPr>
            <w:tcW w:w="180" w:type="dxa"/>
            <w:vAlign w:val="bottom"/>
          </w:tcPr>
          <w:p>
            <w:pPr>
              <w:spacing w:after="0"/>
              <w:rPr>
                <w:sz w:val="17"/>
                <w:szCs w:val="17"/>
                <w:color w:val="auto"/>
              </w:rPr>
            </w:pPr>
          </w:p>
        </w:tc>
        <w:tc>
          <w:tcPr>
            <w:tcW w:w="920" w:type="dxa"/>
            <w:vAlign w:val="bottom"/>
          </w:tcPr>
          <w:p>
            <w:pPr>
              <w:jc w:val="right"/>
              <w:ind w:right="53"/>
              <w:spacing w:after="0" w:line="205" w:lineRule="exact"/>
              <w:rPr>
                <w:sz w:val="20"/>
                <w:szCs w:val="20"/>
                <w:color w:val="auto"/>
              </w:rPr>
            </w:pPr>
            <w:r>
              <w:rPr>
                <w:rFonts w:ascii="Arial" w:cs="Arial" w:eastAsia="Arial" w:hAnsi="Arial"/>
                <w:sz w:val="18"/>
                <w:szCs w:val="18"/>
                <w:color w:val="auto"/>
              </w:rPr>
              <w:t>(38.9)</w:t>
            </w:r>
          </w:p>
        </w:tc>
        <w:tc>
          <w:tcPr>
            <w:tcW w:w="34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(39.3)</w:t>
            </w:r>
          </w:p>
        </w:tc>
      </w:tr>
      <w:tr>
        <w:trPr>
          <w:trHeight w:val="219"/>
        </w:trPr>
        <w:tc>
          <w:tcPr>
            <w:tcW w:w="7860" w:type="dxa"/>
            <w:vAlign w:val="bottom"/>
            <w:gridSpan w:val="2"/>
          </w:tcPr>
          <w:p>
            <w:pPr>
              <w:spacing w:after="0" w:line="219" w:lineRule="exact"/>
              <w:rPr>
                <w:sz w:val="20"/>
                <w:szCs w:val="20"/>
                <w:color w:val="auto"/>
              </w:rPr>
            </w:pPr>
            <w:r>
              <w:rPr>
                <w:rFonts w:ascii="Arial" w:cs="Arial" w:eastAsia="Arial" w:hAnsi="Arial"/>
                <w:sz w:val="18"/>
                <w:szCs w:val="18"/>
                <w:color w:val="auto"/>
              </w:rPr>
              <w:t>Reclassification of French business tax</w:t>
            </w:r>
            <w:r>
              <w:rPr>
                <w:rFonts w:ascii="Arial" w:cs="Arial" w:eastAsia="Arial" w:hAnsi="Arial"/>
                <w:sz w:val="24"/>
                <w:szCs w:val="24"/>
                <w:color w:val="auto"/>
                <w:vertAlign w:val="superscript"/>
              </w:rPr>
              <w:t>(d)</w:t>
            </w:r>
          </w:p>
        </w:tc>
        <w:tc>
          <w:tcPr>
            <w:tcW w:w="100" w:type="dxa"/>
            <w:vAlign w:val="bottom"/>
            <w:shd w:val="clear" w:color="auto" w:fill="E3F1DA"/>
          </w:tcPr>
          <w:p>
            <w:pPr>
              <w:spacing w:after="0"/>
              <w:rPr>
                <w:sz w:val="19"/>
                <w:szCs w:val="19"/>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65.3</w:t>
            </w:r>
          </w:p>
        </w:tc>
      </w:tr>
      <w:tr>
        <w:trPr>
          <w:trHeight w:val="223"/>
        </w:trPr>
        <w:tc>
          <w:tcPr>
            <w:tcW w:w="7860" w:type="dxa"/>
            <w:vAlign w:val="bottom"/>
            <w:tcBorders>
              <w:bottom w:val="single" w:sz="8" w:color="939598"/>
            </w:tcBorders>
            <w:gridSpan w:val="2"/>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tcPr>
          <w:p>
            <w:pPr>
              <w:jc w:val="right"/>
              <w:ind w:right="193"/>
              <w:spacing w:after="0"/>
              <w:rPr>
                <w:sz w:val="20"/>
                <w:szCs w:val="20"/>
                <w:color w:val="auto"/>
              </w:rPr>
            </w:pPr>
            <w:r>
              <w:rPr>
                <w:rFonts w:ascii="Arial" w:cs="Arial" w:eastAsia="Arial" w:hAnsi="Arial"/>
                <w:sz w:val="18"/>
                <w:szCs w:val="18"/>
                <w:color w:val="auto"/>
              </w:rPr>
              <w:t>(43.3)</w:t>
            </w:r>
          </w:p>
        </w:tc>
        <w:tc>
          <w:tcPr>
            <w:tcW w:w="18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(44.3)</w:t>
            </w:r>
          </w:p>
        </w:tc>
        <w:tc>
          <w:tcPr>
            <w:tcW w:w="34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(43.2)</w:t>
            </w:r>
          </w:p>
        </w:tc>
      </w:tr>
      <w:tr>
        <w:trPr>
          <w:trHeight w:val="211"/>
        </w:trPr>
        <w:tc>
          <w:tcPr>
            <w:tcW w:w="7860" w:type="dxa"/>
            <w:vAlign w:val="bottom"/>
            <w:gridSpan w:val="2"/>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368.4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479.9</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939598"/>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c>
          <w:tcPr>
            <w:tcW w:w="1160" w:type="dxa"/>
            <w:vAlign w:val="bottom"/>
            <w:shd w:val="clear" w:color="auto" w:fill="939598"/>
          </w:tcPr>
          <w:p>
            <w:pPr>
              <w:spacing w:after="0" w:line="20" w:lineRule="exact"/>
              <w:rPr>
                <w:sz w:val="1"/>
                <w:szCs w:val="1"/>
                <w:color w:val="auto"/>
              </w:rPr>
            </w:pPr>
          </w:p>
        </w:tc>
        <w:tc>
          <w:tcPr>
            <w:tcW w:w="180" w:type="dxa"/>
            <w:vAlign w:val="bottom"/>
            <w:shd w:val="clear" w:color="auto" w:fill="939598"/>
          </w:tcPr>
          <w:p>
            <w:pPr>
              <w:spacing w:after="0" w:line="20" w:lineRule="exact"/>
              <w:rPr>
                <w:sz w:val="1"/>
                <w:szCs w:val="1"/>
                <w:color w:val="auto"/>
              </w:rPr>
            </w:pPr>
          </w:p>
        </w:tc>
        <w:tc>
          <w:tcPr>
            <w:tcW w:w="920" w:type="dxa"/>
            <w:vAlign w:val="bottom"/>
            <w:shd w:val="clear" w:color="auto" w:fill="939598"/>
          </w:tcPr>
          <w:p>
            <w:pPr>
              <w:spacing w:after="0" w:line="20" w:lineRule="exact"/>
              <w:rPr>
                <w:sz w:val="1"/>
                <w:szCs w:val="1"/>
                <w:color w:val="auto"/>
              </w:rPr>
            </w:pPr>
          </w:p>
        </w:tc>
        <w:tc>
          <w:tcPr>
            <w:tcW w:w="340" w:type="dxa"/>
            <w:vAlign w:val="bottom"/>
            <w:shd w:val="clear" w:color="auto" w:fill="939598"/>
          </w:tcPr>
          <w:p>
            <w:pPr>
              <w:spacing w:after="0" w:line="20" w:lineRule="exact"/>
              <w:rPr>
                <w:sz w:val="1"/>
                <w:szCs w:val="1"/>
                <w:color w:val="auto"/>
              </w:rPr>
            </w:pPr>
          </w:p>
        </w:tc>
        <w:tc>
          <w:tcPr>
            <w:tcW w:w="860" w:type="dxa"/>
            <w:vAlign w:val="bottom"/>
            <w:shd w:val="clear" w:color="auto" w:fill="93959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-702310</wp:posOffset>
            </wp:positionV>
            <wp:extent cx="728980" cy="702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702945"/>
                    </a:xfrm>
                    <a:prstGeom prst="rect">
                      <a:avLst/>
                    </a:prstGeom>
                    <a:noFill/>
                  </pic:spPr>
                </pic:pic>
              </a:graphicData>
            </a:graphic>
          </wp:anchor>
        </w:drawing>
      </w:r>
    </w:p>
    <w:p>
      <w:pPr>
        <w:spacing w:after="0" w:line="228"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Further breakdown of revenues from services by geographical region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Revenues from Services</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6"/>
              <w:spacing w:after="0"/>
              <w:rPr>
                <w:sz w:val="20"/>
                <w:szCs w:val="20"/>
                <w:color w:val="auto"/>
              </w:rPr>
            </w:pPr>
            <w:r>
              <w:rPr>
                <w:rFonts w:ascii="Arial" w:cs="Arial" w:eastAsia="Arial" w:hAnsi="Arial"/>
                <w:sz w:val="14"/>
                <w:szCs w:val="14"/>
                <w:b w:val="1"/>
                <w:bCs w:val="1"/>
                <w:color w:val="FFFFFF"/>
              </w:rPr>
              <w:t>2012</w:t>
            </w:r>
          </w:p>
        </w:tc>
        <w:tc>
          <w:tcPr>
            <w:tcW w:w="180" w:type="dxa"/>
            <w:vAlign w:val="bottom"/>
            <w:tcBorders>
              <w:bottom w:val="single" w:sz="8" w:color="86B6A5"/>
            </w:tcBorders>
          </w:tcPr>
          <w:p>
            <w:pPr>
              <w:spacing w:after="0"/>
              <w:rPr>
                <w:sz w:val="14"/>
                <w:szCs w:val="14"/>
                <w:color w:val="auto"/>
              </w:rPr>
            </w:pPr>
          </w:p>
        </w:tc>
        <w:tc>
          <w:tcPr>
            <w:tcW w:w="900" w:type="dxa"/>
            <w:vAlign w:val="bottom"/>
            <w:tcBorders>
              <w:bottom w:val="single" w:sz="8" w:color="86B6A5"/>
            </w:tcBorders>
          </w:tcPr>
          <w:p>
            <w:pPr>
              <w:jc w:val="right"/>
              <w:ind w:right="96"/>
              <w:spacing w:after="0"/>
              <w:rPr>
                <w:sz w:val="20"/>
                <w:szCs w:val="20"/>
                <w:color w:val="auto"/>
              </w:rPr>
            </w:pPr>
            <w:r>
              <w:rPr>
                <w:rFonts w:ascii="Arial" w:cs="Arial" w:eastAsia="Arial" w:hAnsi="Arial"/>
                <w:sz w:val="14"/>
                <w:szCs w:val="14"/>
                <w:b w:val="1"/>
                <w:bCs w:val="1"/>
                <w:color w:val="86B6A5"/>
              </w:rPr>
              <w:t>2011</w:t>
            </w:r>
          </w:p>
        </w:tc>
        <w:tc>
          <w:tcPr>
            <w:tcW w:w="360" w:type="dxa"/>
            <w:vAlign w:val="bottom"/>
            <w:tcBorders>
              <w:bottom w:val="single" w:sz="8" w:color="86B6A5"/>
            </w:tcBorders>
          </w:tcPr>
          <w:p>
            <w:pPr>
              <w:spacing w:after="0"/>
              <w:rPr>
                <w:sz w:val="14"/>
                <w:szCs w:val="14"/>
                <w:color w:val="auto"/>
              </w:rPr>
            </w:pPr>
          </w:p>
        </w:tc>
        <w:tc>
          <w:tcPr>
            <w:tcW w:w="86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3,132.0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3,254.6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2,940.1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5,448.3</w:t>
            </w:r>
          </w:p>
        </w:tc>
        <w:tc>
          <w:tcPr>
            <w:tcW w:w="18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6,201.9</w:t>
            </w:r>
          </w:p>
        </w:tc>
        <w:tc>
          <w:tcPr>
            <w:tcW w:w="3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5,240.7</w:t>
            </w:r>
          </w:p>
        </w:tc>
      </w:tr>
      <w:tr>
        <w:trPr>
          <w:trHeight w:val="208"/>
        </w:trPr>
        <w:tc>
          <w:tcPr>
            <w:tcW w:w="7860" w:type="dxa"/>
            <w:vAlign w:val="bottom"/>
          </w:tcPr>
          <w:p>
            <w:pPr>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1,061.6</w:t>
            </w:r>
          </w:p>
        </w:tc>
        <w:tc>
          <w:tcPr>
            <w:tcW w:w="18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1,277.1</w:t>
            </w:r>
          </w:p>
        </w:tc>
        <w:tc>
          <w:tcPr>
            <w:tcW w:w="3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1,065.0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1,898.1</w:t>
            </w:r>
          </w:p>
        </w:tc>
        <w:tc>
          <w:tcPr>
            <w:tcW w:w="18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1,880.4</w:t>
            </w:r>
          </w:p>
        </w:tc>
        <w:tc>
          <w:tcPr>
            <w:tcW w:w="3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1,822.2</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Foreign</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6"/>
              <w:spacing w:after="0"/>
              <w:rPr>
                <w:sz w:val="20"/>
                <w:szCs w:val="20"/>
                <w:color w:val="auto"/>
              </w:rPr>
            </w:pPr>
            <w:r>
              <w:rPr>
                <w:rFonts w:ascii="Arial" w:cs="Arial" w:eastAsia="Arial" w:hAnsi="Arial"/>
                <w:sz w:val="18"/>
                <w:szCs w:val="18"/>
                <w:color w:val="auto"/>
              </w:rPr>
              <w:t>17,546.0</w:t>
            </w:r>
          </w:p>
        </w:tc>
        <w:tc>
          <w:tcPr>
            <w:tcW w:w="18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jc w:val="right"/>
              <w:ind w:right="96"/>
              <w:spacing w:after="0"/>
              <w:rPr>
                <w:sz w:val="20"/>
                <w:szCs w:val="20"/>
                <w:color w:val="auto"/>
              </w:rPr>
            </w:pPr>
            <w:r>
              <w:rPr>
                <w:rFonts w:ascii="Arial" w:cs="Arial" w:eastAsia="Arial" w:hAnsi="Arial"/>
                <w:sz w:val="18"/>
                <w:szCs w:val="18"/>
                <w:color w:val="auto"/>
                <w:w w:val="99"/>
              </w:rPr>
              <w:t>18,751.4</w:t>
            </w:r>
          </w:p>
        </w:tc>
        <w:tc>
          <w:tcPr>
            <w:tcW w:w="36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15,926.4</w:t>
            </w:r>
          </w:p>
        </w:tc>
      </w:tr>
    </w:tbl>
    <w:p>
      <w:pPr>
        <w:spacing w:after="0" w:line="248" w:lineRule="exact"/>
        <w:rPr>
          <w:sz w:val="20"/>
          <w:szCs w:val="20"/>
          <w:color w:val="auto"/>
        </w:rPr>
      </w:pPr>
    </w:p>
    <w:p>
      <w:pPr>
        <w:ind w:left="580" w:hanging="572"/>
        <w:spacing w:after="0" w:line="268"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United States revenues above represent revenues from our company-owned branches and franchise fees received from our franchise operations, which are discussed further on the financial highlights page.</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Intangible asset amortization related to acquisitions is excluded from operating costs within the reportable segments and corporate expenses, and shown separately.</w:t>
      </w:r>
    </w:p>
    <w:p>
      <w:pPr>
        <w:spacing w:after="0" w:line="118"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French business tax is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operating unit profit of our France reportable segment. Therefore, we have shown the amount of the French business tax above to reconcile to our earnings (loss) before income taxes.</w:t>
      </w:r>
    </w:p>
    <w:p>
      <w:pPr>
        <w:spacing w:after="0" w:line="233"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113"/>
              <w:spacing w:after="0"/>
              <w:rPr>
                <w:sz w:val="20"/>
                <w:szCs w:val="20"/>
                <w:color w:val="auto"/>
              </w:rPr>
            </w:pPr>
            <w:r>
              <w:rPr>
                <w:rFonts w:ascii="Arial" w:cs="Arial" w:eastAsia="Arial" w:hAnsi="Arial"/>
                <w:sz w:val="14"/>
                <w:szCs w:val="14"/>
                <w:b w:val="1"/>
                <w:bCs w:val="1"/>
                <w:color w:val="86B6A5"/>
              </w:rPr>
              <w:t>2011</w:t>
            </w:r>
          </w:p>
        </w:tc>
        <w:tc>
          <w:tcPr>
            <w:tcW w:w="46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Depreciation and Amortization Expense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13.4</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13.5</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15.4</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4.0</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3.7</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17.5</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19.1</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12.6</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2.9</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19.3</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18.3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4.6</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7.3</w:t>
            </w:r>
          </w:p>
        </w:tc>
      </w:tr>
      <w:tr>
        <w:trPr>
          <w:trHeight w:val="213"/>
        </w:trPr>
        <w:tc>
          <w:tcPr>
            <w:tcW w:w="78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2.2</w:t>
            </w:r>
          </w:p>
        </w:tc>
      </w:tr>
      <w:tr>
        <w:trPr>
          <w:trHeight w:val="228"/>
        </w:trPr>
        <w:tc>
          <w:tcPr>
            <w:tcW w:w="7860" w:type="dxa"/>
            <w:vAlign w:val="bottom"/>
            <w:gridSpan w:val="2"/>
          </w:tcPr>
          <w:p>
            <w:pPr>
              <w:spacing w:after="0" w:line="227"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24"/>
                <w:szCs w:val="24"/>
                <w:color w:val="auto"/>
                <w:vertAlign w:val="superscript"/>
              </w:rPr>
              <w:t>(a)</w:t>
            </w:r>
          </w:p>
        </w:tc>
        <w:tc>
          <w:tcPr>
            <w:tcW w:w="100" w:type="dxa"/>
            <w:vAlign w:val="bottom"/>
            <w:shd w:val="clear" w:color="auto" w:fill="E3F1DA"/>
          </w:tcPr>
          <w:p>
            <w:pPr>
              <w:spacing w:after="0"/>
              <w:rPr>
                <w:sz w:val="19"/>
                <w:szCs w:val="19"/>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39.3</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100.5</w:t>
            </w:r>
          </w:p>
        </w:tc>
        <w:tc>
          <w:tcPr>
            <w:tcW w:w="300" w:type="dxa"/>
            <w:vAlign w:val="bottom"/>
            <w:tcBorders>
              <w:top w:val="single" w:sz="8" w:color="939598"/>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rPr>
              <w:t>104.4</w:t>
            </w:r>
          </w:p>
        </w:tc>
        <w:tc>
          <w:tcPr>
            <w:tcW w:w="460" w:type="dxa"/>
            <w:vAlign w:val="bottom"/>
            <w:tcBorders>
              <w:top w:val="single" w:sz="8" w:color="939598"/>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110.1</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939598"/>
              </w:rPr>
              <w:t>Earnings from Equity Investments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53"/>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8"/>
                <w:szCs w:val="18"/>
                <w:color w:val="auto"/>
              </w:rPr>
              <w:t>(0.6)</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939598"/>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939598"/>
              <w:bottom w:val="single" w:sz="8" w:color="939598"/>
            </w:tcBorders>
          </w:tcPr>
          <w:p>
            <w:pPr>
              <w:jc w:val="right"/>
              <w:ind w:right="113"/>
              <w:spacing w:after="0"/>
              <w:rPr>
                <w:sz w:val="20"/>
                <w:szCs w:val="20"/>
                <w:color w:val="auto"/>
              </w:rPr>
            </w:pPr>
            <w:r>
              <w:rPr>
                <w:rFonts w:ascii="Arial" w:cs="Arial" w:eastAsia="Arial" w:hAnsi="Arial"/>
                <w:sz w:val="18"/>
                <w:szCs w:val="18"/>
                <w:color w:val="auto"/>
              </w:rPr>
              <w:t>3.9</w:t>
            </w:r>
          </w:p>
        </w:tc>
        <w:tc>
          <w:tcPr>
            <w:tcW w:w="460" w:type="dxa"/>
            <w:vAlign w:val="bottom"/>
            <w:tcBorders>
              <w:top w:val="single" w:sz="8" w:color="939598"/>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4.6</w:t>
            </w:r>
          </w:p>
        </w:tc>
      </w:tr>
    </w:tbl>
    <w:p>
      <w:pPr>
        <w:spacing w:after="0" w:line="248" w:lineRule="exact"/>
        <w:rPr>
          <w:sz w:val="20"/>
          <w:szCs w:val="20"/>
          <w:color w:val="auto"/>
        </w:rPr>
      </w:pPr>
    </w:p>
    <w:p>
      <w:pPr>
        <w:ind w:left="580" w:hanging="572"/>
        <w:spacing w:after="0" w:line="268"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Intangible asset amortization related to acquisitions is excluded from operating costs within the reportable segments and corporate expenses, and shown separately.</w:t>
      </w:r>
    </w:p>
    <w:p>
      <w:pPr>
        <w:spacing w:after="0" w:line="222"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8" w:right="239" w:bottom="1440" w:gutter="0" w:footer="0" w:header="0"/>
        </w:sectPr>
      </w:pPr>
    </w:p>
    <w:bookmarkStart w:id="97" w:name="page98"/>
    <w:bookmarkEnd w:id="97"/>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240" w:type="dxa"/>
            <w:vAlign w:val="bottom"/>
            <w:tcBorders>
              <w:bottom w:val="single" w:sz="8" w:color="86B6A5"/>
            </w:tcBorders>
          </w:tcPr>
          <w:p>
            <w:pPr>
              <w:spacing w:after="0"/>
              <w:rPr>
                <w:sz w:val="14"/>
                <w:szCs w:val="14"/>
                <w:color w:val="auto"/>
              </w:rPr>
            </w:pPr>
          </w:p>
        </w:tc>
        <w:tc>
          <w:tcPr>
            <w:tcW w:w="840" w:type="dxa"/>
            <w:vAlign w:val="bottom"/>
            <w:tcBorders>
              <w:bottom w:val="single" w:sz="8" w:color="86B6A5"/>
            </w:tcBorders>
          </w:tcPr>
          <w:p>
            <w:pPr>
              <w:jc w:val="right"/>
              <w:ind w:right="93"/>
              <w:spacing w:after="0"/>
              <w:rPr>
                <w:sz w:val="20"/>
                <w:szCs w:val="20"/>
                <w:color w:val="auto"/>
              </w:rPr>
            </w:pPr>
            <w:r>
              <w:rPr>
                <w:rFonts w:ascii="Arial" w:cs="Arial" w:eastAsia="Arial" w:hAnsi="Arial"/>
                <w:sz w:val="14"/>
                <w:szCs w:val="14"/>
                <w:b w:val="1"/>
                <w:bCs w:val="1"/>
                <w:color w:val="86B6A5"/>
              </w:rPr>
              <w:t>2011</w:t>
            </w:r>
          </w:p>
        </w:tc>
        <w:tc>
          <w:tcPr>
            <w:tcW w:w="420" w:type="dxa"/>
            <w:vAlign w:val="bottom"/>
            <w:tcBorders>
              <w:bottom w:val="single" w:sz="8" w:color="86B6A5"/>
            </w:tcBorders>
          </w:tcPr>
          <w:p>
            <w:pPr>
              <w:spacing w:after="0"/>
              <w:rPr>
                <w:sz w:val="14"/>
                <w:szCs w:val="14"/>
                <w:color w:val="auto"/>
              </w:rPr>
            </w:pPr>
          </w:p>
        </w:tc>
        <w:tc>
          <w:tcPr>
            <w:tcW w:w="80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b w:val="1"/>
                <w:bCs w:val="1"/>
                <w:color w:val="939598"/>
              </w:rPr>
              <w:t>Total Assets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1,511.0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1,429.9</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1,361.4</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317.5</w:t>
            </w:r>
          </w:p>
        </w:tc>
        <w:tc>
          <w:tcPr>
            <w:tcW w:w="24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291.8</w:t>
            </w:r>
          </w:p>
        </w:tc>
        <w:tc>
          <w:tcPr>
            <w:tcW w:w="42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257.6</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1,828.5</w:t>
            </w:r>
          </w:p>
        </w:tc>
        <w:tc>
          <w:tcPr>
            <w:tcW w:w="24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1,721.7</w:t>
            </w:r>
          </w:p>
        </w:tc>
        <w:tc>
          <w:tcPr>
            <w:tcW w:w="4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1,619.0</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1,756.2</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1,822.7</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1,826.0</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301.2</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301.3</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271.3</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187.8</w:t>
            </w:r>
          </w:p>
        </w:tc>
        <w:tc>
          <w:tcPr>
            <w:tcW w:w="24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170.3</w:t>
            </w:r>
          </w:p>
        </w:tc>
        <w:tc>
          <w:tcPr>
            <w:tcW w:w="42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170.6</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2,245.2</w:t>
            </w:r>
          </w:p>
        </w:tc>
        <w:tc>
          <w:tcPr>
            <w:tcW w:w="24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2,294.3</w:t>
            </w:r>
          </w:p>
        </w:tc>
        <w:tc>
          <w:tcPr>
            <w:tcW w:w="4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2,267.9</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1,732.5</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1,714.3</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1,682.2</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491.7</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472.4</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395.1</w:t>
            </w:r>
          </w:p>
        </w:tc>
      </w:tr>
      <w:tr>
        <w:trPr>
          <w:trHeight w:val="205"/>
        </w:trPr>
        <w:tc>
          <w:tcPr>
            <w:tcW w:w="7860" w:type="dxa"/>
            <w:vAlign w:val="bottom"/>
            <w:gridSpan w:val="2"/>
          </w:tcPr>
          <w:p>
            <w:pPr>
              <w:spacing w:after="0" w:line="205" w:lineRule="exact"/>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7"/>
                <w:szCs w:val="17"/>
                <w:color w:val="auto"/>
              </w:rPr>
            </w:pPr>
          </w:p>
        </w:tc>
        <w:tc>
          <w:tcPr>
            <w:tcW w:w="1160" w:type="dxa"/>
            <w:vAlign w:val="bottom"/>
            <w:shd w:val="clear" w:color="auto" w:fill="E3F1DA"/>
          </w:tcPr>
          <w:p>
            <w:pPr>
              <w:jc w:val="right"/>
              <w:ind w:right="253"/>
              <w:spacing w:after="0" w:line="205" w:lineRule="exact"/>
              <w:rPr>
                <w:sz w:val="20"/>
                <w:szCs w:val="20"/>
                <w:color w:val="auto"/>
              </w:rPr>
            </w:pPr>
            <w:r>
              <w:rPr>
                <w:rFonts w:ascii="Arial" w:cs="Arial" w:eastAsia="Arial" w:hAnsi="Arial"/>
                <w:sz w:val="18"/>
                <w:szCs w:val="18"/>
                <w:color w:val="auto"/>
              </w:rPr>
              <w:t>95.4</w:t>
            </w:r>
          </w:p>
        </w:tc>
        <w:tc>
          <w:tcPr>
            <w:tcW w:w="240" w:type="dxa"/>
            <w:vAlign w:val="bottom"/>
          </w:tcPr>
          <w:p>
            <w:pPr>
              <w:spacing w:after="0"/>
              <w:rPr>
                <w:sz w:val="17"/>
                <w:szCs w:val="17"/>
                <w:color w:val="auto"/>
              </w:rPr>
            </w:pPr>
          </w:p>
        </w:tc>
        <w:tc>
          <w:tcPr>
            <w:tcW w:w="840" w:type="dxa"/>
            <w:vAlign w:val="bottom"/>
          </w:tcPr>
          <w:p>
            <w:pPr>
              <w:jc w:val="right"/>
              <w:ind w:right="93"/>
              <w:spacing w:after="0" w:line="205" w:lineRule="exact"/>
              <w:rPr>
                <w:sz w:val="20"/>
                <w:szCs w:val="20"/>
                <w:color w:val="auto"/>
              </w:rPr>
            </w:pPr>
            <w:r>
              <w:rPr>
                <w:rFonts w:ascii="Arial" w:cs="Arial" w:eastAsia="Arial" w:hAnsi="Arial"/>
                <w:sz w:val="18"/>
                <w:szCs w:val="18"/>
                <w:color w:val="auto"/>
              </w:rPr>
              <w:t>75.7</w:t>
            </w:r>
          </w:p>
        </w:tc>
        <w:tc>
          <w:tcPr>
            <w:tcW w:w="420" w:type="dxa"/>
            <w:vAlign w:val="bottom"/>
          </w:tcPr>
          <w:p>
            <w:pPr>
              <w:spacing w:after="0"/>
              <w:rPr>
                <w:sz w:val="17"/>
                <w:szCs w:val="17"/>
                <w:color w:val="auto"/>
              </w:rPr>
            </w:pPr>
          </w:p>
        </w:tc>
        <w:tc>
          <w:tcPr>
            <w:tcW w:w="800" w:type="dxa"/>
            <w:vAlign w:val="bottom"/>
          </w:tcPr>
          <w:p>
            <w:pPr>
              <w:jc w:val="right"/>
              <w:ind w:right="33"/>
              <w:spacing w:after="0" w:line="205" w:lineRule="exact"/>
              <w:rPr>
                <w:sz w:val="20"/>
                <w:szCs w:val="20"/>
                <w:color w:val="auto"/>
              </w:rPr>
            </w:pPr>
            <w:r>
              <w:rPr>
                <w:rFonts w:ascii="Arial" w:cs="Arial" w:eastAsia="Arial" w:hAnsi="Arial"/>
                <w:sz w:val="18"/>
                <w:szCs w:val="18"/>
                <w:color w:val="auto"/>
              </w:rPr>
              <w:t>86.1</w:t>
            </w:r>
          </w:p>
        </w:tc>
      </w:tr>
      <w:tr>
        <w:trPr>
          <w:trHeight w:val="228"/>
        </w:trPr>
        <w:tc>
          <w:tcPr>
            <w:tcW w:w="7860" w:type="dxa"/>
            <w:vAlign w:val="bottom"/>
            <w:gridSpan w:val="2"/>
          </w:tcPr>
          <w:p>
            <w:pPr>
              <w:spacing w:after="0" w:line="227"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(a)</w:t>
            </w:r>
          </w:p>
        </w:tc>
        <w:tc>
          <w:tcPr>
            <w:tcW w:w="100" w:type="dxa"/>
            <w:vAlign w:val="bottom"/>
            <w:shd w:val="clear" w:color="auto" w:fill="E3F1DA"/>
          </w:tcPr>
          <w:p>
            <w:pPr>
              <w:spacing w:after="0"/>
              <w:rPr>
                <w:sz w:val="19"/>
                <w:szCs w:val="19"/>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619.3</w:t>
            </w:r>
          </w:p>
        </w:tc>
        <w:tc>
          <w:tcPr>
            <w:tcW w:w="24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621.3</w:t>
            </w:r>
          </w:p>
        </w:tc>
        <w:tc>
          <w:tcPr>
            <w:tcW w:w="4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679.4</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7,012.6</w:t>
            </w:r>
          </w:p>
        </w:tc>
        <w:tc>
          <w:tcPr>
            <w:tcW w:w="240" w:type="dxa"/>
            <w:vAlign w:val="bottom"/>
            <w:tcBorders>
              <w:top w:val="single" w:sz="8" w:color="939598"/>
              <w:bottom w:val="single" w:sz="8" w:color="939598"/>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6,899.7</w:t>
            </w:r>
          </w:p>
        </w:tc>
        <w:tc>
          <w:tcPr>
            <w:tcW w:w="420" w:type="dxa"/>
            <w:vAlign w:val="bottom"/>
            <w:tcBorders>
              <w:top w:val="single" w:sz="8" w:color="939598"/>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6,729.7</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939598"/>
              </w:rPr>
              <w:t>Equity Investments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0.4</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939598"/>
            </w:tcBorders>
          </w:tcPr>
          <w:p>
            <w:pPr>
              <w:spacing w:after="0"/>
              <w:rPr>
                <w:sz w:val="19"/>
                <w:szCs w:val="19"/>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70.5</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0.7</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85.3</w:t>
            </w:r>
          </w:p>
        </w:tc>
        <w:tc>
          <w:tcPr>
            <w:tcW w:w="240" w:type="dxa"/>
            <w:vAlign w:val="bottom"/>
            <w:tcBorders>
              <w:top w:val="single" w:sz="8" w:color="939598"/>
              <w:bottom w:val="single" w:sz="8" w:color="939598"/>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75.9</w:t>
            </w:r>
          </w:p>
        </w:tc>
        <w:tc>
          <w:tcPr>
            <w:tcW w:w="420" w:type="dxa"/>
            <w:vAlign w:val="bottom"/>
            <w:tcBorders>
              <w:top w:val="single" w:sz="8" w:color="939598"/>
              <w:bottom w:val="single" w:sz="8" w:color="939598"/>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71.6</w:t>
            </w:r>
          </w:p>
        </w:tc>
      </w:tr>
    </w:tbl>
    <w:p>
      <w:pPr>
        <w:spacing w:after="0" w:line="24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Corporate assets include assets that were not used in the operations of any segment, the most significant of which were purchased intangibles and cash.</w:t>
      </w:r>
    </w:p>
    <w:p>
      <w:pPr>
        <w:spacing w:after="0" w:line="28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gridSpan w:val="2"/>
          </w:tcPr>
          <w:p>
            <w:pPr>
              <w:spacing w:after="0"/>
              <w:rPr>
                <w:sz w:val="20"/>
                <w:szCs w:val="20"/>
                <w:color w:val="auto"/>
              </w:rPr>
            </w:pPr>
            <w:r>
              <w:rPr>
                <w:rFonts w:ascii="Arial" w:cs="Arial" w:eastAsia="Arial" w:hAnsi="Arial"/>
                <w:sz w:val="14"/>
                <w:szCs w:val="14"/>
                <w:b w:val="1"/>
                <w:bCs w:val="1"/>
                <w:color w:val="86B6A5"/>
              </w:rPr>
              <w:t>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3"/>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93"/>
              <w:spacing w:after="0"/>
              <w:rPr>
                <w:sz w:val="20"/>
                <w:szCs w:val="20"/>
                <w:color w:val="auto"/>
              </w:rPr>
            </w:pPr>
            <w:r>
              <w:rPr>
                <w:rFonts w:ascii="Arial" w:cs="Arial" w:eastAsia="Arial" w:hAnsi="Arial"/>
                <w:sz w:val="14"/>
                <w:szCs w:val="14"/>
                <w:b w:val="1"/>
                <w:bCs w:val="1"/>
                <w:color w:val="86B6A5"/>
              </w:rPr>
              <w:t>2011</w:t>
            </w:r>
          </w:p>
        </w:tc>
        <w:tc>
          <w:tcPr>
            <w:tcW w:w="48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3"/>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gridSpan w:val="2"/>
          </w:tcPr>
          <w:p>
            <w:pPr>
              <w:spacing w:after="0" w:line="210" w:lineRule="exact"/>
              <w:rPr>
                <w:sz w:val="20"/>
                <w:szCs w:val="20"/>
                <w:color w:val="auto"/>
              </w:rPr>
            </w:pPr>
            <w:r>
              <w:rPr>
                <w:rFonts w:ascii="Arial" w:cs="Arial" w:eastAsia="Arial" w:hAnsi="Arial"/>
                <w:sz w:val="18"/>
                <w:szCs w:val="18"/>
                <w:b w:val="1"/>
                <w:bCs w:val="1"/>
                <w:color w:val="939598"/>
              </w:rPr>
              <w:t>Long-Lived Assets</w:t>
            </w:r>
            <w:r>
              <w:rPr>
                <w:rFonts w:ascii="Arial" w:cs="Arial" w:eastAsia="Arial" w:hAnsi="Arial"/>
                <w:sz w:val="24"/>
                <w:szCs w:val="24"/>
                <w:b w:val="1"/>
                <w:bCs w:val="1"/>
                <w:color w:val="939598"/>
                <w:vertAlign w:val="superscript"/>
              </w:rPr>
              <w:t>(a)</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32.8</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35.5</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39.7</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10.5</w:t>
            </w:r>
          </w:p>
        </w:tc>
        <w:tc>
          <w:tcPr>
            <w:tcW w:w="48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9.7</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44.0</w:t>
            </w:r>
          </w:p>
        </w:tc>
        <w:tc>
          <w:tcPr>
            <w:tcW w:w="30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46.0</w:t>
            </w:r>
          </w:p>
        </w:tc>
        <w:tc>
          <w:tcPr>
            <w:tcW w:w="4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49.4</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46.0</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43.2</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8.9</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62.4</w:t>
            </w:r>
          </w:p>
        </w:tc>
        <w:tc>
          <w:tcPr>
            <w:tcW w:w="4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59.8</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43.3</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45.3</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17.8</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15.9</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E3F1DA"/>
          </w:tcPr>
          <w:p>
            <w:pPr>
              <w:spacing w:after="0"/>
              <w:rPr>
                <w:sz w:val="19"/>
                <w:szCs w:val="19"/>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4.0</w:t>
            </w:r>
          </w:p>
        </w:tc>
      </w:tr>
      <w:tr>
        <w:trPr>
          <w:trHeight w:val="211"/>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195.4</w:t>
            </w:r>
          </w:p>
        </w:tc>
        <w:tc>
          <w:tcPr>
            <w:tcW w:w="300" w:type="dxa"/>
            <w:vAlign w:val="bottom"/>
            <w:tcBorders>
              <w:top w:val="single" w:sz="8" w:color="939598"/>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188.9</w:t>
            </w:r>
          </w:p>
        </w:tc>
        <w:tc>
          <w:tcPr>
            <w:tcW w:w="480" w:type="dxa"/>
            <w:vAlign w:val="bottom"/>
            <w:tcBorders>
              <w:top w:val="single" w:sz="8" w:color="939598"/>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192.2</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939598"/>
              </w:rPr>
              <w:t>Additions to Long-Lived Assets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11.6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6.4</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Americas</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5.5</w:t>
            </w:r>
          </w:p>
        </w:tc>
        <w:tc>
          <w:tcPr>
            <w:tcW w:w="48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3.7</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15.5</w:t>
            </w:r>
          </w:p>
        </w:tc>
        <w:tc>
          <w:tcPr>
            <w:tcW w:w="4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10.1</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Southern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18.8</w:t>
            </w:r>
          </w:p>
        </w:tc>
      </w:tr>
      <w:tr>
        <w:trPr>
          <w:trHeight w:val="208"/>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7840" w:type="dxa"/>
            <w:vAlign w:val="bottom"/>
            <w:tcBorders>
              <w:bottom w:val="single" w:sz="8" w:color="939598"/>
            </w:tcBorders>
          </w:tcPr>
          <w:p>
            <w:pPr>
              <w:ind w:left="140"/>
              <w:spacing w:after="0"/>
              <w:rPr>
                <w:sz w:val="20"/>
                <w:szCs w:val="20"/>
                <w:color w:val="auto"/>
              </w:rPr>
            </w:pPr>
            <w:r>
              <w:rPr>
                <w:rFonts w:ascii="Arial" w:cs="Arial" w:eastAsia="Arial" w:hAnsi="Arial"/>
                <w:sz w:val="18"/>
                <w:szCs w:val="18"/>
                <w:color w:val="auto"/>
              </w:rPr>
              <w:t>Other Southern Europe</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3.1</w:t>
            </w:r>
          </w:p>
        </w:tc>
        <w:tc>
          <w:tcPr>
            <w:tcW w:w="48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2.0</w:t>
            </w:r>
          </w:p>
        </w:tc>
      </w:tr>
      <w:tr>
        <w:trPr>
          <w:trHeight w:val="211"/>
        </w:trPr>
        <w:tc>
          <w:tcPr>
            <w:tcW w:w="20" w:type="dxa"/>
            <w:vAlign w:val="bottom"/>
          </w:tcPr>
          <w:p>
            <w:pPr>
              <w:spacing w:after="0"/>
              <w:rPr>
                <w:sz w:val="18"/>
                <w:szCs w:val="18"/>
                <w:color w:val="auto"/>
              </w:rPr>
            </w:pPr>
          </w:p>
        </w:tc>
        <w:tc>
          <w:tcPr>
            <w:tcW w:w="7840" w:type="dxa"/>
            <w:vAlign w:val="bottom"/>
            <w:tcBorders>
              <w:bottom w:val="single" w:sz="8" w:color="939598"/>
            </w:tcBorders>
          </w:tcPr>
          <w:p>
            <w:pPr>
              <w:spacing w:after="0"/>
              <w:rPr>
                <w:sz w:val="18"/>
                <w:szCs w:val="18"/>
                <w:color w:val="auto"/>
              </w:rPr>
            </w:pPr>
          </w:p>
        </w:tc>
        <w:tc>
          <w:tcPr>
            <w:tcW w:w="100" w:type="dxa"/>
            <w:vAlign w:val="bottom"/>
            <w:tcBorders>
              <w:bottom w:val="single" w:sz="8" w:color="939598"/>
            </w:tcBorders>
            <w:shd w:val="clear" w:color="auto" w:fill="E3F1DA"/>
          </w:tcPr>
          <w:p>
            <w:pPr>
              <w:spacing w:after="0"/>
              <w:rPr>
                <w:sz w:val="18"/>
                <w:szCs w:val="18"/>
                <w:color w:val="auto"/>
              </w:rPr>
            </w:pPr>
          </w:p>
        </w:tc>
        <w:tc>
          <w:tcPr>
            <w:tcW w:w="1160" w:type="dxa"/>
            <w:vAlign w:val="bottom"/>
            <w:tcBorders>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29.6</w:t>
            </w:r>
          </w:p>
        </w:tc>
        <w:tc>
          <w:tcPr>
            <w:tcW w:w="300" w:type="dxa"/>
            <w:vAlign w:val="bottom"/>
            <w:tcBorders>
              <w:bottom w:val="single" w:sz="8" w:color="939598"/>
            </w:tcBorders>
          </w:tcPr>
          <w:p>
            <w:pPr>
              <w:spacing w:after="0"/>
              <w:rPr>
                <w:sz w:val="18"/>
                <w:szCs w:val="18"/>
                <w:color w:val="auto"/>
              </w:rPr>
            </w:pPr>
          </w:p>
        </w:tc>
        <w:tc>
          <w:tcPr>
            <w:tcW w:w="780" w:type="dxa"/>
            <w:vAlign w:val="bottom"/>
            <w:tcBorders>
              <w:bottom w:val="single" w:sz="8" w:color="939598"/>
            </w:tcBorders>
          </w:tcPr>
          <w:p>
            <w:pPr>
              <w:jc w:val="right"/>
              <w:ind w:right="93"/>
              <w:spacing w:after="0"/>
              <w:rPr>
                <w:sz w:val="20"/>
                <w:szCs w:val="20"/>
                <w:color w:val="auto"/>
              </w:rPr>
            </w:pPr>
            <w:r>
              <w:rPr>
                <w:rFonts w:ascii="Arial" w:cs="Arial" w:eastAsia="Arial" w:hAnsi="Arial"/>
                <w:sz w:val="18"/>
                <w:szCs w:val="18"/>
                <w:color w:val="auto"/>
              </w:rPr>
              <w:t>23.2</w:t>
            </w:r>
          </w:p>
        </w:tc>
        <w:tc>
          <w:tcPr>
            <w:tcW w:w="4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33"/>
              <w:spacing w:after="0"/>
              <w:rPr>
                <w:sz w:val="20"/>
                <w:szCs w:val="20"/>
                <w:color w:val="auto"/>
              </w:rPr>
            </w:pPr>
            <w:r>
              <w:rPr>
                <w:rFonts w:ascii="Arial" w:cs="Arial" w:eastAsia="Arial" w:hAnsi="Arial"/>
                <w:sz w:val="18"/>
                <w:szCs w:val="18"/>
                <w:color w:val="auto"/>
              </w:rPr>
              <w:t>24.4</w:t>
            </w: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Northern Europe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13.7</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APME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7.2</w:t>
            </w:r>
          </w:p>
        </w:tc>
      </w:tr>
      <w:tr>
        <w:trPr>
          <w:trHeight w:val="208"/>
        </w:trPr>
        <w:tc>
          <w:tcPr>
            <w:tcW w:w="786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2.9</w:t>
            </w: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E3F1DA"/>
          </w:tcPr>
          <w:p>
            <w:pPr>
              <w:spacing w:after="0"/>
              <w:rPr>
                <w:sz w:val="19"/>
                <w:szCs w:val="19"/>
                <w:color w:val="auto"/>
              </w:rPr>
            </w:pPr>
          </w:p>
        </w:tc>
        <w:tc>
          <w:tcPr>
            <w:tcW w:w="1160" w:type="dxa"/>
            <w:vAlign w:val="bottom"/>
            <w:shd w:val="clear" w:color="auto" w:fill="E3F1DA"/>
          </w:tcPr>
          <w:p>
            <w:pPr>
              <w:jc w:val="right"/>
              <w:ind w:right="2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0.2</w:t>
            </w:r>
          </w:p>
        </w:tc>
      </w:tr>
      <w:tr>
        <w:trPr>
          <w:trHeight w:val="211"/>
        </w:trPr>
        <w:tc>
          <w:tcPr>
            <w:tcW w:w="20" w:type="dxa"/>
            <w:vAlign w:val="bottom"/>
          </w:tcPr>
          <w:p>
            <w:pPr>
              <w:spacing w:after="0"/>
              <w:rPr>
                <w:sz w:val="18"/>
                <w:szCs w:val="18"/>
                <w:color w:val="auto"/>
              </w:rPr>
            </w:pPr>
          </w:p>
        </w:tc>
        <w:tc>
          <w:tcPr>
            <w:tcW w:w="7840" w:type="dxa"/>
            <w:vAlign w:val="bottom"/>
            <w:tcBorders>
              <w:top w:val="single" w:sz="8" w:color="939598"/>
              <w:bottom w:val="single" w:sz="8" w:color="939598"/>
            </w:tcBorders>
          </w:tcPr>
          <w:p>
            <w:pPr>
              <w:spacing w:after="0"/>
              <w:rPr>
                <w:sz w:val="18"/>
                <w:szCs w:val="18"/>
                <w:color w:val="auto"/>
              </w:rPr>
            </w:pPr>
          </w:p>
        </w:tc>
        <w:tc>
          <w:tcPr>
            <w:tcW w:w="100" w:type="dxa"/>
            <w:vAlign w:val="bottom"/>
            <w:tcBorders>
              <w:top w:val="single" w:sz="8" w:color="939598"/>
              <w:bottom w:val="single" w:sz="8" w:color="939598"/>
            </w:tcBorders>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939598"/>
              <w:bottom w:val="single" w:sz="8" w:color="939598"/>
            </w:tcBorders>
            <w:shd w:val="clear" w:color="auto" w:fill="E3F1DA"/>
          </w:tcPr>
          <w:p>
            <w:pPr>
              <w:jc w:val="right"/>
              <w:ind w:right="253"/>
              <w:spacing w:after="0"/>
              <w:rPr>
                <w:sz w:val="20"/>
                <w:szCs w:val="20"/>
                <w:color w:val="auto"/>
              </w:rPr>
            </w:pPr>
            <w:r>
              <w:rPr>
                <w:rFonts w:ascii="Arial" w:cs="Arial" w:eastAsia="Arial" w:hAnsi="Arial"/>
                <w:sz w:val="18"/>
                <w:szCs w:val="18"/>
                <w:color w:val="auto"/>
              </w:rPr>
              <w:t>72.0</w:t>
            </w:r>
          </w:p>
        </w:tc>
        <w:tc>
          <w:tcPr>
            <w:tcW w:w="300" w:type="dxa"/>
            <w:vAlign w:val="bottom"/>
            <w:tcBorders>
              <w:top w:val="single" w:sz="8" w:color="939598"/>
              <w:bottom w:val="single" w:sz="8" w:color="939598"/>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939598"/>
              <w:bottom w:val="single" w:sz="8" w:color="939598"/>
            </w:tcBorders>
          </w:tcPr>
          <w:p>
            <w:pPr>
              <w:jc w:val="right"/>
              <w:ind w:right="93"/>
              <w:spacing w:after="0"/>
              <w:rPr>
                <w:sz w:val="20"/>
                <w:szCs w:val="20"/>
                <w:color w:val="auto"/>
              </w:rPr>
            </w:pPr>
            <w:r>
              <w:rPr>
                <w:rFonts w:ascii="Arial" w:cs="Arial" w:eastAsia="Arial" w:hAnsi="Arial"/>
                <w:sz w:val="18"/>
                <w:szCs w:val="18"/>
                <w:color w:val="auto"/>
              </w:rPr>
              <w:t>64.9</w:t>
            </w:r>
          </w:p>
        </w:tc>
        <w:tc>
          <w:tcPr>
            <w:tcW w:w="480" w:type="dxa"/>
            <w:vAlign w:val="bottom"/>
            <w:tcBorders>
              <w:top w:val="single" w:sz="8" w:color="939598"/>
              <w:bottom w:val="single" w:sz="8" w:color="939598"/>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939598"/>
              <w:bottom w:val="single" w:sz="8" w:color="939598"/>
            </w:tcBorders>
          </w:tcPr>
          <w:p>
            <w:pPr>
              <w:jc w:val="right"/>
              <w:ind w:right="33"/>
              <w:spacing w:after="0"/>
              <w:rPr>
                <w:sz w:val="20"/>
                <w:szCs w:val="20"/>
                <w:color w:val="auto"/>
              </w:rPr>
            </w:pPr>
            <w:r>
              <w:rPr>
                <w:rFonts w:ascii="Arial" w:cs="Arial" w:eastAsia="Arial" w:hAnsi="Arial"/>
                <w:sz w:val="18"/>
                <w:szCs w:val="18"/>
                <w:color w:val="auto"/>
              </w:rPr>
              <w:t>58.5</w:t>
            </w:r>
          </w:p>
        </w:tc>
      </w:tr>
    </w:tbl>
    <w:p>
      <w:pPr>
        <w:spacing w:after="0" w:line="248"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Further breakdown of long-lived assets by geographical region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Long-Lived Assets</w:t>
            </w:r>
          </w:p>
        </w:tc>
        <w:tc>
          <w:tcPr>
            <w:tcW w:w="100" w:type="dxa"/>
            <w:vAlign w:val="bottom"/>
            <w:tcBorders>
              <w:bottom w:val="single" w:sz="8" w:color="86B6A5"/>
            </w:tcBorders>
            <w:shd w:val="clear" w:color="auto" w:fill="86B6A5"/>
          </w:tcPr>
          <w:p>
            <w:pPr>
              <w:spacing w:after="0"/>
              <w:rPr>
                <w:sz w:val="14"/>
                <w:szCs w:val="14"/>
                <w:color w:val="auto"/>
              </w:rPr>
            </w:pPr>
          </w:p>
        </w:tc>
        <w:tc>
          <w:tcPr>
            <w:tcW w:w="1160" w:type="dxa"/>
            <w:vAlign w:val="bottom"/>
            <w:tcBorders>
              <w:bottom w:val="single" w:sz="8" w:color="86B6A5"/>
            </w:tcBorders>
            <w:shd w:val="clear" w:color="auto" w:fill="86B6A5"/>
          </w:tcPr>
          <w:p>
            <w:pPr>
              <w:jc w:val="right"/>
              <w:ind w:right="256"/>
              <w:spacing w:after="0"/>
              <w:rPr>
                <w:sz w:val="20"/>
                <w:szCs w:val="20"/>
                <w:color w:val="auto"/>
              </w:rPr>
            </w:pPr>
            <w:r>
              <w:rPr>
                <w:rFonts w:ascii="Arial" w:cs="Arial" w:eastAsia="Arial" w:hAnsi="Arial"/>
                <w:sz w:val="14"/>
                <w:szCs w:val="14"/>
                <w:b w:val="1"/>
                <w:bCs w:val="1"/>
                <w:color w:val="FFFFFF"/>
              </w:rPr>
              <w:t>2012</w:t>
            </w:r>
          </w:p>
        </w:tc>
        <w:tc>
          <w:tcPr>
            <w:tcW w:w="300" w:type="dxa"/>
            <w:vAlign w:val="bottom"/>
            <w:tcBorders>
              <w:bottom w:val="single" w:sz="8" w:color="86B6A5"/>
            </w:tcBorders>
          </w:tcPr>
          <w:p>
            <w:pPr>
              <w:spacing w:after="0"/>
              <w:rPr>
                <w:sz w:val="14"/>
                <w:szCs w:val="14"/>
                <w:color w:val="auto"/>
              </w:rPr>
            </w:pPr>
          </w:p>
        </w:tc>
        <w:tc>
          <w:tcPr>
            <w:tcW w:w="780" w:type="dxa"/>
            <w:vAlign w:val="bottom"/>
            <w:tcBorders>
              <w:bottom w:val="single" w:sz="8" w:color="86B6A5"/>
            </w:tcBorders>
          </w:tcPr>
          <w:p>
            <w:pPr>
              <w:jc w:val="right"/>
              <w:ind w:right="96"/>
              <w:spacing w:after="0"/>
              <w:rPr>
                <w:sz w:val="20"/>
                <w:szCs w:val="20"/>
                <w:color w:val="auto"/>
              </w:rPr>
            </w:pPr>
            <w:r>
              <w:rPr>
                <w:rFonts w:ascii="Arial" w:cs="Arial" w:eastAsia="Arial" w:hAnsi="Arial"/>
                <w:sz w:val="14"/>
                <w:szCs w:val="14"/>
                <w:b w:val="1"/>
                <w:bCs w:val="1"/>
                <w:color w:val="86B6A5"/>
              </w:rPr>
              <w:t>2011</w:t>
            </w:r>
          </w:p>
        </w:tc>
        <w:tc>
          <w:tcPr>
            <w:tcW w:w="480" w:type="dxa"/>
            <w:vAlign w:val="bottom"/>
            <w:tcBorders>
              <w:bottom w:val="single" w:sz="8" w:color="86B6A5"/>
            </w:tcBorders>
          </w:tcPr>
          <w:p>
            <w:pPr>
              <w:spacing w:after="0"/>
              <w:rPr>
                <w:sz w:val="14"/>
                <w:szCs w:val="14"/>
                <w:color w:val="auto"/>
              </w:rPr>
            </w:pPr>
          </w:p>
        </w:tc>
        <w:tc>
          <w:tcPr>
            <w:tcW w:w="740" w:type="dxa"/>
            <w:vAlign w:val="bottom"/>
            <w:tcBorders>
              <w:bottom w:val="single" w:sz="8" w:color="86B6A5"/>
            </w:tcBorders>
          </w:tcPr>
          <w:p>
            <w:pPr>
              <w:jc w:val="right"/>
              <w:ind w:right="36"/>
              <w:spacing w:after="0"/>
              <w:rPr>
                <w:sz w:val="20"/>
                <w:szCs w:val="20"/>
                <w:color w:val="auto"/>
              </w:rPr>
            </w:pPr>
            <w:r>
              <w:rPr>
                <w:rFonts w:ascii="Arial" w:cs="Arial" w:eastAsia="Arial" w:hAnsi="Arial"/>
                <w:sz w:val="14"/>
                <w:szCs w:val="14"/>
                <w:b w:val="1"/>
                <w:bCs w:val="1"/>
                <w:color w:val="86B6A5"/>
              </w:rPr>
              <w:t>2010</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39.7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41.1</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48.2</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48.1</w:t>
            </w:r>
          </w:p>
        </w:tc>
        <w:tc>
          <w:tcPr>
            <w:tcW w:w="48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45.8</w:t>
            </w:r>
          </w:p>
        </w:tc>
      </w:tr>
      <w:tr>
        <w:trPr>
          <w:trHeight w:val="208"/>
        </w:trPr>
        <w:tc>
          <w:tcPr>
            <w:tcW w:w="7860" w:type="dxa"/>
            <w:vAlign w:val="bottom"/>
          </w:tcPr>
          <w:p>
            <w:pPr>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8.1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E3F1DA"/>
          </w:tcPr>
          <w:p>
            <w:pPr>
              <w:spacing w:after="0"/>
              <w:rPr>
                <w:sz w:val="18"/>
                <w:szCs w:val="18"/>
                <w:color w:val="auto"/>
              </w:rPr>
            </w:pPr>
          </w:p>
        </w:tc>
        <w:tc>
          <w:tcPr>
            <w:tcW w:w="1160" w:type="dxa"/>
            <w:vAlign w:val="bottom"/>
            <w:shd w:val="clear" w:color="auto" w:fill="E3F1DA"/>
          </w:tcPr>
          <w:p>
            <w:pPr>
              <w:jc w:val="right"/>
              <w:ind w:right="256"/>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15.3</w:t>
            </w:r>
          </w:p>
        </w:tc>
      </w:tr>
      <w:tr>
        <w:trPr>
          <w:trHeight w:val="223"/>
        </w:trPr>
        <w:tc>
          <w:tcPr>
            <w:tcW w:w="78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Total Foreign</w:t>
            </w:r>
          </w:p>
        </w:tc>
        <w:tc>
          <w:tcPr>
            <w:tcW w:w="100" w:type="dxa"/>
            <w:vAlign w:val="bottom"/>
            <w:tcBorders>
              <w:bottom w:val="single" w:sz="8" w:color="939598"/>
            </w:tcBorders>
            <w:shd w:val="clear" w:color="auto" w:fill="E3F1DA"/>
          </w:tcPr>
          <w:p>
            <w:pPr>
              <w:spacing w:after="0"/>
              <w:rPr>
                <w:sz w:val="19"/>
                <w:szCs w:val="19"/>
                <w:color w:val="auto"/>
              </w:rPr>
            </w:pPr>
          </w:p>
        </w:tc>
        <w:tc>
          <w:tcPr>
            <w:tcW w:w="1160" w:type="dxa"/>
            <w:vAlign w:val="bottom"/>
            <w:tcBorders>
              <w:bottom w:val="single" w:sz="8" w:color="939598"/>
            </w:tcBorders>
            <w:shd w:val="clear" w:color="auto" w:fill="E3F1DA"/>
          </w:tcPr>
          <w:p>
            <w:pPr>
              <w:jc w:val="right"/>
              <w:ind w:right="256"/>
              <w:spacing w:after="0"/>
              <w:rPr>
                <w:sz w:val="20"/>
                <w:szCs w:val="20"/>
                <w:color w:val="auto"/>
              </w:rPr>
            </w:pPr>
            <w:r>
              <w:rPr>
                <w:rFonts w:ascii="Arial" w:cs="Arial" w:eastAsia="Arial" w:hAnsi="Arial"/>
                <w:sz w:val="18"/>
                <w:szCs w:val="18"/>
                <w:color w:val="auto"/>
              </w:rPr>
              <w:t>155.7</w:t>
            </w:r>
          </w:p>
        </w:tc>
        <w:tc>
          <w:tcPr>
            <w:tcW w:w="300" w:type="dxa"/>
            <w:vAlign w:val="bottom"/>
            <w:tcBorders>
              <w:bottom w:val="single" w:sz="8" w:color="939598"/>
            </w:tcBorders>
          </w:tcPr>
          <w:p>
            <w:pPr>
              <w:spacing w:after="0"/>
              <w:rPr>
                <w:sz w:val="19"/>
                <w:szCs w:val="19"/>
                <w:color w:val="auto"/>
              </w:rPr>
            </w:pPr>
          </w:p>
        </w:tc>
        <w:tc>
          <w:tcPr>
            <w:tcW w:w="780" w:type="dxa"/>
            <w:vAlign w:val="bottom"/>
            <w:tcBorders>
              <w:bottom w:val="single" w:sz="8" w:color="939598"/>
            </w:tcBorders>
          </w:tcPr>
          <w:p>
            <w:pPr>
              <w:jc w:val="right"/>
              <w:ind w:right="96"/>
              <w:spacing w:after="0"/>
              <w:rPr>
                <w:sz w:val="20"/>
                <w:szCs w:val="20"/>
                <w:color w:val="auto"/>
              </w:rPr>
            </w:pPr>
            <w:r>
              <w:rPr>
                <w:rFonts w:ascii="Arial" w:cs="Arial" w:eastAsia="Arial" w:hAnsi="Arial"/>
                <w:sz w:val="18"/>
                <w:szCs w:val="18"/>
                <w:color w:val="auto"/>
              </w:rPr>
              <w:t>147.8</w:t>
            </w:r>
          </w:p>
        </w:tc>
        <w:tc>
          <w:tcPr>
            <w:tcW w:w="48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tcPr>
          <w:p>
            <w:pPr>
              <w:jc w:val="right"/>
              <w:ind w:right="36"/>
              <w:spacing w:after="0"/>
              <w:rPr>
                <w:sz w:val="20"/>
                <w:szCs w:val="20"/>
                <w:color w:val="auto"/>
              </w:rPr>
            </w:pPr>
            <w:r>
              <w:rPr>
                <w:rFonts w:ascii="Arial" w:cs="Arial" w:eastAsia="Arial" w:hAnsi="Arial"/>
                <w:sz w:val="18"/>
                <w:szCs w:val="18"/>
                <w:color w:val="auto"/>
              </w:rPr>
              <w:t>144.0</w:t>
            </w:r>
          </w:p>
        </w:tc>
      </w:tr>
    </w:tbl>
    <w:p>
      <w:pPr>
        <w:spacing w:after="0" w:line="244" w:lineRule="exact"/>
        <w:rPr>
          <w:sz w:val="20"/>
          <w:szCs w:val="20"/>
          <w:color w:val="auto"/>
        </w:rPr>
      </w:pPr>
    </w:p>
    <w:p>
      <w:pPr>
        <w:ind w:left="580" w:hanging="572"/>
        <w:spacing w:after="0"/>
        <w:tabs>
          <w:tab w:leader="none" w:pos="580"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8" w:right="239" w:bottom="1440" w:gutter="0" w:footer="0" w:header="0"/>
        </w:sectPr>
      </w:pPr>
    </w:p>
    <w:bookmarkStart w:id="99" w:name="page100"/>
    <w:bookmarkEnd w:id="99"/>
    <w:p>
      <w:pPr>
        <w:spacing w:after="0"/>
        <w:rPr>
          <w:sz w:val="20"/>
          <w:szCs w:val="20"/>
          <w:color w:val="auto"/>
        </w:rPr>
      </w:pPr>
      <w:r>
        <w:rPr>
          <w:rFonts w:ascii="Arial" w:cs="Arial" w:eastAsia="Arial" w:hAnsi="Arial"/>
          <w:sz w:val="24"/>
          <w:szCs w:val="24"/>
          <w:color w:val="4D8ABE"/>
        </w:rPr>
        <w:t>NOTES TO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share and per share data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86B6A5"/>
        </w:rPr>
        <w:t>15.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86B6A5"/>
        </w:rPr>
        <w:t>Quarterly Data (Unaudited)</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jc w:val="right"/>
              <w:ind w:right="134"/>
              <w:spacing w:after="0" w:line="143" w:lineRule="exact"/>
              <w:rPr>
                <w:sz w:val="20"/>
                <w:szCs w:val="20"/>
                <w:color w:val="auto"/>
              </w:rPr>
            </w:pPr>
            <w:r>
              <w:rPr>
                <w:rFonts w:ascii="Arial" w:cs="Arial" w:eastAsia="Arial" w:hAnsi="Arial"/>
                <w:sz w:val="14"/>
                <w:szCs w:val="14"/>
                <w:b w:val="1"/>
                <w:bCs w:val="1"/>
                <w:color w:val="86B6A5"/>
              </w:rPr>
              <w:t>First</w:t>
            </w:r>
          </w:p>
        </w:tc>
        <w:tc>
          <w:tcPr>
            <w:tcW w:w="520" w:type="dxa"/>
            <w:vAlign w:val="bottom"/>
          </w:tcPr>
          <w:p>
            <w:pPr>
              <w:spacing w:after="0"/>
              <w:rPr>
                <w:sz w:val="12"/>
                <w:szCs w:val="12"/>
                <w:color w:val="auto"/>
              </w:rPr>
            </w:pPr>
          </w:p>
        </w:tc>
        <w:tc>
          <w:tcPr>
            <w:tcW w:w="96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86B6A5"/>
              </w:rPr>
              <w:t>Second</w:t>
            </w:r>
          </w:p>
        </w:tc>
        <w:tc>
          <w:tcPr>
            <w:tcW w:w="520" w:type="dxa"/>
            <w:vAlign w:val="bottom"/>
          </w:tcPr>
          <w:p>
            <w:pPr>
              <w:spacing w:after="0"/>
              <w:rPr>
                <w:sz w:val="12"/>
                <w:szCs w:val="12"/>
                <w:color w:val="auto"/>
              </w:rPr>
            </w:pPr>
          </w:p>
        </w:tc>
        <w:tc>
          <w:tcPr>
            <w:tcW w:w="98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86B6A5"/>
              </w:rPr>
              <w:t>Third</w:t>
            </w:r>
          </w:p>
        </w:tc>
        <w:tc>
          <w:tcPr>
            <w:tcW w:w="520" w:type="dxa"/>
            <w:vAlign w:val="bottom"/>
          </w:tcPr>
          <w:p>
            <w:pPr>
              <w:spacing w:after="0"/>
              <w:rPr>
                <w:sz w:val="12"/>
                <w:szCs w:val="12"/>
                <w:color w:val="auto"/>
              </w:rPr>
            </w:pPr>
          </w:p>
        </w:tc>
        <w:tc>
          <w:tcPr>
            <w:tcW w:w="98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86B6A5"/>
              </w:rPr>
              <w:t>Fourth</w:t>
            </w: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00" w:type="dxa"/>
            <w:vAlign w:val="bottom"/>
            <w:tcBorders>
              <w:bottom w:val="single" w:sz="8" w:color="86B6A5"/>
            </w:tcBorders>
          </w:tcPr>
          <w:p>
            <w:pPr>
              <w:spacing w:after="0"/>
              <w:rPr>
                <w:sz w:val="14"/>
                <w:szCs w:val="14"/>
                <w:color w:val="auto"/>
              </w:rPr>
            </w:pPr>
          </w:p>
        </w:tc>
        <w:tc>
          <w:tcPr>
            <w:tcW w:w="118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94"/>
              <w:spacing w:after="0"/>
              <w:rPr>
                <w:sz w:val="20"/>
                <w:szCs w:val="20"/>
                <w:color w:val="auto"/>
              </w:rPr>
            </w:pPr>
            <w:r>
              <w:rPr>
                <w:rFonts w:ascii="Arial" w:cs="Arial" w:eastAsia="Arial" w:hAnsi="Arial"/>
                <w:sz w:val="14"/>
                <w:szCs w:val="14"/>
                <w:b w:val="1"/>
                <w:bCs w:val="1"/>
                <w:color w:val="86B6A5"/>
              </w:rPr>
              <w:t>Quarter</w:t>
            </w:r>
          </w:p>
        </w:tc>
        <w:tc>
          <w:tcPr>
            <w:tcW w:w="520" w:type="dxa"/>
            <w:vAlign w:val="bottom"/>
            <w:tcBorders>
              <w:bottom w:val="single" w:sz="8" w:color="86B6A5"/>
            </w:tcBorders>
          </w:tcPr>
          <w:p>
            <w:pPr>
              <w:spacing w:after="0"/>
              <w:rPr>
                <w:sz w:val="14"/>
                <w:szCs w:val="14"/>
                <w:color w:val="auto"/>
              </w:rPr>
            </w:pPr>
          </w:p>
        </w:tc>
        <w:tc>
          <w:tcPr>
            <w:tcW w:w="960" w:type="dxa"/>
            <w:vAlign w:val="bottom"/>
            <w:tcBorders>
              <w:bottom w:val="single" w:sz="8" w:color="86B6A5"/>
            </w:tcBorders>
          </w:tcPr>
          <w:p>
            <w:pPr>
              <w:jc w:val="right"/>
              <w:ind w:right="94"/>
              <w:spacing w:after="0"/>
              <w:rPr>
                <w:sz w:val="20"/>
                <w:szCs w:val="20"/>
                <w:color w:val="auto"/>
              </w:rPr>
            </w:pPr>
            <w:r>
              <w:rPr>
                <w:rFonts w:ascii="Arial" w:cs="Arial" w:eastAsia="Arial" w:hAnsi="Arial"/>
                <w:sz w:val="14"/>
                <w:szCs w:val="14"/>
                <w:b w:val="1"/>
                <w:bCs w:val="1"/>
                <w:color w:val="86B6A5"/>
              </w:rPr>
              <w:t>Quarter</w:t>
            </w:r>
          </w:p>
        </w:tc>
        <w:tc>
          <w:tcPr>
            <w:tcW w:w="52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94"/>
              <w:spacing w:after="0"/>
              <w:rPr>
                <w:sz w:val="20"/>
                <w:szCs w:val="20"/>
                <w:color w:val="auto"/>
              </w:rPr>
            </w:pPr>
            <w:r>
              <w:rPr>
                <w:rFonts w:ascii="Arial" w:cs="Arial" w:eastAsia="Arial" w:hAnsi="Arial"/>
                <w:sz w:val="14"/>
                <w:szCs w:val="14"/>
                <w:b w:val="1"/>
                <w:bCs w:val="1"/>
                <w:color w:val="86B6A5"/>
              </w:rPr>
              <w:t>Quarter</w:t>
            </w:r>
          </w:p>
        </w:tc>
        <w:tc>
          <w:tcPr>
            <w:tcW w:w="52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94"/>
              <w:spacing w:after="0"/>
              <w:rPr>
                <w:sz w:val="20"/>
                <w:szCs w:val="20"/>
                <w:color w:val="auto"/>
              </w:rPr>
            </w:pPr>
            <w:r>
              <w:rPr>
                <w:rFonts w:ascii="Arial" w:cs="Arial" w:eastAsia="Arial" w:hAnsi="Arial"/>
                <w:sz w:val="14"/>
                <w:szCs w:val="14"/>
                <w:b w:val="1"/>
                <w:bCs w:val="1"/>
                <w:color w:val="86B6A5"/>
              </w:rPr>
              <w:t>Quarter</w:t>
            </w:r>
          </w:p>
        </w:tc>
        <w:tc>
          <w:tcPr>
            <w:tcW w:w="48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Total</w:t>
            </w:r>
          </w:p>
        </w:tc>
      </w:tr>
      <w:tr>
        <w:trPr>
          <w:trHeight w:val="210"/>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b w:val="1"/>
                <w:bCs w:val="1"/>
                <w:color w:val="939598"/>
              </w:rPr>
              <w:t>Year Ended December 31, 2012</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5,096.4</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5,206.7</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5,172.3</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5,202.6</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20,678.0</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847.4</w:t>
            </w: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861.7</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856.2</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876.7</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3,442.0</w:t>
            </w: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8"/>
                <w:szCs w:val="18"/>
                <w:color w:val="auto"/>
              </w:rPr>
              <w:t>Operating profit</w:t>
            </w:r>
            <w:r>
              <w:rPr>
                <w:rFonts w:ascii="Arial" w:cs="Arial" w:eastAsia="Arial" w:hAnsi="Arial"/>
                <w:sz w:val="24"/>
                <w:szCs w:val="24"/>
                <w:color w:val="auto"/>
                <w:vertAlign w:val="superscript"/>
              </w:rPr>
              <w:t>(a)</w:t>
            </w:r>
          </w:p>
        </w:tc>
        <w:tc>
          <w:tcPr>
            <w:tcW w:w="118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93.8</w:t>
            </w:r>
          </w:p>
        </w:tc>
        <w:tc>
          <w:tcPr>
            <w:tcW w:w="52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94.4</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118.6</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104.9</w:t>
            </w:r>
          </w:p>
        </w:tc>
        <w:tc>
          <w:tcPr>
            <w:tcW w:w="4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411.7</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Net earnings</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40.2</w:t>
            </w: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41.0</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63.1</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53.3</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197.6</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0.50</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0.51</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0.79</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0.68</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line="216" w:lineRule="exact"/>
              <w:rPr>
                <w:sz w:val="20"/>
                <w:szCs w:val="20"/>
                <w:color w:val="auto"/>
              </w:rPr>
            </w:pPr>
            <w:r>
              <w:rPr>
                <w:rFonts w:ascii="Arial" w:cs="Arial" w:eastAsia="Arial" w:hAnsi="Arial"/>
                <w:sz w:val="18"/>
                <w:szCs w:val="18"/>
                <w:color w:val="auto"/>
              </w:rPr>
              <w:t>Net earnings per share — diluted</w:t>
            </w:r>
            <w:r>
              <w:rPr>
                <w:rFonts w:ascii="Arial" w:cs="Arial" w:eastAsia="Arial" w:hAnsi="Arial"/>
                <w:sz w:val="24"/>
                <w:szCs w:val="24"/>
                <w:color w:val="auto"/>
                <w:vertAlign w:val="superscript"/>
              </w:rPr>
              <w:t>(b)</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0.50</w:t>
            </w: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0.51</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0.79</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0.68</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Dividends per share</w:t>
            </w:r>
          </w:p>
        </w:tc>
        <w:tc>
          <w:tcPr>
            <w:tcW w:w="118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0.43</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0.43</w:t>
            </w:r>
          </w:p>
        </w:tc>
        <w:tc>
          <w:tcPr>
            <w:tcW w:w="4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0.86</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Market price:</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47.37</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47.90</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41.65</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42.93</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939598"/>
            </w:tcBorders>
            <w:shd w:val="clear" w:color="auto" w:fill="E3F1DA"/>
          </w:tcPr>
          <w:p>
            <w:pPr>
              <w:spacing w:after="0"/>
              <w:rPr>
                <w:sz w:val="20"/>
                <w:szCs w:val="20"/>
                <w:color w:val="auto"/>
              </w:rPr>
            </w:pPr>
            <w:r>
              <w:rPr>
                <w:rFonts w:ascii="Arial" w:cs="Arial" w:eastAsia="Arial" w:hAnsi="Arial"/>
                <w:sz w:val="18"/>
                <w:szCs w:val="18"/>
                <w:color w:val="auto"/>
              </w:rPr>
              <w:t>Low</w:t>
            </w:r>
          </w:p>
        </w:tc>
        <w:tc>
          <w:tcPr>
            <w:tcW w:w="1180" w:type="dxa"/>
            <w:vAlign w:val="bottom"/>
            <w:tcBorders>
              <w:bottom w:val="single" w:sz="8" w:color="939598"/>
            </w:tcBorders>
            <w:shd w:val="clear" w:color="auto" w:fill="E3F1DA"/>
          </w:tcPr>
          <w:p>
            <w:pPr>
              <w:spacing w:after="0"/>
              <w:rPr>
                <w:sz w:val="18"/>
                <w:szCs w:val="18"/>
                <w:color w:val="auto"/>
              </w:rPr>
            </w:pPr>
          </w:p>
        </w:tc>
        <w:tc>
          <w:tcPr>
            <w:tcW w:w="980" w:type="dxa"/>
            <w:vAlign w:val="bottom"/>
            <w:tcBorders>
              <w:bottom w:val="single" w:sz="8" w:color="939598"/>
            </w:tcBorders>
            <w:shd w:val="clear" w:color="auto" w:fill="E3F1DA"/>
          </w:tcPr>
          <w:p>
            <w:pPr>
              <w:jc w:val="right"/>
              <w:ind w:right="94"/>
              <w:spacing w:after="0"/>
              <w:rPr>
                <w:sz w:val="20"/>
                <w:szCs w:val="20"/>
                <w:color w:val="auto"/>
              </w:rPr>
            </w:pPr>
            <w:r>
              <w:rPr>
                <w:rFonts w:ascii="Arial" w:cs="Arial" w:eastAsia="Arial" w:hAnsi="Arial"/>
                <w:sz w:val="18"/>
                <w:szCs w:val="18"/>
                <w:color w:val="auto"/>
              </w:rPr>
              <w:t>36.76</w:t>
            </w:r>
          </w:p>
        </w:tc>
        <w:tc>
          <w:tcPr>
            <w:tcW w:w="520" w:type="dxa"/>
            <w:vAlign w:val="bottom"/>
            <w:tcBorders>
              <w:bottom w:val="single" w:sz="8" w:color="939598"/>
            </w:tcBorders>
            <w:shd w:val="clear" w:color="auto" w:fill="E3F1DA"/>
          </w:tcPr>
          <w:p>
            <w:pPr>
              <w:spacing w:after="0"/>
              <w:rPr>
                <w:sz w:val="18"/>
                <w:szCs w:val="18"/>
                <w:color w:val="auto"/>
              </w:rPr>
            </w:pPr>
          </w:p>
        </w:tc>
        <w:tc>
          <w:tcPr>
            <w:tcW w:w="960" w:type="dxa"/>
            <w:vAlign w:val="bottom"/>
            <w:tcBorders>
              <w:bottom w:val="single" w:sz="8" w:color="939598"/>
            </w:tcBorders>
            <w:shd w:val="clear" w:color="auto" w:fill="E3F1DA"/>
          </w:tcPr>
          <w:p>
            <w:pPr>
              <w:jc w:val="right"/>
              <w:ind w:right="94"/>
              <w:spacing w:after="0"/>
              <w:rPr>
                <w:sz w:val="20"/>
                <w:szCs w:val="20"/>
                <w:color w:val="auto"/>
              </w:rPr>
            </w:pPr>
            <w:r>
              <w:rPr>
                <w:rFonts w:ascii="Arial" w:cs="Arial" w:eastAsia="Arial" w:hAnsi="Arial"/>
                <w:sz w:val="18"/>
                <w:szCs w:val="18"/>
                <w:color w:val="auto"/>
              </w:rPr>
              <w:t>33.99</w:t>
            </w:r>
          </w:p>
        </w:tc>
        <w:tc>
          <w:tcPr>
            <w:tcW w:w="520" w:type="dxa"/>
            <w:vAlign w:val="bottom"/>
            <w:tcBorders>
              <w:bottom w:val="single" w:sz="8" w:color="939598"/>
            </w:tcBorders>
            <w:shd w:val="clear" w:color="auto" w:fill="E3F1DA"/>
          </w:tcPr>
          <w:p>
            <w:pPr>
              <w:spacing w:after="0"/>
              <w:rPr>
                <w:sz w:val="18"/>
                <w:szCs w:val="18"/>
                <w:color w:val="auto"/>
              </w:rPr>
            </w:pPr>
          </w:p>
        </w:tc>
        <w:tc>
          <w:tcPr>
            <w:tcW w:w="980" w:type="dxa"/>
            <w:vAlign w:val="bottom"/>
            <w:tcBorders>
              <w:bottom w:val="single" w:sz="8" w:color="939598"/>
            </w:tcBorders>
            <w:shd w:val="clear" w:color="auto" w:fill="E3F1DA"/>
          </w:tcPr>
          <w:p>
            <w:pPr>
              <w:jc w:val="right"/>
              <w:ind w:right="94"/>
              <w:spacing w:after="0"/>
              <w:rPr>
                <w:sz w:val="20"/>
                <w:szCs w:val="20"/>
                <w:color w:val="auto"/>
              </w:rPr>
            </w:pPr>
            <w:r>
              <w:rPr>
                <w:rFonts w:ascii="Arial" w:cs="Arial" w:eastAsia="Arial" w:hAnsi="Arial"/>
                <w:sz w:val="18"/>
                <w:szCs w:val="18"/>
                <w:color w:val="auto"/>
              </w:rPr>
              <w:t>32.41</w:t>
            </w:r>
          </w:p>
        </w:tc>
        <w:tc>
          <w:tcPr>
            <w:tcW w:w="520" w:type="dxa"/>
            <w:vAlign w:val="bottom"/>
            <w:tcBorders>
              <w:bottom w:val="single" w:sz="8" w:color="939598"/>
            </w:tcBorders>
            <w:shd w:val="clear" w:color="auto" w:fill="E3F1DA"/>
          </w:tcPr>
          <w:p>
            <w:pPr>
              <w:spacing w:after="0"/>
              <w:rPr>
                <w:sz w:val="18"/>
                <w:szCs w:val="18"/>
                <w:color w:val="auto"/>
              </w:rPr>
            </w:pPr>
          </w:p>
        </w:tc>
        <w:tc>
          <w:tcPr>
            <w:tcW w:w="980" w:type="dxa"/>
            <w:vAlign w:val="bottom"/>
            <w:tcBorders>
              <w:bottom w:val="single" w:sz="8" w:color="939598"/>
            </w:tcBorders>
            <w:shd w:val="clear" w:color="auto" w:fill="E3F1DA"/>
          </w:tcPr>
          <w:p>
            <w:pPr>
              <w:jc w:val="right"/>
              <w:ind w:right="94"/>
              <w:spacing w:after="0"/>
              <w:rPr>
                <w:sz w:val="20"/>
                <w:szCs w:val="20"/>
                <w:color w:val="auto"/>
              </w:rPr>
            </w:pPr>
            <w:r>
              <w:rPr>
                <w:rFonts w:ascii="Arial" w:cs="Arial" w:eastAsia="Arial" w:hAnsi="Arial"/>
                <w:sz w:val="18"/>
                <w:szCs w:val="18"/>
                <w:color w:val="auto"/>
              </w:rPr>
              <w:t>35.18</w:t>
            </w:r>
          </w:p>
        </w:tc>
        <w:tc>
          <w:tcPr>
            <w:tcW w:w="480" w:type="dxa"/>
            <w:vAlign w:val="bottom"/>
            <w:tcBorders>
              <w:bottom w:val="single" w:sz="8" w:color="939598"/>
            </w:tcBorders>
            <w:shd w:val="clear" w:color="auto" w:fill="E3F1DA"/>
          </w:tcPr>
          <w:p>
            <w:pPr>
              <w:spacing w:after="0"/>
              <w:rPr>
                <w:sz w:val="18"/>
                <w:szCs w:val="18"/>
                <w:color w:val="auto"/>
              </w:rPr>
            </w:pPr>
          </w:p>
        </w:tc>
        <w:tc>
          <w:tcPr>
            <w:tcW w:w="980" w:type="dxa"/>
            <w:vAlign w:val="bottom"/>
            <w:tcBorders>
              <w:bottom w:val="single" w:sz="8" w:color="939598"/>
            </w:tcBorders>
            <w:shd w:val="clear" w:color="auto" w:fill="E3F1DA"/>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939598"/>
              </w:rPr>
              <w:t>Year Ended December 31, 2011</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Revenues from services</w:t>
            </w:r>
          </w:p>
        </w:tc>
        <w:tc>
          <w:tcPr>
            <w:tcW w:w="118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5,072.4</w:t>
            </w:r>
          </w:p>
        </w:tc>
        <w:tc>
          <w:tcPr>
            <w:tcW w:w="520" w:type="dxa"/>
            <w:vAlign w:val="bottom"/>
            <w:shd w:val="clear" w:color="auto" w:fill="E3F1DA"/>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5,667.3</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5,782.3</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5,484.0</w:t>
            </w:r>
          </w:p>
        </w:tc>
        <w:tc>
          <w:tcPr>
            <w:tcW w:w="480" w:type="dxa"/>
            <w:vAlign w:val="bottom"/>
            <w:shd w:val="clear" w:color="auto" w:fill="E3F1DA"/>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22,006.0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857.6</w:t>
            </w:r>
          </w:p>
        </w:tc>
        <w:tc>
          <w:tcPr>
            <w:tcW w:w="52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962.2</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951.3</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935.2</w:t>
            </w:r>
          </w:p>
        </w:tc>
        <w:tc>
          <w:tcPr>
            <w:tcW w:w="4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3,706.3</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line="216" w:lineRule="exact"/>
              <w:rPr>
                <w:sz w:val="20"/>
                <w:szCs w:val="20"/>
                <w:color w:val="auto"/>
              </w:rPr>
            </w:pPr>
            <w:r>
              <w:rPr>
                <w:rFonts w:ascii="Arial" w:cs="Arial" w:eastAsia="Arial" w:hAnsi="Arial"/>
                <w:sz w:val="18"/>
                <w:szCs w:val="18"/>
                <w:color w:val="auto"/>
              </w:rPr>
              <w:t>Operating profit</w:t>
            </w:r>
            <w:r>
              <w:rPr>
                <w:rFonts w:ascii="Arial" w:cs="Arial" w:eastAsia="Arial" w:hAnsi="Arial"/>
                <w:sz w:val="24"/>
                <w:szCs w:val="24"/>
                <w:color w:val="auto"/>
                <w:vertAlign w:val="superscript"/>
              </w:rPr>
              <w:t>(c)</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85.6</w:t>
            </w: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150.8</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158.0</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129.8</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524.2</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earnings</w:t>
            </w:r>
          </w:p>
        </w:tc>
        <w:tc>
          <w:tcPr>
            <w:tcW w:w="118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35.7</w:t>
            </w:r>
          </w:p>
        </w:tc>
        <w:tc>
          <w:tcPr>
            <w:tcW w:w="52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72.7</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79.6</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251.6</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Net earnings per share — basic</w:t>
            </w:r>
          </w:p>
        </w:tc>
        <w:tc>
          <w:tcPr>
            <w:tcW w:w="118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0.44</w:t>
            </w:r>
          </w:p>
        </w:tc>
        <w:tc>
          <w:tcPr>
            <w:tcW w:w="520" w:type="dxa"/>
            <w:vAlign w:val="bottom"/>
            <w:shd w:val="clear" w:color="auto" w:fill="E3F1DA"/>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0.89</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0.97</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0.79</w:t>
            </w:r>
          </w:p>
        </w:tc>
        <w:tc>
          <w:tcPr>
            <w:tcW w:w="480" w:type="dxa"/>
            <w:vAlign w:val="bottom"/>
            <w:shd w:val="clear" w:color="auto" w:fill="E3F1DA"/>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Arial" w:cs="Arial" w:eastAsia="Arial" w:hAnsi="Arial"/>
                <w:sz w:val="18"/>
                <w:szCs w:val="18"/>
                <w:color w:val="auto"/>
              </w:rPr>
              <w:t>Net earnings per share — diluted</w:t>
            </w:r>
            <w:r>
              <w:rPr>
                <w:rFonts w:ascii="Arial" w:cs="Arial" w:eastAsia="Arial" w:hAnsi="Arial"/>
                <w:sz w:val="24"/>
                <w:szCs w:val="24"/>
                <w:color w:val="auto"/>
                <w:vertAlign w:val="superscript"/>
              </w:rPr>
              <w:t>(d)</w:t>
            </w:r>
          </w:p>
        </w:tc>
        <w:tc>
          <w:tcPr>
            <w:tcW w:w="118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0.43</w:t>
            </w:r>
          </w:p>
        </w:tc>
        <w:tc>
          <w:tcPr>
            <w:tcW w:w="520" w:type="dxa"/>
            <w:vAlign w:val="bottom"/>
          </w:tcPr>
          <w:p>
            <w:pPr>
              <w:spacing w:after="0"/>
              <w:rPr>
                <w:sz w:val="18"/>
                <w:szCs w:val="18"/>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0.87</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0.97</w:t>
            </w:r>
          </w:p>
        </w:tc>
        <w:tc>
          <w:tcPr>
            <w:tcW w:w="5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0.78</w:t>
            </w:r>
          </w:p>
        </w:tc>
        <w:tc>
          <w:tcPr>
            <w:tcW w:w="4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Dividends per share</w:t>
            </w:r>
          </w:p>
        </w:tc>
        <w:tc>
          <w:tcPr>
            <w:tcW w:w="11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0.40</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w:t>
            </w:r>
          </w:p>
        </w:tc>
        <w:tc>
          <w:tcPr>
            <w:tcW w:w="52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0.40</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jc w:val="right"/>
              <w:ind w:right="34"/>
              <w:spacing w:after="0"/>
              <w:rPr>
                <w:sz w:val="20"/>
                <w:szCs w:val="20"/>
                <w:color w:val="auto"/>
              </w:rPr>
            </w:pPr>
            <w:r>
              <w:rPr>
                <w:rFonts w:ascii="Arial" w:cs="Arial" w:eastAsia="Arial" w:hAnsi="Arial"/>
                <w:sz w:val="18"/>
                <w:szCs w:val="18"/>
                <w:color w:val="auto"/>
              </w:rPr>
              <w:t>0.80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Market price:</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E3F1DA"/>
          </w:tcPr>
          <w:p>
            <w:pPr>
              <w:spacing w:after="0"/>
              <w:rPr>
                <w:sz w:val="20"/>
                <w:szCs w:val="20"/>
                <w:color w:val="auto"/>
              </w:rPr>
            </w:pPr>
            <w:r>
              <w:rPr>
                <w:rFonts w:ascii="Arial" w:cs="Arial" w:eastAsia="Arial" w:hAnsi="Arial"/>
                <w:sz w:val="18"/>
                <w:szCs w:val="18"/>
                <w:color w:val="auto"/>
              </w:rPr>
              <w:t>High</w:t>
            </w:r>
          </w:p>
        </w:tc>
        <w:tc>
          <w:tcPr>
            <w:tcW w:w="118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68.67</w:t>
            </w:r>
          </w:p>
        </w:tc>
        <w:tc>
          <w:tcPr>
            <w:tcW w:w="520" w:type="dxa"/>
            <w:vAlign w:val="bottom"/>
            <w:shd w:val="clear" w:color="auto" w:fill="E3F1DA"/>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68.14</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58.62</w:t>
            </w:r>
          </w:p>
        </w:tc>
        <w:tc>
          <w:tcPr>
            <w:tcW w:w="520" w:type="dxa"/>
            <w:vAlign w:val="bottom"/>
            <w:shd w:val="clear" w:color="auto" w:fill="E3F1DA"/>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shd w:val="clear" w:color="auto" w:fill="E3F1DA"/>
          </w:tcPr>
          <w:p>
            <w:pPr>
              <w:jc w:val="right"/>
              <w:ind w:right="94"/>
              <w:spacing w:after="0"/>
              <w:rPr>
                <w:sz w:val="20"/>
                <w:szCs w:val="20"/>
                <w:color w:val="auto"/>
              </w:rPr>
            </w:pPr>
            <w:r>
              <w:rPr>
                <w:rFonts w:ascii="Arial" w:cs="Arial" w:eastAsia="Arial" w:hAnsi="Arial"/>
                <w:sz w:val="18"/>
                <w:szCs w:val="18"/>
                <w:color w:val="auto"/>
              </w:rPr>
              <w:t>45.92</w:t>
            </w:r>
          </w:p>
        </w:tc>
        <w:tc>
          <w:tcPr>
            <w:tcW w:w="480" w:type="dxa"/>
            <w:vAlign w:val="bottom"/>
            <w:shd w:val="clear" w:color="auto" w:fill="E3F1DA"/>
          </w:tcPr>
          <w:p>
            <w:pPr>
              <w:spacing w:after="0"/>
              <w:rPr>
                <w:sz w:val="18"/>
                <w:szCs w:val="18"/>
                <w:color w:val="auto"/>
              </w:rPr>
            </w:pPr>
          </w:p>
        </w:tc>
        <w:tc>
          <w:tcPr>
            <w:tcW w:w="980" w:type="dxa"/>
            <w:vAlign w:val="bottom"/>
            <w:shd w:val="clear" w:color="auto" w:fill="E3F1DA"/>
          </w:tcPr>
          <w:p>
            <w:pPr>
              <w:spacing w:after="0"/>
              <w:rPr>
                <w:sz w:val="18"/>
                <w:szCs w:val="18"/>
                <w:color w:val="auto"/>
              </w:rPr>
            </w:pPr>
          </w:p>
        </w:tc>
      </w:tr>
      <w:tr>
        <w:trPr>
          <w:trHeight w:val="216"/>
        </w:trPr>
        <w:tc>
          <w:tcPr>
            <w:tcW w:w="20" w:type="dxa"/>
            <w:vAlign w:val="bottom"/>
            <w:tcBorders>
              <w:bottom w:val="single" w:sz="8" w:color="939598"/>
            </w:tcBorders>
          </w:tcPr>
          <w:p>
            <w:pPr>
              <w:spacing w:after="0"/>
              <w:rPr>
                <w:sz w:val="18"/>
                <w:szCs w:val="18"/>
                <w:color w:val="auto"/>
              </w:rPr>
            </w:pPr>
          </w:p>
        </w:tc>
        <w:tc>
          <w:tcPr>
            <w:tcW w:w="330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Low</w:t>
            </w:r>
          </w:p>
        </w:tc>
        <w:tc>
          <w:tcPr>
            <w:tcW w:w="11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94"/>
              <w:spacing w:after="0"/>
              <w:rPr>
                <w:sz w:val="20"/>
                <w:szCs w:val="20"/>
                <w:color w:val="auto"/>
              </w:rPr>
            </w:pPr>
            <w:r>
              <w:rPr>
                <w:rFonts w:ascii="Arial" w:cs="Arial" w:eastAsia="Arial" w:hAnsi="Arial"/>
                <w:sz w:val="18"/>
                <w:szCs w:val="18"/>
                <w:color w:val="auto"/>
              </w:rPr>
              <w:t>58.60</w:t>
            </w:r>
          </w:p>
        </w:tc>
        <w:tc>
          <w:tcPr>
            <w:tcW w:w="520" w:type="dxa"/>
            <w:vAlign w:val="bottom"/>
            <w:tcBorders>
              <w:bottom w:val="single" w:sz="8" w:color="939598"/>
            </w:tcBorders>
          </w:tcPr>
          <w:p>
            <w:pPr>
              <w:spacing w:after="0"/>
              <w:rPr>
                <w:sz w:val="18"/>
                <w:szCs w:val="18"/>
                <w:color w:val="auto"/>
              </w:rPr>
            </w:pP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8"/>
                <w:szCs w:val="18"/>
                <w:color w:val="auto"/>
              </w:rPr>
              <w:t>52.37</w:t>
            </w:r>
          </w:p>
        </w:tc>
        <w:tc>
          <w:tcPr>
            <w:tcW w:w="5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94"/>
              <w:spacing w:after="0"/>
              <w:rPr>
                <w:sz w:val="20"/>
                <w:szCs w:val="20"/>
                <w:color w:val="auto"/>
              </w:rPr>
            </w:pPr>
            <w:r>
              <w:rPr>
                <w:rFonts w:ascii="Arial" w:cs="Arial" w:eastAsia="Arial" w:hAnsi="Arial"/>
                <w:sz w:val="18"/>
                <w:szCs w:val="18"/>
                <w:color w:val="auto"/>
              </w:rPr>
              <w:t>32.32</w:t>
            </w:r>
          </w:p>
        </w:tc>
        <w:tc>
          <w:tcPr>
            <w:tcW w:w="5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jc w:val="right"/>
              <w:ind w:right="94"/>
              <w:spacing w:after="0"/>
              <w:rPr>
                <w:sz w:val="20"/>
                <w:szCs w:val="20"/>
                <w:color w:val="auto"/>
              </w:rPr>
            </w:pPr>
            <w:r>
              <w:rPr>
                <w:rFonts w:ascii="Arial" w:cs="Arial" w:eastAsia="Arial" w:hAnsi="Arial"/>
                <w:sz w:val="18"/>
                <w:szCs w:val="18"/>
                <w:color w:val="auto"/>
              </w:rPr>
              <w:t>32.63</w:t>
            </w:r>
          </w:p>
        </w:tc>
        <w:tc>
          <w:tcPr>
            <w:tcW w:w="48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r>
    </w:tbl>
    <w:p>
      <w:pPr>
        <w:spacing w:after="0" w:line="397"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Included reorganization charges of $0.1, $20.9, $1.2 and $26.6 recorded in the first, second, third and fourth quarters, respectively.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Included in the results are reorganization costs of ($0.17) per diluted share in the second quarter and ($0.23) per diluted share in the fourth quarter.</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Included reorganization charges of $0.2, $1.4, $0.5 and $21.0 recorded in the first, second, third and fourth quarters, respectively.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Included in the results are reorganization costs of ($0.02) per diluted share in the second quarter and ($0.20) per diluted share in the fourth quarter.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580" w:hanging="572"/>
        <w:spacing w:after="0"/>
        <w:tabs>
          <w:tab w:leader="none" w:pos="580" w:val="left"/>
        </w:tabs>
        <w:numPr>
          <w:ilvl w:val="0"/>
          <w:numId w:val="104"/>
        </w:numPr>
        <w:rPr>
          <w:rFonts w:ascii="Arial" w:cs="Arial" w:eastAsia="Arial" w:hAnsi="Arial"/>
          <w:sz w:val="14"/>
          <w:szCs w:val="14"/>
          <w:b w:val="1"/>
          <w:bCs w:val="1"/>
          <w:color w:val="auto"/>
        </w:rPr>
      </w:pP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100" w:name="page101"/>
    <w:bookmarkEnd w:id="100"/>
    <w:p>
      <w:pPr>
        <w:spacing w:after="0"/>
        <w:rPr>
          <w:sz w:val="20"/>
          <w:szCs w:val="20"/>
          <w:color w:val="auto"/>
        </w:rPr>
      </w:pPr>
      <w:r>
        <w:rPr>
          <w:rFonts w:ascii="Arial" w:cs="Arial" w:eastAsia="Arial" w:hAnsi="Arial"/>
          <w:sz w:val="24"/>
          <w:szCs w:val="24"/>
          <w:color w:val="4D8ABE"/>
        </w:rPr>
        <w:t>SELECTED FINANCIAL DATA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4D8ABE"/>
        </w:rPr>
        <w:t>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As of and for the Year Ended 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1380" w:type="dxa"/>
            <w:vAlign w:val="bottom"/>
            <w:tcBorders>
              <w:bottom w:val="single" w:sz="8" w:color="86B6A5"/>
            </w:tcBorders>
            <w:shd w:val="clear" w:color="auto" w:fill="86B6A5"/>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320" w:type="dxa"/>
            <w:vAlign w:val="bottom"/>
            <w:tcBorders>
              <w:bottom w:val="single" w:sz="8" w:color="86B6A5"/>
            </w:tcBorders>
          </w:tcPr>
          <w:p>
            <w:pPr>
              <w:spacing w:after="0"/>
              <w:rPr>
                <w:sz w:val="14"/>
                <w:szCs w:val="14"/>
                <w:color w:val="auto"/>
              </w:rPr>
            </w:pPr>
          </w:p>
        </w:tc>
        <w:tc>
          <w:tcPr>
            <w:tcW w:w="1000" w:type="dxa"/>
            <w:vAlign w:val="bottom"/>
            <w:tcBorders>
              <w:bottom w:val="single" w:sz="8" w:color="86B6A5"/>
            </w:tcBorders>
          </w:tcPr>
          <w:p>
            <w:pPr>
              <w:jc w:val="right"/>
              <w:ind w:right="94"/>
              <w:spacing w:after="0"/>
              <w:rPr>
                <w:sz w:val="20"/>
                <w:szCs w:val="20"/>
                <w:color w:val="auto"/>
              </w:rPr>
            </w:pPr>
            <w:r>
              <w:rPr>
                <w:rFonts w:ascii="Arial" w:cs="Arial" w:eastAsia="Arial" w:hAnsi="Arial"/>
                <w:sz w:val="14"/>
                <w:szCs w:val="14"/>
                <w:b w:val="1"/>
                <w:bCs w:val="1"/>
                <w:color w:val="86B6A5"/>
              </w:rPr>
              <w:t>2011</w:t>
            </w:r>
          </w:p>
        </w:tc>
        <w:tc>
          <w:tcPr>
            <w:tcW w:w="480" w:type="dxa"/>
            <w:vAlign w:val="bottom"/>
            <w:tcBorders>
              <w:bottom w:val="single" w:sz="8" w:color="86B6A5"/>
            </w:tcBorders>
          </w:tcPr>
          <w:p>
            <w:pPr>
              <w:spacing w:after="0"/>
              <w:rPr>
                <w:sz w:val="14"/>
                <w:szCs w:val="14"/>
                <w:color w:val="auto"/>
              </w:rPr>
            </w:pPr>
          </w:p>
        </w:tc>
        <w:tc>
          <w:tcPr>
            <w:tcW w:w="104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2010</w:t>
            </w:r>
          </w:p>
        </w:tc>
        <w:tc>
          <w:tcPr>
            <w:tcW w:w="460" w:type="dxa"/>
            <w:vAlign w:val="bottom"/>
            <w:tcBorders>
              <w:bottom w:val="single" w:sz="8" w:color="86B6A5"/>
            </w:tcBorders>
          </w:tcPr>
          <w:p>
            <w:pPr>
              <w:spacing w:after="0"/>
              <w:rPr>
                <w:sz w:val="14"/>
                <w:szCs w:val="14"/>
                <w:color w:val="auto"/>
              </w:rPr>
            </w:pPr>
          </w:p>
        </w:tc>
        <w:tc>
          <w:tcPr>
            <w:tcW w:w="1040" w:type="dxa"/>
            <w:vAlign w:val="bottom"/>
            <w:tcBorders>
              <w:bottom w:val="single" w:sz="8" w:color="86B6A5"/>
            </w:tcBorders>
          </w:tcPr>
          <w:p>
            <w:pPr>
              <w:jc w:val="right"/>
              <w:ind w:right="114"/>
              <w:spacing w:after="0"/>
              <w:rPr>
                <w:sz w:val="20"/>
                <w:szCs w:val="20"/>
                <w:color w:val="auto"/>
              </w:rPr>
            </w:pPr>
            <w:r>
              <w:rPr>
                <w:rFonts w:ascii="Arial" w:cs="Arial" w:eastAsia="Arial" w:hAnsi="Arial"/>
                <w:sz w:val="14"/>
                <w:szCs w:val="14"/>
                <w:b w:val="1"/>
                <w:bCs w:val="1"/>
                <w:color w:val="86B6A5"/>
              </w:rPr>
              <w:t>2009</w:t>
            </w:r>
          </w:p>
        </w:tc>
        <w:tc>
          <w:tcPr>
            <w:tcW w:w="460" w:type="dxa"/>
            <w:vAlign w:val="bottom"/>
            <w:tcBorders>
              <w:bottom w:val="single" w:sz="8" w:color="86B6A5"/>
            </w:tcBorders>
          </w:tcPr>
          <w:p>
            <w:pPr>
              <w:spacing w:after="0"/>
              <w:rPr>
                <w:sz w:val="14"/>
                <w:szCs w:val="14"/>
                <w:color w:val="auto"/>
              </w:rPr>
            </w:pPr>
          </w:p>
        </w:tc>
        <w:tc>
          <w:tcPr>
            <w:tcW w:w="980" w:type="dxa"/>
            <w:vAlign w:val="bottom"/>
            <w:tcBorders>
              <w:bottom w:val="single" w:sz="8" w:color="86B6A5"/>
            </w:tcBorders>
          </w:tcPr>
          <w:p>
            <w:pPr>
              <w:jc w:val="right"/>
              <w:ind w:right="34"/>
              <w:spacing w:after="0"/>
              <w:rPr>
                <w:sz w:val="20"/>
                <w:szCs w:val="20"/>
                <w:color w:val="auto"/>
              </w:rPr>
            </w:pPr>
            <w:r>
              <w:rPr>
                <w:rFonts w:ascii="Arial" w:cs="Arial" w:eastAsia="Arial" w:hAnsi="Arial"/>
                <w:sz w:val="14"/>
                <w:szCs w:val="14"/>
                <w:b w:val="1"/>
                <w:bCs w:val="1"/>
                <w:color w:val="86B6A5"/>
              </w:rPr>
              <w:t>2008</w:t>
            </w:r>
          </w:p>
        </w:tc>
      </w:tr>
      <w:tr>
        <w:trPr>
          <w:trHeight w:val="210"/>
        </w:trPr>
        <w:tc>
          <w:tcPr>
            <w:tcW w:w="4160" w:type="dxa"/>
            <w:vAlign w:val="bottom"/>
          </w:tcPr>
          <w:p>
            <w:pPr>
              <w:spacing w:after="0"/>
              <w:rPr>
                <w:sz w:val="20"/>
                <w:szCs w:val="20"/>
                <w:color w:val="auto"/>
              </w:rPr>
            </w:pPr>
            <w:r>
              <w:rPr>
                <w:rFonts w:ascii="Arial" w:cs="Arial" w:eastAsia="Arial" w:hAnsi="Arial"/>
                <w:sz w:val="18"/>
                <w:szCs w:val="18"/>
                <w:b w:val="1"/>
                <w:bCs w:val="1"/>
                <w:color w:val="939598"/>
              </w:rPr>
              <w:t>Operations Data</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20,678.0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22,006.0</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18,866.5</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16,038.7</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21,537.1</w:t>
            </w: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3,442.0</w:t>
            </w:r>
          </w:p>
        </w:tc>
        <w:tc>
          <w:tcPr>
            <w:tcW w:w="32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3,706.3</w:t>
            </w:r>
          </w:p>
        </w:tc>
        <w:tc>
          <w:tcPr>
            <w:tcW w:w="48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3,245.4</w:t>
            </w:r>
          </w:p>
        </w:tc>
        <w:tc>
          <w:tcPr>
            <w:tcW w:w="46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2,818.2</w:t>
            </w:r>
          </w:p>
        </w:tc>
        <w:tc>
          <w:tcPr>
            <w:tcW w:w="4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4,086.9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411.7</w:t>
            </w:r>
          </w:p>
        </w:tc>
        <w:tc>
          <w:tcPr>
            <w:tcW w:w="32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524.2</w:t>
            </w:r>
          </w:p>
        </w:tc>
        <w:tc>
          <w:tcPr>
            <w:tcW w:w="4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(122.0)</w:t>
            </w:r>
          </w:p>
        </w:tc>
        <w:tc>
          <w:tcPr>
            <w:tcW w:w="46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493.5</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197.6</w:t>
            </w:r>
          </w:p>
        </w:tc>
        <w:tc>
          <w:tcPr>
            <w:tcW w:w="32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251.6</w:t>
            </w:r>
          </w:p>
        </w:tc>
        <w:tc>
          <w:tcPr>
            <w:tcW w:w="4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(263.6)</w:t>
            </w:r>
          </w:p>
        </w:tc>
        <w:tc>
          <w:tcPr>
            <w:tcW w:w="46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205.5</w:t>
            </w:r>
          </w:p>
        </w:tc>
      </w:tr>
      <w:tr>
        <w:trPr>
          <w:trHeight w:val="222"/>
        </w:trPr>
        <w:tc>
          <w:tcPr>
            <w:tcW w:w="4160" w:type="dxa"/>
            <w:vAlign w:val="bottom"/>
          </w:tcPr>
          <w:p>
            <w:pPr>
              <w:spacing w:after="0"/>
              <w:rPr>
                <w:sz w:val="20"/>
                <w:szCs w:val="20"/>
                <w:color w:val="auto"/>
              </w:rPr>
            </w:pPr>
            <w:r>
              <w:rPr>
                <w:rFonts w:ascii="Arial" w:cs="Arial" w:eastAsia="Arial" w:hAnsi="Arial"/>
                <w:sz w:val="18"/>
                <w:szCs w:val="18"/>
                <w:b w:val="1"/>
                <w:bCs w:val="1"/>
                <w:color w:val="939598"/>
              </w:rPr>
              <w:t>Per Share Data</w:t>
            </w:r>
          </w:p>
        </w:tc>
        <w:tc>
          <w:tcPr>
            <w:tcW w:w="100" w:type="dxa"/>
            <w:vAlign w:val="bottom"/>
            <w:shd w:val="clear" w:color="auto" w:fill="E3F1DA"/>
          </w:tcPr>
          <w:p>
            <w:pPr>
              <w:spacing w:after="0"/>
              <w:rPr>
                <w:sz w:val="19"/>
                <w:szCs w:val="19"/>
                <w:color w:val="auto"/>
              </w:rPr>
            </w:pPr>
          </w:p>
        </w:tc>
        <w:tc>
          <w:tcPr>
            <w:tcW w:w="1380" w:type="dxa"/>
            <w:vAlign w:val="bottom"/>
            <w:shd w:val="clear" w:color="auto" w:fill="E3F1DA"/>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earnings (loss) — basic</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2.49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3.08</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(3.26)</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earnings (loss) — diluted</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3.04</w:t>
            </w:r>
          </w:p>
        </w:tc>
        <w:tc>
          <w:tcPr>
            <w:tcW w:w="4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(3.26)</w:t>
            </w:r>
          </w:p>
        </w:tc>
        <w:tc>
          <w:tcPr>
            <w:tcW w:w="46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4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2.58</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E3F1DA"/>
          </w:tcPr>
          <w:p>
            <w:pPr>
              <w:spacing w:after="0"/>
              <w:rPr>
                <w:sz w:val="18"/>
                <w:szCs w:val="18"/>
                <w:color w:val="auto"/>
              </w:rPr>
            </w:pP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0.86</w:t>
            </w:r>
          </w:p>
        </w:tc>
        <w:tc>
          <w:tcPr>
            <w:tcW w:w="32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0.80</w:t>
            </w:r>
          </w:p>
        </w:tc>
        <w:tc>
          <w:tcPr>
            <w:tcW w:w="48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0.74</w:t>
            </w:r>
          </w:p>
        </w:tc>
        <w:tc>
          <w:tcPr>
            <w:tcW w:w="46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0.74</w:t>
            </w:r>
          </w:p>
        </w:tc>
        <w:tc>
          <w:tcPr>
            <w:tcW w:w="4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0.74</w:t>
            </w:r>
          </w:p>
        </w:tc>
      </w:tr>
      <w:tr>
        <w:trPr>
          <w:trHeight w:val="222"/>
        </w:trPr>
        <w:tc>
          <w:tcPr>
            <w:tcW w:w="4160" w:type="dxa"/>
            <w:vAlign w:val="bottom"/>
          </w:tcPr>
          <w:p>
            <w:pPr>
              <w:spacing w:after="0"/>
              <w:rPr>
                <w:sz w:val="20"/>
                <w:szCs w:val="20"/>
                <w:color w:val="auto"/>
              </w:rPr>
            </w:pPr>
            <w:r>
              <w:rPr>
                <w:rFonts w:ascii="Arial" w:cs="Arial" w:eastAsia="Arial" w:hAnsi="Arial"/>
                <w:sz w:val="18"/>
                <w:szCs w:val="18"/>
                <w:b w:val="1"/>
                <w:bCs w:val="1"/>
                <w:color w:val="939598"/>
              </w:rPr>
              <w:t>Balance Sheet Data</w:t>
            </w:r>
          </w:p>
        </w:tc>
        <w:tc>
          <w:tcPr>
            <w:tcW w:w="100" w:type="dxa"/>
            <w:vAlign w:val="bottom"/>
            <w:shd w:val="clear" w:color="auto" w:fill="E3F1DA"/>
          </w:tcPr>
          <w:p>
            <w:pPr>
              <w:spacing w:after="0"/>
              <w:rPr>
                <w:sz w:val="19"/>
                <w:szCs w:val="19"/>
                <w:color w:val="auto"/>
              </w:rPr>
            </w:pPr>
          </w:p>
        </w:tc>
        <w:tc>
          <w:tcPr>
            <w:tcW w:w="1380" w:type="dxa"/>
            <w:vAlign w:val="bottom"/>
            <w:shd w:val="clear" w:color="auto" w:fill="E3F1DA"/>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3F1DA"/>
          </w:tcPr>
          <w:p>
            <w:pPr>
              <w:jc w:val="right"/>
              <w:ind w:right="254"/>
              <w:spacing w:after="0"/>
              <w:rPr>
                <w:sz w:val="20"/>
                <w:szCs w:val="20"/>
                <w:color w:val="auto"/>
              </w:rPr>
            </w:pPr>
            <w:r>
              <w:rPr>
                <w:rFonts w:ascii="Arial" w:cs="Arial" w:eastAsia="Arial" w:hAnsi="Arial"/>
                <w:sz w:val="18"/>
                <w:szCs w:val="18"/>
                <w:color w:val="auto"/>
              </w:rPr>
              <w:t>7,012.6</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6,899.7</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6,729.7</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6,213.8</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6,622.2</w:t>
            </w:r>
          </w:p>
        </w:tc>
      </w:tr>
      <w:tr>
        <w:trPr>
          <w:trHeight w:val="223"/>
        </w:trPr>
        <w:tc>
          <w:tcPr>
            <w:tcW w:w="4160" w:type="dxa"/>
            <w:vAlign w:val="bottom"/>
            <w:tcBorders>
              <w:bottom w:val="single" w:sz="8" w:color="939598"/>
            </w:tcBorders>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939598"/>
            </w:tcBorders>
            <w:shd w:val="clear" w:color="auto" w:fill="E3F1DA"/>
          </w:tcPr>
          <w:p>
            <w:pPr>
              <w:spacing w:after="0"/>
              <w:rPr>
                <w:sz w:val="19"/>
                <w:szCs w:val="19"/>
                <w:color w:val="auto"/>
              </w:rPr>
            </w:pPr>
          </w:p>
        </w:tc>
        <w:tc>
          <w:tcPr>
            <w:tcW w:w="1380" w:type="dxa"/>
            <w:vAlign w:val="bottom"/>
            <w:tcBorders>
              <w:bottom w:val="single" w:sz="8" w:color="939598"/>
            </w:tcBorders>
            <w:shd w:val="clear" w:color="auto" w:fill="E3F1DA"/>
          </w:tcPr>
          <w:p>
            <w:pPr>
              <w:jc w:val="right"/>
              <w:ind w:right="254"/>
              <w:spacing w:after="0"/>
              <w:rPr>
                <w:sz w:val="20"/>
                <w:szCs w:val="20"/>
                <w:color w:val="auto"/>
              </w:rPr>
            </w:pPr>
            <w:r>
              <w:rPr>
                <w:rFonts w:ascii="Arial" w:cs="Arial" w:eastAsia="Arial" w:hAnsi="Arial"/>
                <w:sz w:val="18"/>
                <w:szCs w:val="18"/>
                <w:color w:val="auto"/>
              </w:rPr>
              <w:t>462.1</w:t>
            </w:r>
          </w:p>
        </w:tc>
        <w:tc>
          <w:tcPr>
            <w:tcW w:w="320" w:type="dxa"/>
            <w:vAlign w:val="bottom"/>
            <w:tcBorders>
              <w:bottom w:val="single" w:sz="8" w:color="939598"/>
            </w:tcBorders>
          </w:tcPr>
          <w:p>
            <w:pPr>
              <w:spacing w:after="0"/>
              <w:rPr>
                <w:sz w:val="19"/>
                <w:szCs w:val="19"/>
                <w:color w:val="auto"/>
              </w:rPr>
            </w:pPr>
          </w:p>
        </w:tc>
        <w:tc>
          <w:tcPr>
            <w:tcW w:w="1000" w:type="dxa"/>
            <w:vAlign w:val="bottom"/>
            <w:tcBorders>
              <w:bottom w:val="single" w:sz="8" w:color="939598"/>
            </w:tcBorders>
          </w:tcPr>
          <w:p>
            <w:pPr>
              <w:jc w:val="right"/>
              <w:ind w:right="94"/>
              <w:spacing w:after="0"/>
              <w:rPr>
                <w:sz w:val="20"/>
                <w:szCs w:val="20"/>
                <w:color w:val="auto"/>
              </w:rPr>
            </w:pPr>
            <w:r>
              <w:rPr>
                <w:rFonts w:ascii="Arial" w:cs="Arial" w:eastAsia="Arial" w:hAnsi="Arial"/>
                <w:sz w:val="18"/>
                <w:szCs w:val="18"/>
                <w:color w:val="auto"/>
              </w:rPr>
              <w:t>266.0</w:t>
            </w:r>
          </w:p>
        </w:tc>
        <w:tc>
          <w:tcPr>
            <w:tcW w:w="48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669.3</w:t>
            </w:r>
          </w:p>
        </w:tc>
        <w:tc>
          <w:tcPr>
            <w:tcW w:w="46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jc w:val="right"/>
              <w:ind w:right="114"/>
              <w:spacing w:after="0"/>
              <w:rPr>
                <w:sz w:val="20"/>
                <w:szCs w:val="20"/>
                <w:color w:val="auto"/>
              </w:rPr>
            </w:pPr>
            <w:r>
              <w:rPr>
                <w:rFonts w:ascii="Arial" w:cs="Arial" w:eastAsia="Arial" w:hAnsi="Arial"/>
                <w:sz w:val="18"/>
                <w:szCs w:val="18"/>
                <w:color w:val="auto"/>
              </w:rPr>
              <w:t>715.6</w:t>
            </w:r>
          </w:p>
        </w:tc>
        <w:tc>
          <w:tcPr>
            <w:tcW w:w="460" w:type="dxa"/>
            <w:vAlign w:val="bottom"/>
            <w:tcBorders>
              <w:bottom w:val="single" w:sz="8" w:color="939598"/>
            </w:tcBorders>
          </w:tcPr>
          <w:p>
            <w:pPr>
              <w:spacing w:after="0"/>
              <w:rPr>
                <w:sz w:val="19"/>
                <w:szCs w:val="19"/>
                <w:color w:val="auto"/>
              </w:rPr>
            </w:pPr>
          </w:p>
        </w:tc>
        <w:tc>
          <w:tcPr>
            <w:tcW w:w="980" w:type="dxa"/>
            <w:vAlign w:val="bottom"/>
            <w:tcBorders>
              <w:bottom w:val="single" w:sz="8" w:color="939598"/>
            </w:tcBorders>
          </w:tcPr>
          <w:p>
            <w:pPr>
              <w:jc w:val="right"/>
              <w:ind w:right="34"/>
              <w:spacing w:after="0"/>
              <w:rPr>
                <w:sz w:val="20"/>
                <w:szCs w:val="20"/>
                <w:color w:val="auto"/>
              </w:rPr>
            </w:pPr>
            <w:r>
              <w:rPr>
                <w:rFonts w:ascii="Arial" w:cs="Arial" w:eastAsia="Arial" w:hAnsi="Arial"/>
                <w:sz w:val="18"/>
                <w:szCs w:val="18"/>
                <w:color w:val="auto"/>
              </w:rPr>
              <w:t>837.3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86B6A5"/>
        </w:rPr>
        <w:t>Performance Graph</w:t>
      </w:r>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Set forth below is a graph for the periods ending December 31, 2007–2012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29% of the total market capitalization of the companies included in the index. The graph assumes a $100 investment on December 31, 2007 in our common stock, the Standard &amp; Poor’s 400 Midcap Stock Index and the Standard &amp; Poor’s Supercomposite Human Resources and Employment Services Index and assumes the reinvestment of all dividends.</w:t>
      </w: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wp:posOffset>
            </wp:positionV>
            <wp:extent cx="5145405" cy="16294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Borders>
              <w:bottom w:val="single" w:sz="8" w:color="86B6A5"/>
            </w:tcBorders>
          </w:tcPr>
          <w:p>
            <w:pPr>
              <w:spacing w:after="0"/>
              <w:rPr>
                <w:sz w:val="20"/>
                <w:szCs w:val="20"/>
                <w:color w:val="auto"/>
              </w:rPr>
            </w:pPr>
            <w:r>
              <w:rPr>
                <w:rFonts w:ascii="Arial" w:cs="Arial" w:eastAsia="Arial" w:hAnsi="Arial"/>
                <w:sz w:val="14"/>
                <w:szCs w:val="14"/>
                <w:b w:val="1"/>
                <w:bCs w:val="1"/>
                <w:color w:val="86B6A5"/>
              </w:rPr>
              <w:t>December 31</w:t>
            </w:r>
          </w:p>
        </w:tc>
        <w:tc>
          <w:tcPr>
            <w:tcW w:w="100" w:type="dxa"/>
            <w:vAlign w:val="bottom"/>
            <w:tcBorders>
              <w:bottom w:val="single" w:sz="8" w:color="86B6A5"/>
            </w:tcBorders>
            <w:shd w:val="clear" w:color="auto" w:fill="86B6A5"/>
          </w:tcPr>
          <w:p>
            <w:pPr>
              <w:spacing w:after="0"/>
              <w:rPr>
                <w:sz w:val="14"/>
                <w:szCs w:val="14"/>
                <w:color w:val="auto"/>
              </w:rPr>
            </w:pPr>
          </w:p>
        </w:tc>
        <w:tc>
          <w:tcPr>
            <w:tcW w:w="900" w:type="dxa"/>
            <w:vAlign w:val="bottom"/>
            <w:tcBorders>
              <w:bottom w:val="single" w:sz="8" w:color="86B6A5"/>
            </w:tcBorders>
            <w:shd w:val="clear" w:color="auto" w:fill="86B6A5"/>
          </w:tcPr>
          <w:p>
            <w:pPr>
              <w:jc w:val="right"/>
              <w:ind w:right="257"/>
              <w:spacing w:after="0"/>
              <w:rPr>
                <w:sz w:val="20"/>
                <w:szCs w:val="20"/>
                <w:color w:val="auto"/>
              </w:rPr>
            </w:pPr>
            <w:r>
              <w:rPr>
                <w:rFonts w:ascii="Arial" w:cs="Arial" w:eastAsia="Arial" w:hAnsi="Arial"/>
                <w:sz w:val="14"/>
                <w:szCs w:val="14"/>
                <w:b w:val="1"/>
                <w:bCs w:val="1"/>
                <w:color w:val="FFFFFF"/>
              </w:rPr>
              <w:t>2012</w:t>
            </w:r>
          </w:p>
        </w:tc>
        <w:tc>
          <w:tcPr>
            <w:tcW w:w="260" w:type="dxa"/>
            <w:vAlign w:val="bottom"/>
            <w:tcBorders>
              <w:bottom w:val="single" w:sz="8" w:color="86B6A5"/>
            </w:tcBorders>
          </w:tcPr>
          <w:p>
            <w:pPr>
              <w:spacing w:after="0"/>
              <w:rPr>
                <w:sz w:val="14"/>
                <w:szCs w:val="14"/>
                <w:color w:val="auto"/>
              </w:rPr>
            </w:pPr>
          </w:p>
        </w:tc>
        <w:tc>
          <w:tcPr>
            <w:tcW w:w="600" w:type="dxa"/>
            <w:vAlign w:val="bottom"/>
            <w:tcBorders>
              <w:bottom w:val="single" w:sz="8" w:color="86B6A5"/>
            </w:tcBorders>
          </w:tcPr>
          <w:p>
            <w:pPr>
              <w:jc w:val="right"/>
              <w:ind w:right="77"/>
              <w:spacing w:after="0"/>
              <w:rPr>
                <w:sz w:val="20"/>
                <w:szCs w:val="20"/>
                <w:color w:val="auto"/>
              </w:rPr>
            </w:pPr>
            <w:r>
              <w:rPr>
                <w:rFonts w:ascii="Arial" w:cs="Arial" w:eastAsia="Arial" w:hAnsi="Arial"/>
                <w:sz w:val="14"/>
                <w:szCs w:val="14"/>
                <w:b w:val="1"/>
                <w:bCs w:val="1"/>
                <w:color w:val="86B6A5"/>
              </w:rPr>
              <w:t>2011</w:t>
            </w:r>
          </w:p>
        </w:tc>
        <w:tc>
          <w:tcPr>
            <w:tcW w:w="420" w:type="dxa"/>
            <w:vAlign w:val="bottom"/>
            <w:tcBorders>
              <w:bottom w:val="single" w:sz="8" w:color="86B6A5"/>
            </w:tcBorders>
          </w:tcPr>
          <w:p>
            <w:pPr>
              <w:spacing w:after="0"/>
              <w:rPr>
                <w:sz w:val="14"/>
                <w:szCs w:val="14"/>
                <w:color w:val="auto"/>
              </w:rPr>
            </w:pPr>
          </w:p>
        </w:tc>
        <w:tc>
          <w:tcPr>
            <w:tcW w:w="600" w:type="dxa"/>
            <w:vAlign w:val="bottom"/>
            <w:tcBorders>
              <w:bottom w:val="single" w:sz="8" w:color="86B6A5"/>
            </w:tcBorders>
          </w:tcPr>
          <w:p>
            <w:pPr>
              <w:jc w:val="right"/>
              <w:ind w:right="77"/>
              <w:spacing w:after="0"/>
              <w:rPr>
                <w:sz w:val="20"/>
                <w:szCs w:val="20"/>
                <w:color w:val="auto"/>
              </w:rPr>
            </w:pPr>
            <w:r>
              <w:rPr>
                <w:rFonts w:ascii="Arial" w:cs="Arial" w:eastAsia="Arial" w:hAnsi="Arial"/>
                <w:sz w:val="14"/>
                <w:szCs w:val="14"/>
                <w:b w:val="1"/>
                <w:bCs w:val="1"/>
                <w:color w:val="86B6A5"/>
              </w:rPr>
              <w:t>2010</w:t>
            </w:r>
          </w:p>
        </w:tc>
        <w:tc>
          <w:tcPr>
            <w:tcW w:w="420" w:type="dxa"/>
            <w:vAlign w:val="bottom"/>
            <w:tcBorders>
              <w:bottom w:val="single" w:sz="8" w:color="86B6A5"/>
            </w:tcBorders>
          </w:tcPr>
          <w:p>
            <w:pPr>
              <w:spacing w:after="0"/>
              <w:rPr>
                <w:sz w:val="14"/>
                <w:szCs w:val="14"/>
                <w:color w:val="auto"/>
              </w:rPr>
            </w:pPr>
          </w:p>
        </w:tc>
        <w:tc>
          <w:tcPr>
            <w:tcW w:w="620" w:type="dxa"/>
            <w:vAlign w:val="bottom"/>
            <w:tcBorders>
              <w:bottom w:val="single" w:sz="8" w:color="86B6A5"/>
            </w:tcBorders>
          </w:tcPr>
          <w:p>
            <w:pPr>
              <w:jc w:val="right"/>
              <w:ind w:right="97"/>
              <w:spacing w:after="0"/>
              <w:rPr>
                <w:sz w:val="20"/>
                <w:szCs w:val="20"/>
                <w:color w:val="auto"/>
              </w:rPr>
            </w:pPr>
            <w:r>
              <w:rPr>
                <w:rFonts w:ascii="Arial" w:cs="Arial" w:eastAsia="Arial" w:hAnsi="Arial"/>
                <w:sz w:val="14"/>
                <w:szCs w:val="14"/>
                <w:b w:val="1"/>
                <w:bCs w:val="1"/>
                <w:color w:val="86B6A5"/>
              </w:rPr>
              <w:t>2009</w:t>
            </w:r>
          </w:p>
        </w:tc>
        <w:tc>
          <w:tcPr>
            <w:tcW w:w="420" w:type="dxa"/>
            <w:vAlign w:val="bottom"/>
            <w:tcBorders>
              <w:bottom w:val="single" w:sz="8" w:color="86B6A5"/>
            </w:tcBorders>
          </w:tcPr>
          <w:p>
            <w:pPr>
              <w:spacing w:after="0"/>
              <w:rPr>
                <w:sz w:val="14"/>
                <w:szCs w:val="14"/>
                <w:color w:val="auto"/>
              </w:rPr>
            </w:pPr>
          </w:p>
        </w:tc>
        <w:tc>
          <w:tcPr>
            <w:tcW w:w="620" w:type="dxa"/>
            <w:vAlign w:val="bottom"/>
            <w:tcBorders>
              <w:bottom w:val="single" w:sz="8" w:color="86B6A5"/>
            </w:tcBorders>
          </w:tcPr>
          <w:p>
            <w:pPr>
              <w:jc w:val="right"/>
              <w:ind w:right="97"/>
              <w:spacing w:after="0"/>
              <w:rPr>
                <w:sz w:val="20"/>
                <w:szCs w:val="20"/>
                <w:color w:val="auto"/>
              </w:rPr>
            </w:pPr>
            <w:r>
              <w:rPr>
                <w:rFonts w:ascii="Arial" w:cs="Arial" w:eastAsia="Arial" w:hAnsi="Arial"/>
                <w:sz w:val="14"/>
                <w:szCs w:val="14"/>
                <w:b w:val="1"/>
                <w:bCs w:val="1"/>
                <w:color w:val="86B6A5"/>
              </w:rPr>
              <w:t>2008</w:t>
            </w:r>
          </w:p>
        </w:tc>
        <w:tc>
          <w:tcPr>
            <w:tcW w:w="440" w:type="dxa"/>
            <w:vAlign w:val="bottom"/>
            <w:tcBorders>
              <w:bottom w:val="single" w:sz="8" w:color="86B6A5"/>
            </w:tcBorders>
          </w:tcPr>
          <w:p>
            <w:pPr>
              <w:spacing w:after="0"/>
              <w:rPr>
                <w:sz w:val="14"/>
                <w:szCs w:val="14"/>
                <w:color w:val="auto"/>
              </w:rPr>
            </w:pPr>
          </w:p>
        </w:tc>
        <w:tc>
          <w:tcPr>
            <w:tcW w:w="560" w:type="dxa"/>
            <w:vAlign w:val="bottom"/>
            <w:tcBorders>
              <w:bottom w:val="single" w:sz="8" w:color="86B6A5"/>
            </w:tcBorders>
          </w:tcPr>
          <w:p>
            <w:pPr>
              <w:jc w:val="right"/>
              <w:ind w:right="37"/>
              <w:spacing w:after="0"/>
              <w:rPr>
                <w:sz w:val="20"/>
                <w:szCs w:val="20"/>
                <w:color w:val="auto"/>
              </w:rPr>
            </w:pPr>
            <w:r>
              <w:rPr>
                <w:rFonts w:ascii="Arial" w:cs="Arial" w:eastAsia="Arial" w:hAnsi="Arial"/>
                <w:sz w:val="14"/>
                <w:szCs w:val="14"/>
                <w:b w:val="1"/>
                <w:bCs w:val="1"/>
                <w:color w:val="86B6A5"/>
              </w:rPr>
              <w:t>2007</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ManpowerGroup</w:t>
            </w:r>
          </w:p>
        </w:tc>
        <w:tc>
          <w:tcPr>
            <w:tcW w:w="100" w:type="dxa"/>
            <w:vAlign w:val="bottom"/>
            <w:shd w:val="clear" w:color="auto" w:fill="E3F1DA"/>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75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63</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110</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7"/>
              <w:spacing w:after="0"/>
              <w:rPr>
                <w:sz w:val="20"/>
                <w:szCs w:val="20"/>
                <w:color w:val="auto"/>
              </w:rPr>
            </w:pPr>
            <w:r>
              <w:rPr>
                <w:rFonts w:ascii="Arial" w:cs="Arial" w:eastAsia="Arial" w:hAnsi="Arial"/>
                <w:sz w:val="18"/>
                <w:szCs w:val="18"/>
                <w:color w:val="auto"/>
              </w:rPr>
              <w:t>96</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7"/>
              <w:spacing w:after="0"/>
              <w:rPr>
                <w:sz w:val="20"/>
                <w:szCs w:val="20"/>
                <w:color w:val="auto"/>
              </w:rPr>
            </w:pPr>
            <w:r>
              <w:rPr>
                <w:rFonts w:ascii="Arial" w:cs="Arial" w:eastAsia="Arial" w:hAnsi="Arial"/>
                <w:sz w:val="18"/>
                <w:szCs w:val="18"/>
                <w:color w:val="auto"/>
              </w:rPr>
              <w:t>60</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S&amp;P 400 Midcap Stock Index</w:t>
            </w:r>
          </w:p>
        </w:tc>
        <w:tc>
          <w:tcPr>
            <w:tcW w:w="100" w:type="dxa"/>
            <w:vAlign w:val="bottom"/>
            <w:shd w:val="clear" w:color="auto" w:fill="E3F1DA"/>
          </w:tcPr>
          <w:p>
            <w:pPr>
              <w:spacing w:after="0"/>
              <w:rPr>
                <w:sz w:val="18"/>
                <w:szCs w:val="18"/>
                <w:color w:val="auto"/>
              </w:rPr>
            </w:pPr>
          </w:p>
        </w:tc>
        <w:tc>
          <w:tcPr>
            <w:tcW w:w="900" w:type="dxa"/>
            <w:vAlign w:val="bottom"/>
            <w:shd w:val="clear" w:color="auto" w:fill="E3F1DA"/>
          </w:tcPr>
          <w:p>
            <w:pPr>
              <w:jc w:val="right"/>
              <w:ind w:right="257"/>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8"/>
                <w:szCs w:val="18"/>
                <w:color w:val="auto"/>
              </w:rPr>
            </w:pP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620" w:type="dxa"/>
            <w:vAlign w:val="bottom"/>
          </w:tcPr>
          <w:p>
            <w:pPr>
              <w:jc w:val="right"/>
              <w:ind w:right="97"/>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620" w:type="dxa"/>
            <w:vAlign w:val="bottom"/>
          </w:tcPr>
          <w:p>
            <w:pPr>
              <w:jc w:val="right"/>
              <w:ind w:right="97"/>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8"/>
                <w:szCs w:val="18"/>
                <w:color w:val="auto"/>
              </w:rPr>
              <w:t>100</w:t>
            </w:r>
          </w:p>
        </w:tc>
      </w:tr>
      <w:tr>
        <w:trPr>
          <w:trHeight w:val="208"/>
        </w:trPr>
        <w:tc>
          <w:tcPr>
            <w:tcW w:w="5460" w:type="dxa"/>
            <w:vAlign w:val="bottom"/>
          </w:tcPr>
          <w:p>
            <w:pPr>
              <w:spacing w:after="0"/>
              <w:rPr>
                <w:sz w:val="20"/>
                <w:szCs w:val="20"/>
                <w:color w:val="auto"/>
              </w:rPr>
            </w:pPr>
            <w:r>
              <w:rPr>
                <w:rFonts w:ascii="Arial" w:cs="Arial" w:eastAsia="Arial" w:hAnsi="Arial"/>
                <w:sz w:val="18"/>
                <w:szCs w:val="18"/>
                <w:color w:val="auto"/>
              </w:rPr>
              <w:t>S&amp;P Supercomposite Human Resources and Employment Services</w:t>
            </w:r>
          </w:p>
        </w:tc>
        <w:tc>
          <w:tcPr>
            <w:tcW w:w="100" w:type="dxa"/>
            <w:vAlign w:val="bottom"/>
            <w:shd w:val="clear" w:color="auto" w:fill="E3F1DA"/>
          </w:tcPr>
          <w:p>
            <w:pPr>
              <w:spacing w:after="0"/>
              <w:rPr>
                <w:sz w:val="18"/>
                <w:szCs w:val="18"/>
                <w:color w:val="auto"/>
              </w:rPr>
            </w:pPr>
          </w:p>
        </w:tc>
        <w:tc>
          <w:tcPr>
            <w:tcW w:w="900" w:type="dxa"/>
            <w:vAlign w:val="bottom"/>
            <w:shd w:val="clear" w:color="auto" w:fill="E3F1DA"/>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460" w:type="dxa"/>
            <w:vAlign w:val="bottom"/>
            <w:tcBorders>
              <w:bottom w:val="single" w:sz="8" w:color="939598"/>
            </w:tcBorders>
          </w:tcPr>
          <w:p>
            <w:pPr>
              <w:ind w:left="160"/>
              <w:spacing w:after="0"/>
              <w:rPr>
                <w:sz w:val="20"/>
                <w:szCs w:val="20"/>
                <w:color w:val="auto"/>
              </w:rPr>
            </w:pPr>
            <w:r>
              <w:rPr>
                <w:rFonts w:ascii="Arial" w:cs="Arial" w:eastAsia="Arial" w:hAnsi="Arial"/>
                <w:sz w:val="18"/>
                <w:szCs w:val="18"/>
                <w:color w:val="auto"/>
              </w:rPr>
              <w:t>Index</w:t>
            </w:r>
          </w:p>
        </w:tc>
        <w:tc>
          <w:tcPr>
            <w:tcW w:w="100" w:type="dxa"/>
            <w:vAlign w:val="bottom"/>
            <w:tcBorders>
              <w:bottom w:val="single" w:sz="8" w:color="939598"/>
            </w:tcBorders>
            <w:shd w:val="clear" w:color="auto" w:fill="E3F1DA"/>
          </w:tcPr>
          <w:p>
            <w:pPr>
              <w:spacing w:after="0"/>
              <w:rPr>
                <w:sz w:val="19"/>
                <w:szCs w:val="19"/>
                <w:color w:val="auto"/>
              </w:rPr>
            </w:pPr>
          </w:p>
        </w:tc>
        <w:tc>
          <w:tcPr>
            <w:tcW w:w="900" w:type="dxa"/>
            <w:vAlign w:val="bottom"/>
            <w:tcBorders>
              <w:bottom w:val="single" w:sz="8" w:color="939598"/>
            </w:tcBorders>
            <w:shd w:val="clear" w:color="auto" w:fill="E3F1DA"/>
          </w:tcPr>
          <w:p>
            <w:pPr>
              <w:jc w:val="right"/>
              <w:ind w:right="257"/>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tcBorders>
          </w:tcPr>
          <w:p>
            <w:pPr>
              <w:jc w:val="right"/>
              <w:ind w:right="77"/>
              <w:spacing w:after="0"/>
              <w:rPr>
                <w:sz w:val="20"/>
                <w:szCs w:val="20"/>
                <w:color w:val="auto"/>
              </w:rPr>
            </w:pPr>
            <w:r>
              <w:rPr>
                <w:rFonts w:ascii="Arial" w:cs="Arial" w:eastAsia="Arial" w:hAnsi="Arial"/>
                <w:sz w:val="18"/>
                <w:szCs w:val="18"/>
                <w:color w:val="auto"/>
              </w:rPr>
              <w:t>117</w:t>
            </w:r>
          </w:p>
        </w:tc>
        <w:tc>
          <w:tcPr>
            <w:tcW w:w="42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tcBorders>
          </w:tcPr>
          <w:p>
            <w:pPr>
              <w:jc w:val="right"/>
              <w:ind w:right="77"/>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939598"/>
            </w:tcBorders>
          </w:tcPr>
          <w:p>
            <w:pPr>
              <w:spacing w:after="0"/>
              <w:rPr>
                <w:sz w:val="19"/>
                <w:szCs w:val="19"/>
                <w:color w:val="auto"/>
              </w:rPr>
            </w:pPr>
          </w:p>
        </w:tc>
        <w:tc>
          <w:tcPr>
            <w:tcW w:w="620" w:type="dxa"/>
            <w:vAlign w:val="bottom"/>
            <w:tcBorders>
              <w:bottom w:val="single" w:sz="8" w:color="939598"/>
            </w:tcBorders>
          </w:tcPr>
          <w:p>
            <w:pPr>
              <w:jc w:val="right"/>
              <w:ind w:right="97"/>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939598"/>
            </w:tcBorders>
          </w:tcPr>
          <w:p>
            <w:pPr>
              <w:spacing w:after="0"/>
              <w:rPr>
                <w:sz w:val="19"/>
                <w:szCs w:val="19"/>
                <w:color w:val="auto"/>
              </w:rPr>
            </w:pPr>
          </w:p>
        </w:tc>
        <w:tc>
          <w:tcPr>
            <w:tcW w:w="620" w:type="dxa"/>
            <w:vAlign w:val="bottom"/>
            <w:tcBorders>
              <w:bottom w:val="single" w:sz="8" w:color="939598"/>
            </w:tcBorders>
          </w:tcPr>
          <w:p>
            <w:pPr>
              <w:jc w:val="right"/>
              <w:ind w:right="97"/>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939598"/>
            </w:tcBorders>
          </w:tcPr>
          <w:p>
            <w:pPr>
              <w:spacing w:after="0"/>
              <w:rPr>
                <w:sz w:val="19"/>
                <w:szCs w:val="19"/>
                <w:color w:val="auto"/>
              </w:rPr>
            </w:pPr>
          </w:p>
        </w:tc>
        <w:tc>
          <w:tcPr>
            <w:tcW w:w="560" w:type="dxa"/>
            <w:vAlign w:val="bottom"/>
            <w:tcBorders>
              <w:bottom w:val="single" w:sz="8" w:color="939598"/>
            </w:tcBorders>
          </w:tcPr>
          <w:p>
            <w:pPr>
              <w:jc w:val="right"/>
              <w:ind w:right="37"/>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CERTIFICATIONS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ManpowerGroup has filed the Chief Executive Officer/Chief Financial Officer certifications that are required by Section 302 of the Sarbanes-Oxley Act of 2002 as exhibits to its Annual Report on Form 10-K. In 2012, Jeffrey A. Joerres, ManpowerGroup’s Chief Executive Officer, submitted a certification to the New York Stock Exchange in accordance with Section 303A.12 of the NYSE Listed Company Manual stating that, as of the date of the certification, he was not aware of any violation by ManpowerGroup of the NYSE’s corporate governance listing standards.</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0" w:right="239" w:bottom="1440" w:gutter="0" w:footer="0" w:header="0"/>
        </w:sectPr>
      </w:pPr>
    </w:p>
    <w:bookmarkStart w:id="101" w:name="page102"/>
    <w:bookmarkEnd w:id="101"/>
    <w:p>
      <w:pPr>
        <w:spacing w:after="0"/>
        <w:rPr>
          <w:sz w:val="20"/>
          <w:szCs w:val="20"/>
          <w:color w:val="auto"/>
        </w:rPr>
      </w:pPr>
      <w:r>
        <w:rPr>
          <w:rFonts w:ascii="Arial" w:cs="Arial" w:eastAsia="Arial" w:hAnsi="Arial"/>
          <w:sz w:val="24"/>
          <w:szCs w:val="24"/>
          <w:color w:val="4D8ABE"/>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4030" cy="2444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Argentina, Australia, Austria, Bahrain, Belarus, Belgium, Bolivia, Brazil, Bulgaria, Canada, Chile, China, Colombia, Costa Rica, Croatia, Czech Republic, Denmark, Dominican Republic, Ecuador, El Salvador, Estonia, Finland, France, Germany, Greece, Guadeloupe, Guatemala, Honduras, Hong Kong, Hungary, India, Ireland, Israel, Italy, Japan, Kazakhstan, Korea, Latvia, Lithuania, Luxembourg, Macau, Malaysia, Martinique, Mexico, Monaco, Morocco, Netherlands, New Caledonia, New Zealand, Nicaragua, Norway, Panama, Paraguay, Peru, Philippines, Poland, Portugal, Puerto Rico, Reunion, Romania, Russia,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054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939598"/>
        </w:rPr>
        <w:t xml:space="preserve">ManpowerGroup (NYSE: MAN), </w:t>
      </w:r>
      <w:r>
        <w:rPr>
          <w:rFonts w:ascii="Arial" w:cs="Arial" w:eastAsia="Arial" w:hAnsi="Arial"/>
          <w:sz w:val="16"/>
          <w:szCs w:val="16"/>
          <w:color w:val="000000"/>
        </w:rPr>
        <w:t>a world leader in innovative workforce solutions, creates and delivers high-impact solutions that enable our clients to achieve</w:t>
      </w:r>
      <w:r>
        <w:rPr>
          <w:rFonts w:ascii="Arial" w:cs="Arial" w:eastAsia="Arial" w:hAnsi="Arial"/>
          <w:sz w:val="16"/>
          <w:szCs w:val="16"/>
          <w:b w:val="1"/>
          <w:bCs w:val="1"/>
          <w:color w:val="939598"/>
        </w:rPr>
        <w:t xml:space="preserve"> </w:t>
      </w:r>
      <w:r>
        <w:rPr>
          <w:rFonts w:ascii="Arial" w:cs="Arial" w:eastAsia="Arial" w:hAnsi="Arial"/>
          <w:sz w:val="16"/>
          <w:szCs w:val="16"/>
          <w:color w:val="000000"/>
        </w:rPr>
        <w:t>their business goals and enhance their competitiveness. With over 60 years of experience, our $21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3,500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w:t>
      </w:r>
      <w:r>
        <w:rPr>
          <w:rFonts w:ascii="Arial" w:cs="Arial" w:eastAsia="Arial" w:hAnsi="Arial"/>
          <w:sz w:val="22"/>
          <w:szCs w:val="22"/>
          <w:color w:val="000000"/>
          <w:vertAlign w:val="superscript"/>
        </w:rPr>
        <w:t>®</w:t>
      </w:r>
      <w:r>
        <w:rPr>
          <w:rFonts w:ascii="Arial" w:cs="Arial" w:eastAsia="Arial" w:hAnsi="Arial"/>
          <w:sz w:val="16"/>
          <w:szCs w:val="16"/>
          <w:color w:val="000000"/>
        </w:rPr>
        <w:t>, Experis™ and Right Management</w:t>
      </w:r>
      <w:r>
        <w:rPr>
          <w:rFonts w:ascii="Arial" w:cs="Arial" w:eastAsia="Arial" w:hAnsi="Arial"/>
          <w:sz w:val="22"/>
          <w:szCs w:val="22"/>
          <w:color w:val="000000"/>
          <w:vertAlign w:val="superscript"/>
        </w:rPr>
        <w:t>®</w:t>
      </w:r>
      <w:r>
        <w:rPr>
          <w:rFonts w:ascii="Arial" w:cs="Arial" w:eastAsia="Arial" w:hAnsi="Arial"/>
          <w:sz w:val="16"/>
          <w:szCs w:val="16"/>
          <w:color w:val="000000"/>
        </w:rPr>
        <w:t>. Learn more about how ManpowerGroup can help you win in the Human Age at www.manpowergroup.com. Enter the Human Age at: www.manpowergroup.com/humanage.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-1537970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102" w:name="page103"/>
    <w:bookmarkEnd w:id="102"/>
    <w:p>
      <w:pPr>
        <w:spacing w:after="0"/>
        <w:rPr>
          <w:sz w:val="20"/>
          <w:szCs w:val="20"/>
          <w:color w:val="auto"/>
        </w:rPr>
      </w:pPr>
      <w:r>
        <w:rPr>
          <w:rFonts w:ascii="Arial" w:cs="Arial" w:eastAsia="Arial" w:hAnsi="Arial"/>
          <w:sz w:val="24"/>
          <w:szCs w:val="24"/>
          <w:color w:val="4D8ABE"/>
        </w:rPr>
        <w:t>CORPORATE INFORMATION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86B6A5"/>
        </w:rPr>
        <w:t>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JEFFREY A. JOERRES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MARC J. BOLLAND</w:t>
      </w:r>
      <w:r>
        <w:rPr>
          <w:rFonts w:ascii="Arial" w:cs="Arial" w:eastAsia="Arial" w:hAnsi="Arial"/>
          <w:sz w:val="24"/>
          <w:szCs w:val="24"/>
          <w:b w:val="1"/>
          <w:bCs w:val="1"/>
          <w:color w:val="4D8ABE"/>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Marks and Spencer 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GINA R. BOSWELL</w:t>
      </w:r>
      <w:r>
        <w:rPr>
          <w:rFonts w:ascii="Arial" w:cs="Arial" w:eastAsia="Arial" w:hAnsi="Arial"/>
          <w:sz w:val="24"/>
          <w:szCs w:val="24"/>
          <w:b w:val="1"/>
          <w:bCs w:val="1"/>
          <w:color w:val="4D8ABE"/>
          <w:vertAlign w:val="superscript"/>
        </w:rPr>
        <w:t>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Personal Care,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Unilever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CARI M. DOMINGUEZ</w:t>
      </w:r>
      <w:r>
        <w:rPr>
          <w:rFonts w:ascii="Arial" w:cs="Arial" w:eastAsia="Arial" w:hAnsi="Arial"/>
          <w:sz w:val="24"/>
          <w:szCs w:val="24"/>
          <w:b w:val="1"/>
          <w:bCs w:val="1"/>
          <w:color w:val="4D8ABE"/>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Former Chair of the Equal Employment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Opportunity Commission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xml:space="preserve">WILLIAM A. DOWNE </w:t>
      </w:r>
      <w:r>
        <w:rPr>
          <w:rFonts w:ascii="Arial" w:cs="Arial" w:eastAsia="Arial" w:hAnsi="Arial"/>
          <w:sz w:val="24"/>
          <w:szCs w:val="24"/>
          <w:b w:val="1"/>
          <w:bCs w:val="1"/>
          <w:color w:val="4D8ABE"/>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BMO Financial 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JACK M. GREENBERG</w:t>
      </w:r>
      <w:r>
        <w:rPr>
          <w:rFonts w:ascii="Arial" w:cs="Arial" w:eastAsia="Arial" w:hAnsi="Arial"/>
          <w:sz w:val="24"/>
          <w:szCs w:val="24"/>
          <w:b w:val="1"/>
          <w:bCs w:val="1"/>
          <w:color w:val="4D8ABE"/>
          <w:vertAlign w:val="superscript"/>
        </w:rPr>
        <w:t>2</w:t>
      </w:r>
      <w:r>
        <w:rPr>
          <w:rFonts w:ascii="Arial" w:cs="Arial" w:eastAsia="Arial" w:hAnsi="Arial"/>
          <w:sz w:val="18"/>
          <w:szCs w:val="18"/>
          <w:b w:val="1"/>
          <w:bCs w:val="1"/>
          <w:color w:val="4D8ABE"/>
        </w:rPr>
        <w:t>*</w:t>
      </w:r>
      <w:r>
        <w:rPr>
          <w:rFonts w:ascii="Arial" w:cs="Arial" w:eastAsia="Arial" w:hAnsi="Arial"/>
          <w:sz w:val="24"/>
          <w:szCs w:val="24"/>
          <w:b w:val="1"/>
          <w:bCs w:val="1"/>
          <w:color w:val="4D8ABE"/>
          <w:vertAlign w:val="superscript"/>
        </w:rPr>
        <w:t>,3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Western Union Company and Innerworkings,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Retired Chairman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PATRICIA A. HEMINGWAY HALL</w:t>
      </w:r>
      <w:r>
        <w:rPr>
          <w:rFonts w:ascii="Arial" w:cs="Arial" w:eastAsia="Arial" w:hAnsi="Arial"/>
          <w:sz w:val="24"/>
          <w:szCs w:val="24"/>
          <w:b w:val="1"/>
          <w:bCs w:val="1"/>
          <w:color w:val="4D8ABE"/>
          <w:vertAlign w:val="superscript"/>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 Care Service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TERRY A. HUENEKE</w:t>
      </w:r>
      <w:r>
        <w:rPr>
          <w:rFonts w:ascii="Arial" w:cs="Arial" w:eastAsia="Arial" w:hAnsi="Arial"/>
          <w:sz w:val="24"/>
          <w:szCs w:val="24"/>
          <w:b w:val="1"/>
          <w:bCs w:val="1"/>
          <w:color w:val="4D8ABE"/>
          <w:vertAlign w:val="superscript"/>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Retired 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ROBERTO MENDOZA</w:t>
      </w:r>
      <w:r>
        <w:rPr>
          <w:rFonts w:ascii="Arial" w:cs="Arial" w:eastAsia="Arial" w:hAnsi="Arial"/>
          <w:sz w:val="24"/>
          <w:szCs w:val="24"/>
          <w:b w:val="1"/>
          <w:bCs w:val="1"/>
          <w:color w:val="4D8ABE"/>
          <w:vertAlign w:val="superscript"/>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Managing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Atlas Advisors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ULICE PAYNE JR.</w:t>
      </w:r>
      <w:r>
        <w:rPr>
          <w:rFonts w:ascii="Arial" w:cs="Arial" w:eastAsia="Arial" w:hAnsi="Arial"/>
          <w:sz w:val="24"/>
          <w:szCs w:val="24"/>
          <w:b w:val="1"/>
          <w:bCs w:val="1"/>
          <w:color w:val="4D8ABE"/>
          <w:vertAlign w:val="superscript"/>
        </w:rPr>
        <w:t>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Addison-Clifton,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ELIZABETH P. SARTAIN</w:t>
      </w:r>
      <w:r>
        <w:rPr>
          <w:rFonts w:ascii="Arial" w:cs="Arial" w:eastAsia="Arial" w:hAnsi="Arial"/>
          <w:sz w:val="24"/>
          <w:szCs w:val="24"/>
          <w:b w:val="1"/>
          <w:bCs w:val="1"/>
          <w:color w:val="4D8ABE"/>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Founder of Libby Sartain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Former CHRO Yahoo! Inc. and Southwest Airlines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JOHN R. WALTER</w:t>
      </w:r>
      <w:r>
        <w:rPr>
          <w:rFonts w:ascii="Arial" w:cs="Arial" w:eastAsia="Arial" w:hAnsi="Arial"/>
          <w:sz w:val="24"/>
          <w:szCs w:val="24"/>
          <w:b w:val="1"/>
          <w:bCs w:val="1"/>
          <w:color w:val="4D8ABE"/>
          <w:vertAlign w:val="superscript"/>
        </w:rPr>
        <w:t>2,3</w:t>
      </w:r>
      <w:r>
        <w:rPr>
          <w:rFonts w:ascii="Arial" w:cs="Arial" w:eastAsia="Arial" w:hAnsi="Arial"/>
          <w:sz w:val="18"/>
          <w:szCs w:val="18"/>
          <w:b w:val="1"/>
          <w:bCs w:val="1"/>
          <w:color w:val="4D8ABE"/>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Retired President and COO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AT&amp;T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EDWARD J. ZORE</w:t>
      </w:r>
      <w:r>
        <w:rPr>
          <w:rFonts w:ascii="Arial" w:cs="Arial" w:eastAsia="Arial" w:hAnsi="Arial"/>
          <w:sz w:val="24"/>
          <w:szCs w:val="24"/>
          <w:b w:val="1"/>
          <w:bCs w:val="1"/>
          <w:color w:val="4D8ABE"/>
          <w:vertAlign w:val="superscript"/>
        </w:rPr>
        <w:t>1</w:t>
      </w:r>
      <w:r>
        <w:rPr>
          <w:rFonts w:ascii="Arial" w:cs="Arial" w:eastAsia="Arial" w:hAnsi="Arial"/>
          <w:sz w:val="18"/>
          <w:szCs w:val="18"/>
          <w:b w:val="1"/>
          <w:bCs w:val="1"/>
          <w:color w:val="4D8ABE"/>
        </w:rPr>
        <w:t>*</w:t>
      </w:r>
      <w:r>
        <w:rPr>
          <w:rFonts w:ascii="Arial" w:cs="Arial" w:eastAsia="Arial" w:hAnsi="Arial"/>
          <w:sz w:val="24"/>
          <w:szCs w:val="24"/>
          <w:b w:val="1"/>
          <w:bCs w:val="1"/>
          <w:color w:val="4D8ABE"/>
          <w:vertAlign w:val="superscript"/>
        </w:rPr>
        <w:t>,3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Retired President and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6B6A5"/>
        </w:rPr>
        <w:t>Management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JEFFREY A. JOERRES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DARRYL GREEN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President</w:t>
      </w:r>
    </w:p>
    <w:p>
      <w:pPr>
        <w:sectPr>
          <w:pgSz w:w="11900" w:h="16838" w:orient="portrait"/>
          <w:cols w:equalWidth="0" w:num="1">
            <w:col w:w="10219"/>
          </w:cols>
          <w:pgMar w:left="240" w:top="754" w:right="1440" w:bottom="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4D8ABE"/>
        </w:rPr>
        <w:t>JONAS PRISING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President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MICHAEL J. VAN HANDEL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HANS LEENTJES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 Northern Europe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OWEN SULLIVAN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 Speciality Brands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MARA SWAN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Strategy and Talent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RICHARD BUCHBAND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RAM CHANDRASHEKAR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Operational Excellence and Technology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BOARD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1 Audit Committee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4D8ABE"/>
        </w:rPr>
        <w:t>2 Executive Compensation and Human Resources Committee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3 Nominating and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 Denotes Committee Chair</w:t>
      </w:r>
    </w:p>
    <w:p>
      <w:pPr>
        <w:spacing w:after="0" w:line="25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4D8ABE"/>
        </w:rPr>
        <w:t>CORPORATE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WORLD HEADQUARTERS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www.manpowergroup.com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TRANSFER AGENT AND REGISTRAR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43006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02940-3006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 for overnight deliveries: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250 Royall Street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Shareowners Toll Free: (800) 874-1547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Shareowners: (201) 680-6578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www.computershare.com/investor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STOCK EXCHANGE LISTING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NYSE Symbol: MAN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FORM 10-K</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 copy of Form 10-K filed with the Securities and Exchange Commission for the year ended December 31, 2012 is available without charge after March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and can be obtained online at: www.manpowergroup.com/investors or by writing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SHAREHOLDERS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2013, ManpowerGroup common stock was held by approximately 4,100 record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ANNUAL MEETING OF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30, 2013 at 10 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World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INVESTOR RELATIONS WEBSITE</w:t>
      </w:r>
    </w:p>
    <w:p>
      <w:pPr>
        <w:spacing w:after="0" w:line="2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most current corporate and investor information can be found on the ManpowerGroup corporate Web site at www.manpowergroup.com. Interested individuals may also choose to receive ManpowerGroup press releases and other information via e-mail by subscribing to our E-mail Alert service at www.manpowergroup.com/investors.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GOVERNANCE</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October 31, 2012, ISS Corporate Services, (an MSCI Brand) gave ManpowerGroup the following Governance Risk Indicator (GRId) Scores: Audit, Low Concern; Board Structure, Low Concern; Compensation, Low Concern; and Shareholder Rights, Medium Concern. ISS Corporate Services is a respected authority on proxy voting and corporate governance. ManpowerGroup’s governance structure is designed to ensure transparency in our operations and adherence to the regulations set forth by the U.S. Securities and Exchange Commission (SEC). Information on ManpowerGroup’s governance structure and policies can be found at www.manpowergroup.com in the section titled “About ManpowerGroup.”</w:t>
      </w:r>
    </w:p>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86</w:t>
      </w:r>
      <w:r>
        <w:rPr>
          <w:sz w:val="20"/>
          <w:szCs w:val="20"/>
          <w:color w:val="auto"/>
        </w:rPr>
        <w:tab/>
      </w:r>
      <w:r>
        <w:rPr>
          <w:rFonts w:ascii="Arial" w:cs="Arial" w:eastAsia="Arial" w:hAnsi="Arial"/>
          <w:sz w:val="14"/>
          <w:szCs w:val="14"/>
          <w:color w:val="auto"/>
        </w:rPr>
        <w:t xml:space="preserve">ManpowerGroup 2012 Annual Report  </w:t>
      </w:r>
      <w:r>
        <w:rPr>
          <w:rFonts w:ascii="Arial" w:cs="Arial" w:eastAsia="Arial" w:hAnsi="Arial"/>
          <w:sz w:val="14"/>
          <w:szCs w:val="14"/>
          <w:b w:val="1"/>
          <w:bCs w:val="1"/>
          <w:color w:val="939598"/>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632460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0" w:right="35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4D8ABE"/>
        </w:rPr>
        <w:t>CORPORATE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D8ABE"/>
        </w:rPr>
        <w:t>SOCIAL RESPONSIBILITY</w:t>
      </w:r>
    </w:p>
    <w:p>
      <w:pPr>
        <w:spacing w:after="0" w:line="2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ManpowerGroup’s business is, in itself, socially responsible because everything we do is geared toward connecting people with jobs, which enables individuals to support themselves and their families. Our free training programs allow all of our permanent, contract and temporary employees to improve their skills and grow in their careers, thereby improving their long-term career potential.</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outplacement services ensure that, when a client has to eliminate jobs, it is done in a manner that enables individuals to receive the support, training and career counseling they require in finding their way back to employment.</w:t>
      </w:r>
    </w:p>
    <w:p>
      <w:pPr>
        <w:spacing w:after="0" w:line="25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strive to be socially responsible in every aspect of our business. And we often focus our resources with special initiatives in which we can have the most impact, helping to create a bridge to employment for disadvantaged individuals through various workforce development programs around the world. Recognized as the world’s most ethical company in our industry, we are also dedicated to increasing awareness of, and opposition to, labor practices that exploit individuals, particularly those who are vulnerable. Additional details regarding social responsibility efforts at ManpowerGroup can be found in our most recent Social Responsibility Report, which is accessible via our corporate Web site at www.manpowergroup.com/socialresponsibility.</w:t>
      </w:r>
    </w:p>
    <w:p>
      <w:pPr>
        <w:sectPr>
          <w:pgSz w:w="11900" w:h="16838" w:orient="portrait"/>
          <w:cols w:equalWidth="0" w:num="1">
            <w:col w:w="11280"/>
          </w:cols>
          <w:pgMar w:left="240" w:top="361" w:right="3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2"/>
          </w:tcPr>
          <w:p>
            <w:pPr>
              <w:ind w:left="1680"/>
              <w:spacing w:after="0"/>
              <w:rPr>
                <w:sz w:val="20"/>
                <w:szCs w:val="20"/>
                <w:color w:val="auto"/>
              </w:rPr>
            </w:pPr>
            <w:r>
              <w:rPr>
                <w:rFonts w:ascii="Arial" w:cs="Arial" w:eastAsia="Arial" w:hAnsi="Arial"/>
                <w:sz w:val="18"/>
                <w:szCs w:val="18"/>
                <w:b w:val="1"/>
                <w:bCs w:val="1"/>
                <w:color w:val="auto"/>
                <w:w w:val="91"/>
              </w:rPr>
              <w:t>Exhibit 21</w:t>
            </w:r>
          </w:p>
        </w:tc>
      </w:tr>
      <w:tr>
        <w:trPr>
          <w:trHeight w:val="414"/>
        </w:trPr>
        <w:tc>
          <w:tcPr>
            <w:tcW w:w="1360" w:type="dxa"/>
            <w:vAlign w:val="bottom"/>
          </w:tcPr>
          <w:p>
            <w:pPr>
              <w:spacing w:after="0"/>
              <w:rPr>
                <w:sz w:val="24"/>
                <w:szCs w:val="24"/>
                <w:color w:val="auto"/>
              </w:rPr>
            </w:pPr>
          </w:p>
        </w:tc>
        <w:tc>
          <w:tcPr>
            <w:tcW w:w="732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SUBSIDIARIES OF MANPOWERGROUP INC.</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32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As of December 31, 2012</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62"/>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Corporation Name</w:t>
            </w:r>
          </w:p>
        </w:tc>
        <w:tc>
          <w:tcPr>
            <w:tcW w:w="7320" w:type="dxa"/>
            <w:vAlign w:val="bottom"/>
          </w:tcPr>
          <w:p>
            <w:pPr>
              <w:spacing w:after="0"/>
              <w:rPr>
                <w:sz w:val="24"/>
                <w:szCs w:val="24"/>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Incorporated in State / Country</w:t>
            </w:r>
          </w:p>
        </w:tc>
        <w:tc>
          <w:tcPr>
            <w:tcW w:w="3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620" w:type="dxa"/>
            <w:vAlign w:val="bottom"/>
            <w:gridSpan w:val="3"/>
          </w:tcPr>
          <w:p>
            <w:pPr>
              <w:spacing w:after="0" w:line="196" w:lineRule="exact"/>
              <w:rPr>
                <w:sz w:val="20"/>
                <w:szCs w:val="20"/>
                <w:color w:val="auto"/>
              </w:rPr>
            </w:pPr>
            <w:r>
              <w:rPr>
                <w:rFonts w:ascii="Arial" w:cs="Arial" w:eastAsia="Arial" w:hAnsi="Arial"/>
                <w:sz w:val="18"/>
                <w:szCs w:val="18"/>
                <w:color w:val="auto"/>
              </w:rPr>
              <w:t>of</w:t>
            </w:r>
          </w:p>
        </w:tc>
      </w:tr>
      <w:tr>
        <w:trPr>
          <w:trHeight w:val="20"/>
        </w:trPr>
        <w:tc>
          <w:tcPr>
            <w:tcW w:w="8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Huntsville Service Contractors,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AL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2620" w:type="dxa"/>
            <w:vAlign w:val="bottom"/>
            <w:gridSpan w:val="3"/>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2620" w:type="dxa"/>
            <w:vAlign w:val="bottom"/>
            <w:gridSpan w:val="3"/>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S.A.</w:t>
            </w:r>
          </w:p>
        </w:tc>
        <w:tc>
          <w:tcPr>
            <w:tcW w:w="2620" w:type="dxa"/>
            <w:vAlign w:val="bottom"/>
            <w:gridSpan w:val="3"/>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Ruralpower SA</w:t>
            </w:r>
          </w:p>
        </w:tc>
        <w:tc>
          <w:tcPr>
            <w:tcW w:w="2620" w:type="dxa"/>
            <w:vAlign w:val="bottom"/>
            <w:gridSpan w:val="3"/>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Salespower S.A.</w:t>
            </w:r>
          </w:p>
        </w:tc>
        <w:tc>
          <w:tcPr>
            <w:tcW w:w="2620" w:type="dxa"/>
            <w:vAlign w:val="bottom"/>
            <w:gridSpan w:val="3"/>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Holdings Pty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International Pty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Pty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GmbH</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GmbH</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Holding GmbH</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Powerserve GmbH</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Austria GmbH</w:t>
            </w:r>
          </w:p>
        </w:tc>
        <w:tc>
          <w:tcPr>
            <w:tcW w:w="262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Bahrain S.P.C.</w:t>
            </w:r>
          </w:p>
        </w:tc>
        <w:tc>
          <w:tcPr>
            <w:tcW w:w="2620" w:type="dxa"/>
            <w:vAlign w:val="bottom"/>
            <w:gridSpan w:val="3"/>
          </w:tcPr>
          <w:p>
            <w:pPr>
              <w:spacing w:after="0"/>
              <w:rPr>
                <w:sz w:val="20"/>
                <w:szCs w:val="20"/>
                <w:color w:val="auto"/>
              </w:rPr>
            </w:pPr>
            <w:r>
              <w:rPr>
                <w:rFonts w:ascii="Arial" w:cs="Arial" w:eastAsia="Arial" w:hAnsi="Arial"/>
                <w:sz w:val="18"/>
                <w:szCs w:val="18"/>
                <w:color w:val="auto"/>
              </w:rPr>
              <w:t>Bahrain</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Bel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Belarus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RO of Manpower CIS LLC in Belarus Republic</w:t>
            </w:r>
          </w:p>
        </w:tc>
        <w:tc>
          <w:tcPr>
            <w:tcW w:w="2620" w:type="dxa"/>
            <w:vAlign w:val="bottom"/>
            <w:gridSpan w:val="3"/>
          </w:tcPr>
          <w:p>
            <w:pPr>
              <w:spacing w:after="0"/>
              <w:rPr>
                <w:sz w:val="20"/>
                <w:szCs w:val="20"/>
                <w:color w:val="auto"/>
              </w:rPr>
            </w:pPr>
            <w:r>
              <w:rPr>
                <w:rFonts w:ascii="Arial" w:cs="Arial" w:eastAsia="Arial" w:hAnsi="Arial"/>
                <w:sz w:val="18"/>
                <w:szCs w:val="18"/>
                <w:color w:val="auto"/>
              </w:rPr>
              <w:t>Belarus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Belgium SA</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Business Solutions SA</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Belgium NV</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Netmagic II Sarl</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Network Comuting Technology &amp; Services SARL</w:t>
            </w:r>
          </w:p>
        </w:tc>
        <w:tc>
          <w:tcPr>
            <w:tcW w:w="262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262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262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262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do Brasil Ltda</w:t>
            </w:r>
          </w:p>
        </w:tc>
        <w:tc>
          <w:tcPr>
            <w:tcW w:w="262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Clarendon Parker Holdings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Bulgaria Team EOOD</w:t>
            </w:r>
          </w:p>
        </w:tc>
        <w:tc>
          <w:tcPr>
            <w:tcW w:w="2620" w:type="dxa"/>
            <w:vAlign w:val="bottom"/>
            <w:gridSpan w:val="3"/>
          </w:tcPr>
          <w:p>
            <w:pPr>
              <w:spacing w:after="0"/>
              <w:rPr>
                <w:sz w:val="20"/>
                <w:szCs w:val="20"/>
                <w:color w:val="auto"/>
              </w:rPr>
            </w:pPr>
            <w:r>
              <w:rPr>
                <w:rFonts w:ascii="Arial" w:cs="Arial" w:eastAsia="Arial" w:hAnsi="Arial"/>
                <w:sz w:val="18"/>
                <w:szCs w:val="18"/>
                <w:color w:val="auto"/>
              </w:rPr>
              <w:t>Bulgaria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Bulgaria OOD</w:t>
            </w:r>
          </w:p>
        </w:tc>
        <w:tc>
          <w:tcPr>
            <w:tcW w:w="2620" w:type="dxa"/>
            <w:vAlign w:val="bottom"/>
            <w:gridSpan w:val="3"/>
          </w:tcPr>
          <w:p>
            <w:pPr>
              <w:spacing w:after="0"/>
              <w:rPr>
                <w:sz w:val="20"/>
                <w:szCs w:val="20"/>
                <w:color w:val="auto"/>
              </w:rPr>
            </w:pPr>
            <w:r>
              <w:rPr>
                <w:rFonts w:ascii="Arial" w:cs="Arial" w:eastAsia="Arial" w:hAnsi="Arial"/>
                <w:sz w:val="18"/>
                <w:szCs w:val="18"/>
                <w:color w:val="auto"/>
              </w:rPr>
              <w:t>Bulgaria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Inc. / California Peninsula</w:t>
            </w:r>
          </w:p>
        </w:tc>
        <w:tc>
          <w:tcPr>
            <w:tcW w:w="2620" w:type="dxa"/>
            <w:vAlign w:val="bottom"/>
            <w:gridSpan w:val="3"/>
          </w:tcPr>
          <w:p>
            <w:pPr>
              <w:spacing w:after="0"/>
              <w:rPr>
                <w:sz w:val="20"/>
                <w:szCs w:val="20"/>
                <w:color w:val="auto"/>
              </w:rPr>
            </w:pPr>
            <w:r>
              <w:rPr>
                <w:rFonts w:ascii="Arial" w:cs="Arial" w:eastAsia="Arial" w:hAnsi="Arial"/>
                <w:sz w:val="18"/>
                <w:szCs w:val="18"/>
                <w:color w:val="auto"/>
              </w:rPr>
              <w:t>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Pure Solutions,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Techno5,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262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Canada</w:t>
            </w:r>
          </w:p>
        </w:tc>
        <w:tc>
          <w:tcPr>
            <w:tcW w:w="262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Management Consulting (Shanghai)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MIITEC Staffing Services (Beijing)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Reach Human Resource Services (Guangzhou)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Standard Labor Service (Beijing)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Caden (China)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Human Resources (He'nan)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China</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Xi'an Foreign Enterprise Service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Staffing Services (Shanghai) Co.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de Columbia Ltda.</w:t>
            </w:r>
          </w:p>
        </w:tc>
        <w:tc>
          <w:tcPr>
            <w:tcW w:w="2620" w:type="dxa"/>
            <w:vAlign w:val="bottom"/>
            <w:gridSpan w:val="3"/>
          </w:tcPr>
          <w:p>
            <w:pPr>
              <w:spacing w:after="0"/>
              <w:rPr>
                <w:sz w:val="20"/>
                <w:szCs w:val="20"/>
                <w:color w:val="auto"/>
              </w:rPr>
            </w:pPr>
            <w:r>
              <w:rPr>
                <w:rFonts w:ascii="Arial" w:cs="Arial" w:eastAsia="Arial" w:hAnsi="Arial"/>
                <w:sz w:val="18"/>
                <w:szCs w:val="18"/>
                <w:color w:val="auto"/>
              </w:rPr>
              <w:t>Colombia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Ltd.</w:t>
            </w:r>
          </w:p>
        </w:tc>
        <w:tc>
          <w:tcPr>
            <w:tcW w:w="2620" w:type="dxa"/>
            <w:vAlign w:val="bottom"/>
            <w:gridSpan w:val="3"/>
          </w:tcPr>
          <w:p>
            <w:pPr>
              <w:spacing w:after="0"/>
              <w:rPr>
                <w:sz w:val="20"/>
                <w:szCs w:val="20"/>
                <w:color w:val="auto"/>
              </w:rPr>
            </w:pPr>
            <w:r>
              <w:rPr>
                <w:rFonts w:ascii="Arial" w:cs="Arial" w:eastAsia="Arial" w:hAnsi="Arial"/>
                <w:sz w:val="18"/>
                <w:szCs w:val="18"/>
                <w:color w:val="auto"/>
              </w:rPr>
              <w:t>Colombia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Costa Rica, S.A.</w:t>
            </w:r>
          </w:p>
        </w:tc>
        <w:tc>
          <w:tcPr>
            <w:tcW w:w="2620" w:type="dxa"/>
            <w:vAlign w:val="bottom"/>
            <w:gridSpan w:val="3"/>
          </w:tcPr>
          <w:p>
            <w:pPr>
              <w:spacing w:after="0"/>
              <w:rPr>
                <w:sz w:val="20"/>
                <w:szCs w:val="20"/>
                <w:color w:val="auto"/>
              </w:rPr>
            </w:pPr>
            <w:r>
              <w:rPr>
                <w:rFonts w:ascii="Arial" w:cs="Arial" w:eastAsia="Arial" w:hAnsi="Arial"/>
                <w:sz w:val="18"/>
                <w:szCs w:val="18"/>
                <w:color w:val="auto"/>
              </w:rPr>
              <w:t>Costa Rica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Costa Rica, S.A.</w:t>
            </w:r>
          </w:p>
        </w:tc>
        <w:tc>
          <w:tcPr>
            <w:tcW w:w="2620" w:type="dxa"/>
            <w:vAlign w:val="bottom"/>
            <w:gridSpan w:val="3"/>
          </w:tcPr>
          <w:p>
            <w:pPr>
              <w:spacing w:after="0"/>
              <w:rPr>
                <w:sz w:val="20"/>
                <w:szCs w:val="20"/>
                <w:color w:val="auto"/>
              </w:rPr>
            </w:pPr>
            <w:r>
              <w:rPr>
                <w:rFonts w:ascii="Arial" w:cs="Arial" w:eastAsia="Arial" w:hAnsi="Arial"/>
                <w:sz w:val="18"/>
                <w:szCs w:val="18"/>
                <w:color w:val="auto"/>
              </w:rPr>
              <w:t>Costa Rica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DOO</w:t>
            </w:r>
          </w:p>
        </w:tc>
        <w:tc>
          <w:tcPr>
            <w:tcW w:w="2620" w:type="dxa"/>
            <w:vAlign w:val="bottom"/>
            <w:gridSpan w:val="3"/>
          </w:tcPr>
          <w:p>
            <w:pPr>
              <w:spacing w:after="0"/>
              <w:rPr>
                <w:sz w:val="20"/>
                <w:szCs w:val="20"/>
                <w:color w:val="auto"/>
              </w:rPr>
            </w:pPr>
            <w:r>
              <w:rPr>
                <w:rFonts w:ascii="Arial" w:cs="Arial" w:eastAsia="Arial" w:hAnsi="Arial"/>
                <w:sz w:val="18"/>
                <w:szCs w:val="18"/>
                <w:color w:val="auto"/>
              </w:rPr>
              <w:t>Croatia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Savjetovanje DOO</w:t>
            </w:r>
          </w:p>
        </w:tc>
        <w:tc>
          <w:tcPr>
            <w:tcW w:w="2620" w:type="dxa"/>
            <w:vAlign w:val="bottom"/>
            <w:gridSpan w:val="3"/>
          </w:tcPr>
          <w:p>
            <w:pPr>
              <w:spacing w:after="0"/>
              <w:rPr>
                <w:sz w:val="20"/>
                <w:szCs w:val="20"/>
                <w:color w:val="auto"/>
              </w:rPr>
            </w:pPr>
            <w:r>
              <w:rPr>
                <w:rFonts w:ascii="Arial" w:cs="Arial" w:eastAsia="Arial" w:hAnsi="Arial"/>
                <w:sz w:val="18"/>
                <w:szCs w:val="18"/>
                <w:color w:val="auto"/>
              </w:rPr>
              <w:t>Croatia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Czech Republic</w:t>
            </w:r>
          </w:p>
        </w:tc>
        <w:tc>
          <w:tcPr>
            <w:tcW w:w="2620" w:type="dxa"/>
            <w:vAlign w:val="bottom"/>
            <w:gridSpan w:val="3"/>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s r.o.</w:t>
            </w:r>
          </w:p>
        </w:tc>
        <w:tc>
          <w:tcPr>
            <w:tcW w:w="2620" w:type="dxa"/>
            <w:vAlign w:val="bottom"/>
            <w:gridSpan w:val="3"/>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blueRADIAN Engineering,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CareerHarmony,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COMSYS Information Technology Services,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IT Services US,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Econometrix,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Finance US,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CIS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Finances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Franchises,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Holdings,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US Inc.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PFI LLC</w:t>
            </w:r>
          </w:p>
        </w:tc>
        <w:tc>
          <w:tcPr>
            <w:tcW w:w="2620" w:type="dxa"/>
            <w:vAlign w:val="bottom"/>
            <w:gridSpan w:val="3"/>
          </w:tcPr>
          <w:p>
            <w:pPr>
              <w:spacing w:after="0"/>
              <w:rPr>
                <w:sz w:val="20"/>
                <w:szCs w:val="20"/>
                <w:color w:val="auto"/>
              </w:rPr>
            </w:pPr>
            <w:r>
              <w:rPr>
                <w:rFonts w:ascii="Arial" w:cs="Arial" w:eastAsia="Arial" w:hAnsi="Arial"/>
                <w:sz w:val="18"/>
                <w:szCs w:val="18"/>
                <w:color w:val="auto"/>
              </w:rPr>
              <w:t>DE</w:t>
            </w:r>
          </w:p>
        </w:tc>
      </w:tr>
    </w:tbl>
    <w:p>
      <w:pPr>
        <w:sectPr>
          <w:pgSz w:w="11900" w:h="16838" w:orient="portrait"/>
          <w:cols w:equalWidth="0" w:num="1">
            <w:col w:w="11300"/>
          </w:cols>
          <w:pgMar w:left="360" w:top="121" w:right="239" w:bottom="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Plum Rhino Consulting,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License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TAPFIN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USCADEN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Europe Holdings,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Denmark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Nordic Holding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Republica Dominicana,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El Salvador,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OÜ</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Inclusive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MBS Technical Services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Finland OY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Aitika Telecom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Alisia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Architech information System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Arkes Informatique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Information Technology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EABI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Finatel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Homecom Institut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 Conseil Informatigue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Egalite Des Chances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Holding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Nouvelles Competences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Aux Personnes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Netlevel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Ovialis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Pixid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Proservia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Spirit Search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Stealth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Supplay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Syfadis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 5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Timarance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AviationPower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Bankpower GmbH Personaldienstleistungen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GroundworX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Beteiligungsgesellschaft 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GmbH &amp; Co. KG Personaldienstleistungen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Experis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Vivento Interim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Solutions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Honduras,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Ltd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Management Consulting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Munkaero Szervezesi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 Business Services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Transpersonnel,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Technology Srvs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Solutions Pvt.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Dominican Rebublic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ectPr>
          <w:pgSz w:w="11900" w:h="16838" w:orient="portrait"/>
          <w:cols w:equalWidth="0" w:num="2">
            <w:col w:w="7960" w:space="720"/>
            <w:col w:w="1500"/>
          </w:cols>
          <w:pgMar w:left="360" w:top="125" w:right="1359" w:bottom="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Manpower Services India Pvt.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Development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Transition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Transition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Harmony,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Management of Housing for Ederly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BI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I.T.S.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Software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M.F.S. Solutions for Financial Organizations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M.P.H.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Israel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Miluot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Israel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MNPM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Nativ 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Quality Translation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Telepower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Unison Engineering Projects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Formazione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Adgrams,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Business Associates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JobSearchpower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JobSupportpower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Japan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Mitsui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Com. 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Kaz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office of Manpower CIS LLC in Kazakhstan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Korea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Topeka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Wichita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Kuwait WLL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UAB "Manpower Lit" in 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Lit UAB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SARL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(Macau)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Agensi Pekerjaan Manpower Recruitment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Techpower Consulting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Antilles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Agropower,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Factoria Y Manufactura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Intelecto Tecnologico,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Corporativo,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Industrial,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Mensajeria,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Nurse.Co de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Services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Tecnologia Y Manufactura,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2">
            <w:col w:w="7960" w:space="720"/>
            <w:col w:w="1419"/>
          </w:cols>
          <w:pgMar w:left="360" w:top="125" w:right="1440" w:bottom="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Experis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Monaco 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Business Services Maroc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Societe Marocaine De Travail Temporaire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Direkt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Management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Nederlands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Solutions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Special Staffing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Ultraflex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Ultrasearch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 Caledonie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Recrutement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(New Zealand)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(OC) Pty. Ltd (NZ)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Nicaruagua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Alubar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Framnaes Installajon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-Retail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Norway Holdings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Incorporated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 County Business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Temporales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Staffing Services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Paraguay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Peru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Peru S.A.C.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Outsourcing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Manpower Resources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Services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Transactions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SP. Zo.o.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Portuguesa - Empresa de Trabalho Temporario, 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Portugal – SGPS,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Ocean Indien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Manpower Romania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LLC Belgrade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WDC Consulting Simgapore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Slovakia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Intoto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ByManpower,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ManpowerGroup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Team E.T.T., S.A.U.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Spain,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IT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ectPr>
          <w:pgSz w:w="11900" w:h="16838" w:orient="portrait"/>
          <w:cols w:equalWidth="0" w:num="2">
            <w:col w:w="7960" w:space="720"/>
            <w:col w:w="1419"/>
          </w:cols>
          <w:pgMar w:left="360" w:top="125" w:right="1440" w:bottom="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Manpower EL &amp; Tele 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HälsoPartner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Student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Telge Jobbstart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Allegra Finanz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HR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Schweiz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Switzerland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HR Power Solution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Borderless Talent Solution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Professional and Executive Recruitment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Skillpower Services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Staffing Trinidad and Tobago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Services Tunisie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International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Insan Kaynaklari Limited Sirketi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Secme ve Yerlestirme Hizmetleri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HR Staffing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 Airport Free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Middle East FZ-LLC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Middle 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Manpower CIS LLC in 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Bafin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Bureau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 Project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Challoners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VMS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Resource Support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Finance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Contract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Public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Andrews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Corecare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EMEA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 Finance &amp; Accounting Service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Links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Aris Sociedad Anonima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Public Sector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Empresa de Trabajo Temporal,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Alleray,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of Indiana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of Texas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Texas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 Consulting Group, Inc. (f/k/a MPSSI)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Graphics of Milwaukee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Global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Trinidad and Tobago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ectPr>
          <w:pgSz w:w="11900" w:h="16838" w:orient="portrait"/>
          <w:cols w:equalWidth="0" w:num="2">
            <w:col w:w="7960" w:space="720"/>
            <w:col w:w="1500"/>
          </w:cols>
          <w:pgMar w:left="360" w:top="125" w:right="1359" w:bottom="369"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consent to the incorporation by reference in Registration Statement Nos. 33-40441, 33-55264, 33-84736, 333-1040, 333-31021, 333-82459, 333-66656, 333-105205, 333-112164, 333-126703, 333-135000, 333-161765, and 333-174305 on Form S-8 and Registration Nos. 333-650, 33-95896, and 333-87554 on Form S-4 of our reports dated February 22, 2013, relating to the consolidated financial statements and consolidated financial statement schedule of ManpowerGroup Inc. and subsidiaries (the “Company”), and the effectiveness of the Company’s internal control over financial reporting, appearing in or incorporated by reference in the Annual Report on Form 10-K of the Company for the year ended December 31, 2012.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ectPr>
          <w:pgSz w:w="11900" w:h="16838" w:orient="portrait"/>
          <w:cols w:equalWidth="0" w:num="1">
            <w:col w:w="11420"/>
          </w:cols>
          <w:pgMar w:left="240" w:top="36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Each of the undersigned directors of ManpowerGroup Inc. (the “Company”) hereby constitutes and appoints Jeffrey A. Joerres, Michael J. Van Handel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2012,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 Any previous power of attorneys with respect to the suject matter hereof are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565785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ind w:firstLine="648"/>
        <w:spacing w:after="0" w:line="262"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13th day of February, 2013.</w:t>
      </w:r>
    </w:p>
    <w:p>
      <w:pPr>
        <w:sectPr>
          <w:pgSz w:w="11900" w:h="16838" w:orient="portrait"/>
          <w:cols w:equalWidth="0" w:num="1">
            <w:col w:w="10560"/>
          </w:cols>
          <w:pgMar w:left="240" w:top="733" w:right="1099" w:bottom="1440" w:gutter="0" w:footer="0" w:header="0"/>
        </w:sectPr>
      </w:pPr>
    </w:p>
    <w:p>
      <w:pPr>
        <w:spacing w:after="0" w:line="35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144907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Marc J. Bolland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14490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 Cari M. Dominquez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29210</wp:posOffset>
            </wp:positionV>
            <wp:extent cx="14490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Cari M. Dominquez</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144907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144907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Jack M. Greenberg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Terry A. Hueneke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4490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44907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Roberto Mendoza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44907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44907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J. Zore</w:t>
      </w:r>
    </w:p>
    <w:p>
      <w:pPr>
        <w:spacing w:after="0" w:line="200" w:lineRule="exact"/>
        <w:rPr>
          <w:sz w:val="20"/>
          <w:szCs w:val="20"/>
          <w:color w:val="auto"/>
        </w:rPr>
      </w:pPr>
    </w:p>
    <w:p>
      <w:pPr>
        <w:sectPr>
          <w:pgSz w:w="11900" w:h="16838" w:orient="portrait"/>
          <w:cols w:equalWidth="0" w:num="2">
            <w:col w:w="6140" w:space="720"/>
            <w:col w:w="3700"/>
          </w:cols>
          <w:pgMar w:left="240" w:top="733" w:right="10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6"/>
          <w:szCs w:val="16"/>
          <w:u w:val="single" w:color="auto"/>
          <w:color w:val="auto"/>
        </w:rPr>
        <w:t>/s/ Patricia A. Hemingway Hall</w:t>
      </w:r>
    </w:p>
    <w:p>
      <w:pPr>
        <w:spacing w:after="0" w:line="5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Patricia A. Hemingway Hall</w:t>
      </w:r>
    </w:p>
    <w:p>
      <w:pPr>
        <w:sectPr>
          <w:pgSz w:w="11900" w:h="16838" w:orient="portrait"/>
          <w:cols w:equalWidth="0" w:num="1">
            <w:col w:w="10560"/>
          </w:cols>
          <w:pgMar w:left="240" w:top="733" w:right="109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466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2012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326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2012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endash "/>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lvl w:ilvl="1">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lvl w:ilvl="1">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lowerLetter"/>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lowerLetter"/>
      <w:start w:val="1"/>
    </w:lvl>
  </w:abstractNum>
  <w:abstractNum w:abstractNumId="17">
    <w:nsid w:val="77AE35EB"/>
    <w:multiLevelType w:val="hybridMultilevel"/>
    <w:lvl w:ilvl="0">
      <w:lvlJc w:val="left"/>
      <w:lvlText w:val="%1"/>
      <w:numFmt w:val="decimal"/>
      <w:start w:val="13"/>
    </w:lvl>
  </w:abstractNum>
  <w:abstractNum w:abstractNumId="18">
    <w:nsid w:val="579BE4F1"/>
    <w:multiLevelType w:val="hybridMultilevel"/>
    <w:lvl w:ilvl="0">
      <w:lvlJc w:val="left"/>
      <w:lvlText w:val="%1"/>
      <w:numFmt w:val="decimal"/>
      <w:start w:val="10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1."/>
      <w:numFmt w:val="decimal"/>
      <w:start w:val="15"/>
    </w:lvl>
  </w:abstractNum>
  <w:abstractNum w:abstractNumId="22">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1DBABF00"/>
    <w:multiLevelType w:val="hybridMultilevel"/>
    <w:lvl w:ilvl="0">
      <w:lvlJc w:val="left"/>
      <w:lvlText w:val="(%1)"/>
      <w:numFmt w:val="lowerRoman"/>
      <w:start w:val="5"/>
    </w:lvl>
  </w:abstractNum>
  <w:abstractNum w:abstractNumId="24">
    <w:nsid w:val="4AD084E9"/>
    <w:multiLevelType w:val="hybridMultilevel"/>
    <w:lvl w:ilvl="0">
      <w:lvlJc w:val="left"/>
      <w:lvlText w:val="(%1)"/>
      <w:numFmt w:val="lowerLetter"/>
      <w:start w:val="4"/>
    </w:lvl>
    <w:lvl w:ilvl="1">
      <w:lvlJc w:val="left"/>
      <w:lvlText w:val="(%2)"/>
      <w:numFmt w:val="lowerRoman"/>
      <w:start w:val="1"/>
    </w:lvl>
  </w:abstractNum>
  <w:abstractNum w:abstractNumId="25">
    <w:nsid w:val="1F48EAA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
    <w:nsid w:val="138182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
    <w:nsid w:val="5DB70A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28">
    <w:nsid w:val="100F8FCA"/>
    <w:multiLevelType w:val="hybridMultilevel"/>
    <w:lvl w:ilvl="0">
      <w:lvlJc w:val="left"/>
      <w:lvlText w:val="(%1)"/>
      <w:numFmt w:val="lowerRoman"/>
      <w:start w:val="2"/>
    </w:lvl>
    <w:lvl w:ilvl="1">
      <w:lvlJc w:val="left"/>
      <w:lvlText w:val="(%2)"/>
      <w:numFmt w:val="upperLetter"/>
      <w:start w:val="5"/>
    </w:lvl>
    <w:lvl w:ilvl="2">
      <w:lvlJc w:val="left"/>
      <w:lvlText w:val="(%3)"/>
      <w:numFmt w:val="upperLetter"/>
      <w:start w:val="1"/>
    </w:lvl>
  </w:abstractNum>
  <w:abstractNum w:abstractNumId="29">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30">
    <w:nsid w:val="15014AC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31">
    <w:nsid w:val="5F5E7FD0"/>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98A3148"/>
    <w:multiLevelType w:val="hybridMultilevel"/>
    <w:lvl w:ilvl="0">
      <w:lvlJc w:val="left"/>
      <w:lvlText w:val="%1"/>
      <w:numFmt w:val="decimal"/>
      <w:start w:val="1"/>
    </w:lvl>
    <w:lvl w:ilvl="1">
      <w:lvlJc w:val="left"/>
      <w:lvlText w:val="(%2)"/>
      <w:numFmt w:val="lowerLetter"/>
      <w:start w:val="2"/>
    </w:lvl>
  </w:abstractNum>
  <w:abstractNum w:abstractNumId="33">
    <w:nsid w:val="799D0247"/>
    <w:multiLevelType w:val="hybridMultilevel"/>
    <w:lvl w:ilvl="0">
      <w:lvlJc w:val="left"/>
      <w:lvlText w:val="%1."/>
      <w:numFmt w:val="decimal"/>
      <w:start w:val="8"/>
    </w:lvl>
    <w:lvl w:ilvl="1">
      <w:lvlJc w:val="left"/>
      <w:lvlText w:val="(%2)"/>
      <w:numFmt w:val="lowerLetter"/>
      <w:start w:val="1"/>
    </w:lvl>
  </w:abstractNum>
  <w:abstractNum w:abstractNumId="34">
    <w:nsid w:val="6B94764"/>
    <w:multiLevelType w:val="hybridMultilevel"/>
    <w:lvl w:ilvl="0">
      <w:lvlJc w:val="left"/>
      <w:lvlText w:val="%1"/>
      <w:numFmt w:val="decimal"/>
      <w:start w:val="1"/>
    </w:lvl>
    <w:lvl w:ilvl="1">
      <w:lvlJc w:val="left"/>
      <w:lvlText w:val="(%2)"/>
      <w:numFmt w:val="lowerLetter"/>
      <w:start w:val="2"/>
    </w:lvl>
  </w:abstractNum>
  <w:abstractNum w:abstractNumId="35">
    <w:nsid w:val="42C296BD"/>
    <w:multiLevelType w:val="hybridMultilevel"/>
    <w:lvl w:ilvl="0">
      <w:lvlJc w:val="left"/>
      <w:lvlText w:val="%1."/>
      <w:numFmt w:val="decimal"/>
      <w:start w:val="19"/>
    </w:lvl>
    <w:lvl w:ilvl="1">
      <w:lvlJc w:val="left"/>
      <w:lvlText w:val="%2"/>
      <w:numFmt w:val="lowerLetter"/>
      <w:start w:val="1"/>
    </w:lvl>
  </w:abstractNum>
  <w:abstractNum w:abstractNumId="36">
    <w:nsid w:val="168E121F"/>
    <w:multiLevelType w:val="hybridMultilevel"/>
    <w:lvl w:ilvl="0">
      <w:lvlJc w:val="left"/>
      <w:lvlText w:val="(%1)"/>
      <w:numFmt w:val="lowerLetter"/>
      <w:start w:val="1"/>
    </w:lvl>
  </w:abstractNum>
  <w:abstractNum w:abstractNumId="37">
    <w:nsid w:val="1EBA5D23"/>
    <w:multiLevelType w:val="hybridMultilevel"/>
    <w:lvl w:ilvl="0">
      <w:lvlJc w:val="left"/>
      <w:lvlText w:val="%1"/>
      <w:numFmt w:val="decimal"/>
      <w:start w:val="25"/>
    </w:lvl>
  </w:abstractNum>
  <w:abstractNum w:abstractNumId="38">
    <w:nsid w:val="661E3F1E"/>
    <w:multiLevelType w:val="hybridMultilevel"/>
    <w:lvl w:ilvl="0">
      <w:lvlJc w:val="left"/>
      <w:lvlText w:val="%1"/>
      <w:numFmt w:val="decimal"/>
      <w:start w:val="47"/>
    </w:lvl>
  </w:abstractNum>
  <w:abstractNum w:abstractNumId="39">
    <w:nsid w:val="5DC79EA8"/>
    <w:multiLevelType w:val="hybridMultilevel"/>
    <w:lvl w:ilvl="0">
      <w:lvlJc w:val="left"/>
      <w:lvlText w:val="%1"/>
      <w:numFmt w:val="decimal"/>
      <w:start w:val="50"/>
    </w:lvl>
  </w:abstractNum>
  <w:abstractNum w:abstractNumId="40">
    <w:nsid w:val="540A471C"/>
    <w:multiLevelType w:val="hybridMultilevel"/>
    <w:lvl w:ilvl="0">
      <w:lvlJc w:val="left"/>
      <w:lvlText w:val="%1"/>
      <w:numFmt w:val="decimal"/>
      <w:start w:val="50"/>
    </w:lvl>
  </w:abstractNum>
  <w:abstractNum w:abstractNumId="41">
    <w:nsid w:val="7BD3EE7B"/>
    <w:multiLevelType w:val="hybridMultilevel"/>
    <w:lvl w:ilvl="0">
      <w:lvlJc w:val="left"/>
      <w:lvlText w:val="%1"/>
      <w:numFmt w:val="decimal"/>
      <w:start w:val="83"/>
    </w:lvl>
  </w:abstractNum>
  <w:abstractNum w:abstractNumId="42">
    <w:nsid w:val="51D9C564"/>
    <w:multiLevelType w:val="hybridMultilevel"/>
    <w:lvl w:ilvl="0">
      <w:lvlJc w:val="left"/>
      <w:lvlText w:val="%1"/>
      <w:numFmt w:val="decimal"/>
      <w:start w:val="83"/>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48"/>
    </w:lvl>
  </w:abstractNum>
  <w:abstractNum w:abstractNumId="58">
    <w:nsid w:val="71EA1109"/>
    <w:multiLevelType w:val="hybridMultilevel"/>
    <w:lvl w:ilvl="0">
      <w:lvlJc w:val="left"/>
      <w:lvlText w:val="%1"/>
      <w:numFmt w:val="decimal"/>
      <w:start w:val="49"/>
    </w:lvl>
  </w:abstractNum>
  <w:abstractNum w:abstractNumId="59">
    <w:nsid w:val="100F59DC"/>
    <w:multiLevelType w:val="hybridMultilevel"/>
    <w:lvl w:ilvl="0">
      <w:lvlJc w:val="left"/>
      <w:lvlText w:val="%1"/>
      <w:numFmt w:val="decimal"/>
      <w:start w:val="50"/>
    </w:lvl>
  </w:abstractNum>
  <w:abstractNum w:abstractNumId="60">
    <w:nsid w:val="7FB7E0AA"/>
    <w:multiLevelType w:val="hybridMultilevel"/>
    <w:lvl w:ilvl="0">
      <w:lvlJc w:val="left"/>
      <w:lvlText w:val="%1"/>
      <w:numFmt w:val="decimal"/>
      <w:start w:val="52"/>
    </w:lvl>
  </w:abstractNum>
  <w:abstractNum w:abstractNumId="61">
    <w:nsid w:val="6EB5BD4"/>
    <w:multiLevelType w:val="hybridMultilevel"/>
    <w:lvl w:ilvl="0">
      <w:lvlJc w:val="left"/>
      <w:lvlText w:val="%1"/>
      <w:numFmt w:val="decimal"/>
      <w:start w:val="53"/>
    </w:lvl>
  </w:abstractNum>
  <w:abstractNum w:abstractNumId="62">
    <w:nsid w:val="6F6DD9AC"/>
    <w:multiLevelType w:val="hybridMultilevel"/>
    <w:lvl w:ilvl="0">
      <w:lvlJc w:val="left"/>
      <w:lvlText w:val="%1"/>
      <w:numFmt w:val="decimal"/>
      <w:start w:val="54"/>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55"/>
    </w:lvl>
  </w:abstractNum>
  <w:abstractNum w:abstractNumId="65">
    <w:nsid w:val="76272110"/>
    <w:multiLevelType w:val="hybridMultilevel"/>
    <w:lvl w:ilvl="0">
      <w:lvlJc w:val="left"/>
      <w:lvlText w:val="%1"/>
      <w:numFmt w:val="decimal"/>
      <w:start w:val="56"/>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57"/>
    </w:lvl>
  </w:abstractNum>
  <w:abstractNum w:abstractNumId="68">
    <w:nsid w:val="14E17E33"/>
    <w:multiLevelType w:val="hybridMultilevel"/>
    <w:lvl w:ilvl="0">
      <w:lvlJc w:val="left"/>
      <w:lvlText w:val="%1"/>
      <w:numFmt w:val="decimal"/>
      <w:start w:val="58"/>
    </w:lvl>
  </w:abstractNum>
  <w:abstractNum w:abstractNumId="69">
    <w:nsid w:val="3222E7CD"/>
    <w:multiLevelType w:val="hybridMultilevel"/>
    <w:lvl w:ilvl="0">
      <w:lvlJc w:val="left"/>
      <w:lvlText w:val="%1"/>
      <w:numFmt w:val="decimal"/>
      <w:start w:val="59"/>
    </w:lvl>
  </w:abstractNum>
  <w:abstractNum w:abstractNumId="70">
    <w:nsid w:val="74DE0EE3"/>
    <w:multiLevelType w:val="hybridMultilevel"/>
    <w:lvl w:ilvl="0">
      <w:lvlJc w:val="left"/>
      <w:lvlText w:val="%1"/>
      <w:numFmt w:val="decimal"/>
      <w:start w:val="60"/>
    </w:lvl>
  </w:abstractNum>
  <w:abstractNum w:abstractNumId="71">
    <w:nsid w:val="68EBC550"/>
    <w:multiLevelType w:val="hybridMultilevel"/>
    <w:lvl w:ilvl="0">
      <w:lvlJc w:val="left"/>
      <w:lvlText w:val="%1"/>
      <w:numFmt w:val="decimal"/>
      <w:start w:val="61"/>
    </w:lvl>
  </w:abstractNum>
  <w:abstractNum w:abstractNumId="72">
    <w:nsid w:val="2DF6D648"/>
    <w:multiLevelType w:val="hybridMultilevel"/>
    <w:lvl w:ilvl="0">
      <w:lvlJc w:val="left"/>
      <w:lvlText w:val="%1"/>
      <w:numFmt w:val="decimal"/>
      <w:start w:val="62"/>
    </w:lvl>
  </w:abstractNum>
  <w:abstractNum w:abstractNumId="73">
    <w:nsid w:val="46B7D447"/>
    <w:multiLevelType w:val="hybridMultilevel"/>
    <w:lvl w:ilvl="0">
      <w:lvlJc w:val="left"/>
      <w:lvlText w:val="%1"/>
      <w:numFmt w:val="decimal"/>
      <w:start w:val="63"/>
    </w:lvl>
  </w:abstractNum>
  <w:abstractNum w:abstractNumId="74">
    <w:nsid w:val="4A2AC315"/>
    <w:multiLevelType w:val="hybridMultilevel"/>
    <w:lvl w:ilvl="0">
      <w:lvlJc w:val="left"/>
      <w:lvlText w:val="%1"/>
      <w:numFmt w:val="decimal"/>
      <w:start w:val="64"/>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65"/>
    </w:lvl>
  </w:abstractNum>
  <w:abstractNum w:abstractNumId="77">
    <w:nsid w:val="CC1016F"/>
    <w:multiLevelType w:val="hybridMultilevel"/>
    <w:lvl w:ilvl="0">
      <w:lvlJc w:val="left"/>
      <w:lvlText w:val="%1"/>
      <w:numFmt w:val="decimal"/>
      <w:start w:val="66"/>
    </w:lvl>
  </w:abstractNum>
  <w:abstractNum w:abstractNumId="78">
    <w:nsid w:val="43F18422"/>
    <w:multiLevelType w:val="hybridMultilevel"/>
    <w:lvl w:ilvl="0">
      <w:lvlJc w:val="left"/>
      <w:lvlText w:val="%1"/>
      <w:numFmt w:val="decimal"/>
      <w:start w:val="67"/>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decimal"/>
      <w:start w:val="68"/>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69"/>
    </w:lvl>
  </w:abstractNum>
  <w:abstractNum w:abstractNumId="83">
    <w:nsid w:val="7055A5F5"/>
    <w:multiLevelType w:val="hybridMultilevel"/>
    <w:lvl w:ilvl="0">
      <w:lvlJc w:val="left"/>
      <w:lvlText w:val="%1"/>
      <w:numFmt w:val="decimal"/>
      <w:start w:val="70"/>
    </w:lvl>
  </w:abstractNum>
  <w:abstractNum w:abstractNumId="84">
    <w:nsid w:val="5FB8370B"/>
    <w:multiLevelType w:val="hybridMultilevel"/>
    <w:lvl w:ilvl="0">
      <w:lvlJc w:val="left"/>
      <w:lvlText w:val="%1"/>
      <w:numFmt w:val="decimal"/>
      <w:start w:val="71"/>
    </w:lvl>
  </w:abstractNum>
  <w:abstractNum w:abstractNumId="85">
    <w:nsid w:val="50801EE1"/>
    <w:multiLevelType w:val="hybridMultilevel"/>
    <w:lvl w:ilvl="0">
      <w:lvlJc w:val="left"/>
      <w:lvlText w:val="%1"/>
      <w:numFmt w:val="decimal"/>
      <w:start w:val="72"/>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73"/>
    </w:lvl>
  </w:abstractNum>
  <w:abstractNum w:abstractNumId="89">
    <w:nsid w:val="7672BD23"/>
    <w:multiLevelType w:val="hybridMultilevel"/>
    <w:lvl w:ilvl="0">
      <w:lvlJc w:val="left"/>
      <w:lvlText w:val="%1"/>
      <w:numFmt w:val="decimal"/>
      <w:start w:val="74"/>
    </w:lvl>
  </w:abstractNum>
  <w:abstractNum w:abstractNumId="90">
    <w:nsid w:val="6FC75AF8"/>
    <w:multiLevelType w:val="hybridMultilevel"/>
    <w:lvl w:ilvl="0">
      <w:lvlJc w:val="left"/>
      <w:lvlText w:val="%1"/>
      <w:numFmt w:val="decimal"/>
      <w:start w:val="75"/>
    </w:lvl>
  </w:abstractNum>
  <w:abstractNum w:abstractNumId="91">
    <w:nsid w:val="6A5F7029"/>
    <w:multiLevelType w:val="hybridMultilevel"/>
    <w:lvl w:ilvl="0">
      <w:lvlJc w:val="left"/>
      <w:lvlText w:val="%1"/>
      <w:numFmt w:val="decimal"/>
      <w:start w:val="76"/>
    </w:lvl>
  </w:abstractNum>
  <w:abstractNum w:abstractNumId="92">
    <w:nsid w:val="7D5E18F8"/>
    <w:multiLevelType w:val="hybridMultilevel"/>
    <w:lvl w:ilvl="0">
      <w:lvlJc w:val="left"/>
      <w:lvlText w:val="%1"/>
      <w:numFmt w:val="decimal"/>
      <w:start w:val="77"/>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lowerLetter"/>
      <w:start w:val="2"/>
    </w:lvl>
  </w:abstractNum>
  <w:abstractNum w:abstractNumId="95">
    <w:nsid w:val="7DE67713"/>
    <w:multiLevelType w:val="hybridMultilevel"/>
    <w:lvl w:ilvl="0">
      <w:lvlJc w:val="left"/>
      <w:lvlText w:val="%1"/>
      <w:numFmt w:val="decimal"/>
      <w:start w:val="78"/>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1"/>
      <w:numFmt w:val="decimal"/>
      <w:start w:val="79"/>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decimal"/>
      <w:start w:val="80"/>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decimal"/>
      <w:start w:val="81"/>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decimal"/>
      <w:start w:val="82"/>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2019-12-06T05:17:33Z</dcterms:created>
  <dcterms:modified xsi:type="dcterms:W3CDTF">2019-12-06T05:17:33Z</dcterms:modified>
</cp:coreProperties>
</file>