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7, 2011</w:t>
      </w: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8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280" w:type="dxa"/>
            <w:vAlign w:val="bottom"/>
            <w:tcBorders>
              <w:bottom w:val="single" w:sz="8" w:color="auto"/>
            </w:tcBorders>
          </w:tcPr>
          <w:p>
            <w:pPr>
              <w:ind w:left="1700"/>
              <w:spacing w:after="0"/>
              <w:rPr>
                <w:sz w:val="20"/>
                <w:szCs w:val="20"/>
                <w:color w:val="auto"/>
              </w:rPr>
            </w:pPr>
            <w:r>
              <w:rPr>
                <w:rFonts w:ascii="Arial" w:cs="Arial" w:eastAsia="Arial" w:hAnsi="Arial"/>
                <w:sz w:val="18"/>
                <w:szCs w:val="18"/>
                <w:color w:val="auto"/>
              </w:rPr>
              <w:t>Wisconsin</w:t>
            </w:r>
          </w:p>
        </w:tc>
        <w:tc>
          <w:tcPr>
            <w:tcW w:w="2280" w:type="dxa"/>
            <w:vAlign w:val="bottom"/>
            <w:tcBorders>
              <w:bottom w:val="single" w:sz="8" w:color="auto"/>
            </w:tcBorders>
            <w:gridSpan w:val="2"/>
          </w:tcPr>
          <w:p>
            <w:pPr>
              <w:jc w:val="center"/>
              <w:ind w:left="590"/>
              <w:spacing w:after="0"/>
              <w:rPr>
                <w:sz w:val="20"/>
                <w:szCs w:val="20"/>
                <w:color w:val="auto"/>
              </w:rPr>
            </w:pPr>
            <w:r>
              <w:rPr>
                <w:rFonts w:ascii="Arial" w:cs="Arial" w:eastAsia="Arial" w:hAnsi="Arial"/>
                <w:sz w:val="18"/>
                <w:szCs w:val="18"/>
                <w:color w:val="auto"/>
                <w:w w:val="90"/>
              </w:rPr>
              <w:t>1-10686</w:t>
            </w:r>
          </w:p>
        </w:tc>
        <w:tc>
          <w:tcPr>
            <w:tcW w:w="486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1"/>
              </w:rPr>
              <w:t>39-1672779</w:t>
            </w:r>
          </w:p>
        </w:tc>
        <w:tc>
          <w:tcPr>
            <w:tcW w:w="0" w:type="dxa"/>
            <w:vAlign w:val="bottom"/>
          </w:tcPr>
          <w:p>
            <w:pPr>
              <w:spacing w:after="0"/>
              <w:rPr>
                <w:sz w:val="1"/>
                <w:szCs w:val="1"/>
                <w:color w:val="auto"/>
              </w:rPr>
            </w:pPr>
          </w:p>
        </w:tc>
      </w:tr>
      <w:tr>
        <w:trPr>
          <w:trHeight w:val="202"/>
        </w:trPr>
        <w:tc>
          <w:tcPr>
            <w:tcW w:w="4280" w:type="dxa"/>
            <w:vAlign w:val="bottom"/>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280" w:type="dxa"/>
            <w:vAlign w:val="bottom"/>
            <w:gridSpan w:val="2"/>
          </w:tcPr>
          <w:p>
            <w:pPr>
              <w:jc w:val="center"/>
              <w:ind w:left="610"/>
              <w:spacing w:after="0" w:line="201" w:lineRule="exact"/>
              <w:rPr>
                <w:sz w:val="20"/>
                <w:szCs w:val="20"/>
                <w:color w:val="auto"/>
              </w:rPr>
            </w:pPr>
            <w:r>
              <w:rPr>
                <w:rFonts w:ascii="Arial" w:cs="Arial" w:eastAsia="Arial" w:hAnsi="Arial"/>
                <w:sz w:val="18"/>
                <w:szCs w:val="18"/>
                <w:color w:val="auto"/>
                <w:w w:val="93"/>
              </w:rPr>
              <w:t>(Commission</w:t>
            </w:r>
          </w:p>
        </w:tc>
        <w:tc>
          <w:tcPr>
            <w:tcW w:w="4860" w:type="dxa"/>
            <w:vAlign w:val="bottom"/>
          </w:tcPr>
          <w:p>
            <w:pPr>
              <w:jc w:val="center"/>
              <w:ind w:left="610"/>
              <w:spacing w:after="0" w:line="201"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95"/>
              </w:rPr>
              <w:t>of incorporation)</w:t>
            </w:r>
          </w:p>
        </w:tc>
        <w:tc>
          <w:tcPr>
            <w:tcW w:w="2280" w:type="dxa"/>
            <w:vAlign w:val="bottom"/>
            <w:gridSpan w:val="2"/>
          </w:tcPr>
          <w:p>
            <w:pPr>
              <w:jc w:val="center"/>
              <w:ind w:left="610"/>
              <w:spacing w:after="0"/>
              <w:rPr>
                <w:sz w:val="20"/>
                <w:szCs w:val="20"/>
                <w:color w:val="auto"/>
              </w:rPr>
            </w:pPr>
            <w:r>
              <w:rPr>
                <w:rFonts w:ascii="Arial" w:cs="Arial" w:eastAsia="Arial" w:hAnsi="Arial"/>
                <w:sz w:val="18"/>
                <w:szCs w:val="18"/>
                <w:color w:val="auto"/>
                <w:w w:val="94"/>
              </w:rPr>
              <w:t>File Number)</w:t>
            </w:r>
          </w:p>
        </w:tc>
        <w:tc>
          <w:tcPr>
            <w:tcW w:w="4860" w:type="dxa"/>
            <w:vAlign w:val="bottom"/>
          </w:tcPr>
          <w:p>
            <w:pPr>
              <w:jc w:val="center"/>
              <w:ind w:left="6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45"/>
        </w:trPr>
        <w:tc>
          <w:tcPr>
            <w:tcW w:w="4280" w:type="dxa"/>
            <w:vAlign w:val="bottom"/>
          </w:tcPr>
          <w:p>
            <w:pPr>
              <w:jc w:val="center"/>
              <w:ind w:left="1190"/>
              <w:spacing w:after="0"/>
              <w:rPr>
                <w:sz w:val="20"/>
                <w:szCs w:val="20"/>
                <w:color w:val="auto"/>
              </w:rPr>
            </w:pPr>
            <w:r>
              <w:rPr>
                <w:rFonts w:ascii="Arial" w:cs="Arial" w:eastAsia="Arial" w:hAnsi="Arial"/>
                <w:sz w:val="18"/>
                <w:szCs w:val="18"/>
                <w:color w:val="auto"/>
                <w:w w:val="89"/>
              </w:rPr>
              <w:t>100 Manpower Place</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60" w:type="dxa"/>
            <w:vAlign w:val="bottom"/>
            <w:vMerge w:val="restart"/>
          </w:tcPr>
          <w:p>
            <w:pPr>
              <w:jc w:val="right"/>
              <w:ind w:right="2110"/>
              <w:spacing w:after="0"/>
              <w:rPr>
                <w:sz w:val="20"/>
                <w:szCs w:val="20"/>
                <w:color w:val="auto"/>
              </w:rPr>
            </w:pPr>
            <w:r>
              <w:rPr>
                <w:rFonts w:ascii="Arial" w:cs="Arial" w:eastAsia="Arial" w:hAnsi="Arial"/>
                <w:sz w:val="18"/>
                <w:szCs w:val="18"/>
                <w:color w:val="auto"/>
              </w:rPr>
              <w:t>53212</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auto"/>
            </w:tcBorders>
          </w:tcPr>
          <w:p>
            <w:pPr>
              <w:jc w:val="center"/>
              <w:ind w:left="1190"/>
              <w:spacing w:after="0"/>
              <w:rPr>
                <w:sz w:val="20"/>
                <w:szCs w:val="20"/>
                <w:color w:val="auto"/>
              </w:rPr>
            </w:pPr>
            <w:r>
              <w:rPr>
                <w:rFonts w:ascii="Arial" w:cs="Arial" w:eastAsia="Arial" w:hAnsi="Arial"/>
                <w:sz w:val="18"/>
                <w:szCs w:val="18"/>
                <w:color w:val="auto"/>
                <w:w w:val="92"/>
              </w:rPr>
              <w:t>Milwaukee, Wisconsin</w:t>
            </w:r>
          </w:p>
        </w:tc>
        <w:tc>
          <w:tcPr>
            <w:tcW w:w="1280" w:type="dxa"/>
            <w:vAlign w:val="bottom"/>
            <w:tcBorders>
              <w:bottom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4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80" w:type="dxa"/>
            <w:vAlign w:val="bottom"/>
          </w:tcPr>
          <w:p>
            <w:pPr>
              <w:jc w:val="center"/>
              <w:ind w:left="1210"/>
              <w:spacing w:after="0"/>
              <w:rPr>
                <w:sz w:val="20"/>
                <w:szCs w:val="20"/>
                <w:color w:val="auto"/>
              </w:rPr>
            </w:pPr>
            <w:r>
              <w:rPr>
                <w:rFonts w:ascii="Arial" w:cs="Arial" w:eastAsia="Arial" w:hAnsi="Arial"/>
                <w:sz w:val="18"/>
                <w:szCs w:val="18"/>
                <w:color w:val="auto"/>
                <w:w w:val="92"/>
              </w:rPr>
              <w:t>(Address of principal executive offices)</w:t>
            </w:r>
          </w:p>
        </w:tc>
        <w:tc>
          <w:tcPr>
            <w:tcW w:w="1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661"/>
        </w:trPr>
        <w:tc>
          <w:tcPr>
            <w:tcW w:w="4280" w:type="dxa"/>
            <w:vAlign w:val="bottom"/>
          </w:tcPr>
          <w:p>
            <w:pPr>
              <w:spacing w:after="0"/>
              <w:rPr>
                <w:sz w:val="20"/>
                <w:szCs w:val="20"/>
                <w:color w:val="auto"/>
              </w:rPr>
            </w:pPr>
            <w:r>
              <w:rPr>
                <w:rFonts w:ascii="Arial" w:cs="Arial" w:eastAsia="Arial" w:hAnsi="Arial"/>
                <w:sz w:val="18"/>
                <w:szCs w:val="18"/>
                <w:color w:val="auto"/>
                <w:w w:val="91"/>
              </w:rPr>
              <w:t>Registrant’s telephone number, including area code: (414)</w:t>
            </w:r>
          </w:p>
        </w:tc>
        <w:tc>
          <w:tcPr>
            <w:tcW w:w="1280" w:type="dxa"/>
            <w:vAlign w:val="bottom"/>
          </w:tcPr>
          <w:p>
            <w:pPr>
              <w:jc w:val="right"/>
              <w:ind w:right="470"/>
              <w:spacing w:after="0"/>
              <w:rPr>
                <w:sz w:val="20"/>
                <w:szCs w:val="20"/>
                <w:color w:val="auto"/>
              </w:rPr>
            </w:pPr>
            <w:r>
              <w:rPr>
                <w:rFonts w:ascii="Arial" w:cs="Arial" w:eastAsia="Arial" w:hAnsi="Arial"/>
                <w:sz w:val="18"/>
                <w:szCs w:val="18"/>
                <w:color w:val="auto"/>
                <w:w w:val="91"/>
              </w:rPr>
              <w:t>961-1000</w:t>
            </w:r>
          </w:p>
        </w:tc>
        <w:tc>
          <w:tcPr>
            <w:tcW w:w="10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440" w:hanging="432"/>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ind w:right="880"/>
        <w:spacing w:after="0" w:line="282" w:lineRule="auto"/>
        <w:rPr>
          <w:sz w:val="20"/>
          <w:szCs w:val="20"/>
          <w:color w:val="auto"/>
        </w:rPr>
      </w:pPr>
      <w:r>
        <w:rPr>
          <w:rFonts w:ascii="Arial" w:cs="Arial" w:eastAsia="Arial" w:hAnsi="Arial"/>
          <w:sz w:val="18"/>
          <w:szCs w:val="18"/>
          <w:b w:val="1"/>
          <w:bCs w:val="1"/>
          <w:color w:val="auto"/>
        </w:rPr>
        <w:t xml:space="preserve">Item 5.02 </w:t>
      </w:r>
      <w:r>
        <w:rPr>
          <w:rFonts w:ascii="Arial" w:cs="Arial" w:eastAsia="Arial" w:hAnsi="Arial"/>
          <w:sz w:val="18"/>
          <w:szCs w:val="18"/>
          <w:b w:val="1"/>
          <w:bCs w:val="1"/>
          <w:u w:val="single" w:color="auto"/>
          <w:color w:val="auto"/>
        </w:rPr>
        <w:t>Departure of Directors or Certain Officers; Election of Directors; Appointment of Certain Officers; Compensatory</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Arrangements of Certain Officers</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On March 7, 2011, Manpower Inc. (the “Company”) entered into an amendment to the Assignment Agreement dated December 29, 2008 between the Company and Jonas Prising, Executive Vice President, President of the Americas. The purpose of the amendment was to extend the term of the Assignment Agreement (which provides Mr. Prising with certain expatriate benefits) until December 31, 2011.</w:t>
      </w:r>
    </w:p>
    <w:p>
      <w:pPr>
        <w:spacing w:after="0" w:line="20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foregoing brief description of the amendment is qualified in its entirety by reference to the amendment filed therewith as exhibit 10.1, which is incorporated by reference into this Item 5.02.</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080" w:type="dxa"/>
            <w:vAlign w:val="bottom"/>
            <w:gridSpan w:val="3"/>
          </w:tcPr>
          <w:p>
            <w:pPr>
              <w:ind w:left="4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0"/>
        </w:trPr>
        <w:tc>
          <w:tcPr>
            <w:tcW w:w="1340" w:type="dxa"/>
            <w:vAlign w:val="bottom"/>
          </w:tcPr>
          <w:p>
            <w:pPr>
              <w:spacing w:after="0"/>
              <w:rPr>
                <w:sz w:val="20"/>
                <w:szCs w:val="20"/>
                <w:color w:val="auto"/>
              </w:rPr>
            </w:pPr>
            <w:r>
              <w:rPr>
                <w:rFonts w:ascii="Arial" w:cs="Arial" w:eastAsia="Arial" w:hAnsi="Arial"/>
                <w:sz w:val="18"/>
                <w:szCs w:val="18"/>
                <w:b w:val="1"/>
                <w:bCs w:val="1"/>
                <w:color w:val="auto"/>
              </w:rPr>
              <w:t>(d) Exhibits</w:t>
            </w:r>
          </w:p>
        </w:tc>
        <w:tc>
          <w:tcPr>
            <w:tcW w:w="42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7020" w:type="dxa"/>
            <w:vAlign w:val="bottom"/>
          </w:tcPr>
          <w:p>
            <w:pPr>
              <w:spacing w:after="0"/>
              <w:rPr>
                <w:sz w:val="24"/>
                <w:szCs w:val="24"/>
                <w:color w:val="auto"/>
              </w:rPr>
            </w:pPr>
          </w:p>
        </w:tc>
      </w:tr>
      <w:tr>
        <w:trPr>
          <w:trHeight w:val="439"/>
        </w:trPr>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42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0"/>
                <w:szCs w:val="20"/>
                <w:color w:val="auto"/>
              </w:rPr>
            </w:pPr>
          </w:p>
        </w:tc>
        <w:tc>
          <w:tcPr>
            <w:tcW w:w="9660" w:type="dxa"/>
            <w:vAlign w:val="bottom"/>
            <w:gridSpan w:val="2"/>
          </w:tcPr>
          <w:p>
            <w:pPr>
              <w:ind w:left="420"/>
              <w:spacing w:after="0"/>
              <w:rPr>
                <w:sz w:val="20"/>
                <w:szCs w:val="20"/>
                <w:color w:val="auto"/>
              </w:rPr>
            </w:pPr>
            <w:r>
              <w:rPr>
                <w:rFonts w:ascii="Arial" w:cs="Arial" w:eastAsia="Arial" w:hAnsi="Arial"/>
                <w:sz w:val="18"/>
                <w:szCs w:val="18"/>
                <w:color w:val="auto"/>
              </w:rPr>
              <w:t>Amendment to Assignment Agreement between the Company and Jonas Prising dated March 7, 2011.</w:t>
            </w:r>
          </w:p>
        </w:tc>
      </w:tr>
      <w:tr>
        <w:trPr>
          <w:trHeight w:val="982"/>
        </w:trPr>
        <w:tc>
          <w:tcPr>
            <w:tcW w:w="1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7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tabs>
          <w:tab w:leader="none" w:pos="3420" w:val="left"/>
          <w:tab w:leader="none" w:pos="3860" w:val="left"/>
        </w:tabs>
        <w:rPr>
          <w:sz w:val="20"/>
          <w:szCs w:val="20"/>
          <w:color w:val="auto"/>
        </w:rPr>
      </w:pPr>
      <w:r>
        <w:rPr>
          <w:rFonts w:ascii="Arial" w:cs="Arial" w:eastAsia="Arial" w:hAnsi="Arial"/>
          <w:sz w:val="18"/>
          <w:szCs w:val="18"/>
          <w:color w:val="auto"/>
        </w:rPr>
        <w:t>Dated: March 11,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14605</wp:posOffset>
            </wp:positionV>
            <wp:extent cx="2040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40890" cy="1714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Kenneth C. Hunt</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629920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64" w:right="5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9900" w:type="dxa"/>
            <w:vAlign w:val="bottom"/>
          </w:tcPr>
          <w:p>
            <w:pPr>
              <w:ind w:left="3660"/>
              <w:spacing w:after="0"/>
              <w:rPr>
                <w:sz w:val="20"/>
                <w:szCs w:val="20"/>
                <w:color w:val="auto"/>
              </w:rPr>
            </w:pPr>
            <w:r>
              <w:rPr>
                <w:rFonts w:ascii="Arial" w:cs="Arial" w:eastAsia="Arial" w:hAnsi="Arial"/>
                <w:sz w:val="18"/>
                <w:szCs w:val="18"/>
                <w:b w:val="1"/>
                <w:bCs w:val="1"/>
                <w:color w:val="auto"/>
              </w:rPr>
              <w:t>Exhibit Index</w:t>
            </w:r>
          </w:p>
        </w:tc>
      </w:tr>
      <w:tr>
        <w:trPr>
          <w:trHeight w:val="241"/>
        </w:trPr>
        <w:tc>
          <w:tcPr>
            <w:tcW w:w="1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9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10.1</w:t>
            </w:r>
          </w:p>
        </w:tc>
        <w:tc>
          <w:tcPr>
            <w:tcW w:w="9900" w:type="dxa"/>
            <w:vAlign w:val="bottom"/>
          </w:tcPr>
          <w:p>
            <w:pPr>
              <w:ind w:left="640"/>
              <w:spacing w:after="0"/>
              <w:rPr>
                <w:sz w:val="20"/>
                <w:szCs w:val="20"/>
                <w:color w:val="auto"/>
              </w:rPr>
            </w:pPr>
            <w:r>
              <w:rPr>
                <w:rFonts w:ascii="Arial" w:cs="Arial" w:eastAsia="Arial" w:hAnsi="Arial"/>
                <w:sz w:val="18"/>
                <w:szCs w:val="18"/>
                <w:color w:val="auto"/>
              </w:rPr>
              <w:t>Amendment to Assignment Agreement between the Company and Jonas Prising dated March 7, 2011.</w:t>
            </w:r>
          </w:p>
        </w:tc>
      </w:tr>
    </w:tbl>
    <w:p>
      <w:pPr>
        <w:sectPr>
          <w:pgSz w:w="11900" w:h="16838" w:orient="portrait"/>
          <w:cols w:equalWidth="0" w:num="1">
            <w:col w:w="11420"/>
          </w:cols>
          <w:pgMar w:left="240" w:top="364"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ASSIGNMENT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THIS AMENDMENT is entered into on March 7, 2011, between Manpower Inc. (the “Corporation”) and Jonas Prising (the “Employee”) (“Amendment”);</w:t>
      </w:r>
    </w:p>
    <w:p>
      <w:pPr>
        <w:spacing w:after="0" w:line="26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WHEREAS, the parties wish to extend the term of that certain letter agreement between the Corporation and the Employee dated December 29, 2008 regarding Employee’s assignment to the United States (the “Assignment Agreement”);</w:t>
      </w:r>
    </w:p>
    <w:p>
      <w:pPr>
        <w:spacing w:after="0" w:line="1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NOW, THEREFORE, the parties wish to amend the Assignment Agreement and agree to enter into this Amendment to the Assignment Agreement as provided below:</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Paragraph 2 of the Assignment Agreement – “Term” shall be deleted in its entirety and replaced in its entirety with the following: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140" w:hanging="224"/>
        <w:spacing w:after="0" w:line="264" w:lineRule="auto"/>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Term.</w:t>
      </w:r>
      <w:r>
        <w:rPr>
          <w:sz w:val="20"/>
          <w:szCs w:val="20"/>
          <w:color w:val="auto"/>
        </w:rPr>
        <w:t xml:space="preserve"> </w:t>
      </w:r>
      <w:r>
        <w:rPr>
          <w:rFonts w:ascii="Arial" w:cs="Arial" w:eastAsia="Arial" w:hAnsi="Arial"/>
          <w:sz w:val="18"/>
          <w:szCs w:val="18"/>
          <w:color w:val="auto"/>
        </w:rPr>
        <w:t>The “Term” is the period beginning on January 1, 2006 and ending on December 31, 2011, or, if earlier, the date you are either relocated by the Corporation or your employment with the Corporation is terminated. You shall remain an at will employee of the Corporation during the Term.</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IT IS FURTHER AGREED that except as hereby amended in this Amendment to the Assignment Agreement, all other terms and provisions in the Assignment Agreement shall remain in full force and effect.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-10160</wp:posOffset>
            </wp:positionV>
            <wp:extent cx="3058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581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7th day of March, 2011.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10240"/>
        <w:spacing w:after="0"/>
        <w:rPr>
          <w:sz w:val="20"/>
          <w:szCs w:val="20"/>
          <w:color w:val="auto"/>
        </w:rPr>
      </w:pPr>
      <w:r>
        <w:rPr>
          <w:rFonts w:ascii="Arial" w:cs="Arial" w:eastAsia="Arial" w:hAnsi="Arial"/>
          <w:sz w:val="16"/>
          <w:szCs w:val="16"/>
          <w:u w:val="single" w:color="auto"/>
          <w:color w:val="auto"/>
        </w:rPr>
        <w:t>/s/ Jonas Prising</w:t>
      </w:r>
    </w:p>
    <w:p>
      <w:pPr>
        <w:spacing w:after="0" w:line="46" w:lineRule="exact"/>
        <w:rPr>
          <w:sz w:val="20"/>
          <w:szCs w:val="20"/>
          <w:color w:val="auto"/>
        </w:rPr>
      </w:pPr>
    </w:p>
    <w:p>
      <w:pPr>
        <w:jc w:val="right"/>
        <w:ind w:right="10280"/>
        <w:spacing w:after="0"/>
        <w:rPr>
          <w:sz w:val="20"/>
          <w:szCs w:val="20"/>
          <w:color w:val="auto"/>
        </w:rPr>
      </w:pPr>
      <w:r>
        <w:rPr>
          <w:rFonts w:ascii="Arial" w:cs="Arial" w:eastAsia="Arial" w:hAnsi="Arial"/>
          <w:sz w:val="18"/>
          <w:szCs w:val="18"/>
          <w:color w:val="auto"/>
        </w:rPr>
        <w:t>Jonas Prising</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2019-12-10T09:13:09Z</dcterms:created>
  <dcterms:modified xsi:type="dcterms:W3CDTF">2019-12-10T09:13:09Z</dcterms:modified>
</cp:coreProperties>
</file>