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00" w:type="dxa"/>
            <w:vAlign w:val="bottom"/>
            <w:gridSpan w:val="7"/>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Read Paul</w:t>
              </w:r>
            </w:hyperlink>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60" w:type="dxa"/>
            <w:vAlign w:val="bottom"/>
          </w:tcPr>
          <w:p>
            <w:pPr>
              <w:spacing w:after="0"/>
              <w:rPr>
                <w:sz w:val="14"/>
                <w:szCs w:val="14"/>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color w:val="auto"/>
              </w:rPr>
              <w:t>(First)</w:t>
            </w:r>
          </w:p>
        </w:tc>
        <w:tc>
          <w:tcPr>
            <w:tcW w:w="1140" w:type="dxa"/>
            <w:vAlign w:val="bottom"/>
          </w:tcPr>
          <w:p>
            <w:pPr>
              <w:ind w:left="2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140" w:type="dxa"/>
            <w:vAlign w:val="bottom"/>
          </w:tcPr>
          <w:p>
            <w:pPr>
              <w:spacing w:after="0"/>
              <w:rPr>
                <w:sz w:val="19"/>
                <w:szCs w:val="19"/>
                <w:color w:val="auto"/>
              </w:rPr>
            </w:pPr>
          </w:p>
        </w:tc>
        <w:tc>
          <w:tcPr>
            <w:tcW w:w="1620" w:type="dxa"/>
            <w:vAlign w:val="bottom"/>
            <w:gridSpan w:val="5"/>
          </w:tcPr>
          <w:p>
            <w:pPr>
              <w:ind w:left="300"/>
              <w:spacing w:after="0"/>
              <w:rPr>
                <w:sz w:val="20"/>
                <w:szCs w:val="20"/>
                <w:color w:val="auto"/>
              </w:rPr>
            </w:pPr>
            <w:r>
              <w:rPr>
                <w:rFonts w:ascii="Arial" w:cs="Arial" w:eastAsia="Arial" w:hAnsi="Arial"/>
                <w:sz w:val="18"/>
                <w:szCs w:val="18"/>
                <w:color w:val="0000FF"/>
              </w:rPr>
              <w:t>12/15/2014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00" w:type="dxa"/>
            <w:vAlign w:val="bottom"/>
            <w:gridSpan w:val="7"/>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MILWAUKEE   WI</w:t>
            </w:r>
          </w:p>
        </w:tc>
        <w:tc>
          <w:tcPr>
            <w:tcW w:w="1140" w:type="dxa"/>
            <w:vAlign w:val="bottom"/>
          </w:tcPr>
          <w:p>
            <w:pPr>
              <w:ind w:left="20"/>
              <w:spacing w:after="0"/>
              <w:rPr>
                <w:sz w:val="20"/>
                <w:szCs w:val="20"/>
                <w:color w:val="auto"/>
              </w:rPr>
            </w:pPr>
            <w:r>
              <w:rPr>
                <w:rFonts w:ascii="Arial" w:cs="Arial" w:eastAsia="Arial" w:hAnsi="Arial"/>
                <w:sz w:val="18"/>
                <w:szCs w:val="18"/>
                <w:color w:val="0000FF"/>
              </w:rPr>
              <w:t>53212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60" w:type="dxa"/>
            <w:vAlign w:val="bottom"/>
          </w:tcPr>
          <w:p>
            <w:pPr>
              <w:spacing w:after="0"/>
              <w:rPr>
                <w:sz w:val="24"/>
                <w:szCs w:val="24"/>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color w:val="auto"/>
              </w:rPr>
              <w:t>(State)</w:t>
            </w:r>
          </w:p>
        </w:tc>
        <w:tc>
          <w:tcPr>
            <w:tcW w:w="1140" w:type="dxa"/>
            <w:vAlign w:val="bottom"/>
          </w:tcPr>
          <w:p>
            <w:pPr>
              <w:ind w:left="2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120" w:type="dxa"/>
            <w:vAlign w:val="bottom"/>
            <w:tcBorders>
              <w:bottom w:val="single" w:sz="8" w:color="2C2C2C"/>
            </w:tcBorders>
            <w:gridSpan w:val="6"/>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0"/>
          </w:tcPr>
          <w:p>
            <w:pPr>
              <w:jc w:val="center"/>
              <w:ind w:left="8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b w:val="1"/>
                <w:bCs w:val="1"/>
                <w:color w:val="auto"/>
                <w:w w:val="79"/>
              </w:rPr>
              <w:t>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gridSpan w:val="5"/>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jc w:val="right"/>
              <w:ind w:right="3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jc w:val="right"/>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360" w:type="dxa"/>
            <w:vAlign w:val="bottom"/>
            <w:tcBorders>
              <w:bottom w:val="single" w:sz="8" w:color="2C2C2C"/>
            </w:tcBorders>
            <w:gridSpan w:val="7"/>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20"/>
          </w:tcPr>
          <w:p>
            <w:pPr>
              <w:jc w:val="center"/>
              <w:ind w:left="8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80" w:type="dxa"/>
            <w:vAlign w:val="bottom"/>
            <w:gridSpan w:val="17"/>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Securities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(Instr. 3 and 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gridSpan w:val="2"/>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jc w:val="right"/>
              <w:ind w:right="189"/>
              <w:spacing w:after="0"/>
              <w:rPr>
                <w:sz w:val="20"/>
                <w:szCs w:val="20"/>
                <w:color w:val="auto"/>
              </w:rPr>
            </w:pPr>
            <w:r>
              <w:rPr>
                <w:rFonts w:ascii="Arial" w:cs="Arial" w:eastAsia="Arial" w:hAnsi="Arial"/>
                <w:sz w:val="14"/>
                <w:szCs w:val="14"/>
                <w:color w:val="0000FF"/>
              </w:rPr>
              <w:t>12/15/2014</w:t>
            </w:r>
          </w:p>
        </w:tc>
        <w:tc>
          <w:tcPr>
            <w:tcW w:w="1140" w:type="dxa"/>
            <w:vAlign w:val="bottom"/>
          </w:tcPr>
          <w:p>
            <w:pPr>
              <w:spacing w:after="0"/>
              <w:rPr>
                <w:sz w:val="16"/>
                <w:szCs w:val="16"/>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840" w:type="dxa"/>
            <w:vAlign w:val="bottom"/>
            <w:vMerge w:val="restart"/>
          </w:tcPr>
          <w:p>
            <w:pPr>
              <w:ind w:left="220"/>
              <w:spacing w:after="0"/>
              <w:rPr>
                <w:sz w:val="20"/>
                <w:szCs w:val="20"/>
                <w:color w:val="auto"/>
              </w:rPr>
            </w:pPr>
            <w:r>
              <w:rPr>
                <w:rFonts w:ascii="Arial" w:cs="Arial" w:eastAsia="Arial" w:hAnsi="Arial"/>
                <w:sz w:val="14"/>
                <w:szCs w:val="14"/>
                <w:color w:val="0000FF"/>
              </w:rPr>
              <w:t>75</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180" w:type="dxa"/>
            <w:vAlign w:val="bottom"/>
          </w:tcPr>
          <w:p>
            <w:pPr>
              <w:spacing w:after="0"/>
              <w:rPr>
                <w:sz w:val="16"/>
                <w:szCs w:val="16"/>
                <w:color w:val="auto"/>
              </w:rPr>
            </w:pPr>
          </w:p>
        </w:tc>
        <w:tc>
          <w:tcPr>
            <w:tcW w:w="42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w w:val="89"/>
              </w:rPr>
              <w:t>75</w:t>
            </w:r>
          </w:p>
        </w:tc>
        <w:tc>
          <w:tcPr>
            <w:tcW w:w="20" w:type="dxa"/>
            <w:vAlign w:val="bottom"/>
          </w:tcPr>
          <w:p>
            <w:pPr>
              <w:spacing w:after="0"/>
              <w:rPr>
                <w:sz w:val="16"/>
                <w:szCs w:val="1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64.59</w:t>
            </w:r>
            <w:r>
              <w:rPr>
                <w:rFonts w:ascii="Arial" w:cs="Arial" w:eastAsia="Arial" w:hAnsi="Arial"/>
                <w:sz w:val="22"/>
                <w:szCs w:val="22"/>
                <w:color w:val="008000"/>
                <w:vertAlign w:val="superscript"/>
              </w:rPr>
              <w:t>(3)</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75</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1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deferred stock will vest on December 31, 2014 and will be settled in shares of ManpowerGroup common stock on a 1 for 1 basis on the earlier of December 15, 2017 or within 30 days after the reporting person's termination of service as a director, except as otherwise provided in the Terms and Conditions (as defined below).</w:t>
      </w:r>
    </w:p>
    <w:p>
      <w:pPr>
        <w:spacing w:after="0" w:line="30" w:lineRule="exact"/>
        <w:rPr>
          <w:rFonts w:ascii="Arial" w:cs="Arial" w:eastAsia="Arial" w:hAnsi="Arial"/>
          <w:sz w:val="14"/>
          <w:szCs w:val="14"/>
          <w:color w:val="008000"/>
        </w:rPr>
      </w:pPr>
    </w:p>
    <w:p>
      <w:pPr>
        <w:ind w:left="40" w:right="220" w:firstLine="1"/>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Prorated annual grant of deferred stock under the 2011 Equity Incentive Plan of ManpowerGroup Inc.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9"/>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Closing Price of ManpowerGroup Inc. common stock on the New York Stock Exchange on December 12, 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12/15/2014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Jonas Prising,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11th day of November,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/s/ Paul Read</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Paul Read</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893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2019-12-18T05:20:24Z</dcterms:created>
  <dcterms:modified xsi:type="dcterms:W3CDTF">2019-12-18T05:20:24Z</dcterms:modified>
</cp:coreProperties>
</file>