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2"/>
          <w:szCs w:val="22"/>
          <w:color w:val="auto"/>
        </w:rPr>
        <w:t>UNITED STATES</w:t>
      </w:r>
    </w:p>
    <w:p>
      <w:pPr>
        <w:spacing w:after="0" w:line="8"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SECURITIES AND EXCHANGE COMMISSION</w:t>
      </w:r>
    </w:p>
    <w:p>
      <w:pPr>
        <w:spacing w:after="0" w:line="215"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Washington, D.C. 20549</w:t>
      </w:r>
    </w:p>
    <w:p>
      <w:pPr>
        <w:spacing w:after="0" w:line="233"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FORM 8-K</w:t>
      </w:r>
    </w:p>
    <w:p>
      <w:pPr>
        <w:spacing w:after="0" w:line="233"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CURRENT REPORT</w:t>
      </w:r>
    </w:p>
    <w:p>
      <w:pPr>
        <w:spacing w:after="0" w:line="200" w:lineRule="exact"/>
        <w:rPr>
          <w:sz w:val="24"/>
          <w:szCs w:val="24"/>
          <w:color w:val="auto"/>
        </w:rPr>
      </w:pPr>
    </w:p>
    <w:p>
      <w:pPr>
        <w:spacing w:after="0" w:line="276"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Pursuant to Section 13 or 15(d) of the Securities Exchange Act of 1934</w:t>
      </w:r>
    </w:p>
    <w:p>
      <w:pPr>
        <w:spacing w:after="0" w:line="233"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Date of Report (Date of earliest event reported): November 30, 2004</w:t>
      </w:r>
    </w:p>
    <w:p>
      <w:pPr>
        <w:spacing w:after="0" w:line="200" w:lineRule="exact"/>
        <w:rPr>
          <w:sz w:val="24"/>
          <w:szCs w:val="24"/>
          <w:color w:val="auto"/>
        </w:rPr>
      </w:pPr>
    </w:p>
    <w:p>
      <w:pPr>
        <w:spacing w:after="0" w:line="276"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MANPOWER INC.</w:t>
      </w:r>
    </w:p>
    <w:p>
      <w:pPr>
        <w:spacing w:after="0" w:line="8"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60" w:type="dxa"/>
            <w:vAlign w:val="bottom"/>
            <w:tcBorders>
              <w:bottom w:val="single" w:sz="8" w:color="auto"/>
            </w:tcBorders>
          </w:tcPr>
          <w:p>
            <w:pPr>
              <w:ind w:left="600"/>
              <w:spacing w:after="0"/>
              <w:rPr>
                <w:sz w:val="20"/>
                <w:szCs w:val="20"/>
                <w:color w:val="auto"/>
              </w:rPr>
            </w:pPr>
            <w:r>
              <w:rPr>
                <w:rFonts w:ascii="Arial" w:cs="Arial" w:eastAsia="Arial" w:hAnsi="Arial"/>
                <w:sz w:val="22"/>
                <w:szCs w:val="22"/>
                <w:color w:val="auto"/>
              </w:rPr>
              <w:t>Wisconsin</w:t>
            </w:r>
          </w:p>
        </w:tc>
        <w:tc>
          <w:tcPr>
            <w:tcW w:w="1080" w:type="dxa"/>
            <w:vAlign w:val="bottom"/>
            <w:gridSpan w:val="2"/>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1-10686</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w w:val="88"/>
              </w:rPr>
              <w:t>39-1672779</w:t>
            </w:r>
          </w:p>
        </w:tc>
      </w:tr>
      <w:tr>
        <w:trPr>
          <w:trHeight w:val="269"/>
        </w:trPr>
        <w:tc>
          <w:tcPr>
            <w:tcW w:w="440" w:type="dxa"/>
            <w:vAlign w:val="bottom"/>
          </w:tcPr>
          <w:p>
            <w:pPr>
              <w:spacing w:after="0"/>
              <w:rPr>
                <w:sz w:val="23"/>
                <w:szCs w:val="23"/>
                <w:color w:val="auto"/>
              </w:rPr>
            </w:pPr>
          </w:p>
        </w:tc>
        <w:tc>
          <w:tcPr>
            <w:tcW w:w="3420" w:type="dxa"/>
            <w:vAlign w:val="bottom"/>
            <w:gridSpan w:val="4"/>
          </w:tcPr>
          <w:p>
            <w:pPr>
              <w:jc w:val="center"/>
              <w:ind w:right="1000"/>
              <w:spacing w:after="0"/>
              <w:rPr>
                <w:sz w:val="20"/>
                <w:szCs w:val="20"/>
                <w:color w:val="auto"/>
              </w:rPr>
            </w:pPr>
            <w:r>
              <w:rPr>
                <w:rFonts w:ascii="Arial" w:cs="Arial" w:eastAsia="Arial" w:hAnsi="Arial"/>
                <w:sz w:val="22"/>
                <w:szCs w:val="22"/>
                <w:color w:val="auto"/>
                <w:w w:val="90"/>
              </w:rPr>
              <w:t>(State or other jurisdiction</w:t>
            </w:r>
          </w:p>
        </w:tc>
        <w:tc>
          <w:tcPr>
            <w:tcW w:w="1280" w:type="dxa"/>
            <w:vAlign w:val="bottom"/>
            <w:gridSpan w:val="2"/>
          </w:tcPr>
          <w:p>
            <w:pPr>
              <w:jc w:val="center"/>
              <w:ind w:right="120"/>
              <w:spacing w:after="0"/>
              <w:rPr>
                <w:sz w:val="20"/>
                <w:szCs w:val="20"/>
                <w:color w:val="auto"/>
              </w:rPr>
            </w:pPr>
            <w:r>
              <w:rPr>
                <w:rFonts w:ascii="Arial" w:cs="Arial" w:eastAsia="Arial" w:hAnsi="Arial"/>
                <w:sz w:val="22"/>
                <w:szCs w:val="22"/>
                <w:color w:val="auto"/>
                <w:w w:val="90"/>
              </w:rPr>
              <w:t>(Commission</w:t>
            </w: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22"/>
                <w:szCs w:val="22"/>
                <w:color w:val="auto"/>
                <w:w w:val="92"/>
              </w:rPr>
              <w:t>(IRS Employer</w:t>
            </w:r>
          </w:p>
        </w:tc>
      </w:tr>
      <w:tr>
        <w:trPr>
          <w:trHeight w:val="275"/>
        </w:trPr>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340" w:type="dxa"/>
            <w:vAlign w:val="bottom"/>
            <w:gridSpan w:val="3"/>
          </w:tcPr>
          <w:p>
            <w:pPr>
              <w:jc w:val="center"/>
              <w:ind w:right="1080"/>
              <w:spacing w:after="0"/>
              <w:rPr>
                <w:sz w:val="20"/>
                <w:szCs w:val="20"/>
                <w:color w:val="auto"/>
              </w:rPr>
            </w:pPr>
            <w:r>
              <w:rPr>
                <w:rFonts w:ascii="Arial" w:cs="Arial" w:eastAsia="Arial" w:hAnsi="Arial"/>
                <w:sz w:val="22"/>
                <w:szCs w:val="22"/>
                <w:color w:val="auto"/>
                <w:w w:val="91"/>
              </w:rPr>
              <w:t>of incorporation)</w:t>
            </w:r>
          </w:p>
        </w:tc>
        <w:tc>
          <w:tcPr>
            <w:tcW w:w="1280" w:type="dxa"/>
            <w:vAlign w:val="bottom"/>
            <w:gridSpan w:val="2"/>
          </w:tcPr>
          <w:p>
            <w:pPr>
              <w:jc w:val="center"/>
              <w:ind w:right="120"/>
              <w:spacing w:after="0"/>
              <w:rPr>
                <w:sz w:val="20"/>
                <w:szCs w:val="20"/>
                <w:color w:val="auto"/>
              </w:rPr>
            </w:pPr>
            <w:r>
              <w:rPr>
                <w:rFonts w:ascii="Arial" w:cs="Arial" w:eastAsia="Arial" w:hAnsi="Arial"/>
                <w:sz w:val="22"/>
                <w:szCs w:val="22"/>
                <w:color w:val="auto"/>
                <w:w w:val="91"/>
              </w:rPr>
              <w:t>File Number)</w:t>
            </w:r>
          </w:p>
        </w:tc>
        <w:tc>
          <w:tcPr>
            <w:tcW w:w="1180" w:type="dxa"/>
            <w:vAlign w:val="bottom"/>
          </w:tcPr>
          <w:p>
            <w:pPr>
              <w:spacing w:after="0"/>
              <w:rPr>
                <w:sz w:val="23"/>
                <w:szCs w:val="23"/>
                <w:color w:val="auto"/>
              </w:rPr>
            </w:pPr>
          </w:p>
        </w:tc>
        <w:tc>
          <w:tcPr>
            <w:tcW w:w="1680" w:type="dxa"/>
            <w:vAlign w:val="bottom"/>
            <w:gridSpan w:val="3"/>
          </w:tcPr>
          <w:p>
            <w:pPr>
              <w:jc w:val="center"/>
              <w:spacing w:after="0"/>
              <w:rPr>
                <w:sz w:val="20"/>
                <w:szCs w:val="20"/>
                <w:color w:val="auto"/>
              </w:rPr>
            </w:pPr>
            <w:r>
              <w:rPr>
                <w:rFonts w:ascii="Arial" w:cs="Arial" w:eastAsia="Arial" w:hAnsi="Arial"/>
                <w:sz w:val="22"/>
                <w:szCs w:val="22"/>
                <w:color w:val="auto"/>
                <w:w w:val="93"/>
              </w:rPr>
              <w:t>Identification No.)</w:t>
            </w:r>
          </w:p>
        </w:tc>
      </w:tr>
      <w:tr>
        <w:trPr>
          <w:trHeight w:val="706"/>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40" w:type="dxa"/>
            <w:vAlign w:val="bottom"/>
            <w:gridSpan w:val="3"/>
          </w:tcPr>
          <w:p>
            <w:pPr>
              <w:jc w:val="center"/>
              <w:ind w:right="100"/>
              <w:spacing w:after="0"/>
              <w:rPr>
                <w:sz w:val="20"/>
                <w:szCs w:val="20"/>
                <w:color w:val="auto"/>
              </w:rPr>
            </w:pPr>
            <w:r>
              <w:rPr>
                <w:rFonts w:ascii="Arial" w:cs="Arial" w:eastAsia="Arial" w:hAnsi="Arial"/>
                <w:sz w:val="22"/>
                <w:szCs w:val="22"/>
                <w:color w:val="auto"/>
                <w:w w:val="90"/>
              </w:rPr>
              <w:t>5301 North Ironwood Road</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spacing w:after="0"/>
              <w:rPr>
                <w:sz w:val="24"/>
                <w:szCs w:val="24"/>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53217</w:t>
            </w:r>
          </w:p>
        </w:tc>
        <w:tc>
          <w:tcPr>
            <w:tcW w:w="700" w:type="dxa"/>
            <w:vAlign w:val="bottom"/>
          </w:tcPr>
          <w:p>
            <w:pPr>
              <w:spacing w:after="0"/>
              <w:rPr>
                <w:sz w:val="24"/>
                <w:szCs w:val="24"/>
                <w:color w:val="auto"/>
              </w:rPr>
            </w:pPr>
          </w:p>
        </w:tc>
      </w:tr>
      <w:tr>
        <w:trPr>
          <w:trHeight w:val="223"/>
        </w:trPr>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2"/>
          </w:tcPr>
          <w:p>
            <w:pPr>
              <w:jc w:val="center"/>
              <w:ind w:right="80"/>
              <w:spacing w:after="0" w:line="223" w:lineRule="exact"/>
              <w:rPr>
                <w:sz w:val="20"/>
                <w:szCs w:val="20"/>
                <w:color w:val="auto"/>
              </w:rPr>
            </w:pPr>
            <w:r>
              <w:rPr>
                <w:rFonts w:ascii="Arial" w:cs="Arial" w:eastAsia="Arial" w:hAnsi="Arial"/>
                <w:sz w:val="22"/>
                <w:szCs w:val="22"/>
                <w:color w:val="auto"/>
                <w:w w:val="91"/>
              </w:rPr>
              <w:t>Milwaukee, Wisconsin</w:t>
            </w: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80" w:type="dxa"/>
            <w:vAlign w:val="bottom"/>
            <w:gridSpan w:val="3"/>
          </w:tcPr>
          <w:p>
            <w:pPr>
              <w:jc w:val="center"/>
              <w:ind w:right="580"/>
              <w:spacing w:after="0" w:line="223" w:lineRule="exact"/>
              <w:rPr>
                <w:sz w:val="20"/>
                <w:szCs w:val="20"/>
                <w:color w:val="auto"/>
              </w:rPr>
            </w:pPr>
            <w:r>
              <w:rPr>
                <w:rFonts w:ascii="Arial" w:cs="Arial" w:eastAsia="Arial" w:hAnsi="Arial"/>
                <w:sz w:val="22"/>
                <w:szCs w:val="22"/>
                <w:color w:val="auto"/>
                <w:w w:val="90"/>
              </w:rPr>
              <w:t>(Zip Code)</w:t>
            </w:r>
          </w:p>
        </w:tc>
      </w:tr>
      <w:tr>
        <w:trPr>
          <w:trHeight w:val="274"/>
        </w:trPr>
        <w:tc>
          <w:tcPr>
            <w:tcW w:w="3860" w:type="dxa"/>
            <w:vAlign w:val="bottom"/>
            <w:gridSpan w:val="5"/>
          </w:tcPr>
          <w:p>
            <w:pPr>
              <w:jc w:val="center"/>
              <w:ind w:left="292"/>
              <w:spacing w:after="0"/>
              <w:rPr>
                <w:sz w:val="20"/>
                <w:szCs w:val="20"/>
                <w:color w:val="auto"/>
              </w:rPr>
            </w:pPr>
            <w:r>
              <w:rPr>
                <w:rFonts w:ascii="Arial" w:cs="Arial" w:eastAsia="Arial" w:hAnsi="Arial"/>
                <w:sz w:val="22"/>
                <w:szCs w:val="22"/>
                <w:color w:val="auto"/>
                <w:w w:val="90"/>
              </w:rPr>
              <w:t>(Address of principal executive offices)</w:t>
            </w: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743"/>
        </w:trPr>
        <w:tc>
          <w:tcPr>
            <w:tcW w:w="5140" w:type="dxa"/>
            <w:vAlign w:val="bottom"/>
            <w:gridSpan w:val="7"/>
          </w:tcPr>
          <w:p>
            <w:pPr>
              <w:spacing w:after="0"/>
              <w:rPr>
                <w:sz w:val="20"/>
                <w:szCs w:val="20"/>
                <w:color w:val="auto"/>
              </w:rPr>
            </w:pPr>
            <w:r>
              <w:rPr>
                <w:rFonts w:ascii="Arial" w:cs="Arial" w:eastAsia="Arial" w:hAnsi="Arial"/>
                <w:sz w:val="22"/>
                <w:szCs w:val="22"/>
                <w:color w:val="auto"/>
                <w:w w:val="90"/>
              </w:rPr>
              <w:t>Registrant’s telephone number, including area code: (414)</w:t>
            </w:r>
          </w:p>
        </w:tc>
        <w:tc>
          <w:tcPr>
            <w:tcW w:w="1180" w:type="dxa"/>
            <w:vAlign w:val="bottom"/>
          </w:tcPr>
          <w:p>
            <w:pPr>
              <w:jc w:val="right"/>
              <w:ind w:right="192"/>
              <w:spacing w:after="0"/>
              <w:rPr>
                <w:sz w:val="20"/>
                <w:szCs w:val="20"/>
                <w:color w:val="auto"/>
              </w:rPr>
            </w:pPr>
            <w:r>
              <w:rPr>
                <w:rFonts w:ascii="Arial" w:cs="Arial" w:eastAsia="Arial" w:hAnsi="Arial"/>
                <w:sz w:val="22"/>
                <w:szCs w:val="22"/>
                <w:color w:val="auto"/>
                <w:w w:val="92"/>
              </w:rPr>
              <w:t>961-1000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200" w:lineRule="exact"/>
        <w:rPr>
          <w:sz w:val="24"/>
          <w:szCs w:val="24"/>
          <w:color w:val="auto"/>
        </w:rPr>
      </w:pPr>
    </w:p>
    <w:p>
      <w:pPr>
        <w:spacing w:after="0" w:line="255"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87" w:lineRule="exact"/>
        <w:rPr>
          <w:sz w:val="24"/>
          <w:szCs w:val="24"/>
          <w:color w:val="auto"/>
        </w:rPr>
      </w:pPr>
    </w:p>
    <w:p>
      <w:pPr>
        <w:ind w:left="380" w:hanging="358"/>
        <w:spacing w:after="0"/>
        <w:tabs>
          <w:tab w:leader="none" w:pos="38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60" w:lineRule="exact"/>
        <w:rPr>
          <w:rFonts w:ascii="Arial" w:cs="Arial" w:eastAsia="Arial" w:hAnsi="Arial"/>
          <w:sz w:val="22"/>
          <w:szCs w:val="22"/>
          <w:color w:val="auto"/>
        </w:rPr>
      </w:pPr>
    </w:p>
    <w:p>
      <w:pPr>
        <w:ind w:left="380" w:hanging="358"/>
        <w:spacing w:after="0"/>
        <w:tabs>
          <w:tab w:leader="none" w:pos="38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Securities Act (17 CFR 240.14a-12)</w:t>
      </w:r>
    </w:p>
    <w:p>
      <w:pPr>
        <w:spacing w:after="0" w:line="260" w:lineRule="exact"/>
        <w:rPr>
          <w:rFonts w:ascii="Arial" w:cs="Arial" w:eastAsia="Arial" w:hAnsi="Arial"/>
          <w:sz w:val="22"/>
          <w:szCs w:val="22"/>
          <w:color w:val="auto"/>
        </w:rPr>
      </w:pPr>
    </w:p>
    <w:p>
      <w:pPr>
        <w:ind w:left="380" w:right="2840" w:hanging="358"/>
        <w:spacing w:after="0" w:line="251" w:lineRule="auto"/>
        <w:tabs>
          <w:tab w:leader="none" w:pos="38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227" w:lineRule="exact"/>
        <w:rPr>
          <w:rFonts w:ascii="Arial" w:cs="Arial" w:eastAsia="Arial" w:hAnsi="Arial"/>
          <w:sz w:val="22"/>
          <w:szCs w:val="22"/>
          <w:color w:val="auto"/>
        </w:rPr>
      </w:pPr>
    </w:p>
    <w:p>
      <w:pPr>
        <w:ind w:left="380" w:right="2860" w:hanging="358"/>
        <w:spacing w:after="0" w:line="251" w:lineRule="auto"/>
        <w:tabs>
          <w:tab w:leader="none" w:pos="38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13e-4(c) under the Exchange Act (17 CFR 240.13e-4(c))</w:t>
      </w:r>
    </w:p>
    <w:p>
      <w:pPr>
        <w:spacing w:after="0" w:line="200" w:lineRule="exact"/>
        <w:rPr>
          <w:sz w:val="24"/>
          <w:szCs w:val="24"/>
          <w:color w:val="auto"/>
        </w:rPr>
      </w:pPr>
    </w:p>
    <w:p>
      <w:pPr>
        <w:spacing w:after="0" w:line="237" w:lineRule="exact"/>
        <w:rPr>
          <w:sz w:val="24"/>
          <w:szCs w:val="24"/>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8.01</w:t>
      </w:r>
      <w:r>
        <w:rPr>
          <w:sz w:val="20"/>
          <w:szCs w:val="20"/>
          <w:color w:val="auto"/>
        </w:rPr>
        <w:tab/>
      </w:r>
      <w:r>
        <w:rPr>
          <w:rFonts w:ascii="Arial" w:cs="Arial" w:eastAsia="Arial" w:hAnsi="Arial"/>
          <w:sz w:val="19"/>
          <w:szCs w:val="19"/>
          <w:b w:val="1"/>
          <w:bCs w:val="1"/>
          <w:u w:val="single" w:color="auto"/>
          <w:color w:val="auto"/>
        </w:rPr>
        <w:t>Other Events</w:t>
      </w:r>
      <w:r>
        <w:rPr>
          <w:rFonts w:ascii="Arial" w:cs="Arial" w:eastAsia="Arial" w:hAnsi="Arial"/>
          <w:sz w:val="19"/>
          <w:szCs w:val="19"/>
          <w:b w:val="1"/>
          <w:bCs w:val="1"/>
          <w:color w:val="auto"/>
        </w:rPr>
        <w:t>.</w:t>
      </w:r>
    </w:p>
    <w:p>
      <w:pPr>
        <w:spacing w:after="0" w:line="212" w:lineRule="exact"/>
        <w:rPr>
          <w:sz w:val="24"/>
          <w:szCs w:val="24"/>
          <w:color w:val="auto"/>
        </w:rPr>
      </w:pPr>
    </w:p>
    <w:p>
      <w:pPr>
        <w:ind w:right="60" w:firstLine="648"/>
        <w:spacing w:after="0" w:line="258" w:lineRule="auto"/>
        <w:rPr>
          <w:sz w:val="20"/>
          <w:szCs w:val="20"/>
          <w:color w:val="auto"/>
        </w:rPr>
      </w:pPr>
      <w:r>
        <w:rPr>
          <w:rFonts w:ascii="Arial" w:cs="Arial" w:eastAsia="Arial" w:hAnsi="Arial"/>
          <w:sz w:val="21"/>
          <w:szCs w:val="21"/>
          <w:color w:val="auto"/>
        </w:rPr>
        <w:t>On November 30, 2004, Manpower Inc. (the “Company”) issued a press release announcing that the Company has been informed that the French authorities have commenced an investigation of the Company and certain of its competitors. A copy of the press release is attached hereto as Exhibit 99.1 and incorporated herein by reference.</w:t>
      </w:r>
    </w:p>
    <w:p>
      <w:pPr>
        <w:spacing w:after="0" w:line="161" w:lineRule="exact"/>
        <w:rPr>
          <w:sz w:val="24"/>
          <w:szCs w:val="24"/>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u w:val="single" w:color="auto"/>
          <w:color w:val="auto"/>
        </w:rPr>
        <w:t>Financial Statements and Exhibits</w:t>
      </w:r>
      <w:r>
        <w:rPr>
          <w:rFonts w:ascii="Arial" w:cs="Arial" w:eastAsia="Arial" w:hAnsi="Arial"/>
          <w:sz w:val="19"/>
          <w:szCs w:val="19"/>
          <w:b w:val="1"/>
          <w:bCs w:val="1"/>
          <w:color w:val="auto"/>
        </w:rPr>
        <w:t>.</w:t>
      </w:r>
    </w:p>
    <w:p>
      <w:pPr>
        <w:spacing w:after="0" w:line="197"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1140" w:type="dxa"/>
            <w:vAlign w:val="bottom"/>
            <w:gridSpan w:val="2"/>
          </w:tcPr>
          <w:p>
            <w:pPr>
              <w:spacing w:after="0"/>
              <w:rPr>
                <w:sz w:val="20"/>
                <w:szCs w:val="20"/>
                <w:color w:val="auto"/>
              </w:rPr>
            </w:pPr>
            <w:r>
              <w:rPr>
                <w:rFonts w:ascii="Arial" w:cs="Arial" w:eastAsia="Arial" w:hAnsi="Arial"/>
                <w:sz w:val="22"/>
                <w:szCs w:val="22"/>
                <w:color w:val="auto"/>
              </w:rPr>
              <w:t>Exhibit No.</w:t>
            </w:r>
          </w:p>
        </w:tc>
        <w:tc>
          <w:tcPr>
            <w:tcW w:w="3620" w:type="dxa"/>
            <w:vAlign w:val="bottom"/>
            <w:gridSpan w:val="3"/>
          </w:tcPr>
          <w:p>
            <w:pPr>
              <w:ind w:left="2480"/>
              <w:spacing w:after="0"/>
              <w:rPr>
                <w:sz w:val="20"/>
                <w:szCs w:val="20"/>
                <w:color w:val="auto"/>
              </w:rPr>
            </w:pPr>
            <w:r>
              <w:rPr>
                <w:rFonts w:ascii="Arial" w:cs="Arial" w:eastAsia="Arial" w:hAnsi="Arial"/>
                <w:sz w:val="22"/>
                <w:szCs w:val="22"/>
                <w:color w:val="auto"/>
              </w:rPr>
              <w:t>Description</w:t>
            </w:r>
          </w:p>
        </w:tc>
      </w:tr>
      <w:tr>
        <w:trPr>
          <w:trHeight w:val="20"/>
        </w:trPr>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09"/>
        </w:trPr>
        <w:tc>
          <w:tcPr>
            <w:tcW w:w="1000" w:type="dxa"/>
            <w:vAlign w:val="bottom"/>
          </w:tcPr>
          <w:p>
            <w:pPr>
              <w:jc w:val="right"/>
              <w:ind w:right="352"/>
              <w:spacing w:after="0"/>
              <w:rPr>
                <w:sz w:val="20"/>
                <w:szCs w:val="20"/>
                <w:color w:val="auto"/>
              </w:rPr>
            </w:pPr>
            <w:r>
              <w:rPr>
                <w:rFonts w:ascii="Arial" w:cs="Arial" w:eastAsia="Arial" w:hAnsi="Arial"/>
                <w:sz w:val="22"/>
                <w:szCs w:val="22"/>
                <w:color w:val="auto"/>
              </w:rPr>
              <w:t>99.1</w:t>
            </w:r>
          </w:p>
        </w:tc>
        <w:tc>
          <w:tcPr>
            <w:tcW w:w="140" w:type="dxa"/>
            <w:vAlign w:val="bottom"/>
          </w:tcPr>
          <w:p>
            <w:pPr>
              <w:spacing w:after="0"/>
              <w:rPr>
                <w:sz w:val="24"/>
                <w:szCs w:val="24"/>
                <w:color w:val="auto"/>
              </w:rPr>
            </w:pPr>
          </w:p>
        </w:tc>
        <w:tc>
          <w:tcPr>
            <w:tcW w:w="3620" w:type="dxa"/>
            <w:vAlign w:val="bottom"/>
            <w:gridSpan w:val="3"/>
          </w:tcPr>
          <w:p>
            <w:pPr>
              <w:ind w:left="140"/>
              <w:spacing w:after="0"/>
              <w:rPr>
                <w:sz w:val="20"/>
                <w:szCs w:val="20"/>
                <w:color w:val="auto"/>
              </w:rPr>
            </w:pPr>
            <w:r>
              <w:rPr>
                <w:rFonts w:ascii="Arial" w:cs="Arial" w:eastAsia="Arial" w:hAnsi="Arial"/>
                <w:sz w:val="22"/>
                <w:szCs w:val="22"/>
                <w:color w:val="auto"/>
                <w:w w:val="85"/>
              </w:rPr>
              <w:t>Press Release dated November 30, 2004</w:t>
            </w:r>
          </w:p>
        </w:tc>
      </w:tr>
    </w:tbl>
    <w:p>
      <w:pPr>
        <w:sectPr>
          <w:pgSz w:w="11900" w:h="16838" w:orient="portrait"/>
          <w:cols w:equalWidth="0" w:num="1">
            <w:col w:w="11200"/>
          </w:cols>
          <w:pgMar w:left="240" w:top="1198" w:right="459" w:bottom="1440" w:gutter="0" w:footer="0" w:header="0"/>
        </w:sectPr>
      </w:pPr>
    </w:p>
    <w:bookmarkStart w:id="1" w:name="page2"/>
    <w:bookmarkEnd w:id="1"/>
    <w:p>
      <w:pPr>
        <w:ind w:left="5060"/>
        <w:spacing w:after="0"/>
        <w:rPr>
          <w:sz w:val="20"/>
          <w:szCs w:val="20"/>
          <w:color w:val="auto"/>
        </w:rPr>
      </w:pPr>
      <w:r>
        <w:rPr>
          <w:rFonts w:ascii="Arial" w:cs="Arial" w:eastAsia="Arial" w:hAnsi="Arial"/>
          <w:sz w:val="22"/>
          <w:szCs w:val="22"/>
          <w:u w:val="single" w:color="auto"/>
          <w:color w:val="auto"/>
        </w:rPr>
        <w:t>SIGNATURES</w:t>
      </w:r>
    </w:p>
    <w:p>
      <w:pPr>
        <w:spacing w:after="0" w:line="200" w:lineRule="exact"/>
        <w:rPr>
          <w:sz w:val="20"/>
          <w:szCs w:val="20"/>
          <w:color w:val="auto"/>
        </w:rPr>
      </w:pPr>
    </w:p>
    <w:p>
      <w:pPr>
        <w:spacing w:after="0" w:line="22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87" w:lineRule="exact"/>
        <w:rPr>
          <w:sz w:val="20"/>
          <w:szCs w:val="20"/>
          <w:color w:val="auto"/>
        </w:rPr>
      </w:pPr>
    </w:p>
    <w:p>
      <w:pPr>
        <w:ind w:left="20"/>
        <w:spacing w:after="0"/>
        <w:tabs>
          <w:tab w:leader="none" w:pos="4360" w:val="left"/>
        </w:tabs>
        <w:rPr>
          <w:sz w:val="20"/>
          <w:szCs w:val="20"/>
          <w:color w:val="auto"/>
        </w:rPr>
      </w:pPr>
      <w:r>
        <w:rPr>
          <w:rFonts w:ascii="Arial" w:cs="Arial" w:eastAsia="Arial" w:hAnsi="Arial"/>
          <w:sz w:val="22"/>
          <w:szCs w:val="22"/>
          <w:color w:val="auto"/>
        </w:rPr>
        <w:t>Dated: November 30, 2004</w:t>
      </w:r>
      <w:r>
        <w:rPr>
          <w:sz w:val="20"/>
          <w:szCs w:val="20"/>
          <w:color w:val="auto"/>
        </w:rPr>
        <w:tab/>
      </w:r>
      <w:r>
        <w:rPr>
          <w:rFonts w:ascii="Arial" w:cs="Arial" w:eastAsia="Arial" w:hAnsi="Arial"/>
          <w:sz w:val="21"/>
          <w:szCs w:val="21"/>
          <w:color w:val="auto"/>
        </w:rPr>
        <w:t>MANPOWER INC.</w:t>
      </w:r>
    </w:p>
    <w:p>
      <w:pPr>
        <w:spacing w:after="0" w:line="200" w:lineRule="exact"/>
        <w:rPr>
          <w:sz w:val="20"/>
          <w:szCs w:val="20"/>
          <w:color w:val="auto"/>
        </w:rPr>
      </w:pPr>
    </w:p>
    <w:p>
      <w:pPr>
        <w:spacing w:after="0" w:line="290"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 /s/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-17780</wp:posOffset>
            </wp:positionV>
            <wp:extent cx="24085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spacing w:after="0" w:line="15"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Michael J. Van Handel</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Executive Vice President, Chief Financial</w:t>
      </w:r>
    </w:p>
    <w:p>
      <w:pPr>
        <w:spacing w:after="0" w:line="4" w:lineRule="exact"/>
        <w:rPr>
          <w:sz w:val="20"/>
          <w:szCs w:val="20"/>
          <w:color w:val="auto"/>
        </w:rPr>
      </w:pPr>
    </w:p>
    <w:p>
      <w:pPr>
        <w:jc w:val="center"/>
        <w:ind w:right="-399"/>
        <w:spacing w:after="0"/>
        <w:rPr>
          <w:sz w:val="20"/>
          <w:szCs w:val="20"/>
          <w:color w:val="auto"/>
        </w:rPr>
      </w:pPr>
      <w:r>
        <w:rPr>
          <w:rFonts w:ascii="Arial" w:cs="Arial" w:eastAsia="Arial" w:hAnsi="Arial"/>
          <w:sz w:val="22"/>
          <w:szCs w:val="22"/>
          <w:color w:val="auto"/>
        </w:rPr>
        <w:t>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2360" w:type="dxa"/>
        <w:tblCellMar>
          <w:top w:w="0" w:type="dxa"/>
          <w:left w:w="0" w:type="dxa"/>
          <w:bottom w:w="0" w:type="dxa"/>
          <w:right w:w="0" w:type="dxa"/>
        </w:tblCellMar>
      </w:tblPr>
      <w:tr>
        <w:trPr>
          <w:trHeight w:val="275"/>
        </w:trPr>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20" w:type="dxa"/>
            <w:vAlign w:val="bottom"/>
            <w:gridSpan w:val="3"/>
          </w:tcPr>
          <w:p>
            <w:pPr>
              <w:ind w:left="1420"/>
              <w:spacing w:after="0"/>
              <w:rPr>
                <w:sz w:val="20"/>
                <w:szCs w:val="20"/>
                <w:color w:val="auto"/>
              </w:rPr>
            </w:pPr>
            <w:r>
              <w:rPr>
                <w:rFonts w:ascii="Arial" w:cs="Arial" w:eastAsia="Arial" w:hAnsi="Arial"/>
                <w:sz w:val="22"/>
                <w:szCs w:val="22"/>
                <w:color w:val="auto"/>
              </w:rPr>
              <w:t>EXHIBIT INDEX</w:t>
            </w:r>
          </w:p>
        </w:tc>
      </w:tr>
      <w:tr>
        <w:trPr>
          <w:trHeight w:val="638"/>
        </w:trPr>
        <w:tc>
          <w:tcPr>
            <w:tcW w:w="1140" w:type="dxa"/>
            <w:vAlign w:val="bottom"/>
            <w:gridSpan w:val="2"/>
          </w:tcPr>
          <w:p>
            <w:pPr>
              <w:spacing w:after="0"/>
              <w:rPr>
                <w:sz w:val="20"/>
                <w:szCs w:val="20"/>
                <w:color w:val="auto"/>
              </w:rPr>
            </w:pPr>
            <w:r>
              <w:rPr>
                <w:rFonts w:ascii="Arial" w:cs="Arial" w:eastAsia="Arial" w:hAnsi="Arial"/>
                <w:sz w:val="22"/>
                <w:szCs w:val="22"/>
                <w:color w:val="auto"/>
              </w:rPr>
              <w:t>Exhibit No.</w:t>
            </w:r>
          </w:p>
        </w:tc>
        <w:tc>
          <w:tcPr>
            <w:tcW w:w="3620" w:type="dxa"/>
            <w:vAlign w:val="bottom"/>
            <w:gridSpan w:val="3"/>
          </w:tcPr>
          <w:p>
            <w:pPr>
              <w:ind w:left="2480"/>
              <w:spacing w:after="0"/>
              <w:rPr>
                <w:sz w:val="20"/>
                <w:szCs w:val="20"/>
                <w:color w:val="auto"/>
              </w:rPr>
            </w:pPr>
            <w:r>
              <w:rPr>
                <w:rFonts w:ascii="Arial" w:cs="Arial" w:eastAsia="Arial" w:hAnsi="Arial"/>
                <w:sz w:val="22"/>
                <w:szCs w:val="22"/>
                <w:color w:val="auto"/>
              </w:rPr>
              <w:t>Description</w:t>
            </w:r>
          </w:p>
        </w:tc>
      </w:tr>
      <w:tr>
        <w:trPr>
          <w:trHeight w:val="20"/>
        </w:trPr>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09"/>
        </w:trPr>
        <w:tc>
          <w:tcPr>
            <w:tcW w:w="1000" w:type="dxa"/>
            <w:vAlign w:val="bottom"/>
          </w:tcPr>
          <w:p>
            <w:pPr>
              <w:jc w:val="right"/>
              <w:ind w:right="352"/>
              <w:spacing w:after="0"/>
              <w:rPr>
                <w:sz w:val="20"/>
                <w:szCs w:val="20"/>
                <w:color w:val="auto"/>
              </w:rPr>
            </w:pPr>
            <w:r>
              <w:rPr>
                <w:rFonts w:ascii="Arial" w:cs="Arial" w:eastAsia="Arial" w:hAnsi="Arial"/>
                <w:sz w:val="22"/>
                <w:szCs w:val="22"/>
                <w:color w:val="auto"/>
              </w:rPr>
              <w:t>99.1</w:t>
            </w:r>
          </w:p>
        </w:tc>
        <w:tc>
          <w:tcPr>
            <w:tcW w:w="140" w:type="dxa"/>
            <w:vAlign w:val="bottom"/>
          </w:tcPr>
          <w:p>
            <w:pPr>
              <w:spacing w:after="0"/>
              <w:rPr>
                <w:sz w:val="24"/>
                <w:szCs w:val="24"/>
                <w:color w:val="auto"/>
              </w:rPr>
            </w:pPr>
          </w:p>
        </w:tc>
        <w:tc>
          <w:tcPr>
            <w:tcW w:w="3620" w:type="dxa"/>
            <w:vAlign w:val="bottom"/>
            <w:gridSpan w:val="3"/>
          </w:tcPr>
          <w:p>
            <w:pPr>
              <w:ind w:left="140"/>
              <w:spacing w:after="0"/>
              <w:rPr>
                <w:sz w:val="20"/>
                <w:szCs w:val="20"/>
                <w:color w:val="auto"/>
              </w:rPr>
            </w:pPr>
            <w:r>
              <w:rPr>
                <w:rFonts w:ascii="Arial" w:cs="Arial" w:eastAsia="Arial" w:hAnsi="Arial"/>
                <w:sz w:val="22"/>
                <w:szCs w:val="22"/>
                <w:color w:val="auto"/>
                <w:w w:val="85"/>
              </w:rPr>
              <w:t>Press Release dated November 30, 2004</w:t>
            </w:r>
          </w:p>
        </w:tc>
      </w:tr>
    </w:tbl>
    <w:p>
      <w:pPr>
        <w:sectPr>
          <w:pgSz w:w="11900" w:h="16838" w:orient="portrait"/>
          <w:cols w:equalWidth="0" w:num="1">
            <w:col w:w="10820"/>
          </w:cols>
          <w:pgMar w:left="240" w:top="118" w:right="839" w:bottom="1440" w:gutter="0" w:footer="0" w:header="0"/>
        </w:sectPr>
      </w:pPr>
    </w:p>
    <w:bookmarkStart w:id="2" w:name="page3"/>
    <w:bookmarkEnd w:id="2"/>
    <w:p>
      <w:pPr>
        <w:ind w:left="9320"/>
        <w:spacing w:after="0"/>
        <w:rPr>
          <w:sz w:val="20"/>
          <w:szCs w:val="20"/>
          <w:color w:val="auto"/>
        </w:rPr>
      </w:pPr>
      <w:r>
        <w:rPr>
          <w:rFonts w:ascii="Arial" w:cs="Arial" w:eastAsia="Arial" w:hAnsi="Arial"/>
          <w:sz w:val="21"/>
          <w:szCs w:val="2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159385</wp:posOffset>
            </wp:positionV>
            <wp:extent cx="1380490" cy="1974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80490" cy="197485"/>
                    </a:xfrm>
                    <a:prstGeom prst="rect">
                      <a:avLst/>
                    </a:prstGeom>
                    <a:noFill/>
                  </pic:spPr>
                </pic:pic>
              </a:graphicData>
            </a:graphic>
          </wp:anchor>
        </w:drawing>
      </w:r>
    </w:p>
    <w:p>
      <w:pPr>
        <w:sectPr>
          <w:pgSz w:w="11900" w:h="16838" w:orient="portrait"/>
          <w:cols w:equalWidth="0" w:num="1">
            <w:col w:w="10440"/>
          </w:cols>
          <w:pgMar w:left="1220" w:top="61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4840" w:val="left"/>
        </w:tabs>
        <w:rPr>
          <w:sz w:val="20"/>
          <w:szCs w:val="20"/>
          <w:color w:val="auto"/>
        </w:rPr>
      </w:pPr>
      <w:r>
        <w:rPr>
          <w:rFonts w:ascii="Arial" w:cs="Arial" w:eastAsia="Arial" w:hAnsi="Arial"/>
          <w:sz w:val="20"/>
          <w:szCs w:val="20"/>
          <w:b w:val="1"/>
          <w:bCs w:val="1"/>
          <w:color w:val="auto"/>
        </w:rPr>
        <w:t>FOR IMMEDIATE RELEASE</w:t>
      </w:r>
      <w:r>
        <w:rPr>
          <w:sz w:val="20"/>
          <w:szCs w:val="20"/>
          <w:color w:val="auto"/>
        </w:rPr>
        <w:tab/>
      </w:r>
      <w:r>
        <w:rPr>
          <w:rFonts w:ascii="Arial" w:cs="Arial" w:eastAsia="Arial" w:hAnsi="Arial"/>
          <w:sz w:val="19"/>
          <w:szCs w:val="19"/>
          <w:b w:val="1"/>
          <w:bCs w:val="1"/>
          <w:color w:val="auto"/>
        </w:rPr>
        <w:t>Contact:</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Mike Van Handel</w:t>
      </w:r>
    </w:p>
    <w:p>
      <w:pPr>
        <w:ind w:left="4860"/>
        <w:spacing w:after="0"/>
        <w:rPr>
          <w:sz w:val="20"/>
          <w:szCs w:val="20"/>
          <w:color w:val="auto"/>
        </w:rPr>
      </w:pPr>
      <w:r>
        <w:rPr>
          <w:rFonts w:ascii="Arial" w:cs="Arial" w:eastAsia="Arial" w:hAnsi="Arial"/>
          <w:sz w:val="20"/>
          <w:szCs w:val="20"/>
          <w:color w:val="auto"/>
        </w:rPr>
        <w:t>Chief Financial Officer</w:t>
      </w:r>
    </w:p>
    <w:p>
      <w:pPr>
        <w:ind w:left="4860"/>
        <w:spacing w:after="0"/>
        <w:rPr>
          <w:sz w:val="20"/>
          <w:szCs w:val="20"/>
          <w:color w:val="auto"/>
        </w:rPr>
      </w:pPr>
      <w:r>
        <w:rPr>
          <w:rFonts w:ascii="Arial" w:cs="Arial" w:eastAsia="Arial" w:hAnsi="Arial"/>
          <w:sz w:val="20"/>
          <w:szCs w:val="20"/>
          <w:color w:val="auto"/>
        </w:rPr>
        <w:t>Manpower Inc.</w:t>
      </w:r>
    </w:p>
    <w:p>
      <w:pPr>
        <w:ind w:left="4860"/>
        <w:spacing w:after="0"/>
        <w:rPr>
          <w:sz w:val="20"/>
          <w:szCs w:val="20"/>
          <w:color w:val="auto"/>
        </w:rPr>
      </w:pPr>
      <w:r>
        <w:rPr>
          <w:rFonts w:ascii="Arial" w:cs="Arial" w:eastAsia="Arial" w:hAnsi="Arial"/>
          <w:sz w:val="20"/>
          <w:szCs w:val="20"/>
          <w:color w:val="auto"/>
        </w:rPr>
        <w:t>+1.414.906.6305</w:t>
      </w:r>
    </w:p>
    <w:p>
      <w:pPr>
        <w:spacing w:after="0" w:line="200" w:lineRule="exact"/>
        <w:rPr>
          <w:sz w:val="20"/>
          <w:szCs w:val="20"/>
          <w:color w:val="auto"/>
        </w:rPr>
      </w:pPr>
    </w:p>
    <w:p>
      <w:pPr>
        <w:spacing w:after="0" w:line="370" w:lineRule="exact"/>
        <w:rPr>
          <w:sz w:val="20"/>
          <w:szCs w:val="20"/>
          <w:color w:val="auto"/>
        </w:rPr>
      </w:pPr>
    </w:p>
    <w:p>
      <w:pPr>
        <w:ind w:left="3160"/>
        <w:spacing w:after="0"/>
        <w:rPr>
          <w:sz w:val="20"/>
          <w:szCs w:val="20"/>
          <w:color w:val="auto"/>
        </w:rPr>
      </w:pPr>
      <w:r>
        <w:rPr>
          <w:rFonts w:ascii="Arial" w:cs="Arial" w:eastAsia="Arial" w:hAnsi="Arial"/>
          <w:sz w:val="20"/>
          <w:szCs w:val="20"/>
          <w:b w:val="1"/>
          <w:bCs w:val="1"/>
          <w:color w:val="auto"/>
        </w:rPr>
        <w:t>French Authorities Initiate Inquiry</w:t>
      </w:r>
    </w:p>
    <w:p>
      <w:pPr>
        <w:spacing w:after="0" w:line="375" w:lineRule="exact"/>
        <w:rPr>
          <w:sz w:val="20"/>
          <w:szCs w:val="20"/>
          <w:color w:val="auto"/>
        </w:rPr>
      </w:pPr>
    </w:p>
    <w:p>
      <w:pPr>
        <w:ind w:right="1360"/>
        <w:spacing w:after="0" w:line="339" w:lineRule="auto"/>
        <w:rPr>
          <w:sz w:val="20"/>
          <w:szCs w:val="20"/>
          <w:color w:val="auto"/>
        </w:rPr>
      </w:pPr>
      <w:r>
        <w:rPr>
          <w:rFonts w:ascii="Arial" w:cs="Arial" w:eastAsia="Arial" w:hAnsi="Arial"/>
          <w:sz w:val="20"/>
          <w:szCs w:val="20"/>
          <w:color w:val="auto"/>
        </w:rPr>
        <w:t>MILWAUKEE, WI, USA, November 30, 2004 – Manpower Inc. (NYSE: MAN) was informed today that the French authorities have commenced an investigation of the company and certain of its competitors. The company understands that the investigation relates to alleged violations of European Union and French competition laws. The company is reviewing the situation and is cooperating with the authorities in the investigation. As the investigation is in its early stages, no further comment is available at this time.</w:t>
      </w:r>
    </w:p>
    <w:p>
      <w:pPr>
        <w:spacing w:after="0" w:line="188" w:lineRule="exact"/>
        <w:rPr>
          <w:sz w:val="20"/>
          <w:szCs w:val="20"/>
          <w:color w:val="auto"/>
        </w:rPr>
      </w:pPr>
    </w:p>
    <w:p>
      <w:pPr>
        <w:ind w:left="4280"/>
        <w:spacing w:after="0"/>
        <w:rPr>
          <w:sz w:val="20"/>
          <w:szCs w:val="20"/>
          <w:color w:val="auto"/>
        </w:rPr>
      </w:pPr>
      <w:r>
        <w:rPr>
          <w:rFonts w:ascii="Arial" w:cs="Arial" w:eastAsia="Arial" w:hAnsi="Arial"/>
          <w:sz w:val="20"/>
          <w:szCs w:val="20"/>
          <w:b w:val="1"/>
          <w:bCs w:val="1"/>
          <w:color w:val="auto"/>
        </w:rPr>
        <w:t>- ### -</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Manpower Inc.</w:t>
      </w:r>
    </w:p>
    <w:p>
      <w:pPr>
        <w:spacing w:after="0" w:line="240" w:lineRule="exact"/>
        <w:rPr>
          <w:sz w:val="20"/>
          <w:szCs w:val="20"/>
          <w:color w:val="auto"/>
        </w:rPr>
      </w:pPr>
    </w:p>
    <w:p>
      <w:pPr>
        <w:ind w:right="1300"/>
        <w:spacing w:after="0"/>
        <w:rPr>
          <w:sz w:val="20"/>
          <w:szCs w:val="20"/>
          <w:color w:val="auto"/>
        </w:rPr>
      </w:pPr>
      <w:r>
        <w:rPr>
          <w:rFonts w:ascii="Arial" w:cs="Arial" w:eastAsia="Arial" w:hAnsi="Arial"/>
          <w:sz w:val="20"/>
          <w:szCs w:val="20"/>
          <w:color w:val="auto"/>
        </w:rPr>
        <w:t xml:space="preserve">Manpower Inc. (NYSE: MAN) is a world leader in the employment services industry, offering customers a continuum of services to meet their needs throughout the employment and business cycle. The company specializes in permanent, temporary and contract recruitment; employee assessment; training; career transition and organizational consulting services. Manpower’s worldwide network of 4,300 offices in 67 countries and territories enables the company to meet the needs of its 400,000 customers per year, including small and medium size enterprises in all industry sectors, as well as the world’s largest multinational corporations. The focus of Manpower’s work is on raising productivity through improved quality, efficiency and cost-reduction, enabling customers to concentrate on their core business activities. In addition to the Manpower brand, the company operates under the brand names of Right Management Consultants, Jefferson Wells, Elan and Brook Street. More information on Manpower Inc. is available at </w:t>
      </w:r>
      <w:r>
        <w:rPr>
          <w:rFonts w:ascii="Arial" w:cs="Arial" w:eastAsia="Arial" w:hAnsi="Arial"/>
          <w:sz w:val="20"/>
          <w:szCs w:val="20"/>
          <w:u w:val="single" w:color="auto"/>
          <w:color w:val="auto"/>
        </w:rPr>
        <w:t>www.manpower.com</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MANPOWER INC. • P.O. BOX 2053 • 5301 N. IRONWOOD RD., MILWAUKEE, WI 53201 • USA • PHONE +1.414-961-1000 • www.manpower.com</w:t>
      </w:r>
    </w:p>
    <w:sectPr>
      <w:pgSz w:w="11900" w:h="16838" w:orient="portrait"/>
      <w:cols w:equalWidth="0" w:num="1">
        <w:col w:w="10440"/>
      </w:cols>
      <w:pgMar w:left="1220" w:top="61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p"/>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2019-12-19T23:39:54Z</dcterms:created>
  <dcterms:modified xsi:type="dcterms:W3CDTF">2019-12-19T23:39:54Z</dcterms:modified>
</cp:coreProperties>
</file>