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FORM 10-Q</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5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2"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b w:val="1"/>
          <w:bCs w:val="1"/>
          <w:color w:val="auto"/>
        </w:rPr>
        <w:t>September 30, 2013</w:t>
      </w:r>
    </w:p>
    <w:p>
      <w:pPr>
        <w:spacing w:after="0" w:line="8"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3"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3"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23"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MANPOWERGROUP INC.</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06" w:right="239" w:bottom="1440" w:gutter="0" w:footer="0" w:header="0"/>
        </w:sectPr>
      </w:pPr>
    </w:p>
    <w:p>
      <w:pPr>
        <w:spacing w:after="0" w:line="230"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20" w:space="720"/>
            <w:col w:w="4080"/>
          </w:cols>
          <w:pgMar w:left="240" w:top="206" w:right="239" w:bottom="1440" w:gutter="0" w:footer="0" w:header="0"/>
          <w:type w:val="continuous"/>
        </w:sectPr>
      </w:pPr>
    </w:p>
    <w:p>
      <w:pPr>
        <w:spacing w:after="0" w:line="16"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Milwaukee, Wisconsin</w:t>
      </w:r>
    </w:p>
    <w:p>
      <w:pPr>
        <w:spacing w:after="0" w:line="8" w:lineRule="exact"/>
        <w:rPr>
          <w:sz w:val="24"/>
          <w:szCs w:val="24"/>
          <w:color w:val="auto"/>
        </w:rPr>
      </w:pPr>
    </w:p>
    <w:p>
      <w:pPr>
        <w:ind w:left="27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620" w:space="720"/>
            <w:col w:w="4080"/>
          </w:cols>
          <w:pgMar w:left="240" w:top="206" w:right="239" w:bottom="1440" w:gutter="0" w:footer="0" w:header="0"/>
          <w:type w:val="continuous"/>
        </w:sectPr>
      </w:pP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4" w:lineRule="exact"/>
        <w:rPr>
          <w:sz w:val="24"/>
          <w:szCs w:val="24"/>
          <w:color w:val="auto"/>
        </w:rPr>
      </w:pPr>
    </w:p>
    <w:p>
      <w:pPr>
        <w:ind w:right="46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09" w:lineRule="exact"/>
        <w:rPr>
          <w:sz w:val="24"/>
          <w:szCs w:val="24"/>
          <w:color w:val="auto"/>
        </w:rPr>
      </w:pPr>
    </w:p>
    <w:p>
      <w:pPr>
        <w:jc w:val="both"/>
        <w:ind w:right="12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209" w:lineRule="exact"/>
        <w:rPr>
          <w:sz w:val="24"/>
          <w:szCs w:val="24"/>
          <w:color w:val="auto"/>
        </w:rPr>
      </w:pPr>
    </w:p>
    <w:p>
      <w:pPr>
        <w:ind w:right="340"/>
        <w:spacing w:after="0" w:line="34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06"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2" w:lineRule="exact"/>
        <w:rPr>
          <w:sz w:val="24"/>
          <w:szCs w:val="24"/>
          <w:color w:val="auto"/>
        </w:rPr>
      </w:pPr>
    </w:p>
    <w:p>
      <w:pPr>
        <w:sectPr>
          <w:pgSz w:w="11900" w:h="16838" w:orient="portrait"/>
          <w:cols w:equalWidth="0" w:num="3">
            <w:col w:w="4920" w:space="720"/>
            <w:col w:w="1960" w:space="80"/>
            <w:col w:w="3740"/>
          </w:cols>
          <w:pgMar w:left="240" w:top="206"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06" w:right="239" w:bottom="1440" w:gutter="0" w:footer="0" w:header="0"/>
          <w:type w:val="continuous"/>
        </w:sectPr>
      </w:pPr>
    </w:p>
    <w:p>
      <w:pPr>
        <w:spacing w:after="0" w:line="20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40" w:type="dxa"/>
            <w:vAlign w:val="bottom"/>
          </w:tcPr>
          <w:p>
            <w:pPr>
              <w:spacing w:after="0"/>
              <w:rPr>
                <w:sz w:val="19"/>
                <w:szCs w:val="19"/>
                <w:color w:val="auto"/>
              </w:rPr>
            </w:pPr>
          </w:p>
        </w:tc>
      </w:tr>
      <w:tr>
        <w:trPr>
          <w:trHeight w:val="438"/>
        </w:trPr>
        <w:tc>
          <w:tcPr>
            <w:tcW w:w="23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jc w:val="center"/>
              <w:ind w:right="490"/>
              <w:spacing w:after="0"/>
              <w:rPr>
                <w:sz w:val="20"/>
                <w:szCs w:val="20"/>
                <w:color w:val="auto"/>
              </w:rPr>
            </w:pPr>
            <w:r>
              <w:rPr>
                <w:rFonts w:ascii="Arial" w:cs="Arial" w:eastAsia="Arial" w:hAnsi="Arial"/>
                <w:sz w:val="18"/>
                <w:szCs w:val="18"/>
                <w:b w:val="1"/>
                <w:bCs w:val="1"/>
                <w:color w:val="auto"/>
                <w:w w:val="87"/>
              </w:rPr>
              <w:t>Shares Outstanding</w:t>
            </w:r>
          </w:p>
        </w:tc>
      </w:tr>
      <w:tr>
        <w:trPr>
          <w:trHeight w:val="240"/>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Class</w:t>
            </w:r>
          </w:p>
        </w:tc>
        <w:tc>
          <w:tcPr>
            <w:tcW w:w="24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at October 30, 2013</w:t>
            </w:r>
          </w:p>
        </w:tc>
      </w:tr>
      <w:tr>
        <w:trPr>
          <w:trHeight w:val="230"/>
        </w:trPr>
        <w:tc>
          <w:tcPr>
            <w:tcW w:w="2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Common Stock, $.01 par value</w:t>
            </w:r>
          </w:p>
        </w:tc>
        <w:tc>
          <w:tcPr>
            <w:tcW w:w="60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color w:val="auto"/>
                <w:w w:val="90"/>
              </w:rPr>
              <w:t>78,993,927</w:t>
            </w:r>
          </w:p>
        </w:tc>
      </w:tr>
      <w:tr>
        <w:trPr>
          <w:trHeight w:val="2778"/>
        </w:trPr>
        <w:tc>
          <w:tcPr>
            <w:tcW w:w="236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83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3"/>
              </w:rPr>
              <w:t>ManpowerGroup Inc.</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20"/>
        </w:trPr>
        <w:tc>
          <w:tcPr>
            <w:tcW w:w="1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3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48"/>
        </w:trPr>
        <w:tc>
          <w:tcPr>
            <w:tcW w:w="1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Page Number</w:t>
            </w:r>
          </w:p>
        </w:tc>
      </w:tr>
      <w:tr>
        <w:trPr>
          <w:trHeight w:val="215"/>
        </w:trPr>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340" w:type="dxa"/>
            <w:vAlign w:val="bottom"/>
            <w:gridSpan w:val="3"/>
            <w:shd w:val="clear" w:color="auto" w:fill="CCEEFF"/>
          </w:tcPr>
          <w:p>
            <w:pPr>
              <w:ind w:left="460"/>
              <w:spacing w:after="0"/>
              <w:rPr>
                <w:sz w:val="20"/>
                <w:szCs w:val="20"/>
                <w:color w:val="auto"/>
              </w:rPr>
            </w:pPr>
            <w:r>
              <w:rPr>
                <w:rFonts w:ascii="Arial" w:cs="Arial" w:eastAsia="Arial" w:hAnsi="Arial"/>
                <w:sz w:val="18"/>
                <w:szCs w:val="18"/>
                <w:b w:val="1"/>
                <w:bCs w:val="1"/>
                <w:color w:val="auto"/>
              </w:rPr>
              <w:t>FINANCIAL INFORMATION</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1840" w:type="dxa"/>
            <w:vAlign w:val="bottom"/>
          </w:tcPr>
          <w:p>
            <w:pPr>
              <w:spacing w:after="0"/>
              <w:rPr>
                <w:sz w:val="20"/>
                <w:szCs w:val="20"/>
                <w:color w:val="auto"/>
              </w:rPr>
            </w:pPr>
            <w:r>
              <w:rPr>
                <w:rFonts w:ascii="Arial" w:cs="Arial" w:eastAsia="Arial" w:hAnsi="Arial"/>
                <w:sz w:val="18"/>
                <w:szCs w:val="18"/>
                <w:color w:val="auto"/>
              </w:rPr>
              <w:t>Item 1</w:t>
            </w:r>
          </w:p>
        </w:tc>
        <w:tc>
          <w:tcPr>
            <w:tcW w:w="8340" w:type="dxa"/>
            <w:vAlign w:val="bottom"/>
            <w:gridSpan w:val="3"/>
          </w:tcPr>
          <w:p>
            <w:pPr>
              <w:ind w:left="460"/>
              <w:spacing w:after="0"/>
              <w:rPr>
                <w:sz w:val="20"/>
                <w:szCs w:val="20"/>
                <w:color w:val="auto"/>
              </w:rPr>
            </w:pPr>
            <w:r>
              <w:rPr>
                <w:rFonts w:ascii="Arial" w:cs="Arial" w:eastAsia="Arial" w:hAnsi="Arial"/>
                <w:sz w:val="18"/>
                <w:szCs w:val="18"/>
                <w:color w:val="auto"/>
              </w:rPr>
              <w:t>Financial Statements (unaudited)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84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Consolidated Balance Sheets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5"/>
        </w:trPr>
        <w:tc>
          <w:tcPr>
            <w:tcW w:w="1840" w:type="dxa"/>
            <w:vAlign w:val="bottom"/>
          </w:tcPr>
          <w:p>
            <w:pPr>
              <w:spacing w:after="0"/>
              <w:rPr>
                <w:sz w:val="18"/>
                <w:szCs w:val="18"/>
                <w:color w:val="auto"/>
              </w:rPr>
            </w:pPr>
          </w:p>
        </w:tc>
        <w:tc>
          <w:tcPr>
            <w:tcW w:w="8340" w:type="dxa"/>
            <w:vAlign w:val="bottom"/>
            <w:gridSpan w:val="3"/>
          </w:tcPr>
          <w:p>
            <w:pPr>
              <w:ind w:left="460"/>
              <w:spacing w:after="0"/>
              <w:rPr>
                <w:sz w:val="20"/>
                <w:szCs w:val="20"/>
                <w:color w:val="auto"/>
              </w:rPr>
            </w:pPr>
            <w:r>
              <w:rPr>
                <w:rFonts w:ascii="Arial" w:cs="Arial" w:eastAsia="Arial" w:hAnsi="Arial"/>
                <w:sz w:val="18"/>
                <w:szCs w:val="18"/>
                <w:color w:val="auto"/>
              </w:rPr>
              <w:t>Consolidated Statements of Operations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5"/>
        </w:trPr>
        <w:tc>
          <w:tcPr>
            <w:tcW w:w="184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Consolidated Statements of Comprehensive Income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5"/>
        </w:trPr>
        <w:tc>
          <w:tcPr>
            <w:tcW w:w="1840" w:type="dxa"/>
            <w:vAlign w:val="bottom"/>
          </w:tcPr>
          <w:p>
            <w:pPr>
              <w:spacing w:after="0"/>
              <w:rPr>
                <w:sz w:val="18"/>
                <w:szCs w:val="18"/>
                <w:color w:val="auto"/>
              </w:rPr>
            </w:pPr>
          </w:p>
        </w:tc>
        <w:tc>
          <w:tcPr>
            <w:tcW w:w="8340" w:type="dxa"/>
            <w:vAlign w:val="bottom"/>
            <w:gridSpan w:val="3"/>
          </w:tcPr>
          <w:p>
            <w:pPr>
              <w:ind w:left="460"/>
              <w:spacing w:after="0"/>
              <w:rPr>
                <w:sz w:val="20"/>
                <w:szCs w:val="20"/>
                <w:color w:val="auto"/>
              </w:rPr>
            </w:pPr>
            <w:r>
              <w:rPr>
                <w:rFonts w:ascii="Arial" w:cs="Arial" w:eastAsia="Arial" w:hAnsi="Arial"/>
                <w:sz w:val="18"/>
                <w:szCs w:val="18"/>
                <w:color w:val="auto"/>
              </w:rPr>
              <w:t>Consolidated Statements of Cash Flows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5"/>
        </w:trPr>
        <w:tc>
          <w:tcPr>
            <w:tcW w:w="184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r>
      <w:tr>
        <w:trPr>
          <w:trHeight w:val="215"/>
        </w:trPr>
        <w:tc>
          <w:tcPr>
            <w:tcW w:w="1840" w:type="dxa"/>
            <w:vAlign w:val="bottom"/>
          </w:tcPr>
          <w:p>
            <w:pPr>
              <w:spacing w:after="0"/>
              <w:rPr>
                <w:sz w:val="20"/>
                <w:szCs w:val="20"/>
                <w:color w:val="auto"/>
              </w:rPr>
            </w:pPr>
            <w:r>
              <w:rPr>
                <w:rFonts w:ascii="Arial" w:cs="Arial" w:eastAsia="Arial" w:hAnsi="Arial"/>
                <w:sz w:val="18"/>
                <w:szCs w:val="18"/>
                <w:color w:val="auto"/>
              </w:rPr>
              <w:t>Item 2</w:t>
            </w:r>
          </w:p>
        </w:tc>
        <w:tc>
          <w:tcPr>
            <w:tcW w:w="8340" w:type="dxa"/>
            <w:vAlign w:val="bottom"/>
            <w:gridSpan w:val="3"/>
          </w:tcPr>
          <w:p>
            <w:pPr>
              <w:ind w:left="4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r>
      <w:tr>
        <w:trPr>
          <w:trHeight w:val="215"/>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3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Quantitative and Qualitative Disclosures About Market Risk</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5"/>
        </w:trPr>
        <w:tc>
          <w:tcPr>
            <w:tcW w:w="1840" w:type="dxa"/>
            <w:vAlign w:val="bottom"/>
          </w:tcPr>
          <w:p>
            <w:pPr>
              <w:spacing w:after="0"/>
              <w:rPr>
                <w:sz w:val="20"/>
                <w:szCs w:val="20"/>
                <w:color w:val="auto"/>
              </w:rPr>
            </w:pPr>
            <w:r>
              <w:rPr>
                <w:rFonts w:ascii="Arial" w:cs="Arial" w:eastAsia="Arial" w:hAnsi="Arial"/>
                <w:sz w:val="18"/>
                <w:szCs w:val="18"/>
                <w:color w:val="auto"/>
              </w:rPr>
              <w:t>Item 4</w:t>
            </w:r>
          </w:p>
        </w:tc>
        <w:tc>
          <w:tcPr>
            <w:tcW w:w="8340" w:type="dxa"/>
            <w:vAlign w:val="bottom"/>
            <w:gridSpan w:val="3"/>
          </w:tcPr>
          <w:p>
            <w:pPr>
              <w:ind w:left="460"/>
              <w:spacing w:after="0"/>
              <w:rPr>
                <w:sz w:val="20"/>
                <w:szCs w:val="20"/>
                <w:color w:val="auto"/>
              </w:rPr>
            </w:pPr>
            <w:r>
              <w:rPr>
                <w:rFonts w:ascii="Arial" w:cs="Arial" w:eastAsia="Arial" w:hAnsi="Arial"/>
                <w:sz w:val="18"/>
                <w:szCs w:val="18"/>
                <w:color w:val="auto"/>
              </w:rPr>
              <w:t>Controls and Procedures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5"/>
        </w:trPr>
        <w:tc>
          <w:tcPr>
            <w:tcW w:w="18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1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40" w:type="dxa"/>
            <w:vAlign w:val="bottom"/>
            <w:gridSpan w:val="3"/>
          </w:tcPr>
          <w:p>
            <w:pPr>
              <w:ind w:left="460"/>
              <w:spacing w:after="0"/>
              <w:rPr>
                <w:sz w:val="20"/>
                <w:szCs w:val="20"/>
                <w:color w:val="auto"/>
              </w:rPr>
            </w:pPr>
            <w:r>
              <w:rPr>
                <w:rFonts w:ascii="Arial" w:cs="Arial" w:eastAsia="Arial" w:hAnsi="Arial"/>
                <w:sz w:val="18"/>
                <w:szCs w:val="18"/>
                <w:b w:val="1"/>
                <w:bCs w:val="1"/>
                <w:color w:val="auto"/>
              </w:rPr>
              <w:t>OTHER INFORMATION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3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Unregistered Sales of Equity Securities and Use of Proceeds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5"/>
        </w:trPr>
        <w:tc>
          <w:tcPr>
            <w:tcW w:w="1840" w:type="dxa"/>
            <w:vAlign w:val="bottom"/>
          </w:tcPr>
          <w:p>
            <w:pPr>
              <w:spacing w:after="0"/>
              <w:rPr>
                <w:sz w:val="20"/>
                <w:szCs w:val="20"/>
                <w:color w:val="auto"/>
              </w:rPr>
            </w:pPr>
            <w:r>
              <w:rPr>
                <w:rFonts w:ascii="Arial" w:cs="Arial" w:eastAsia="Arial" w:hAnsi="Arial"/>
                <w:sz w:val="18"/>
                <w:szCs w:val="18"/>
                <w:color w:val="auto"/>
              </w:rPr>
              <w:t>Item 5</w:t>
            </w:r>
          </w:p>
        </w:tc>
        <w:tc>
          <w:tcPr>
            <w:tcW w:w="8340" w:type="dxa"/>
            <w:vAlign w:val="bottom"/>
            <w:gridSpan w:val="3"/>
          </w:tcPr>
          <w:p>
            <w:pPr>
              <w:ind w:left="460"/>
              <w:spacing w:after="0"/>
              <w:rPr>
                <w:sz w:val="20"/>
                <w:szCs w:val="20"/>
                <w:color w:val="auto"/>
              </w:rPr>
            </w:pPr>
            <w:r>
              <w:rPr>
                <w:rFonts w:ascii="Arial" w:cs="Arial" w:eastAsia="Arial" w:hAnsi="Arial"/>
                <w:sz w:val="18"/>
                <w:szCs w:val="18"/>
                <w:color w:val="auto"/>
              </w:rPr>
              <w:t>Other Information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5"/>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83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Exhibits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5"/>
        </w:trPr>
        <w:tc>
          <w:tcPr>
            <w:tcW w:w="18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SIGNATURES</w:t>
            </w:r>
          </w:p>
        </w:tc>
        <w:tc>
          <w:tcPr>
            <w:tcW w:w="30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5"/>
        </w:trPr>
        <w:tc>
          <w:tcPr>
            <w:tcW w:w="18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EXHIBIT INDEX</w:t>
            </w:r>
          </w:p>
        </w:tc>
        <w:tc>
          <w:tcPr>
            <w:tcW w:w="30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9"/>
        </w:trPr>
        <w:tc>
          <w:tcPr>
            <w:tcW w:w="8820" w:type="dxa"/>
            <w:vAlign w:val="bottom"/>
            <w:gridSpan w:val="4"/>
          </w:tcPr>
          <w:p>
            <w:pPr>
              <w:spacing w:after="0"/>
              <w:rPr>
                <w:sz w:val="20"/>
                <w:szCs w:val="20"/>
                <w:color w:val="auto"/>
              </w:rPr>
            </w:pPr>
            <w:r>
              <w:rPr>
                <w:rFonts w:ascii="Arial" w:cs="Arial" w:eastAsia="Arial" w:hAnsi="Arial"/>
                <w:sz w:val="18"/>
                <w:szCs w:val="18"/>
                <w:color w:val="auto"/>
              </w:rPr>
              <w:t>Item 1 – Financial Statements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8"/>
        </w:trPr>
        <w:tc>
          <w:tcPr>
            <w:tcW w:w="30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6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3020" w:type="dxa"/>
            <w:vAlign w:val="bottom"/>
          </w:tcPr>
          <w:p>
            <w:pPr>
              <w:spacing w:after="0"/>
              <w:rPr>
                <w:sz w:val="24"/>
                <w:szCs w:val="24"/>
                <w:color w:val="auto"/>
              </w:rPr>
            </w:pPr>
          </w:p>
        </w:tc>
        <w:tc>
          <w:tcPr>
            <w:tcW w:w="58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Consolidated Balance Sheets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7"/>
        </w:trPr>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0"/>
        </w:trPr>
        <w:tc>
          <w:tcPr>
            <w:tcW w:w="3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5"/>
        </w:trPr>
        <w:tc>
          <w:tcPr>
            <w:tcW w:w="88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488.7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648.1</w:t>
            </w:r>
          </w:p>
        </w:tc>
      </w:tr>
      <w:tr>
        <w:trPr>
          <w:trHeight w:val="215"/>
        </w:trPr>
        <w:tc>
          <w:tcPr>
            <w:tcW w:w="8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$119.1 and $118.0, respectively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4,179.0</w:t>
            </w:r>
          </w:p>
        </w:tc>
      </w:tr>
      <w:tr>
        <w:trPr>
          <w:trHeight w:val="215"/>
        </w:trPr>
        <w:tc>
          <w:tcPr>
            <w:tcW w:w="882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172.9</w:t>
            </w:r>
          </w:p>
        </w:tc>
      </w:tr>
      <w:tr>
        <w:trPr>
          <w:trHeight w:val="215"/>
        </w:trPr>
        <w:tc>
          <w:tcPr>
            <w:tcW w:w="8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r>
      <w:tr>
        <w:trPr>
          <w:trHeight w:val="27"/>
        </w:trPr>
        <w:tc>
          <w:tcPr>
            <w:tcW w:w="30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8820" w:type="dxa"/>
            <w:vAlign w:val="bottom"/>
            <w:gridSpan w:val="4"/>
          </w:tcPr>
          <w:p>
            <w:pPr>
              <w:ind w:left="6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5,011.2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5,060.6</w:t>
            </w:r>
          </w:p>
        </w:tc>
      </w:tr>
      <w:tr>
        <w:trPr>
          <w:trHeight w:val="215"/>
        </w:trPr>
        <w:tc>
          <w:tcPr>
            <w:tcW w:w="3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1,041.3</w:t>
            </w:r>
          </w:p>
        </w:tc>
      </w:tr>
      <w:tr>
        <w:trPr>
          <w:trHeight w:val="215"/>
        </w:trPr>
        <w:tc>
          <w:tcPr>
            <w:tcW w:w="882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$238.8 and $213.2, respectively</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313.9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330.6</w:t>
            </w:r>
          </w:p>
        </w:tc>
      </w:tr>
      <w:tr>
        <w:trPr>
          <w:trHeight w:val="222"/>
        </w:trPr>
        <w:tc>
          <w:tcPr>
            <w:tcW w:w="8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549.1</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w:t>
            </w:r>
          </w:p>
        </w:tc>
      </w:tr>
      <w:tr>
        <w:trPr>
          <w:trHeight w:val="215"/>
        </w:trPr>
        <w:tc>
          <w:tcPr>
            <w:tcW w:w="8820" w:type="dxa"/>
            <w:vAlign w:val="bottom"/>
            <w:tcBorders>
              <w:top w:val="single" w:sz="8" w:color="CCEEFF"/>
            </w:tcBorders>
            <w:gridSpan w:val="4"/>
          </w:tcPr>
          <w:p>
            <w:pPr>
              <w:ind w:left="660"/>
              <w:spacing w:after="0"/>
              <w:rPr>
                <w:sz w:val="20"/>
                <w:szCs w:val="20"/>
                <w:color w:val="auto"/>
              </w:rPr>
            </w:pPr>
            <w:r>
              <w:rPr>
                <w:rFonts w:ascii="Arial" w:cs="Arial" w:eastAsia="Arial" w:hAnsi="Arial"/>
                <w:sz w:val="18"/>
                <w:szCs w:val="18"/>
                <w:color w:val="auto"/>
              </w:rPr>
              <w:t>Total other assets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tcBorders>
              <w:top w:val="single" w:sz="8" w:color="CCEEFF"/>
            </w:tcBorders>
          </w:tcPr>
          <w:p>
            <w:pPr>
              <w:spacing w:after="0"/>
              <w:rPr>
                <w:sz w:val="18"/>
                <w:szCs w:val="18"/>
                <w:color w:val="auto"/>
              </w:rPr>
            </w:pPr>
          </w:p>
        </w:tc>
      </w:tr>
      <w:tr>
        <w:trPr>
          <w:trHeight w:val="215"/>
        </w:trPr>
        <w:tc>
          <w:tcPr>
            <w:tcW w:w="3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704.1</w:t>
            </w:r>
          </w:p>
        </w:tc>
      </w:tr>
      <w:tr>
        <w:trPr>
          <w:trHeight w:val="215"/>
        </w:trPr>
        <w:tc>
          <w:tcPr>
            <w:tcW w:w="882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537.0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519.3</w:t>
            </w:r>
          </w:p>
        </w:tc>
      </w:tr>
      <w:tr>
        <w:trPr>
          <w:trHeight w:val="27"/>
        </w:trPr>
        <w:tc>
          <w:tcPr>
            <w:tcW w:w="3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882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Net property and equipment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171.9</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r>
      <w:tr>
        <w:trPr>
          <w:trHeight w:val="215"/>
        </w:trPr>
        <w:tc>
          <w:tcPr>
            <w:tcW w:w="8820" w:type="dxa"/>
            <w:vAlign w:val="bottom"/>
            <w:tcBorders>
              <w:top w:val="single" w:sz="8" w:color="CCEEFF"/>
            </w:tcBorders>
            <w:gridSpan w:val="4"/>
          </w:tcPr>
          <w:p>
            <w:pPr>
              <w:ind w:left="6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7,106.1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7,012.6</w:t>
            </w:r>
          </w:p>
        </w:tc>
        <w:tc>
          <w:tcPr>
            <w:tcW w:w="100" w:type="dxa"/>
            <w:vAlign w:val="bottom"/>
            <w:tcBorders>
              <w:top w:val="single" w:sz="8" w:color="CCEEFF"/>
            </w:tcBorders>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8820" w:type="dxa"/>
            <w:vAlign w:val="bottom"/>
          </w:tcPr>
          <w:p>
            <w:pPr>
              <w:jc w:val="center"/>
              <w:ind w:left="2530"/>
              <w:spacing w:after="0"/>
              <w:rPr>
                <w:sz w:val="20"/>
                <w:szCs w:val="20"/>
                <w:color w:val="auto"/>
              </w:rPr>
            </w:pPr>
            <w:r>
              <w:rPr>
                <w:rFonts w:ascii="Arial" w:cs="Arial" w:eastAsia="Arial" w:hAnsi="Arial"/>
                <w:sz w:val="18"/>
                <w:szCs w:val="18"/>
                <w:b w:val="1"/>
                <w:bCs w:val="1"/>
                <w:color w:val="auto"/>
                <w:w w:val="88"/>
              </w:rPr>
              <w:t>Consolidated Balance Sheets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820" w:type="dxa"/>
            <w:vAlign w:val="bottom"/>
          </w:tcPr>
          <w:p>
            <w:pPr>
              <w:jc w:val="center"/>
              <w:ind w:left="253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7"/>
        </w:trPr>
        <w:tc>
          <w:tcPr>
            <w:tcW w:w="8820" w:type="dxa"/>
            <w:vAlign w:val="bottom"/>
          </w:tcPr>
          <w:p>
            <w:pPr>
              <w:jc w:val="center"/>
              <w:ind w:left="253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882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r>
      <w:tr>
        <w:trPr>
          <w:trHeight w:val="240"/>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1,552.8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1,466.5</w:t>
            </w: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524.8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533.8</w:t>
            </w: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685.7</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505.3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472.5</w:t>
            </w:r>
          </w:p>
        </w:tc>
      </w:tr>
      <w:tr>
        <w:trPr>
          <w:trHeight w:val="222"/>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r>
      <w:tr>
        <w:trPr>
          <w:trHeight w:val="215"/>
        </w:trPr>
        <w:tc>
          <w:tcPr>
            <w:tcW w:w="882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3,460.7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3,677.2</w:t>
            </w:r>
          </w:p>
        </w:tc>
        <w:tc>
          <w:tcPr>
            <w:tcW w:w="100" w:type="dxa"/>
            <w:vAlign w:val="bottom"/>
            <w:tcBorders>
              <w:top w:val="single" w:sz="8" w:color="CCEEFF"/>
            </w:tcBorders>
          </w:tcPr>
          <w:p>
            <w:pPr>
              <w:spacing w:after="0"/>
              <w:rPr>
                <w:sz w:val="18"/>
                <w:szCs w:val="18"/>
                <w:color w:val="auto"/>
              </w:rPr>
            </w:pPr>
          </w:p>
        </w:tc>
      </w:tr>
      <w:tr>
        <w:trPr>
          <w:trHeight w:val="215"/>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462.1</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375.8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372.5</w:t>
            </w:r>
          </w:p>
        </w:tc>
      </w:tr>
      <w:tr>
        <w:trPr>
          <w:trHeight w:val="27"/>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liabilities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834.6</w:t>
            </w:r>
          </w:p>
        </w:tc>
      </w:tr>
      <w:tr>
        <w:trPr>
          <w:trHeight w:val="215"/>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$.01 par value, authorized 125,000,000 shares, issued 111,309,645 and 109,543,492 shares, respectively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2,873.2</w:t>
            </w: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1,101.5</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22"/>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32,704,740 and 32,896,063 shares, respectively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(1,501.9)</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(1,509.4)</w:t>
            </w:r>
          </w:p>
        </w:tc>
      </w:tr>
      <w:tr>
        <w:trPr>
          <w:trHeight w:val="222"/>
        </w:trPr>
        <w:tc>
          <w:tcPr>
            <w:tcW w:w="882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2,500.8</w:t>
            </w:r>
          </w:p>
        </w:tc>
        <w:tc>
          <w:tcPr>
            <w:tcW w:w="100" w:type="dxa"/>
            <w:vAlign w:val="bottom"/>
            <w:tcBorders>
              <w:top w:val="single" w:sz="8" w:color="CCEEFF"/>
            </w:tcBorders>
          </w:tcPr>
          <w:p>
            <w:pPr>
              <w:spacing w:after="0"/>
              <w:rPr>
                <w:sz w:val="19"/>
                <w:szCs w:val="19"/>
                <w:color w:val="auto"/>
              </w:rPr>
            </w:pPr>
          </w:p>
        </w:tc>
      </w:tr>
      <w:tr>
        <w:trPr>
          <w:trHeight w:val="255"/>
        </w:trPr>
        <w:tc>
          <w:tcPr>
            <w:tcW w:w="8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9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3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ind w:left="360"/>
              <w:spacing w:after="0"/>
              <w:rPr>
                <w:sz w:val="20"/>
                <w:szCs w:val="20"/>
                <w:color w:val="auto"/>
              </w:rPr>
            </w:pPr>
            <w:r>
              <w:rPr>
                <w:rFonts w:ascii="Arial" w:cs="Arial" w:eastAsia="Arial" w:hAnsi="Arial"/>
                <w:sz w:val="18"/>
                <w:szCs w:val="18"/>
                <w:b w:val="1"/>
                <w:bCs w:val="1"/>
                <w:color w:val="auto"/>
              </w:rPr>
              <w:t>9 Months Ended</w:t>
            </w:r>
          </w:p>
        </w:tc>
      </w:tr>
      <w:tr>
        <w:trPr>
          <w:trHeight w:val="240"/>
        </w:trPr>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4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5"/>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5,188.8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5,172.3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15,475.4</w:t>
            </w:r>
          </w:p>
        </w:tc>
      </w:tr>
      <w:tr>
        <w:trPr>
          <w:trHeight w:val="215"/>
        </w:trPr>
        <w:tc>
          <w:tcPr>
            <w:tcW w:w="4440" w:type="dxa"/>
            <w:vAlign w:val="bottom"/>
          </w:tcPr>
          <w:p>
            <w:pPr>
              <w:spacing w:after="0"/>
              <w:rPr>
                <w:sz w:val="20"/>
                <w:szCs w:val="20"/>
                <w:color w:val="auto"/>
              </w:rPr>
            </w:pPr>
            <w:r>
              <w:rPr>
                <w:rFonts w:ascii="Arial" w:cs="Arial" w:eastAsia="Arial" w:hAnsi="Arial"/>
                <w:sz w:val="18"/>
                <w:szCs w:val="18"/>
                <w:color w:val="auto"/>
              </w:rPr>
              <w:t>Cost of services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4,335.2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12,518.3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12,910.1</w:t>
            </w:r>
          </w:p>
        </w:tc>
      </w:tr>
      <w:tr>
        <w:trPr>
          <w:trHeight w:val="27"/>
        </w:trPr>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2,480.1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2,565.3</w:t>
            </w:r>
          </w:p>
        </w:tc>
      </w:tr>
      <w:tr>
        <w:trPr>
          <w:trHeight w:val="215"/>
        </w:trPr>
        <w:tc>
          <w:tcPr>
            <w:tcW w:w="44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w w:val="83"/>
              </w:rPr>
              <w:t>2,135.2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2,258.5</w:t>
            </w:r>
          </w:p>
        </w:tc>
      </w:tr>
      <w:tr>
        <w:trPr>
          <w:trHeight w:val="27"/>
        </w:trPr>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profit</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w:t>
            </w:r>
          </w:p>
        </w:tc>
      </w:tr>
      <w:tr>
        <w:trPr>
          <w:trHeight w:val="215"/>
        </w:trPr>
        <w:tc>
          <w:tcPr>
            <w:tcW w:w="444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7"/>
        </w:trPr>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Earnings before income taxes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w:t>
            </w:r>
          </w:p>
        </w:tc>
      </w:tr>
      <w:tr>
        <w:trPr>
          <w:trHeight w:val="215"/>
        </w:trPr>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r>
      <w:tr>
        <w:trPr>
          <w:trHeight w:val="27"/>
        </w:trPr>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w:t>
            </w:r>
          </w:p>
        </w:tc>
      </w:tr>
      <w:tr>
        <w:trPr>
          <w:trHeight w:val="20"/>
        </w:trPr>
        <w:tc>
          <w:tcPr>
            <w:tcW w:w="4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0.79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0"/>
        </w:trPr>
        <w:tc>
          <w:tcPr>
            <w:tcW w:w="4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0"/>
        </w:trPr>
        <w:tc>
          <w:tcPr>
            <w:tcW w:w="4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r>
      <w:tr>
        <w:trPr>
          <w:trHeight w:val="20"/>
        </w:trPr>
        <w:tc>
          <w:tcPr>
            <w:tcW w:w="4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r>
      <w:tr>
        <w:trPr>
          <w:trHeight w:val="20"/>
        </w:trPr>
        <w:tc>
          <w:tcPr>
            <w:tcW w:w="4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3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9 Months Ended</w:t>
            </w:r>
          </w:p>
        </w:tc>
      </w:tr>
      <w:tr>
        <w:trPr>
          <w:trHeight w:val="240"/>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5"/>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w:t>
            </w: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r>
      <w:tr>
        <w:trPr>
          <w:trHeight w:val="201"/>
        </w:trPr>
        <w:tc>
          <w:tcPr>
            <w:tcW w:w="5960" w:type="dxa"/>
            <w:vAlign w:val="bottom"/>
          </w:tcPr>
          <w:p>
            <w:pPr>
              <w:ind w:left="660"/>
              <w:spacing w:after="0" w:line="201" w:lineRule="exact"/>
              <w:rPr>
                <w:sz w:val="20"/>
                <w:szCs w:val="20"/>
                <w:color w:val="auto"/>
              </w:rPr>
            </w:pPr>
            <w:r>
              <w:rPr>
                <w:rFonts w:ascii="Arial" w:cs="Arial" w:eastAsia="Arial" w:hAnsi="Arial"/>
                <w:sz w:val="18"/>
                <w:szCs w:val="18"/>
                <w:color w:val="auto"/>
                <w:w w:val="91"/>
              </w:rPr>
              <w:t>Translation adjustments on net investment hedge, net of income taxes of</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60" w:type="dxa"/>
            <w:vAlign w:val="bottom"/>
          </w:tcPr>
          <w:p>
            <w:pPr>
              <w:ind w:left="820"/>
              <w:spacing w:after="0"/>
              <w:rPr>
                <w:sz w:val="20"/>
                <w:szCs w:val="20"/>
                <w:color w:val="auto"/>
              </w:rPr>
            </w:pPr>
            <w:r>
              <w:rPr>
                <w:rFonts w:ascii="Arial" w:cs="Arial" w:eastAsia="Arial" w:hAnsi="Arial"/>
                <w:sz w:val="18"/>
                <w:szCs w:val="18"/>
                <w:color w:val="auto"/>
              </w:rPr>
              <w:t>$(6.7), $(3.4), $(2.9) and $2.4, respectively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5"/>
        </w:trPr>
        <w:tc>
          <w:tcPr>
            <w:tcW w:w="5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Translation adjustments of long-term intercompany loans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01"/>
        </w:trPr>
        <w:tc>
          <w:tcPr>
            <w:tcW w:w="5960" w:type="dxa"/>
            <w:vAlign w:val="bottom"/>
          </w:tcPr>
          <w:p>
            <w:pPr>
              <w:ind w:left="680"/>
              <w:spacing w:after="0" w:line="201" w:lineRule="exact"/>
              <w:rPr>
                <w:sz w:val="20"/>
                <w:szCs w:val="20"/>
                <w:color w:val="auto"/>
              </w:rPr>
            </w:pPr>
            <w:r>
              <w:rPr>
                <w:rFonts w:ascii="Arial" w:cs="Arial" w:eastAsia="Arial" w:hAnsi="Arial"/>
                <w:sz w:val="18"/>
                <w:szCs w:val="18"/>
                <w:color w:val="auto"/>
                <w:w w:val="96"/>
              </w:rPr>
              <w:t>Unrealized (loss) gain on investments, net of income taxes of $(0.8),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60" w:type="dxa"/>
            <w:vAlign w:val="bottom"/>
          </w:tcPr>
          <w:p>
            <w:pPr>
              <w:ind w:left="820"/>
              <w:spacing w:after="0"/>
              <w:rPr>
                <w:sz w:val="20"/>
                <w:szCs w:val="20"/>
                <w:color w:val="auto"/>
              </w:rPr>
            </w:pPr>
            <w:r>
              <w:rPr>
                <w:rFonts w:ascii="Arial" w:cs="Arial" w:eastAsia="Arial" w:hAnsi="Arial"/>
                <w:sz w:val="18"/>
                <w:szCs w:val="18"/>
                <w:color w:val="auto"/>
              </w:rPr>
              <w:t>$0.5, $(0.8) and $1.0, respectively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01"/>
        </w:trPr>
        <w:tc>
          <w:tcPr>
            <w:tcW w:w="5960" w:type="dxa"/>
            <w:vAlign w:val="bottom"/>
            <w:shd w:val="clear" w:color="auto" w:fill="CCEEFF"/>
          </w:tcPr>
          <w:p>
            <w:pPr>
              <w:ind w:left="680"/>
              <w:spacing w:after="0" w:line="201" w:lineRule="exact"/>
              <w:rPr>
                <w:sz w:val="20"/>
                <w:szCs w:val="20"/>
                <w:color w:val="auto"/>
              </w:rPr>
            </w:pPr>
            <w:r>
              <w:rPr>
                <w:rFonts w:ascii="Arial" w:cs="Arial" w:eastAsia="Arial" w:hAnsi="Arial"/>
                <w:sz w:val="18"/>
                <w:szCs w:val="18"/>
                <w:color w:val="auto"/>
                <w:w w:val="92"/>
              </w:rPr>
              <w:t>Defined benefit pension plans and retiree health care plan, less income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59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taxes of $0.3, $0.2, $1.3 and $0.3, respectively</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9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882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Consolidated Statements of Cash Flows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8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9 Months Ended</w:t>
            </w:r>
          </w:p>
        </w:tc>
      </w:tr>
      <w:tr>
        <w:trPr>
          <w:trHeight w:val="240"/>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8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(used in)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15"/>
        </w:trPr>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r>
        <w:trPr>
          <w:trHeight w:val="215"/>
        </w:trPr>
        <w:tc>
          <w:tcPr>
            <w:tcW w:w="882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5"/>
        </w:trPr>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15"/>
        </w:trPr>
        <w:tc>
          <w:tcPr>
            <w:tcW w:w="8820" w:type="dxa"/>
            <w:vAlign w:val="bottom"/>
          </w:tcPr>
          <w:p>
            <w:pPr>
              <w:ind w:left="160"/>
              <w:spacing w:after="0"/>
              <w:rPr>
                <w:sz w:val="20"/>
                <w:szCs w:val="20"/>
                <w:color w:val="auto"/>
              </w:rPr>
            </w:pPr>
            <w:r>
              <w:rPr>
                <w:rFonts w:ascii="Arial" w:cs="Arial" w:eastAsia="Arial" w:hAnsi="Arial"/>
                <w:sz w:val="18"/>
                <w:szCs w:val="18"/>
                <w:color w:val="auto"/>
              </w:rPr>
              <w:t>Excess tax benefit on exercise of share-based awards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(197.7)</w:t>
            </w:r>
          </w:p>
        </w:tc>
      </w:tr>
      <w:tr>
        <w:trPr>
          <w:trHeight w:val="215"/>
        </w:trPr>
        <w:tc>
          <w:tcPr>
            <w:tcW w:w="8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5"/>
        </w:trPr>
        <w:tc>
          <w:tcPr>
            <w:tcW w:w="882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r>
      <w:tr>
        <w:trPr>
          <w:trHeight w:val="27"/>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8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provided by (used in)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r>
      <w:tr>
        <w:trPr>
          <w:trHeight w:val="215"/>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(48.6)</w:t>
            </w: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2"/>
        </w:trPr>
        <w:tc>
          <w:tcPr>
            <w:tcW w:w="8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r>
      <w:tr>
        <w:trPr>
          <w:trHeight w:val="215"/>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751.6</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(268.7)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(702.2)</w:t>
            </w: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share-based awards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Other share-based award transactions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7"/>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8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used in financing activities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(223.9)</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r>
      <w:tr>
        <w:trPr>
          <w:trHeight w:val="215"/>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2"/>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(159.4)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r>
      <w:tr>
        <w:trPr>
          <w:trHeight w:val="222"/>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488.7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444.6</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820" w:type="dxa"/>
            <w:vAlign w:val="bottom"/>
          </w:tcPr>
          <w:p>
            <w:pPr>
              <w:spacing w:after="0"/>
              <w:rPr>
                <w:sz w:val="20"/>
                <w:szCs w:val="20"/>
                <w:color w:val="auto"/>
              </w:rPr>
            </w:pPr>
            <w:r>
              <w:rPr>
                <w:rFonts w:ascii="Arial" w:cs="Arial" w:eastAsia="Arial" w:hAnsi="Arial"/>
                <w:sz w:val="18"/>
                <w:szCs w:val="18"/>
                <w:color w:val="auto"/>
              </w:rPr>
              <w:t>Income taxes paid, net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98"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ManpowerGroup Inc.</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2013 and 2012</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7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2012 Annual Report to Shareholders.</w:t>
      </w:r>
    </w:p>
    <w:p>
      <w:pPr>
        <w:spacing w:after="0" w:line="18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results of operations for the periods presented. Such adjustments were of a normal recurring nature.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w:t>
      </w:r>
    </w:p>
    <w:p>
      <w:pPr>
        <w:spacing w:after="0" w:line="2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During the third quarter of 2013, we determined that the carrying amount of the equity interest in our Swiss franchise was understated by $37.7 due to an error in recording the currency effect on the investment. We believe that the error was not material to the consolidated financial statements for the three- and nine-month periods ended September 30, 2013 or the prior period consolidated financial statements. Accordingly, we have recorded an adjustment to increase other assets and accumulated other comprehensive income by $37.7 on the consolidated balance sheet as of September 30, 2013 and the impact is included in foreign currency translation adjustments on the consolidated statements of comprehensive income in the three- and nine- month periods ended September 30, 2013. There was no impact to the consolidated statements of operations or consolidated statements of cash flows for any period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3" w:lineRule="exact"/>
        <w:rPr>
          <w:sz w:val="20"/>
          <w:szCs w:val="20"/>
          <w:color w:val="auto"/>
        </w:rPr>
      </w:pPr>
    </w:p>
    <w:p>
      <w:pPr>
        <w:ind w:right="300"/>
        <w:spacing w:after="0" w:line="285" w:lineRule="auto"/>
        <w:rPr>
          <w:sz w:val="20"/>
          <w:szCs w:val="20"/>
          <w:color w:val="auto"/>
        </w:rPr>
      </w:pPr>
      <w:r>
        <w:rPr>
          <w:rFonts w:ascii="Arial" w:cs="Arial" w:eastAsia="Arial" w:hAnsi="Arial"/>
          <w:sz w:val="17"/>
          <w:szCs w:val="17"/>
          <w:color w:val="auto"/>
        </w:rPr>
        <w:t>In accordance with the current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6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2013 and determined that there was no impairment of our goodwill or our indefinite-lived intangible assets.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Significant assumptions used in our annual goodwill impairment test during the third quarter of 2013 included: expected future revenue growth rates, operating unit profit margins, and working capital levels; discount rates ranging from 11.7% to 16.5%;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 inclusive of simplification and cost recalibration activities since the fourth quarter of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15, 2013, we amended and restated our Five-Year Credit Agreement (“the Amended Agreement”) with a syndicate of commercial banks to, among other things: decrease the revolving commitments from $800.0 to $600.0, revise the termination date of the facility from October 5, 2016 to October 15, 2018, and permit the termination date of the facility to be extended by an additional year twice during the term of the Amended Agreement. The remaining material terms and conditions of the Amended Agreement are substantially similar to the material terms and conditions of our Five-Year Credit Agreement dated October 5, 2011.</w:t>
      </w:r>
    </w:p>
    <w:p>
      <w:pPr>
        <w:spacing w:after="0" w:line="21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We have evaluated events and transactions occurring after the balance sheet date through our filing date and noted no events that are subject to recognition or disclosure, except those noted above.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84" w:right="279" w:bottom="1440" w:gutter="0" w:footer="0" w:header="0"/>
        </w:sectPr>
      </w:pPr>
    </w:p>
    <w:bookmarkStart w:id="7" w:name="page8"/>
    <w:bookmarkEnd w:id="7"/>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22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December 2011, the FASB issued new accounting guidance on balance sheet offsetting. The new guidance requires an entity to disclose both gross information and net information about instruments and transactions eligible for offset in the statement of financial position. It also requires disclosures on instruments and transactions subject to an agreement similar to a master netting agreement. We adopted this guidance effective January 1, 2013. There was no impact of this adoption on our Consolidated Financial Statements.</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2012, the FASB issued new accounting guidance on testing indefinite-lived intangible assets other than goodwill for impairment. The new guidance allows entities the option to first assess qualitative factors to determine whether it is necessary to perform the quantitative impairment test. An entity electing to perform a qualitative assessment is no longer required to calculate the fair value of an indefinite-lived intangible asset unless the entity determines, based on such an assessment, that it is “more likely than not” that the asset is impaired. We adopted this guidance effective January 1, 2013. We perform annual impairment tests in the third quarter of each year. The application of the guidance to our annual impairment tests did not have a significant impact on our Consolidated Financial Statements.</w:t>
      </w:r>
    </w:p>
    <w:p>
      <w:pPr>
        <w:spacing w:after="0" w:line="21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February 2013, the FASB issued new accounting guidance on comprehensive income. The new guidance requires an entity to provide information about the changes in accumulated other comprehensive income by component. An entity is also required to present significant amounts reclassified out of accumulated other comprehensive income by the respective line items of net income. We adopted this guidance effective January 1, 2013. There was no material impact of this adoption on our Consolidated Financial Statements.</w:t>
      </w:r>
    </w:p>
    <w:p>
      <w:pPr>
        <w:spacing w:after="0" w:line="21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March 2013, the FASB issued new accounting guidance on cumulative translation adjustment. The new guidance requires that currency translation adjustments should be released into net income only if the sale of a foreign subsidiary results in the complete liquidation of the entity. For an equity method investment that is a foreign entity, a pro rata portion of the currency translation adjustments should be released into net income upon a partial sale of such an equity method investment. The new guidance also clarifies that the sale of an investment in a foreign entity includes both (1) events that result in the loss of a controlling financial interest in the foreign entity and (2) events that result in an acquirer’s obtaining control of an acquiree in which it held an equity interest immediately before the acquisition date, otherwise known as a “step acquisition.” Accordingly, the cumulative translation adjustment should be released into net income upon the occurrence of those events. The guidance is effective for us in 2014. We are currently assessing the impact of the adoption of this guidance on our Consolidated Financial Statements.</w:t>
      </w:r>
    </w:p>
    <w:p>
      <w:pPr>
        <w:spacing w:after="0" w:line="17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In July 2013, the FASB issued new accounting guidance on presentation of an unrecognized tax benefit. The new guidance requires that, in certain cases, an unrecognized tax benefit should be presented in the financial statements as a reduction to the deferred tax asset when there is an existing net operating loss carryforward, a similar tax loss or an existing tax credit carryforward. The guidance is effective for us in 2014. We are currently assessing the impact of the adoption of this guidance on our Consolidated Financial Statements.</w:t>
      </w:r>
    </w:p>
    <w:p>
      <w:pPr>
        <w:spacing w:after="0" w:line="200" w:lineRule="exact"/>
        <w:rPr>
          <w:sz w:val="20"/>
          <w:szCs w:val="20"/>
          <w:color w:val="auto"/>
        </w:rPr>
      </w:pPr>
    </w:p>
    <w:p>
      <w:pPr>
        <w:spacing w:after="0" w:line="254"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50"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During the three months ended September 30, 2013 and 2012, we recognized share-based compensation expense of $8.0 and $7.9, respectively, and $22.8 for both the nine months ended September 30, 2013 and 2012. The expense relates to stock options, deferred stock, restricted stock and performance share units. Consideration received from share-based awards was $65.8 and $4.8 for the nine months ended September 30, 2013 and 2012, respectively. We recognize share-based compensation expense in selling and administrative expenses on a straight-line basis over the service period of each award.</w:t>
      </w:r>
    </w:p>
    <w:p>
      <w:pPr>
        <w:spacing w:after="0" w:line="37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was $18.2 and $46.0 for the nine months ended September 30, 2013 and 2012, respectively. For those acquisitions completed during the first quarter of 2013, our cash payments were fully offset by the cash acquired.</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8" w:name="page9"/>
    <w:bookmarkEnd w:id="8"/>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50"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We recorded net restructuring costs of $62.9 and $22.2 for the nine months ended September 30, 2013 and 2012, respectively, in selling and administrative expenses, related to severances and office closures. During the nine months ended September 30, 2013, we made payments of $62.8 out of our restructuring reserve. We expect a majority of the remaining $41.5 reserve will be paid by the end of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Southern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Northern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Right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line="233" w:lineRule="exact"/>
              <w:rPr>
                <w:sz w:val="20"/>
                <w:szCs w:val="20"/>
                <w:color w:val="auto"/>
              </w:rPr>
            </w:pPr>
            <w:r>
              <w:rPr>
                <w:rFonts w:ascii="Arial" w:cs="Arial" w:eastAsia="Arial" w:hAnsi="Arial"/>
                <w:sz w:val="18"/>
                <w:szCs w:val="18"/>
                <w:b w:val="1"/>
                <w:bCs w:val="1"/>
                <w:color w:val="auto"/>
                <w:w w:val="86"/>
              </w:rPr>
              <w:t>Americas</w:t>
            </w:r>
            <w:r>
              <w:rPr>
                <w:rFonts w:ascii="Arial" w:cs="Arial" w:eastAsia="Arial" w:hAnsi="Arial"/>
                <w:sz w:val="25"/>
                <w:szCs w:val="25"/>
                <w:color w:val="auto"/>
                <w:w w:val="86"/>
                <w:vertAlign w:val="superscript"/>
              </w:rPr>
              <w:t>(1)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line="233" w:lineRule="exact"/>
              <w:rPr>
                <w:sz w:val="20"/>
                <w:szCs w:val="20"/>
                <w:color w:val="auto"/>
              </w:rPr>
            </w:pPr>
            <w:r>
              <w:rPr>
                <w:rFonts w:ascii="Arial" w:cs="Arial" w:eastAsia="Arial" w:hAnsi="Arial"/>
                <w:sz w:val="18"/>
                <w:szCs w:val="18"/>
                <w:b w:val="1"/>
                <w:bCs w:val="1"/>
                <w:color w:val="auto"/>
                <w:w w:val="89"/>
              </w:rPr>
              <w:t>Europe</w:t>
            </w:r>
            <w:r>
              <w:rPr>
                <w:rFonts w:ascii="Arial" w:cs="Arial" w:eastAsia="Arial" w:hAnsi="Arial"/>
                <w:sz w:val="25"/>
                <w:szCs w:val="25"/>
                <w:color w:val="auto"/>
                <w:w w:val="89"/>
                <w:vertAlign w:val="superscript"/>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Europe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APME</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Management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January 1,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r>
      <w:tr>
        <w:trPr>
          <w:trHeight w:val="215"/>
        </w:trPr>
        <w:tc>
          <w:tcPr>
            <w:tcW w:w="1960" w:type="dxa"/>
            <w:vAlign w:val="bottom"/>
          </w:tcPr>
          <w:p>
            <w:pPr>
              <w:spacing w:after="0"/>
              <w:rPr>
                <w:sz w:val="20"/>
                <w:szCs w:val="20"/>
                <w:color w:val="auto"/>
              </w:rPr>
            </w:pPr>
            <w:r>
              <w:rPr>
                <w:rFonts w:ascii="Arial" w:cs="Arial" w:eastAsia="Arial" w:hAnsi="Arial"/>
                <w:sz w:val="18"/>
                <w:szCs w:val="18"/>
                <w:color w:val="auto"/>
              </w:rPr>
              <w:t>Severance costs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r>
      <w:tr>
        <w:trPr>
          <w:trHeight w:val="21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Office closure costs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Costs paid or utilized</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r>
      <w:tr>
        <w:trPr>
          <w:trHeight w:val="201"/>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September 30,</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r>
      <w:tr>
        <w:trPr>
          <w:trHeight w:val="20"/>
        </w:trPr>
        <w:tc>
          <w:tcPr>
            <w:tcW w:w="1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the United States were $3.8 and $3.7 as of January 1, 2013 and September 30, 2013, respectively.</w:t>
      </w:r>
    </w:p>
    <w:p>
      <w:pPr>
        <w:spacing w:after="0" w:line="22" w:lineRule="exact"/>
        <w:rPr>
          <w:rFonts w:ascii="Arial" w:cs="Arial" w:eastAsia="Arial" w:hAnsi="Arial"/>
          <w:sz w:val="18"/>
          <w:szCs w:val="18"/>
          <w:color w:val="auto"/>
        </w:rPr>
      </w:pPr>
    </w:p>
    <w:p>
      <w:pPr>
        <w:ind w:right="180" w:firstLine="8"/>
        <w:spacing w:after="0" w:line="258" w:lineRule="auto"/>
        <w:tabs>
          <w:tab w:leader="none" w:pos="38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France were $3.8 and $3.0 as of January 1, 2013 and September 30, 2013, respectively. Balances related to Italy were $0.9 and $0.0 as of January 1, 2013 and September 30, 2013, respectively.</w:t>
      </w:r>
    </w:p>
    <w:p>
      <w:pPr>
        <w:spacing w:after="0" w:line="200" w:lineRule="exact"/>
        <w:rPr>
          <w:sz w:val="20"/>
          <w:szCs w:val="20"/>
          <w:color w:val="auto"/>
        </w:rPr>
      </w:pPr>
    </w:p>
    <w:p>
      <w:pPr>
        <w:spacing w:after="0" w:line="20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0"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We recorded an income tax expense at an effective rate of 39.7% for the three months ended September 30, 2013, as compared to an effective rate of 41.9% for the three months ended September 30, 2012. The 2013 rate was favorably impacted by a change in the overall mix of earnings, primarily an increase to non-U.S. income, and by the reinstatement of the 2013 United States Federal Work Opportunity Tax Credit (“WOTC”). The 39.7% effective tax rate was higher than the U.S. Federal statutory rate of 35% and we currently expect an annual effective tax rate of approximately 40%, due primarily to the French business tax, the impact of valuation allowances, and other permanent items.</w:t>
      </w:r>
    </w:p>
    <w:p>
      <w:pPr>
        <w:spacing w:after="0" w:line="202"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We recorded an income tax expense at an effective rate of 41.2% for the nine months ended September 30, 2013, as compared to an effective rate of 47.3% for the nine months ended September 30, 2012. The 2013 rate was favorably impacted by a change in the overall mix of earnings, primarily an increase to non-U.S. income, and by the 2012 and 2013 WOTC, which was reinstated in January of 2013, retroactive to January 1, 2012. These rates are higher than the U.S. Federal statutory rate of 35% due primarily to the French business tax, the impact of valuation allowances and other permanent items.</w:t>
      </w:r>
    </w:p>
    <w:p>
      <w:pPr>
        <w:spacing w:after="0" w:line="182"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As of September 30, 2013, we had gross unrecognized tax benefits related to various tax jurisdictions, including interest and penalties, of $29.0. We had related tax benefits of $2.5, and the net amount of $26.5 would favorably affect the effective tax rate if recognized. As of December 31, 2012, we had gross unrecognized tax benefits related to various tax jurisdictions, including interest and penalties, of $28.5. We had related tax benefits of $2.5 for a net amount of $26.0. We do not expect our unrecognized tax benefits to change significantly over the next 12 months.</w:t>
      </w:r>
    </w:p>
    <w:p>
      <w:pPr>
        <w:spacing w:after="0" w:line="17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2009 through 2012 for our major operations in Germany, Italy, France, Japan, United States and United Kingdom. As of September 30, 2013, we are subject to tax audits in France, Germany, Denmark, Austria, Italy, Norway and Spain. We believe that the resolution of these audits will not have a material impact on earnings.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9" w:name="page10"/>
    <w:bookmarkEnd w:id="9"/>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3 Months Ended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9 Months Ended</w:t>
            </w:r>
          </w:p>
        </w:tc>
      </w:tr>
      <w:tr>
        <w:trPr>
          <w:trHeight w:val="240"/>
        </w:trPr>
        <w:tc>
          <w:tcPr>
            <w:tcW w:w="4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2"/>
        </w:trPr>
        <w:tc>
          <w:tcPr>
            <w:tcW w:w="4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5"/>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1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900" w:type="dxa"/>
            <w:vAlign w:val="bottom"/>
          </w:tcPr>
          <w:p>
            <w:pPr>
              <w:ind w:left="340"/>
              <w:spacing w:after="0"/>
              <w:rPr>
                <w:sz w:val="20"/>
                <w:szCs w:val="20"/>
                <w:color w:val="auto"/>
              </w:rPr>
            </w:pPr>
            <w:r>
              <w:rPr>
                <w:rFonts w:ascii="Arial" w:cs="Arial" w:eastAsia="Arial" w:hAnsi="Arial"/>
                <w:sz w:val="18"/>
                <w:szCs w:val="18"/>
                <w:color w:val="auto"/>
              </w:rPr>
              <w:t>Net earnings available to common shareholders</w:t>
            </w:r>
          </w:p>
        </w:tc>
        <w:tc>
          <w:tcPr>
            <w:tcW w:w="19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94.7</w:t>
            </w: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63.1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r>
      <w:tr>
        <w:trPr>
          <w:trHeight w:val="215"/>
        </w:trPr>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common shares outstanding</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78.4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79.5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r>
      <w:tr>
        <w:trPr>
          <w:trHeight w:val="27"/>
        </w:trPr>
        <w:tc>
          <w:tcPr>
            <w:tcW w:w="49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4900" w:type="dxa"/>
            <w:vAlign w:val="bottom"/>
          </w:tcPr>
          <w:p>
            <w:pPr>
              <w:spacing w:after="0"/>
              <w:rPr>
                <w:sz w:val="18"/>
                <w:szCs w:val="18"/>
                <w:color w:val="auto"/>
              </w:rPr>
            </w:pPr>
          </w:p>
        </w:tc>
        <w:tc>
          <w:tcPr>
            <w:tcW w:w="19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1.21</w:t>
            </w: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0.79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0"/>
        </w:trPr>
        <w:tc>
          <w:tcPr>
            <w:tcW w:w="4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900" w:type="dxa"/>
            <w:vAlign w:val="bottom"/>
          </w:tcPr>
          <w:p>
            <w:pPr>
              <w:ind w:left="340"/>
              <w:spacing w:after="0"/>
              <w:rPr>
                <w:sz w:val="20"/>
                <w:szCs w:val="20"/>
                <w:color w:val="auto"/>
              </w:rPr>
            </w:pPr>
            <w:r>
              <w:rPr>
                <w:rFonts w:ascii="Arial" w:cs="Arial" w:eastAsia="Arial" w:hAnsi="Arial"/>
                <w:sz w:val="18"/>
                <w:szCs w:val="18"/>
                <w:color w:val="auto"/>
              </w:rPr>
              <w:t>Net earnings available to common shareholders</w:t>
            </w:r>
          </w:p>
        </w:tc>
        <w:tc>
          <w:tcPr>
            <w:tcW w:w="19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94.7</w:t>
            </w: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63.1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r>
      <w:tr>
        <w:trPr>
          <w:trHeight w:val="215"/>
        </w:trPr>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common shares outstanding</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78.4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79.5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r>
      <w:tr>
        <w:trPr>
          <w:trHeight w:val="215"/>
        </w:trPr>
        <w:tc>
          <w:tcPr>
            <w:tcW w:w="4900" w:type="dxa"/>
            <w:vAlign w:val="bottom"/>
          </w:tcPr>
          <w:p>
            <w:pPr>
              <w:ind w:left="340"/>
              <w:spacing w:after="0"/>
              <w:rPr>
                <w:sz w:val="20"/>
                <w:szCs w:val="20"/>
                <w:color w:val="auto"/>
              </w:rPr>
            </w:pPr>
            <w:r>
              <w:rPr>
                <w:rFonts w:ascii="Arial" w:cs="Arial" w:eastAsia="Arial" w:hAnsi="Arial"/>
                <w:sz w:val="18"/>
                <w:szCs w:val="18"/>
                <w:color w:val="auto"/>
              </w:rPr>
              <w:t>Effect of dilutive securities – stock options</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5"/>
        </w:trPr>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other share-based awards</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7"/>
        </w:trPr>
        <w:tc>
          <w:tcPr>
            <w:tcW w:w="49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4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80.0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r>
      <w:tr>
        <w:trPr>
          <w:trHeight w:val="27"/>
        </w:trPr>
        <w:tc>
          <w:tcPr>
            <w:tcW w:w="4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49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1.18</w:t>
            </w:r>
          </w:p>
        </w:tc>
        <w:tc>
          <w:tcPr>
            <w:tcW w:w="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0.79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There were 1.0 million and 4.2 million share-based awards excluded from the calculation of net earnings per share – diluted for the three months ended September 30, 2013 and 2012, respectively, and 1.1 million and 4.2 million share-based awards excluded from the calculation of net earnings per share – diluted for the nine months ended September 30, 2013 and 2012, respectively, as the exercise price for these awards was greater than the average market price of the common shares during the period.</w:t>
      </w:r>
    </w:p>
    <w:p>
      <w:pPr>
        <w:spacing w:after="0" w:line="40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amortizable intangible assets and intangible assets that do not require amortization,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2"/>
              </w:rPr>
              <w:t>September 30, 2013</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2012</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right"/>
              <w:ind w:right="300"/>
              <w:spacing w:after="0" w:line="197" w:lineRule="exact"/>
              <w:rPr>
                <w:sz w:val="20"/>
                <w:szCs w:val="20"/>
                <w:color w:val="auto"/>
              </w:rPr>
            </w:pPr>
            <w:r>
              <w:rPr>
                <w:rFonts w:ascii="Arial" w:cs="Arial" w:eastAsia="Arial" w:hAnsi="Arial"/>
                <w:sz w:val="18"/>
                <w:szCs w:val="18"/>
                <w:b w:val="1"/>
                <w:bCs w:val="1"/>
                <w:color w:val="auto"/>
                <w:w w:val="95"/>
              </w:rPr>
              <w:t>Accumulated</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right"/>
              <w:ind w:right="260"/>
              <w:spacing w:after="0" w:line="197"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0"/>
        </w:trPr>
        <w:tc>
          <w:tcPr>
            <w:tcW w:w="3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Amortization</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5"/>
        </w:trPr>
        <w:tc>
          <w:tcPr>
            <w:tcW w:w="33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Goodwill</w:t>
            </w:r>
            <w:r>
              <w:rPr>
                <w:rFonts w:ascii="Arial" w:cs="Arial" w:eastAsia="Arial" w:hAnsi="Arial"/>
                <w:sz w:val="24"/>
                <w:szCs w:val="24"/>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66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1,041.3</w:t>
            </w:r>
          </w:p>
        </w:tc>
      </w:tr>
      <w:tr>
        <w:trPr>
          <w:trHeight w:val="215"/>
        </w:trPr>
        <w:tc>
          <w:tcPr>
            <w:tcW w:w="3320" w:type="dxa"/>
            <w:vAlign w:val="bottom"/>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Finite-lived: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3320" w:type="dxa"/>
            <w:vAlign w:val="bottom"/>
          </w:tcPr>
          <w:p>
            <w:pPr>
              <w:ind w:left="240"/>
              <w:spacing w:after="0"/>
              <w:rPr>
                <w:sz w:val="20"/>
                <w:szCs w:val="20"/>
                <w:color w:val="auto"/>
              </w:rPr>
            </w:pPr>
            <w:r>
              <w:rPr>
                <w:rFonts w:ascii="Arial" w:cs="Arial" w:eastAsia="Arial" w:hAnsi="Arial"/>
                <w:sz w:val="18"/>
                <w:szCs w:val="18"/>
                <w:color w:val="auto"/>
              </w:rPr>
              <w:t>Technology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19.6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Franchise agreements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5"/>
        </w:trPr>
        <w:tc>
          <w:tcPr>
            <w:tcW w:w="332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165.1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r>
      <w:tr>
        <w:trPr>
          <w:trHeight w:val="215"/>
        </w:trPr>
        <w:tc>
          <w:tcPr>
            <w:tcW w:w="3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7"/>
        </w:trPr>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2"/>
        </w:trPr>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162.0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213.2</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r>
      <w:tr>
        <w:trPr>
          <w:trHeight w:val="215"/>
        </w:trPr>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Indefinite-lived:</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3320" w:type="dxa"/>
            <w:vAlign w:val="bottom"/>
          </w:tcPr>
          <w:p>
            <w:pPr>
              <w:ind w:left="260"/>
              <w:spacing w:after="0" w:line="216" w:lineRule="exact"/>
              <w:rPr>
                <w:sz w:val="20"/>
                <w:szCs w:val="20"/>
                <w:color w:val="auto"/>
              </w:rPr>
            </w:pPr>
            <w:r>
              <w:rPr>
                <w:rFonts w:ascii="Arial" w:cs="Arial" w:eastAsia="Arial" w:hAnsi="Arial"/>
                <w:sz w:val="17"/>
                <w:szCs w:val="17"/>
                <w:color w:val="auto"/>
              </w:rPr>
              <w:t>Tradenames</w:t>
            </w:r>
            <w:r>
              <w:rPr>
                <w:rFonts w:ascii="Arial" w:cs="Arial" w:eastAsia="Arial" w:hAnsi="Arial"/>
                <w:sz w:val="24"/>
                <w:szCs w:val="24"/>
                <w:color w:val="auto"/>
                <w:vertAlign w:val="superscript"/>
              </w:rPr>
              <w:t>(2)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r>
      <w:tr>
        <w:trPr>
          <w:trHeight w:val="215"/>
        </w:trPr>
        <w:tc>
          <w:tcPr>
            <w:tcW w:w="3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Reacquired franchise rights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r>
      <w:tr>
        <w:trPr>
          <w:trHeight w:val="27"/>
        </w:trPr>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r>
      <w:tr>
        <w:trPr>
          <w:trHeight w:val="27"/>
        </w:trPr>
        <w:tc>
          <w:tcPr>
            <w:tcW w:w="3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66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4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September 30, 2013 and December 31, 2012.</w:t>
      </w:r>
    </w:p>
    <w:p>
      <w:pPr>
        <w:spacing w:after="0" w:line="22"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September 30, 2013 and December 31, 2012.</w:t>
      </w:r>
    </w:p>
    <w:p>
      <w:pPr>
        <w:spacing w:after="0" w:line="20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Total consolidated amortization expense related to intangible assets for the remainder of 2013 is expected to be $8.6 and in each of the next five years is expected to be as follows: 2014 - $29.0, 2015 - $25.8, 2016 - $22.7, 2017 - $20.2 and 2018 - $17.9.</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Southern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Northern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Right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line="233" w:lineRule="exact"/>
              <w:rPr>
                <w:sz w:val="20"/>
                <w:szCs w:val="20"/>
                <w:color w:val="auto"/>
              </w:rPr>
            </w:pPr>
            <w:r>
              <w:rPr>
                <w:rFonts w:ascii="Arial" w:cs="Arial" w:eastAsia="Arial" w:hAnsi="Arial"/>
                <w:sz w:val="18"/>
                <w:szCs w:val="18"/>
                <w:b w:val="1"/>
                <w:bCs w:val="1"/>
                <w:color w:val="auto"/>
                <w:w w:val="86"/>
              </w:rPr>
              <w:t>Americas</w:t>
            </w:r>
            <w:r>
              <w:rPr>
                <w:rFonts w:ascii="Arial" w:cs="Arial" w:eastAsia="Arial" w:hAnsi="Arial"/>
                <w:sz w:val="25"/>
                <w:szCs w:val="25"/>
                <w:color w:val="auto"/>
                <w:w w:val="86"/>
                <w:vertAlign w:val="superscript"/>
              </w:rPr>
              <w:t>(1)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line="233" w:lineRule="exact"/>
              <w:rPr>
                <w:sz w:val="20"/>
                <w:szCs w:val="20"/>
                <w:color w:val="auto"/>
              </w:rPr>
            </w:pPr>
            <w:r>
              <w:rPr>
                <w:rFonts w:ascii="Arial" w:cs="Arial" w:eastAsia="Arial" w:hAnsi="Arial"/>
                <w:sz w:val="18"/>
                <w:szCs w:val="18"/>
                <w:b w:val="1"/>
                <w:bCs w:val="1"/>
                <w:color w:val="auto"/>
              </w:rPr>
              <w:t>Europe</w:t>
            </w:r>
            <w:r>
              <w:rPr>
                <w:rFonts w:ascii="Arial" w:cs="Arial" w:eastAsia="Arial" w:hAnsi="Arial"/>
                <w:sz w:val="25"/>
                <w:szCs w:val="25"/>
                <w:color w:val="auto"/>
                <w:vertAlign w:val="superscript"/>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Europe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APME</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Management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233" w:lineRule="exact"/>
              <w:rPr>
                <w:sz w:val="20"/>
                <w:szCs w:val="20"/>
                <w:color w:val="auto"/>
              </w:rPr>
            </w:pPr>
            <w:r>
              <w:rPr>
                <w:rFonts w:ascii="Arial" w:cs="Arial" w:eastAsia="Arial" w:hAnsi="Arial"/>
                <w:sz w:val="18"/>
                <w:szCs w:val="18"/>
                <w:b w:val="1"/>
                <w:bCs w:val="1"/>
                <w:color w:val="auto"/>
                <w:w w:val="86"/>
              </w:rPr>
              <w:t>Corporate</w:t>
            </w:r>
            <w:r>
              <w:rPr>
                <w:rFonts w:ascii="Arial" w:cs="Arial" w:eastAsia="Arial" w:hAnsi="Arial"/>
                <w:sz w:val="25"/>
                <w:szCs w:val="25"/>
                <w:color w:val="auto"/>
                <w:w w:val="86"/>
                <w:vertAlign w:val="superscript"/>
              </w:rPr>
              <w:t>(3)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January 1,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1,041.3</w:t>
            </w:r>
          </w:p>
        </w:tc>
      </w:tr>
      <w:tr>
        <w:trPr>
          <w:trHeight w:val="215"/>
        </w:trPr>
        <w:tc>
          <w:tcPr>
            <w:tcW w:w="1960" w:type="dxa"/>
            <w:vAlign w:val="bottom"/>
          </w:tcPr>
          <w:p>
            <w:pPr>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01"/>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impacts</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01"/>
        </w:trPr>
        <w:tc>
          <w:tcPr>
            <w:tcW w:w="19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September 30,</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2013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466.4</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288.1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r>
      <w:tr>
        <w:trPr>
          <w:trHeight w:val="20"/>
        </w:trPr>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the United States were $448.5 as of both January 1, 2013 and September 30, 2013.</w:t>
      </w:r>
    </w:p>
    <w:p>
      <w:pPr>
        <w:spacing w:after="0" w:line="22" w:lineRule="exact"/>
        <w:rPr>
          <w:rFonts w:ascii="Arial" w:cs="Arial" w:eastAsia="Arial" w:hAnsi="Arial"/>
          <w:sz w:val="18"/>
          <w:szCs w:val="18"/>
          <w:color w:val="auto"/>
        </w:rPr>
      </w:pPr>
    </w:p>
    <w:p>
      <w:pPr>
        <w:ind w:right="40" w:firstLine="8"/>
        <w:spacing w:after="0" w:line="249" w:lineRule="auto"/>
        <w:tabs>
          <w:tab w:leader="none" w:pos="3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France were $83.8 and $85.9 as of January 1, 2013 and September 30, 2013, respectively. Balances related to Italy were $5.5 and $5.6 as of January 1, 2013 and September 30, 2013, respectively.</w:t>
      </w:r>
    </w:p>
    <w:p>
      <w:pPr>
        <w:ind w:right="20" w:firstLine="8"/>
        <w:spacing w:after="0" w:line="252"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from our acquisition of Jefferson Wells ($55.5) which is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Goodwill balances by reporting unit were as follows: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8"/>
        </w:trPr>
        <w:tc>
          <w:tcPr>
            <w:tcW w:w="882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1,</w:t>
            </w:r>
          </w:p>
        </w:tc>
      </w:tr>
      <w:tr>
        <w:trPr>
          <w:trHeight w:val="240"/>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France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Right Management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r>
      <w:tr>
        <w:trPr>
          <w:trHeight w:val="222"/>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reporting units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r>
      <w:tr>
        <w:trPr>
          <w:trHeight w:val="215"/>
        </w:trPr>
        <w:tc>
          <w:tcPr>
            <w:tcW w:w="8820" w:type="dxa"/>
            <w:vAlign w:val="bottom"/>
            <w:tcBorders>
              <w:top w:val="single" w:sz="8" w:color="CCEEFF"/>
            </w:tcBorders>
          </w:tcPr>
          <w:p>
            <w:pPr>
              <w:ind w:left="580"/>
              <w:spacing w:after="0"/>
              <w:rPr>
                <w:sz w:val="20"/>
                <w:szCs w:val="20"/>
                <w:color w:val="auto"/>
              </w:rPr>
            </w:pPr>
            <w:r>
              <w:rPr>
                <w:rFonts w:ascii="Arial" w:cs="Arial" w:eastAsia="Arial" w:hAnsi="Arial"/>
                <w:sz w:val="18"/>
                <w:szCs w:val="18"/>
                <w:color w:val="auto"/>
              </w:rPr>
              <w:t>Total goodwill</w:t>
            </w: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1,060.0</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Borders>
              <w:top w:val="single" w:sz="8" w:color="CCEEFF"/>
            </w:tcBorders>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Arial" w:cs="Arial" w:eastAsia="Arial" w:hAnsi="Arial"/>
                <w:sz w:val="18"/>
                <w:szCs w:val="18"/>
                <w:color w:val="auto"/>
              </w:rPr>
              <w:t>(9) Retirement Plans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620" w:type="dxa"/>
            <w:vAlign w:val="bottom"/>
            <w:gridSpan w:val="3"/>
          </w:tcPr>
          <w:p>
            <w:pPr>
              <w:spacing w:after="0"/>
              <w:rPr>
                <w:sz w:val="20"/>
                <w:szCs w:val="20"/>
                <w:color w:val="auto"/>
              </w:rPr>
            </w:pPr>
            <w:r>
              <w:rPr>
                <w:rFonts w:ascii="Arial" w:cs="Arial" w:eastAsia="Arial" w:hAnsi="Arial"/>
                <w:sz w:val="18"/>
                <w:szCs w:val="18"/>
                <w:color w:val="auto"/>
                <w:w w:val="90"/>
              </w:rPr>
              <w:t>The components of the net periodic benefit cost for our plans were as follows: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Defined Benefit Pension Plans</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5"/>
          </w:tcPr>
          <w:p>
            <w:pPr>
              <w:jc w:val="center"/>
              <w:ind w:left="150"/>
              <w:spacing w:after="0" w:line="197" w:lineRule="exact"/>
              <w:rPr>
                <w:sz w:val="20"/>
                <w:szCs w:val="20"/>
                <w:color w:val="auto"/>
              </w:rPr>
            </w:pPr>
            <w:r>
              <w:rPr>
                <w:rFonts w:ascii="Arial" w:cs="Arial" w:eastAsia="Arial" w:hAnsi="Arial"/>
                <w:sz w:val="18"/>
                <w:szCs w:val="18"/>
                <w:b w:val="1"/>
                <w:bCs w:val="1"/>
                <w:color w:val="auto"/>
                <w:w w:val="90"/>
              </w:rPr>
              <w:t>3 Months Ended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center"/>
              <w:ind w:right="230"/>
              <w:spacing w:after="0" w:line="197" w:lineRule="exact"/>
              <w:rPr>
                <w:sz w:val="20"/>
                <w:szCs w:val="20"/>
                <w:color w:val="auto"/>
              </w:rPr>
            </w:pPr>
            <w:r>
              <w:rPr>
                <w:rFonts w:ascii="Arial" w:cs="Arial" w:eastAsia="Arial" w:hAnsi="Arial"/>
                <w:sz w:val="18"/>
                <w:szCs w:val="18"/>
                <w:b w:val="1"/>
                <w:bCs w:val="1"/>
                <w:color w:val="auto"/>
                <w:w w:val="90"/>
              </w:rPr>
              <w:t>9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40" w:type="dxa"/>
            <w:vAlign w:val="bottom"/>
            <w:gridSpan w:val="3"/>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5"/>
        </w:trPr>
        <w:tc>
          <w:tcPr>
            <w:tcW w:w="5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5"/>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5"/>
        </w:trPr>
        <w:tc>
          <w:tcPr>
            <w:tcW w:w="5620" w:type="dxa"/>
            <w:vAlign w:val="bottom"/>
            <w:gridSpan w:val="3"/>
          </w:tcPr>
          <w:p>
            <w:pPr>
              <w:spacing w:after="0"/>
              <w:rPr>
                <w:sz w:val="20"/>
                <w:szCs w:val="20"/>
                <w:color w:val="auto"/>
              </w:rPr>
            </w:pPr>
            <w:r>
              <w:rPr>
                <w:rFonts w:ascii="Arial" w:cs="Arial" w:eastAsia="Arial" w:hAnsi="Arial"/>
                <w:sz w:val="18"/>
                <w:szCs w:val="18"/>
                <w:color w:val="auto"/>
              </w:rPr>
              <w:t>Curtailment gain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60" w:type="dxa"/>
            <w:vAlign w:val="bottom"/>
          </w:tcPr>
          <w:p>
            <w:pPr>
              <w:spacing w:after="0"/>
              <w:rPr>
                <w:sz w:val="18"/>
                <w:szCs w:val="18"/>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Total benefit cost</w:t>
            </w:r>
          </w:p>
        </w:tc>
        <w:tc>
          <w:tcPr>
            <w:tcW w:w="1240" w:type="dxa"/>
            <w:vAlign w:val="bottom"/>
            <w:gridSpan w:val="3"/>
          </w:tcPr>
          <w:p>
            <w:pPr>
              <w:jc w:val="right"/>
              <w:ind w:right="61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8"/>
                <w:szCs w:val="18"/>
                <w:b w:val="1"/>
                <w:bCs w:val="1"/>
                <w:color w:val="auto"/>
              </w:rPr>
              <w:t>Retiree Health Care Plan</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5"/>
          </w:tcPr>
          <w:p>
            <w:pPr>
              <w:jc w:val="center"/>
              <w:ind w:left="150"/>
              <w:spacing w:after="0" w:line="197" w:lineRule="exact"/>
              <w:rPr>
                <w:sz w:val="20"/>
                <w:szCs w:val="20"/>
                <w:color w:val="auto"/>
              </w:rPr>
            </w:pPr>
            <w:r>
              <w:rPr>
                <w:rFonts w:ascii="Arial" w:cs="Arial" w:eastAsia="Arial" w:hAnsi="Arial"/>
                <w:sz w:val="18"/>
                <w:szCs w:val="18"/>
                <w:b w:val="1"/>
                <w:bCs w:val="1"/>
                <w:color w:val="auto"/>
                <w:w w:val="90"/>
              </w:rPr>
              <w:t>3 Months Ended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center"/>
              <w:ind w:right="230"/>
              <w:spacing w:after="0" w:line="197" w:lineRule="exact"/>
              <w:rPr>
                <w:sz w:val="20"/>
                <w:szCs w:val="20"/>
                <w:color w:val="auto"/>
              </w:rPr>
            </w:pPr>
            <w:r>
              <w:rPr>
                <w:rFonts w:ascii="Arial" w:cs="Arial" w:eastAsia="Arial" w:hAnsi="Arial"/>
                <w:sz w:val="18"/>
                <w:szCs w:val="18"/>
                <w:b w:val="1"/>
                <w:bCs w:val="1"/>
                <w:color w:val="auto"/>
                <w:w w:val="90"/>
              </w:rPr>
              <w:t>9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40" w:type="dxa"/>
            <w:vAlign w:val="bottom"/>
            <w:gridSpan w:val="3"/>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60" w:type="dxa"/>
            <w:vAlign w:val="bottom"/>
          </w:tcPr>
          <w:p>
            <w:pPr>
              <w:spacing w:after="0"/>
              <w:rPr>
                <w:sz w:val="18"/>
                <w:szCs w:val="18"/>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Total benefit cost</w:t>
            </w:r>
          </w:p>
        </w:tc>
        <w:tc>
          <w:tcPr>
            <w:tcW w:w="1240" w:type="dxa"/>
            <w:vAlign w:val="bottom"/>
            <w:gridSpan w:val="3"/>
          </w:tcPr>
          <w:p>
            <w:pPr>
              <w:jc w:val="right"/>
              <w:ind w:right="61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11</w:t>
            </w: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9"/>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1" w:name="page12"/>
    <w:bookmarkEnd w:id="11"/>
    <w:p>
      <w:pPr>
        <w:jc w:val="both"/>
        <w:ind w:right="100"/>
        <w:spacing w:after="0" w:line="262" w:lineRule="auto"/>
        <w:rPr>
          <w:sz w:val="20"/>
          <w:szCs w:val="20"/>
          <w:color w:val="auto"/>
        </w:rPr>
      </w:pPr>
      <w:r>
        <w:rPr>
          <w:rFonts w:ascii="Arial" w:cs="Arial" w:eastAsia="Arial" w:hAnsi="Arial"/>
          <w:sz w:val="18"/>
          <w:szCs w:val="18"/>
          <w:color w:val="auto"/>
        </w:rPr>
        <w:t>Effective January 1, 2013, we amended a defined benefit plan in the Netherlands. The defined benefit plan was frozen, and the participants were transitioned to a defined contribution plan. In April 2013, following the approval by the local Workers’ Council, we recognized a curtailment gain of €1.8 ($2.3) related to this amendment.</w:t>
      </w:r>
    </w:p>
    <w:p>
      <w:pPr>
        <w:spacing w:after="0" w:line="20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During the three and nine months ended September 30, 2013, contributions made to our pension plans were $6.3 and $14.2, respectively, and contributions made to our retiree health care plan were $0.6 and $1.6, respectively. During 2013, we expect to make total contributions of approximately $18.0 to our pension plans and to fund our retiree health care payments as incurred.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sz w:val="20"/>
                <w:szCs w:val="20"/>
                <w:color w:val="auto"/>
              </w:rPr>
            </w:pPr>
            <w:r>
              <w:rPr>
                <w:rFonts w:ascii="Arial" w:cs="Arial" w:eastAsia="Arial" w:hAnsi="Arial"/>
                <w:sz w:val="18"/>
                <w:szCs w:val="18"/>
                <w:color w:val="auto"/>
              </w:rPr>
              <w:t>(10) Shareholders’ Equity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8"/>
        </w:trPr>
        <w:tc>
          <w:tcPr>
            <w:tcW w:w="882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income, net of tax, were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r>
      <w:tr>
        <w:trPr>
          <w:trHeight w:val="240"/>
        </w:trPr>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5"/>
        </w:trPr>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r>
      <w:tr>
        <w:trPr>
          <w:trHeight w:val="215"/>
        </w:trPr>
        <w:tc>
          <w:tcPr>
            <w:tcW w:w="8820" w:type="dxa"/>
            <w:vAlign w:val="bottom"/>
            <w:gridSpan w:val="3"/>
          </w:tcPr>
          <w:p>
            <w:pPr>
              <w:spacing w:after="0"/>
              <w:rPr>
                <w:sz w:val="20"/>
                <w:szCs w:val="20"/>
                <w:color w:val="auto"/>
              </w:rPr>
            </w:pPr>
            <w:r>
              <w:rPr>
                <w:rFonts w:ascii="Arial" w:cs="Arial" w:eastAsia="Arial" w:hAnsi="Arial"/>
                <w:sz w:val="18"/>
                <w:szCs w:val="18"/>
                <w:color w:val="auto"/>
              </w:rPr>
              <w:t>Translation loss on net investment hedge, net of income taxes of $(34.2) and $(31.3), respectively</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r>
      <w:tr>
        <w:trPr>
          <w:trHeight w:val="215"/>
        </w:trPr>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loss on long-term intercompany loans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r>
      <w:tr>
        <w:trPr>
          <w:trHeight w:val="215"/>
        </w:trPr>
        <w:tc>
          <w:tcPr>
            <w:tcW w:w="8820" w:type="dxa"/>
            <w:vAlign w:val="bottom"/>
            <w:gridSpan w:val="3"/>
          </w:tcPr>
          <w:p>
            <w:pPr>
              <w:spacing w:after="0"/>
              <w:rPr>
                <w:sz w:val="20"/>
                <w:szCs w:val="20"/>
                <w:color w:val="auto"/>
              </w:rPr>
            </w:pPr>
            <w:r>
              <w:rPr>
                <w:rFonts w:ascii="Arial" w:cs="Arial" w:eastAsia="Arial" w:hAnsi="Arial"/>
                <w:sz w:val="18"/>
                <w:szCs w:val="18"/>
                <w:color w:val="auto"/>
              </w:rPr>
              <w:t>Unrealized gain on investments, net of income taxes of $3.1 and $3.9, respectively</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5"/>
        </w:trPr>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Defined benefit pension plans, net of income taxes of $(21.4) and $(22.6), respectively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r>
      <w:tr>
        <w:trPr>
          <w:trHeight w:val="215"/>
        </w:trPr>
        <w:tc>
          <w:tcPr>
            <w:tcW w:w="8820" w:type="dxa"/>
            <w:vAlign w:val="bottom"/>
            <w:gridSpan w:val="3"/>
          </w:tcPr>
          <w:p>
            <w:pPr>
              <w:spacing w:after="0"/>
              <w:rPr>
                <w:sz w:val="20"/>
                <w:szCs w:val="20"/>
                <w:color w:val="auto"/>
              </w:rPr>
            </w:pPr>
            <w:r>
              <w:rPr>
                <w:rFonts w:ascii="Arial" w:cs="Arial" w:eastAsia="Arial" w:hAnsi="Arial"/>
                <w:sz w:val="18"/>
                <w:szCs w:val="18"/>
                <w:color w:val="auto"/>
              </w:rPr>
              <w:t>Retiree health care plan, net of income taxes of $(1.6) and $(1.7), respectively</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7"/>
        </w:trPr>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36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On April 30, 2013, the Board of Directors declared a semi-annual cash dividend of $0.46 per share, which was paid on June 14, 2013 to shareholders of record on June 3, 2013.</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On October 29, 2013, the Board of Directors declared a cash dividend of $0.46 per share, which is payable on December 13, 2013 to shareholders of record on December 3, 2013.</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Arial" w:cs="Arial" w:eastAsia="Arial" w:hAnsi="Arial"/>
                <w:sz w:val="18"/>
                <w:szCs w:val="18"/>
                <w:color w:val="auto"/>
              </w:rPr>
              <w:t>(11) Interest and Other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8"/>
        </w:trPr>
        <w:tc>
          <w:tcPr>
            <w:tcW w:w="5940" w:type="dxa"/>
            <w:vAlign w:val="bottom"/>
            <w:gridSpan w:val="3"/>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3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9 Months Ended</w:t>
            </w:r>
          </w:p>
        </w:tc>
      </w:tr>
      <w:tr>
        <w:trPr>
          <w:trHeight w:val="240"/>
        </w:trPr>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5"/>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5"/>
        </w:trPr>
        <w:tc>
          <w:tcPr>
            <w:tcW w:w="5940" w:type="dxa"/>
            <w:vAlign w:val="bottom"/>
            <w:gridSpan w:val="3"/>
          </w:tcPr>
          <w:p>
            <w:pPr>
              <w:spacing w:after="0"/>
              <w:rPr>
                <w:sz w:val="20"/>
                <w:szCs w:val="20"/>
                <w:color w:val="auto"/>
              </w:rPr>
            </w:pPr>
            <w:r>
              <w:rPr>
                <w:rFonts w:ascii="Arial" w:cs="Arial" w:eastAsia="Arial" w:hAnsi="Arial"/>
                <w:sz w:val="18"/>
                <w:szCs w:val="18"/>
                <w:color w:val="auto"/>
              </w:rPr>
              <w:t>Miscellaneous (income) expense, net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7"/>
        </w:trPr>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34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other expenses</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50"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derivative instruments as either an asset or liability measured at their fair value.</w:t>
      </w:r>
    </w:p>
    <w:p>
      <w:pPr>
        <w:spacing w:after="0" w:line="189"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A portion of the €350.0 ($473.4) 4.5% note due June 2018 was designated as an economic hedge of our net investment in our foreign subsidiaries with a Euro functional currency as of September 30, 2013. For derivatives designated as an economic hedge of the foreign currency exposure of a net investment in a foreign operation, the gain or loss associated with foreign currency translation is recorded as a component of accumulated other comprehensive income, net of taxes. As of September 30, 2013 and December 31, 2012, we had a $55.9 and $51.1, respectively, unrealized translation loss included in accumulated other comprehensive income, net of taxes, as the net investment hedge was deemed effective.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2" w:name="page13"/>
    <w:bookmarkEnd w:id="12"/>
    <w:p>
      <w:pPr>
        <w:ind w:right="140"/>
        <w:spacing w:after="0" w:line="300" w:lineRule="auto"/>
        <w:rPr>
          <w:sz w:val="20"/>
          <w:szCs w:val="20"/>
          <w:color w:val="auto"/>
        </w:rPr>
      </w:pPr>
      <w:r>
        <w:rPr>
          <w:rFonts w:ascii="Arial" w:cs="Arial" w:eastAsia="Arial" w:hAnsi="Arial"/>
          <w:sz w:val="16"/>
          <w:szCs w:val="16"/>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We recorded a gain in interest and other expenses of $0.9 and $0.6 for the three and nine months ended September 30, 2013, respectively, and a gain of $0.4 and $0.8 for the three and nine months ended September 30, 2012, respectively, associated with our forward contracts, which offset the loss recorded for the items noted above.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as of September 30, 2013 and December 31, 2012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120"/>
              <w:spacing w:after="0" w:line="197" w:lineRule="exact"/>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Significant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5"/>
        </w:trPr>
        <w:tc>
          <w:tcPr>
            <w:tcW w:w="60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2)</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5"/>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60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120"/>
              <w:spacing w:after="0" w:line="197" w:lineRule="exact"/>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Significant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5"/>
        </w:trPr>
        <w:tc>
          <w:tcPr>
            <w:tcW w:w="60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2)</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5"/>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60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$512.8 and $778.8 as of September 30, 2013 and December 31, 2012, respectively, compared to a carrying value of $473.4 and $725.5, respectively.</w:t>
      </w:r>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5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Operating Unit Profit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22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maintaining its own financial reports. We have an executive sponsor for each global brand who is responsible for ensuring the integrity and consistency of delivery locally as we develop and implement global workforce solutions for our clients that deliver the outcomes.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3" w:name="page14"/>
    <w:bookmarkEnd w:id="13"/>
    <w:p>
      <w:pPr>
        <w:ind w:right="120"/>
        <w:spacing w:after="0" w:line="271" w:lineRule="auto"/>
        <w:rPr>
          <w:sz w:val="20"/>
          <w:szCs w:val="20"/>
          <w:color w:val="auto"/>
        </w:rPr>
      </w:pPr>
      <w:r>
        <w:rPr>
          <w:rFonts w:ascii="Arial" w:cs="Arial" w:eastAsia="Arial" w:hAnsi="Arial"/>
          <w:sz w:val="17"/>
          <w:szCs w:val="17"/>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Managed Service Provider (MSP), Recruitment Process Outsourcing (RPO), Borderless Talent Solutions (BTS) and Strategic Workforce Consulting (SWC). The Right Management segment revenues are derived from career management and talent management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3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ind w:left="360"/>
              <w:spacing w:after="0"/>
              <w:rPr>
                <w:sz w:val="20"/>
                <w:szCs w:val="20"/>
                <w:color w:val="auto"/>
              </w:rPr>
            </w:pPr>
            <w:r>
              <w:rPr>
                <w:rFonts w:ascii="Arial" w:cs="Arial" w:eastAsia="Arial" w:hAnsi="Arial"/>
                <w:sz w:val="18"/>
                <w:szCs w:val="18"/>
                <w:b w:val="1"/>
                <w:bCs w:val="1"/>
                <w:color w:val="auto"/>
              </w:rPr>
              <w:t>9 Months Ended</w:t>
            </w:r>
          </w:p>
        </w:tc>
      </w:tr>
      <w:tr>
        <w:trPr>
          <w:trHeight w:val="240"/>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6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5"/>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80" w:type="dxa"/>
            <w:vAlign w:val="bottom"/>
          </w:tcPr>
          <w:p>
            <w:pPr>
              <w:ind w:left="8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 (a)</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2,216.4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2,259.8</w:t>
            </w:r>
          </w:p>
        </w:tc>
      </w:tr>
      <w:tr>
        <w:trPr>
          <w:trHeight w:val="215"/>
        </w:trPr>
        <w:tc>
          <w:tcPr>
            <w:tcW w:w="6080" w:type="dxa"/>
            <w:vAlign w:val="bottom"/>
          </w:tcPr>
          <w:p>
            <w:pPr>
              <w:ind w:left="460"/>
              <w:spacing w:after="0"/>
              <w:rPr>
                <w:sz w:val="20"/>
                <w:szCs w:val="20"/>
                <w:color w:val="auto"/>
              </w:rPr>
            </w:pPr>
            <w:r>
              <w:rPr>
                <w:rFonts w:ascii="Arial" w:cs="Arial" w:eastAsia="Arial" w:hAnsi="Arial"/>
                <w:sz w:val="18"/>
                <w:szCs w:val="18"/>
                <w:color w:val="auto"/>
              </w:rPr>
              <w:t>Other Americas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w w:val="83"/>
              </w:rPr>
              <w:t>1,156.1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1,180.0</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6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3,372.5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3,439.8</w:t>
            </w:r>
          </w:p>
        </w:tc>
      </w:tr>
      <w:tr>
        <w:trPr>
          <w:trHeight w:val="215"/>
        </w:trPr>
        <w:tc>
          <w:tcPr>
            <w:tcW w:w="608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Southern Europe: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France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3,886.5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4,111.4</w:t>
            </w:r>
          </w:p>
        </w:tc>
      </w:tr>
      <w:tr>
        <w:trPr>
          <w:trHeight w:val="215"/>
        </w:trPr>
        <w:tc>
          <w:tcPr>
            <w:tcW w:w="6080" w:type="dxa"/>
            <w:vAlign w:val="bottom"/>
          </w:tcPr>
          <w:p>
            <w:pPr>
              <w:ind w:left="500"/>
              <w:spacing w:after="0"/>
              <w:rPr>
                <w:sz w:val="20"/>
                <w:szCs w:val="20"/>
                <w:color w:val="auto"/>
              </w:rPr>
            </w:pPr>
            <w:r>
              <w:rPr>
                <w:rFonts w:ascii="Arial" w:cs="Arial" w:eastAsia="Arial" w:hAnsi="Arial"/>
                <w:sz w:val="18"/>
                <w:szCs w:val="18"/>
                <w:color w:val="auto"/>
              </w:rPr>
              <w:t>Italy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806.0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788.3</w:t>
            </w:r>
          </w:p>
        </w:tc>
      </w:tr>
      <w:tr>
        <w:trPr>
          <w:trHeight w:val="215"/>
        </w:trPr>
        <w:tc>
          <w:tcPr>
            <w:tcW w:w="6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Southern Europe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2"/>
        </w:trPr>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1,828.0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w w:val="83"/>
              </w:rPr>
              <w:t>5,316.8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5,474.2</w:t>
            </w:r>
          </w:p>
        </w:tc>
      </w:tr>
      <w:tr>
        <w:trPr>
          <w:trHeight w:val="215"/>
        </w:trPr>
        <w:tc>
          <w:tcPr>
            <w:tcW w:w="6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80" w:type="dxa"/>
            <w:vAlign w:val="bottom"/>
          </w:tcPr>
          <w:p>
            <w:pPr>
              <w:ind w:left="100"/>
              <w:spacing w:after="0"/>
              <w:rPr>
                <w:sz w:val="20"/>
                <w:szCs w:val="20"/>
                <w:color w:val="auto"/>
              </w:rPr>
            </w:pPr>
            <w:r>
              <w:rPr>
                <w:rFonts w:ascii="Arial" w:cs="Arial" w:eastAsia="Arial" w:hAnsi="Arial"/>
                <w:sz w:val="18"/>
                <w:szCs w:val="18"/>
                <w:color w:val="auto"/>
              </w:rPr>
              <w:t>Northern Europe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1,426.9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w w:val="83"/>
              </w:rPr>
              <w:t>4,217.2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4,286.7</w:t>
            </w:r>
          </w:p>
        </w:tc>
      </w:tr>
      <w:tr>
        <w:trPr>
          <w:trHeight w:val="215"/>
        </w:trPr>
        <w:tc>
          <w:tcPr>
            <w:tcW w:w="6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1,857.2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2,031.1</w:t>
            </w:r>
          </w:p>
        </w:tc>
      </w:tr>
      <w:tr>
        <w:trPr>
          <w:trHeight w:val="215"/>
        </w:trPr>
        <w:tc>
          <w:tcPr>
            <w:tcW w:w="6080" w:type="dxa"/>
            <w:vAlign w:val="bottom"/>
          </w:tcPr>
          <w:p>
            <w:pPr>
              <w:ind w:left="100"/>
              <w:spacing w:after="0"/>
              <w:rPr>
                <w:sz w:val="20"/>
                <w:szCs w:val="20"/>
                <w:color w:val="auto"/>
              </w:rPr>
            </w:pPr>
            <w:r>
              <w:rPr>
                <w:rFonts w:ascii="Arial" w:cs="Arial" w:eastAsia="Arial" w:hAnsi="Arial"/>
                <w:sz w:val="18"/>
                <w:szCs w:val="18"/>
                <w:color w:val="auto"/>
              </w:rPr>
              <w:t>Right Management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234.7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5"/>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(b)</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5,188.8</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15,475.4</w:t>
            </w:r>
          </w:p>
        </w:tc>
      </w:tr>
      <w:tr>
        <w:trPr>
          <w:trHeight w:val="209"/>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 (c)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80" w:type="dxa"/>
            <w:vAlign w:val="bottom"/>
          </w:tcPr>
          <w:p>
            <w:pPr>
              <w:ind w:left="8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r>
      <w:tr>
        <w:trPr>
          <w:trHeight w:val="215"/>
        </w:trPr>
        <w:tc>
          <w:tcPr>
            <w:tcW w:w="6080" w:type="dxa"/>
            <w:vAlign w:val="bottom"/>
          </w:tcPr>
          <w:p>
            <w:pPr>
              <w:ind w:left="500"/>
              <w:spacing w:after="0"/>
              <w:rPr>
                <w:sz w:val="20"/>
                <w:szCs w:val="20"/>
                <w:color w:val="auto"/>
              </w:rPr>
            </w:pPr>
            <w:r>
              <w:rPr>
                <w:rFonts w:ascii="Arial" w:cs="Arial" w:eastAsia="Arial" w:hAnsi="Arial"/>
                <w:sz w:val="18"/>
                <w:szCs w:val="18"/>
                <w:color w:val="auto"/>
              </w:rPr>
              <w:t>Other Americas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6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r>
      <w:tr>
        <w:trPr>
          <w:trHeight w:val="215"/>
        </w:trPr>
        <w:tc>
          <w:tcPr>
            <w:tcW w:w="608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Southern Europe: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France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r>
      <w:tr>
        <w:trPr>
          <w:trHeight w:val="215"/>
        </w:trPr>
        <w:tc>
          <w:tcPr>
            <w:tcW w:w="6080" w:type="dxa"/>
            <w:vAlign w:val="bottom"/>
          </w:tcPr>
          <w:p>
            <w:pPr>
              <w:ind w:left="500"/>
              <w:spacing w:after="0"/>
              <w:rPr>
                <w:sz w:val="20"/>
                <w:szCs w:val="20"/>
                <w:color w:val="auto"/>
              </w:rPr>
            </w:pPr>
            <w:r>
              <w:rPr>
                <w:rFonts w:ascii="Arial" w:cs="Arial" w:eastAsia="Arial" w:hAnsi="Arial"/>
                <w:sz w:val="18"/>
                <w:szCs w:val="18"/>
                <w:color w:val="auto"/>
              </w:rPr>
              <w:t>Italy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r>
      <w:tr>
        <w:trPr>
          <w:trHeight w:val="215"/>
        </w:trPr>
        <w:tc>
          <w:tcPr>
            <w:tcW w:w="6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Southern Europe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2"/>
        </w:trPr>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173.6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r>
      <w:tr>
        <w:trPr>
          <w:trHeight w:val="215"/>
        </w:trPr>
        <w:tc>
          <w:tcPr>
            <w:tcW w:w="6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80" w:type="dxa"/>
            <w:vAlign w:val="bottom"/>
          </w:tcPr>
          <w:p>
            <w:pPr>
              <w:ind w:left="100"/>
              <w:spacing w:after="0"/>
              <w:rPr>
                <w:sz w:val="20"/>
                <w:szCs w:val="20"/>
                <w:color w:val="auto"/>
              </w:rPr>
            </w:pPr>
            <w:r>
              <w:rPr>
                <w:rFonts w:ascii="Arial" w:cs="Arial" w:eastAsia="Arial" w:hAnsi="Arial"/>
                <w:sz w:val="18"/>
                <w:szCs w:val="18"/>
                <w:color w:val="auto"/>
              </w:rPr>
              <w:t>Northern Europe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r>
      <w:tr>
        <w:trPr>
          <w:trHeight w:val="215"/>
        </w:trPr>
        <w:tc>
          <w:tcPr>
            <w:tcW w:w="6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r>
      <w:tr>
        <w:trPr>
          <w:trHeight w:val="215"/>
        </w:trPr>
        <w:tc>
          <w:tcPr>
            <w:tcW w:w="6080" w:type="dxa"/>
            <w:vAlign w:val="bottom"/>
          </w:tcPr>
          <w:p>
            <w:pPr>
              <w:ind w:left="100"/>
              <w:spacing w:after="0"/>
              <w:rPr>
                <w:sz w:val="20"/>
                <w:szCs w:val="20"/>
                <w:color w:val="auto"/>
              </w:rPr>
            </w:pPr>
            <w:r>
              <w:rPr>
                <w:rFonts w:ascii="Arial" w:cs="Arial" w:eastAsia="Arial" w:hAnsi="Arial"/>
                <w:sz w:val="18"/>
                <w:szCs w:val="18"/>
                <w:color w:val="auto"/>
              </w:rPr>
              <w:t>Right Management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407.9</w:t>
            </w:r>
          </w:p>
        </w:tc>
      </w:tr>
      <w:tr>
        <w:trPr>
          <w:trHeight w:val="215"/>
        </w:trPr>
        <w:tc>
          <w:tcPr>
            <w:tcW w:w="6080" w:type="dxa"/>
            <w:vAlign w:val="bottom"/>
          </w:tcPr>
          <w:p>
            <w:pPr>
              <w:ind w:left="60"/>
              <w:spacing w:after="0"/>
              <w:rPr>
                <w:sz w:val="20"/>
                <w:szCs w:val="20"/>
                <w:color w:val="auto"/>
              </w:rPr>
            </w:pPr>
            <w:r>
              <w:rPr>
                <w:rFonts w:ascii="Arial" w:cs="Arial" w:eastAsia="Arial" w:hAnsi="Arial"/>
                <w:sz w:val="18"/>
                <w:szCs w:val="18"/>
                <w:color w:val="auto"/>
              </w:rPr>
              <w:t>Corporate expenses</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(69.9)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r>
      <w:tr>
        <w:trPr>
          <w:trHeight w:val="215"/>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Intangible asset amortization expense (c)</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6080" w:type="dxa"/>
            <w:vAlign w:val="bottom"/>
          </w:tcPr>
          <w:p>
            <w:pPr>
              <w:ind w:left="50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344.9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r>
      <w:tr>
        <w:trPr>
          <w:trHeight w:val="215"/>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and other expenses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6080" w:type="dxa"/>
            <w:vAlign w:val="bottom"/>
          </w:tcPr>
          <w:p>
            <w:pPr>
              <w:ind w:left="50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273.6</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380" w:right="140" w:hanging="372"/>
        <w:spacing w:after="0" w:line="300"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United States, where a majority of our franchises operate, revenues from services included fees received from the related franchise offices of $4.2 and $3.9 for the three months ended September 30, 2013 and 2012, respectively, and $11.2 and $10.9 for nine months ended September 30, 2013 and 2012, respectively. These fees are primarily based on revenues generated by the franchise offices, which were $181.6 and $175.8 for the three months ended September 30, 2013 and 2012, respectively, and $512.0 and $520.8 for the nine months ended September 30, 2013 and 2012, respectively.</w:t>
      </w:r>
    </w:p>
    <w:p>
      <w:pPr>
        <w:spacing w:after="0" w:line="155" w:lineRule="exact"/>
        <w:rPr>
          <w:rFonts w:ascii="Arial" w:cs="Arial" w:eastAsia="Arial" w:hAnsi="Arial"/>
          <w:sz w:val="16"/>
          <w:szCs w:val="16"/>
          <w:color w:val="auto"/>
        </w:rPr>
      </w:pPr>
    </w:p>
    <w:p>
      <w:pPr>
        <w:ind w:left="380" w:right="40" w:hanging="372"/>
        <w:spacing w:after="0" w:line="278"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consolidated revenues from services include fees received from our franchise offices of $6.6 and $6.4 for the three months ended September 30, 2013 and 2012, and $18.0 and $17.9 for the nine months ended September 30, 2013 and 2012, respectively. These fees are primarily based on revenues generated by the franchise offices, which were $285.4 and $270.5 for the three months ended September 30, 2013 and 2012, respectively, and $792.4 and $794.4 for the nine months ended September 30, 2013 and 2012, respectively.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4" w:name="page15"/>
    <w:bookmarkEnd w:id="14"/>
    <w:p>
      <w:pPr>
        <w:ind w:left="380" w:right="700" w:hanging="372"/>
        <w:spacing w:after="0" w:line="262"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evaluate segment performance based on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200" w:lineRule="exact"/>
        <w:rPr>
          <w:sz w:val="20"/>
          <w:szCs w:val="20"/>
          <w:color w:val="auto"/>
        </w:rPr>
      </w:pPr>
    </w:p>
    <w:p>
      <w:pPr>
        <w:spacing w:after="0" w:line="25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During the second quarter of 2013 a number of our French clients asserted claims against us, requesting refunds for various payroll tax subsidies that we have received dating back to 2003 related to our French temporary associates. While we receive claims in the normal course of business, there was a significant increase in claims made during the second quarter due to an impending change in the French statute of limitations that reduced the claims period from 10 to 5 years for claims filed after June 2013. We did not receive any claims during the third quarter of 2013. We believe these claims are without merit, as these payroll tax subsidies are for the benefit of the direct employer of the temporary associates. As such, our pricing practices implicitly consider all direct costs of employing our temporary associates, including the benefit of these payroll tax subsidies. We do not expect the resolution of these claims to have a material impact on our consolidated financial statements or the results of our France and Southern Europe segments.</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2013, the employer mandate provisions of the new U.S. healthcare legislation, Patient Protection and Affordable Care Act (PPACA), were delayed until 2015 from the original effective date of 2014. The employer mandate provisions of PPACA are expected to have the greatest financial impact on us and our clients with U.S.-based employees. We expect this legislation will increase the employment costs of our permanent employees and our associates, but we continue to assess the potential impact. Our intention is to pass on to our U.S. clients any cost increases related to our associates, however there is no assurance that we will be fully successful.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the financial measures section on pages 23 through 25 for further information on constant currency and organic constant currency.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September 30, 2013 and 2012</w:t>
      </w:r>
    </w:p>
    <w:p>
      <w:pPr>
        <w:spacing w:after="0" w:line="25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three months ended September 30, 2013, revenue from services was relatively flat with the prior year, due in part to having one additional billing day in the quarter compared to the same quarter last year. Without the additional billing day, our revenues would have been down approximately 2% as demand for our services continues to be unfavorably impacted by the economic uncertainty. This decline represents an improvement from the 4% decline seen in the first half of the year as we have seen improving demand in several of our key markets during the quarter. We continue to see declines in our staffing/interim business and our European permanent recruitment business, however, these are improved from that in the first half of the year, while our ManpowerGroup Solutions business continues to see solid growth. At Right Management, the decrease in demand for the talent management services persisted due to a soft demand environment, while demand for our countercyclical outplacement services increased slightly.</w:t>
      </w:r>
    </w:p>
    <w:p>
      <w:pPr>
        <w:spacing w:after="0" w:line="20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gross profit margin in the third quarter of 2013 compared to 2012 decreased slightly as the growth in our higher-margin ManpowerGroup Solutions business was offset by the impact of the 4.6% decline in our permanent recruitment business. Our staffing/interim gross profit margin remained flat in the third quarter of 2013 compared to 2012 as payroll tax credits related to the Credit d’Impôt pour la Compétitivité et l’Emploi (“CICE”) in France and the improvement in the United States due to strong price discipline were offset by margin declines in certain European and APME countries. For additional information on the CICE payroll tax credit, see the Legal Regulations section of Management’s Discussion and Analysis. We recorded $8.1 million of restructuring charges in the quarter as we further simplify our organization and recalibrate our cost base. Selling and administrative expenses decreased 6.6% in constant currency in the quarter as we are seeing the benefits of the simplification and cost recalibration actions initiated since the fourth quarter of 2012.</w:t>
      </w:r>
    </w:p>
    <w:p>
      <w:pPr>
        <w:spacing w:after="0" w:line="19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Client demand for workforce solutions and services is dependent on the overall strength of the labor market and secular trends toward greater workforce flexibility within each of the countries and territories in which we operate. Slowing economic growth or economic contraction typically results in decreasing demand for labor, resulting in less demand for our staffing services. This slowdown typically impacts our operating profit unfavorably as we may experience a deleveraging of our selling and administrative expense base as expenses may not change at the same pace as revenues. However, due to our simplification and recalibration actions noted above, we were able to decrease our selling and administrative expenses as our revenues remained relatively flat, which enabled us to better leverage our expenses and favorably impacted our operating profit for the third quarter of 2013 compared to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2013 as compared to 2012.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5"/>
        </w:trPr>
        <w:tc>
          <w:tcPr>
            <w:tcW w:w="4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40"/>
        </w:trPr>
        <w:tc>
          <w:tcPr>
            <w:tcW w:w="4280" w:type="dxa"/>
            <w:vAlign w:val="bottom"/>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Variance</w:t>
            </w:r>
          </w:p>
        </w:tc>
        <w:tc>
          <w:tcPr>
            <w:tcW w:w="280" w:type="dxa"/>
            <w:vAlign w:val="bottom"/>
          </w:tcPr>
          <w:p>
            <w:pPr>
              <w:spacing w:after="0"/>
              <w:rPr>
                <w:sz w:val="20"/>
                <w:szCs w:val="20"/>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15"/>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5,188.8</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5,172.3</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Cost of services</w:t>
            </w:r>
          </w:p>
        </w:tc>
        <w:tc>
          <w:tcPr>
            <w:tcW w:w="1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4,316.1</w:t>
            </w:r>
          </w:p>
        </w:tc>
        <w:tc>
          <w:tcPr>
            <w:tcW w:w="2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(0.3)</w:t>
            </w:r>
          </w:p>
        </w:tc>
      </w:tr>
      <w:tr>
        <w:trPr>
          <w:trHeight w:val="215"/>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856.2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15"/>
        </w:trPr>
        <w:tc>
          <w:tcPr>
            <w:tcW w:w="4280" w:type="dxa"/>
            <w:vAlign w:val="bottom"/>
          </w:tcPr>
          <w:p>
            <w:pPr>
              <w:ind w:left="180"/>
              <w:spacing w:after="0"/>
              <w:rPr>
                <w:sz w:val="20"/>
                <w:szCs w:val="20"/>
                <w:color w:val="auto"/>
              </w:rPr>
            </w:pPr>
            <w:r>
              <w:rPr>
                <w:rFonts w:ascii="Arial" w:cs="Arial" w:eastAsia="Arial" w:hAnsi="Arial"/>
                <w:sz w:val="18"/>
                <w:szCs w:val="18"/>
                <w:i w:val="1"/>
                <w:iCs w:val="1"/>
                <w:color w:val="auto"/>
              </w:rPr>
              <w:t>Gross profit margin</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16.5</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16.6</w:t>
            </w: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r>
      <w:tr>
        <w:trPr>
          <w:trHeight w:val="27"/>
        </w:trPr>
        <w:tc>
          <w:tcPr>
            <w:tcW w:w="42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r>
        <w:trPr>
          <w:trHeight w:val="215"/>
        </w:trPr>
        <w:tc>
          <w:tcPr>
            <w:tcW w:w="428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118.6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35.8</w:t>
            </w:r>
          </w:p>
        </w:tc>
      </w:tr>
      <w:tr>
        <w:trPr>
          <w:trHeight w:val="215"/>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profit margin</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2.3%</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340" w:type="dxa"/>
            <w:vAlign w:val="bottom"/>
          </w:tcPr>
          <w:p>
            <w:pPr>
              <w:spacing w:after="0"/>
              <w:rPr>
                <w:sz w:val="18"/>
                <w:szCs w:val="18"/>
                <w:color w:val="auto"/>
              </w:rPr>
            </w:pPr>
          </w:p>
        </w:tc>
      </w:tr>
      <w:tr>
        <w:trPr>
          <w:trHeight w:val="27"/>
        </w:trPr>
        <w:tc>
          <w:tcPr>
            <w:tcW w:w="4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5"/>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before income taxes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43.4</w:t>
            </w: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1340" w:type="dxa"/>
            <w:vAlign w:val="bottom"/>
          </w:tcPr>
          <w:p>
            <w:pPr>
              <w:spacing w:after="0"/>
              <w:rPr>
                <w:sz w:val="18"/>
                <w:szCs w:val="18"/>
                <w:color w:val="auto"/>
              </w:rPr>
            </w:pPr>
          </w:p>
        </w:tc>
      </w:tr>
      <w:tr>
        <w:trPr>
          <w:trHeight w:val="215"/>
        </w:trPr>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39.7%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41.9%</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7"/>
        </w:trPr>
        <w:tc>
          <w:tcPr>
            <w:tcW w:w="42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r>
        <w:trPr>
          <w:trHeight w:val="215"/>
        </w:trPr>
        <w:tc>
          <w:tcPr>
            <w:tcW w:w="42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63.1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50.2</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49.8</w:t>
            </w:r>
          </w:p>
        </w:tc>
      </w:tr>
      <w:tr>
        <w:trPr>
          <w:trHeight w:val="20"/>
        </w:trPr>
        <w:tc>
          <w:tcPr>
            <w:tcW w:w="4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49.4</w:t>
            </w: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4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The year-over-year increase in revenues from services of 0.3% (-0.3% decrease in constant currency and -0.7% on an organic constant currency basis) was attributed to:</w:t>
      </w:r>
    </w:p>
    <w:p>
      <w:pPr>
        <w:spacing w:after="0" w:line="198" w:lineRule="exact"/>
        <w:rPr>
          <w:sz w:val="20"/>
          <w:szCs w:val="20"/>
          <w:color w:val="auto"/>
        </w:rPr>
      </w:pPr>
    </w:p>
    <w:p>
      <w:pPr>
        <w:ind w:left="660" w:hanging="141"/>
        <w:spacing w:after="0" w:line="27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demand for services in constant currency in several of our markets within Southern Europe and Northern Europe, including Italy (+3.3%), Spain (+12%), the Netherlands (+2%) and Belgium (+2%);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6" w:name="page17"/>
    <w:bookmarkEnd w:id="16"/>
    <w:p>
      <w:pPr>
        <w:jc w:val="both"/>
        <w:ind w:left="660" w:hanging="141"/>
        <w:spacing w:after="0" w:line="310"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revenue increase in the United States of 0.1% primarily due an increase in ManpowerGroup Solutions revenues of 18.4% and an increase in our permanent recruitment revenues of 7.2%, partially offset by declines in our Manpower and Experis business lines due to a large client project in our Manpower business line that concluded in the first quarter of 2013 and strong price discipline in accepting new business opportunities;</w:t>
      </w:r>
    </w:p>
    <w:p>
      <w:pPr>
        <w:spacing w:after="0" w:line="174" w:lineRule="exact"/>
        <w:rPr>
          <w:rFonts w:ascii="Arial" w:cs="Arial" w:eastAsia="Arial" w:hAnsi="Arial"/>
          <w:sz w:val="16"/>
          <w:szCs w:val="16"/>
          <w:color w:val="auto"/>
        </w:rPr>
      </w:pPr>
    </w:p>
    <w:p>
      <w:pPr>
        <w:ind w:left="660" w:hanging="14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favorable impact of approximately 1.5% from one additional billing day in the period;</w:t>
      </w:r>
    </w:p>
    <w:p>
      <w:pPr>
        <w:spacing w:after="0" w:line="250" w:lineRule="exact"/>
        <w:rPr>
          <w:rFonts w:ascii="Arial" w:cs="Arial" w:eastAsia="Arial" w:hAnsi="Arial"/>
          <w:sz w:val="18"/>
          <w:szCs w:val="18"/>
          <w:color w:val="auto"/>
        </w:rPr>
      </w:pPr>
    </w:p>
    <w:p>
      <w:pPr>
        <w:ind w:left="660" w:hanging="14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0.6% increase due to the impact of currency exchange rates; and</w:t>
      </w:r>
    </w:p>
    <w:p>
      <w:pPr>
        <w:spacing w:after="0" w:line="250" w:lineRule="exact"/>
        <w:rPr>
          <w:rFonts w:ascii="Arial" w:cs="Arial" w:eastAsia="Arial" w:hAnsi="Arial"/>
          <w:sz w:val="18"/>
          <w:szCs w:val="18"/>
          <w:color w:val="auto"/>
        </w:rPr>
      </w:pPr>
    </w:p>
    <w:p>
      <w:pPr>
        <w:ind w:left="660" w:hanging="14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Northern Europe acquisition in April 2013 that added 0.4% of revenue growth to our consolidated results; partially offset by</w:t>
      </w:r>
    </w:p>
    <w:p>
      <w:pPr>
        <w:spacing w:after="0" w:line="250" w:lineRule="exact"/>
        <w:rPr>
          <w:rFonts w:ascii="Arial" w:cs="Arial" w:eastAsia="Arial" w:hAnsi="Arial"/>
          <w:sz w:val="18"/>
          <w:szCs w:val="18"/>
          <w:color w:val="auto"/>
        </w:rPr>
      </w:pPr>
    </w:p>
    <w:p>
      <w:pPr>
        <w:ind w:left="660" w:hanging="141"/>
        <w:spacing w:after="0" w:line="27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declines in constant currency in other markets, including France (-3.6%), the Nordics (-2.4%), the United Kingdom (-1.0%) and APME (-1.2%) due to the decline in demand for our staffing/interim services.</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year-over-year 10 basis point (-0.10%) decrease in gross profit margin was primarily attributed to a 10 basis point (-0.10%) unfavorable impact resulting from the 4.6% decline in our permanent recruitment business. Our staffing/interim margins were stable in the quarter as the increases in the United States and Southern Europe, due to the benefit of the CICE payroll tax credit, were offset by a social security reserve recorded in France and lower gross profit margins in Northern Europe and APME.</w:t>
      </w:r>
    </w:p>
    <w:p>
      <w:pPr>
        <w:spacing w:after="0" w:line="21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6.3% decline in selling and administrative expenses in the third quarter of 2013 (-6.6% in constant currency and -6.9% in organic constant currency) was attributed to:</w:t>
      </w:r>
    </w:p>
    <w:p>
      <w:pPr>
        <w:spacing w:after="0" w:line="198" w:lineRule="exact"/>
        <w:rPr>
          <w:sz w:val="20"/>
          <w:szCs w:val="20"/>
          <w:color w:val="auto"/>
        </w:rPr>
      </w:pPr>
    </w:p>
    <w:p>
      <w:pPr>
        <w:ind w:left="660" w:hanging="141"/>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our organic salary-related costs, because of lower headcount;</w:t>
      </w:r>
    </w:p>
    <w:p>
      <w:pPr>
        <w:spacing w:after="0" w:line="250" w:lineRule="exact"/>
        <w:rPr>
          <w:rFonts w:ascii="Arial" w:cs="Arial" w:eastAsia="Arial" w:hAnsi="Arial"/>
          <w:sz w:val="18"/>
          <w:szCs w:val="18"/>
          <w:color w:val="auto"/>
        </w:rPr>
      </w:pPr>
    </w:p>
    <w:p>
      <w:pPr>
        <w:ind w:left="660" w:hanging="141"/>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lease costs because we have closed over 350 offices since the third quarter of 2012; and</w:t>
      </w:r>
    </w:p>
    <w:p>
      <w:pPr>
        <w:spacing w:after="0" w:line="250" w:lineRule="exact"/>
        <w:rPr>
          <w:rFonts w:ascii="Arial" w:cs="Arial" w:eastAsia="Arial" w:hAnsi="Arial"/>
          <w:sz w:val="18"/>
          <w:szCs w:val="18"/>
          <w:color w:val="auto"/>
        </w:rPr>
      </w:pPr>
    </w:p>
    <w:p>
      <w:pPr>
        <w:ind w:left="660" w:hanging="141"/>
        <w:spacing w:after="0" w:line="27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non-personnel related costs, excluding lease costs noted above, as a result of the simplification and cost recalibration actions taken; partially offset by</w:t>
      </w:r>
    </w:p>
    <w:p>
      <w:pPr>
        <w:spacing w:after="0" w:line="197" w:lineRule="exact"/>
        <w:rPr>
          <w:rFonts w:ascii="Arial" w:cs="Arial" w:eastAsia="Arial" w:hAnsi="Arial"/>
          <w:sz w:val="18"/>
          <w:szCs w:val="18"/>
          <w:color w:val="auto"/>
        </w:rPr>
      </w:pPr>
    </w:p>
    <w:p>
      <w:pPr>
        <w:ind w:left="660" w:hanging="141"/>
        <w:spacing w:after="0" w:line="27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costs of $8.1 million, comprised of $1.1 million in the Americas, $0.6 million in Southern Europe, $2.4 million in Northern Europe, $1.1 million in APME and $2.9 million at Right Management;</w:t>
      </w:r>
    </w:p>
    <w:p>
      <w:pPr>
        <w:spacing w:after="0" w:line="197" w:lineRule="exact"/>
        <w:rPr>
          <w:rFonts w:ascii="Arial" w:cs="Arial" w:eastAsia="Arial" w:hAnsi="Arial"/>
          <w:sz w:val="18"/>
          <w:szCs w:val="18"/>
          <w:color w:val="auto"/>
        </w:rPr>
      </w:pPr>
    </w:p>
    <w:p>
      <w:pPr>
        <w:ind w:left="660" w:hanging="141"/>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0.3% increase due to the unfavorable impact of currency exchange rates; and</w:t>
      </w:r>
    </w:p>
    <w:p>
      <w:pPr>
        <w:spacing w:after="0" w:line="250" w:lineRule="exact"/>
        <w:rPr>
          <w:rFonts w:ascii="Arial" w:cs="Arial" w:eastAsia="Arial" w:hAnsi="Arial"/>
          <w:sz w:val="18"/>
          <w:szCs w:val="18"/>
          <w:color w:val="auto"/>
        </w:rPr>
      </w:pPr>
    </w:p>
    <w:p>
      <w:pPr>
        <w:ind w:left="660" w:hanging="141"/>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as a result of the acquisition in Northern Europe.</w:t>
      </w:r>
    </w:p>
    <w:p>
      <w:pPr>
        <w:spacing w:after="0" w:line="25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Selling and administrative expenses as a percent of revenues decreased 100 basis points (1.00%) in the third quarter of 2013 compared to 2012. The change in selling and administrative expenses as a percent of revenues consists of:</w:t>
      </w:r>
    </w:p>
    <w:p>
      <w:pPr>
        <w:spacing w:after="0" w:line="198" w:lineRule="exact"/>
        <w:rPr>
          <w:sz w:val="20"/>
          <w:szCs w:val="20"/>
          <w:color w:val="auto"/>
        </w:rPr>
      </w:pPr>
    </w:p>
    <w:p>
      <w:pPr>
        <w:ind w:left="660" w:hanging="141"/>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80 basis point (-0.80%) favorable impact due to the decrease in our organic salary-related costs and lease costs as noted above; and</w:t>
      </w:r>
    </w:p>
    <w:p>
      <w:pPr>
        <w:spacing w:after="0" w:line="250" w:lineRule="exact"/>
        <w:rPr>
          <w:rFonts w:ascii="Arial" w:cs="Arial" w:eastAsia="Arial" w:hAnsi="Arial"/>
          <w:sz w:val="18"/>
          <w:szCs w:val="18"/>
          <w:color w:val="auto"/>
        </w:rPr>
      </w:pPr>
    </w:p>
    <w:p>
      <w:pPr>
        <w:ind w:left="660" w:hanging="141"/>
        <w:spacing w:after="0" w:line="27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30 basis point (-0.30%) favorable impact due to the decrease of non-personnel related costs as a result of the simplification and cost recalibration actions taken; partially offset by</w:t>
      </w:r>
    </w:p>
    <w:p>
      <w:pPr>
        <w:spacing w:after="0" w:line="197" w:lineRule="exact"/>
        <w:rPr>
          <w:rFonts w:ascii="Arial" w:cs="Arial" w:eastAsia="Arial" w:hAnsi="Arial"/>
          <w:sz w:val="18"/>
          <w:szCs w:val="18"/>
          <w:color w:val="auto"/>
        </w:rPr>
      </w:pPr>
    </w:p>
    <w:p>
      <w:pPr>
        <w:ind w:left="660" w:hanging="141"/>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(0.10%) unfavorable impact due to the restructuring costs noted above.</w:t>
      </w:r>
    </w:p>
    <w:p>
      <w:pPr>
        <w:spacing w:after="0" w:line="2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and other expenses are comprised of interest, foreign exchange gains and losses and other miscellaneous non-operating income and expenses. Interest and other expenses were $5.4 million in the third quarter of 2013 compared to $10.1 million in the third quarter of 2012. Net interest expense decreased $1.8 million in the third quarter of 2013 to $7.0 million from $8.8 million in the third quarter of 2012 due primarily to the lower debt levels. Other income was $1.6 million in the third quarter of 2013 compared to other expenses of $1.3 million in the third quarter of 2012 due to the increase in equity investment income in the third quarter of 2013 compared to 2012, primarily related to a gain on sale of investments by our minority-owned Swiss Franchise recorded in the third quarter of 2013.</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an income tax expense at an effective rate of 39.7% for the three months ended September 30, 2013, as compared to an effective rate of 41.9% for the three months ended September 30, 2012. The 2013 rate was favorably impacted by a change in the overall mix of earnings, primarily an increase to non-U.S. income, and by the reinstatement of the 2013 United States Federal Work Opportunity Tax Credit (“WOTC”). The 39.7% effective tax rate was higher than the U.S. Federal statutory rate of 35% and we currently expect an annual effective tax rate of approximately 40%, due primarily to the impact of the French business tax, valuation allowances, and other permanent items.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Net earnings per share - diluted was $1.18 for the three months ended September 30, 2013 compared to $0.79 for the three months ended September 30,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 rates did not impact net earnings per share - diluted for the three months ended September 30, 2013.</w:t>
      </w:r>
    </w:p>
    <w:p>
      <w:pPr>
        <w:spacing w:after="0" w:line="23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Weighted average shares - diluted was flat at 80.0 million for both the three months ended September 30, 2013 and 2012. The repurchase of 2.4 million shares during the fourth quarter of 2012 was offset by the increase in the dilutive effect of share-based awards due to the current quarter exercises and the increase in our share price.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Nine Months Ended September 30, 2013 and 2012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nine months ended September 30, 2013 as compared to 2012.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5"/>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40"/>
        </w:trPr>
        <w:tc>
          <w:tcPr>
            <w:tcW w:w="5860" w:type="dxa"/>
            <w:vAlign w:val="bottom"/>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Variance</w:t>
            </w:r>
          </w:p>
        </w:tc>
        <w:tc>
          <w:tcPr>
            <w:tcW w:w="320" w:type="dxa"/>
            <w:vAlign w:val="bottom"/>
          </w:tcPr>
          <w:p>
            <w:pPr>
              <w:spacing w:after="0"/>
              <w:rPr>
                <w:sz w:val="20"/>
                <w:szCs w:val="20"/>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15"/>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15,475.4</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12,518.3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12,910.1</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(3.0)</w:t>
            </w:r>
          </w:p>
        </w:tc>
      </w:tr>
      <w:tr>
        <w:trPr>
          <w:trHeight w:val="27"/>
        </w:trPr>
        <w:tc>
          <w:tcPr>
            <w:tcW w:w="5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5"/>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2,565.3</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r>
      <w:tr>
        <w:trPr>
          <w:trHeight w:val="215"/>
        </w:trPr>
        <w:tc>
          <w:tcPr>
            <w:tcW w:w="5860" w:type="dxa"/>
            <w:vAlign w:val="bottom"/>
          </w:tcPr>
          <w:p>
            <w:pPr>
              <w:ind w:left="180"/>
              <w:spacing w:after="0"/>
              <w:rPr>
                <w:sz w:val="20"/>
                <w:szCs w:val="20"/>
                <w:color w:val="auto"/>
              </w:rPr>
            </w:pPr>
            <w:r>
              <w:rPr>
                <w:rFonts w:ascii="Arial" w:cs="Arial" w:eastAsia="Arial" w:hAnsi="Arial"/>
                <w:sz w:val="18"/>
                <w:szCs w:val="18"/>
                <w:i w:val="1"/>
                <w:iCs w:val="1"/>
                <w:color w:val="auto"/>
              </w:rPr>
              <w:t>Gross profit margin</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16.5</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16.6</w:t>
            </w: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2,258.5</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r>
      <w:tr>
        <w:trPr>
          <w:trHeight w:val="27"/>
        </w:trPr>
        <w:tc>
          <w:tcPr>
            <w:tcW w:w="58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r>
        <w:trPr>
          <w:trHeight w:val="215"/>
        </w:trPr>
        <w:tc>
          <w:tcPr>
            <w:tcW w:w="586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306.8</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12.9</w:t>
            </w:r>
          </w:p>
        </w:tc>
      </w:tr>
      <w:tr>
        <w:trPr>
          <w:trHeight w:val="215"/>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profit margin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2.0</w:t>
            </w: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33.2</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1340" w:type="dxa"/>
            <w:vAlign w:val="bottom"/>
          </w:tcPr>
          <w:p>
            <w:pPr>
              <w:spacing w:after="0"/>
              <w:rPr>
                <w:sz w:val="18"/>
                <w:szCs w:val="18"/>
                <w:color w:val="auto"/>
              </w:rPr>
            </w:pPr>
          </w:p>
        </w:tc>
      </w:tr>
      <w:tr>
        <w:trPr>
          <w:trHeight w:val="27"/>
        </w:trPr>
        <w:tc>
          <w:tcPr>
            <w:tcW w:w="5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5"/>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273.6</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w:t>
            </w: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129.3</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tcPr>
          <w:p>
            <w:pPr>
              <w:spacing w:after="0"/>
              <w:rPr>
                <w:sz w:val="18"/>
                <w:szCs w:val="18"/>
                <w:color w:val="auto"/>
              </w:rPr>
            </w:pPr>
          </w:p>
        </w:tc>
      </w:tr>
      <w:tr>
        <w:trPr>
          <w:trHeight w:val="215"/>
        </w:trPr>
        <w:tc>
          <w:tcPr>
            <w:tcW w:w="5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41.2%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47.3%</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7"/>
        </w:trPr>
        <w:tc>
          <w:tcPr>
            <w:tcW w:w="58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r>
        <w:trPr>
          <w:trHeight w:val="215"/>
        </w:trPr>
        <w:tc>
          <w:tcPr>
            <w:tcW w:w="586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186.8</w:t>
            </w:r>
          </w:p>
        </w:tc>
        <w:tc>
          <w:tcPr>
            <w:tcW w:w="2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144.3</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29.5</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30.8</w:t>
            </w: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33.0</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34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The year-over-year decrease in revenues from services of 3.1% (-3.0% in constant currency and -3.3% on an organic constant currency basis) was attributed to:</w:t>
      </w:r>
    </w:p>
    <w:p>
      <w:pPr>
        <w:spacing w:after="0" w:line="198" w:lineRule="exact"/>
        <w:rPr>
          <w:sz w:val="20"/>
          <w:szCs w:val="20"/>
          <w:color w:val="auto"/>
        </w:rPr>
      </w:pPr>
    </w:p>
    <w:p>
      <w:pPr>
        <w:jc w:val="both"/>
        <w:ind w:left="660" w:hanging="141"/>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services in several of our markets within the Americas, Southern Europe and Northern Europe, where revenues decreased 2.0% (-1.0% in constant currency), 2.9% (-5.7% in constant currency and -6.0% in organic constant currency) and 1.6% (-2.5% on a constant currency basis and -3.1% on an organic constant currency basis), respectively. Several of our larger markets such as France and Italy experienced revenue declines of 8.1% (-8.3% in organic constant currency) and 0.4% on a constant currency basis, respectively, due to the current economic environments in those countries;</w:t>
      </w:r>
    </w:p>
    <w:p>
      <w:pPr>
        <w:spacing w:after="0" w:line="217" w:lineRule="exact"/>
        <w:rPr>
          <w:rFonts w:ascii="Arial" w:cs="Arial" w:eastAsia="Arial" w:hAnsi="Arial"/>
          <w:sz w:val="18"/>
          <w:szCs w:val="18"/>
          <w:color w:val="auto"/>
        </w:rPr>
      </w:pPr>
    </w:p>
    <w:p>
      <w:pPr>
        <w:jc w:val="both"/>
        <w:ind w:left="660" w:hanging="141"/>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decline in the United States of 1.9% primarily due to a decrease in our larger strategic account client revenues because of softening demand, a large client project in our Manpower business line that concluded in the first quarter of 2013 and strong price discipline on new business opportunities;</w:t>
      </w:r>
    </w:p>
    <w:p>
      <w:pPr>
        <w:spacing w:after="0" w:line="209" w:lineRule="exact"/>
        <w:rPr>
          <w:rFonts w:ascii="Arial" w:cs="Arial" w:eastAsia="Arial" w:hAnsi="Arial"/>
          <w:sz w:val="18"/>
          <w:szCs w:val="18"/>
          <w:color w:val="auto"/>
        </w:rPr>
      </w:pPr>
    </w:p>
    <w:p>
      <w:pPr>
        <w:ind w:left="660" w:hanging="141"/>
        <w:spacing w:after="0" w:line="27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decrease in APME of 8.6% (-0.2% in constant currency) primarily due to the decline in demand for our staffing/interim services due to two fewer billing days; and</w:t>
      </w:r>
    </w:p>
    <w:p>
      <w:pPr>
        <w:spacing w:after="0" w:line="197" w:lineRule="exact"/>
        <w:rPr>
          <w:rFonts w:ascii="Arial" w:cs="Arial" w:eastAsia="Arial" w:hAnsi="Arial"/>
          <w:sz w:val="18"/>
          <w:szCs w:val="18"/>
          <w:color w:val="auto"/>
        </w:rPr>
      </w:pPr>
    </w:p>
    <w:p>
      <w:pPr>
        <w:ind w:left="660" w:hanging="141"/>
        <w:spacing w:after="0" w:line="27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talent management services at Right Management, where these revenues decreased 9.6% (-9.0% on a constant currency basis); partially offset by</w:t>
      </w:r>
    </w:p>
    <w:p>
      <w:pPr>
        <w:spacing w:after="0" w:line="197" w:lineRule="exact"/>
        <w:rPr>
          <w:rFonts w:ascii="Arial" w:cs="Arial" w:eastAsia="Arial" w:hAnsi="Arial"/>
          <w:sz w:val="18"/>
          <w:szCs w:val="18"/>
          <w:color w:val="auto"/>
        </w:rPr>
      </w:pPr>
    </w:p>
    <w:p>
      <w:pPr>
        <w:ind w:left="660" w:hanging="141"/>
        <w:spacing w:after="0" w:line="27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acquisitions of two entities in April 2012, one in Southern Europe and one in the Americas, and one entity in April 2013 in Northern Europe, which combined to add 0.3% of revenue growth to our consolidated results.</w:t>
      </w:r>
    </w:p>
    <w:p>
      <w:pPr>
        <w:spacing w:after="0" w:line="17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year-over-year 10 basis point (-0.10%) decrease in gross profit margin was primarily attributed to a 10 basis point (-0.10%) unfavorable impact resulting from the year-over-year 7.0% decline in our permanent recruitment business. Our staffing/interim margins were stable for the first nine months of 2013 as the increases in the United States and Southern Europe, due to the benefit of the CICE payroll tax credit, were offset by a social security reserve recorded in France and lower gross profit margins in Northern Europe and APME.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8" w:name="page19"/>
    <w:bookmarkEnd w:id="18"/>
    <w:p>
      <w:pPr>
        <w:ind w:right="400"/>
        <w:spacing w:after="0" w:line="275" w:lineRule="auto"/>
        <w:rPr>
          <w:sz w:val="20"/>
          <w:szCs w:val="20"/>
          <w:color w:val="auto"/>
        </w:rPr>
      </w:pPr>
      <w:r>
        <w:rPr>
          <w:rFonts w:ascii="Arial" w:cs="Arial" w:eastAsia="Arial" w:hAnsi="Arial"/>
          <w:sz w:val="18"/>
          <w:szCs w:val="18"/>
          <w:color w:val="auto"/>
        </w:rPr>
        <w:t>The 5.5% decline in selling and administrative expenses for the nine months ended September 30, 2013 (-5.3% in constant currency and -5.6% in organic constant currency) was attributed to:</w:t>
      </w:r>
    </w:p>
    <w:p>
      <w:pPr>
        <w:spacing w:after="0" w:line="198" w:lineRule="exact"/>
        <w:rPr>
          <w:sz w:val="20"/>
          <w:szCs w:val="20"/>
          <w:color w:val="auto"/>
        </w:rPr>
      </w:pPr>
    </w:p>
    <w:p>
      <w:pPr>
        <w:ind w:left="660" w:hanging="141"/>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our organic salary-related costs, because of lower headcount and lower variable incentive-based costs;</w:t>
      </w:r>
    </w:p>
    <w:p>
      <w:pPr>
        <w:spacing w:after="0" w:line="250" w:lineRule="exact"/>
        <w:rPr>
          <w:rFonts w:ascii="Arial" w:cs="Arial" w:eastAsia="Arial" w:hAnsi="Arial"/>
          <w:sz w:val="18"/>
          <w:szCs w:val="18"/>
          <w:color w:val="auto"/>
        </w:rPr>
      </w:pPr>
    </w:p>
    <w:p>
      <w:pPr>
        <w:ind w:left="660" w:hanging="141"/>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lease costs because we have closed over 350 offices since the third quarter of 2012;</w:t>
      </w:r>
    </w:p>
    <w:p>
      <w:pPr>
        <w:spacing w:after="0" w:line="250" w:lineRule="exact"/>
        <w:rPr>
          <w:rFonts w:ascii="Arial" w:cs="Arial" w:eastAsia="Arial" w:hAnsi="Arial"/>
          <w:sz w:val="18"/>
          <w:szCs w:val="18"/>
          <w:color w:val="auto"/>
        </w:rPr>
      </w:pPr>
    </w:p>
    <w:p>
      <w:pPr>
        <w:ind w:left="660" w:hanging="141"/>
        <w:spacing w:after="0" w:line="27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legal costs for the first nine months of 2013 compared to 2012, primarily related to the $10 million settlement agreement in 2012 in connection with a lawsuit involving allegations regarding the Company’s vacation pay practices in Illinois; and</w:t>
      </w:r>
    </w:p>
    <w:p>
      <w:pPr>
        <w:spacing w:after="0" w:line="197" w:lineRule="exact"/>
        <w:rPr>
          <w:rFonts w:ascii="Arial" w:cs="Arial" w:eastAsia="Arial" w:hAnsi="Arial"/>
          <w:sz w:val="18"/>
          <w:szCs w:val="18"/>
          <w:color w:val="auto"/>
        </w:rPr>
      </w:pPr>
    </w:p>
    <w:p>
      <w:pPr>
        <w:ind w:left="660" w:hanging="141"/>
        <w:spacing w:after="0" w:line="27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non-personnel related costs, excluding legal costs noted above, as a result of the simplification and cost recalibration actions taken; partially offset by</w:t>
      </w:r>
    </w:p>
    <w:p>
      <w:pPr>
        <w:spacing w:after="0" w:line="197" w:lineRule="exact"/>
        <w:rPr>
          <w:rFonts w:ascii="Arial" w:cs="Arial" w:eastAsia="Arial" w:hAnsi="Arial"/>
          <w:sz w:val="18"/>
          <w:szCs w:val="18"/>
          <w:color w:val="auto"/>
        </w:rPr>
      </w:pPr>
    </w:p>
    <w:p>
      <w:pPr>
        <w:jc w:val="both"/>
        <w:ind w:left="660" w:hanging="141"/>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costs of $62.9 million, comprised of $11.4 million in the Americas, $5.1 million in Southern Europe, $28.8 million in Northern Europe, $3.9 million in APME, $9.3 million at Right Management and $4.4 million in corporate expenses for the nine months ended September 30, 2013, compared to restructuring costs of $18.7 million, comprised of $10.4 million at Right Management and $8.3 million in the Americas, for the nine months ended September 30, 2012; and</w:t>
      </w:r>
    </w:p>
    <w:p>
      <w:pPr>
        <w:spacing w:after="0" w:line="212" w:lineRule="exact"/>
        <w:rPr>
          <w:rFonts w:ascii="Arial" w:cs="Arial" w:eastAsia="Arial" w:hAnsi="Arial"/>
          <w:sz w:val="18"/>
          <w:szCs w:val="18"/>
          <w:color w:val="auto"/>
        </w:rPr>
      </w:pPr>
    </w:p>
    <w:p>
      <w:pPr>
        <w:ind w:left="660" w:hanging="141"/>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additional recurring selling and administrative costs as a result of the acquisitions in Southern Europe, Northern Europe and the Americas.</w:t>
      </w:r>
    </w:p>
    <w:p>
      <w:pPr>
        <w:spacing w:after="0" w:line="26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Selling and administrative expenses as a percent of revenues decreased 40 basis points (0.40%) for the nine months ended September 30, 2013 compared to 2012. The change in selling and administrative expense as a percent of revenues consists of:</w:t>
      </w:r>
    </w:p>
    <w:p>
      <w:pPr>
        <w:spacing w:after="0" w:line="198" w:lineRule="exact"/>
        <w:rPr>
          <w:sz w:val="20"/>
          <w:szCs w:val="20"/>
          <w:color w:val="auto"/>
        </w:rPr>
      </w:pPr>
    </w:p>
    <w:p>
      <w:pPr>
        <w:ind w:left="660" w:hanging="141"/>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50 basis point (-0.50%) favorable impact due to the decrease in our organic salary-related costs and lease costs;</w:t>
      </w:r>
    </w:p>
    <w:p>
      <w:pPr>
        <w:spacing w:after="0" w:line="250" w:lineRule="exact"/>
        <w:rPr>
          <w:rFonts w:ascii="Arial" w:cs="Arial" w:eastAsia="Arial" w:hAnsi="Arial"/>
          <w:sz w:val="18"/>
          <w:szCs w:val="18"/>
          <w:color w:val="auto"/>
        </w:rPr>
      </w:pPr>
    </w:p>
    <w:p>
      <w:pPr>
        <w:ind w:left="660" w:hanging="141"/>
        <w:spacing w:after="0" w:line="275" w:lineRule="auto"/>
        <w:tabs>
          <w:tab w:leader="none" w:pos="7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basis point (-0.10%) favorable impact due to the decrease of non-personnel related costs, excluding legal and lease costs noted above, as a result of the simplification and cost recalibration actions taken; and</w:t>
      </w:r>
    </w:p>
    <w:p>
      <w:pPr>
        <w:spacing w:after="0" w:line="197" w:lineRule="exact"/>
        <w:rPr>
          <w:rFonts w:ascii="Arial" w:cs="Arial" w:eastAsia="Arial" w:hAnsi="Arial"/>
          <w:sz w:val="18"/>
          <w:szCs w:val="18"/>
          <w:color w:val="auto"/>
        </w:rPr>
      </w:pPr>
    </w:p>
    <w:p>
      <w:pPr>
        <w:ind w:left="660" w:hanging="141"/>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basis point (-0.10%) favorable impact due to the decrease in legal costs as noted above; partially offset by</w:t>
      </w:r>
    </w:p>
    <w:p>
      <w:pPr>
        <w:spacing w:after="0" w:line="250" w:lineRule="exact"/>
        <w:rPr>
          <w:rFonts w:ascii="Arial" w:cs="Arial" w:eastAsia="Arial" w:hAnsi="Arial"/>
          <w:sz w:val="18"/>
          <w:szCs w:val="18"/>
          <w:color w:val="auto"/>
        </w:rPr>
      </w:pPr>
    </w:p>
    <w:p>
      <w:pPr>
        <w:ind w:left="660" w:hanging="141"/>
        <w:spacing w:after="0" w:line="27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30 basis point (0.30%) increase due to the restructuring costs of $62.9 million for the nine months ended September 30, 2013 compared to $18.7 million for the nine months ended September 30, 2012.</w:t>
      </w:r>
    </w:p>
    <w:p>
      <w:pPr>
        <w:spacing w:after="0" w:line="198"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Interest and other expenses were $27.2 million for the nine months ended September 30, 2013 compared to $33.2 million for the nine months ended September 30, 2012. Net interest expense decreased $0.2 million for the nine months ended September 30, 2013 to $26.2 million from $26.4 million for the nine months ended September 30, 2012. Other expenses were $1.0 million for the nine months ended September 30, 2013 compared to $6.8 million for the nine months ended September 30, 2012. This decrease is due partly to the increase in equity investment income in the first nine months of 2013 compared to 2012, primarily related to a gain on sale of investments by our minority-owned Swiss Franchise recorded during the first nine months of 2013.</w:t>
      </w:r>
    </w:p>
    <w:p>
      <w:pPr>
        <w:spacing w:after="0" w:line="187"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We recorded an income tax expense at an effective rate of 41.2% for the nine months ended September 30, 2013, as compared to an effective rate of 47.3% for the nine months ended September 30, 2012. The 2013 rate was favorably impacted by a change in the overall mix of earnings, primarily an increase to non-U.S. income, and by the 2012 and 2013 WOTC, which was reinstated in January of 2013, retroactive to January 1, 2012. These rates are higher than the U.S. Federal statutory rate of 35% due primarily to the French business tax, the impact of valuation allowances and other permanent items.</w:t>
      </w:r>
    </w:p>
    <w:p>
      <w:pPr>
        <w:spacing w:after="0" w:line="15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Net earnings per share - diluted was $2.36 for the nine months ended September 30, 2013 compared to $1.79 for the nine months ended September 30, 2012. Foreign currency exchange rates unfavorably impacted net earnings per share - diluted by approximately $0.02 per share for the nine months ended September 30, 2013.</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Weighted average shares - diluted decreased 1.7% to 79.2 million for the nine months ended September 30, 2013 from 80.6 million for the nine months ended September 30, 2012. This decrease is primarily a result of the repurchase of 2.4 million shares during the fourth quarter of 2012, partially offset by the increase in the dilutive effect of share-based awards due to the exercises in the nine months of 2013 and the increase in our share price.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Operating Unit Profit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Americas, revenues from services decreased 0.5% (1.2% increase in constant currency) in the third quarter of 2013 compared to 2012. In the United States, revenues from services increased 0.1% in the third quarter of 2013 compared to 2012. The revenue increase in the United States was attributable to an increase in ManpowerGroup Solutions revenues of 18.4%, primarily driven by our RPO and Managed Service Provider (“MSP”) businesses, and an increase in our permanent recruitment revenues of 7.2%. This increase was partially offset by a large client project in our Manpower business line that concluded in the first quarter of 2013 and strong price discipline in selectively accepting new business opportunities in the United States during 2013. In Other Americas, revenues from services declined 1.6% (3.4% increase in constant currency) in the third quarter of 2013 compared to 2012, with revenue growth in Argentina and Canada of 15.8% and 3.2%, respectively, in constant currency.</w:t>
      </w:r>
    </w:p>
    <w:p>
      <w:pPr>
        <w:spacing w:after="0" w:line="20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Revenues from services decreased 2.0% (-1.0% in constant currency) in the first nine months of 2013 compared to 2012. In the United States, revenues from services declined 1.9% in the first nine months of 2013 compared to 2012. The revenue decline in the United States was attributable to a decline in staffing/interim services in the Manpower and Experis business lines due to softening of demand from our larger strategic accounts in the first nine months of 2013 compared to 2012, a large client project in our Manpower business line that concluded in the first quarter of 2013 and strong price discipline in selectively accepting new business opportunities. These declines were partially offset by an increase in ManpowerGroup Solutions revenues of 16.1% and an increase in our permanent recruitment revenues of 6.8% in the United States for the first nine months of 2013 compared to 2012. In Other Americas, revenues from services declined 2.0% (0.8% increase in constant currency and 0.6% increase on an organic constant currency basis) in the first nine months of 2013 compared to 2012, with a revenue decline in Argentina of 13.4%, partially offset by revenue increases in Canada of 5.1% (6.0% on an organic constant currency basis) and Mexico of 3.2%.</w:t>
      </w:r>
    </w:p>
    <w:p>
      <w:pPr>
        <w:spacing w:after="0" w:line="2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Gross profit margin was flat in the third quarter of 2013 compared to 2012 as the favorable impact of improved staffing/interim gross profit margin in the United States resulting from stronger pricing discipline and continued growth in our ManpowerGroup Solutions and permanent recruitment businesses was partially offset by the decrease in staffing/interim gross profit margins in Other Americas.</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Gross profit margin increased in the first nine months of 2013 compared to 2012 due to the favorable impact of improved staffing/interim gross profit margin resulting from stronger pricing discipline in the United States, as well as continued growth in our ManpowerGroup Solutions and permanent recruitment businesses.</w:t>
      </w:r>
    </w:p>
    <w:p>
      <w:pPr>
        <w:spacing w:after="0" w:line="209"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color w:val="auto"/>
        </w:rPr>
        <w:t>In the third quarter of 2013, selling and administrative expenses decreased 6.2% (-4.8% in constant currency) due to declines in salary-related and lease costs as a result of the cost recalibration plan, partially offset by restructuring costs of $1.1 million incurred in the third quarter of 2013.</w:t>
      </w:r>
    </w:p>
    <w:p>
      <w:pPr>
        <w:spacing w:after="0" w:line="174"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In the first nine months of 2013, selling and administrative expenses decreased 5.0% (-4.1% in constant currency) due to $10.0 million of legal costs incurred in the first nine months of 2012 and declines in salary-related and lease costs as a result of the cost recalibration plan, partially offset by an increase in restructuring costs to $11.4 million recorded in the first nine months of 2013 compared to $8.3 million in the first nine months of 2012.</w:t>
      </w:r>
    </w:p>
    <w:p>
      <w:pPr>
        <w:spacing w:after="0" w:line="16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OUP margin in the Americas was 4.0% and 3.1% for the third quarter of 2013 and 2012, respectively. In the United States, OUP margin was 4.5% in the third quarter of 2013 compared to 3.2% in 2012. The margin increase in the third quarter of 2013 in the United States was due to the decrease in salary-related and lease costs as well as the improvement in the gross profit margin as noted above. Other Americas OUP margin was 3.0% in the third quarter of 2013 compared to 2.8% in the third quarter of 2012. The increase in the Other Americas OUP margin was due to the cost savings from the cost recalibration plan put in place in 2012 favorably impacted expense levels, partially offset by the decline in the gross profit margin.</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OUP margin in the Americas was 3.1% and 2.2% for the first nine months of 2013 and 2012, respectively. In the United States, OUP margin was 3.3% in the first nine months of 2013 compared to 1.7% in 2012. The margin increase in the first nine months of 2013 in the United States was due to the 2012 legal costs as well as the improvement in the gross profit margin as noted above, partially offset by the increase in restructuring costs. Other Americas OUP margin was 2.8% in the first nine months of 2013 compared to 3.1% in the first nine months of 2012. The decrease in the Other Americas OUP margin was due to restructuring costs in the first nine months of 2013.</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Southern Europe</w:t>
      </w: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Southern Europe, which includes operations in France and Italy, revenues from services increased 4.9% (-1.0% decrease in constant currency and -1.4% in organic constant currency) in the third quarter of 2013 compared to 2012. In France (which represents 74% of Southern Europe’s revenues), revenues from services decreased 3.6% in constant currency in the third quarter of 2013 compared to 2012 due primarily to a softening demand in the staffing/interim business, and an 18.1% decline in constant currency in the permanent recruitment business. In Italy (which represents 14% of Southern Europe’s revenues), revenues from services increased 3.3% in constant currency in the third quarter of 2013 compared to 2012 due mostly to an increase in our staffing/interim services, due to increased demand and to one additional billing day in the third quarter of 2013 compared to 2012, and a 43% increase in constant currency in the ManpowerGroup Solutions business line. In Other Southern Europe, revenues from services increased 20.4% (12.5% in constant currency and 8.8% in organic constant currency) during the third quarter of 2013 compared to 2012 driven by the revenue increase in Portugal, due to the increases in the Manpower staffing and ManpowerGroup Solutions businesses, and in Spain, due to improved demand and an acquisition of some clients from a local competitor in July 2013.</w:t>
      </w:r>
    </w:p>
    <w:p>
      <w:pPr>
        <w:spacing w:after="0" w:line="2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Revenues from services decreased 2.9% (-5.7% in constant currency and -6.0% on an organic constant currency basis) in the first nine months of 2013 compared to 2012. In France and Italy, revenues from services decreased 8.3% in organic constant currency and 0.4% in constant currency, respectively, in the first nine months of 2013 compared to 2012. The decrease in France is due primarily to softening demand in the staffing/interim business and a 23.3% decline in constant currency in the permanent recruitment business. The decrease in Italy is due to a slight decrease in our staffing/interim services as well as a 1.3% decline in constant currency in the permanent recruitment business. In Other Southern Europe, revenues from services increased 8.7% (4.7% in constant currency and 3.5% in organic constant currency) during the first nine months of 2013 compared to 2012 driven by the revenue increase in Portugal, due to the increases in the Manpower staffing and ManpowerGroup Solutions businesses, offset by the 6.3% revenue decline in organic constant currency in Spain due to the weak economic conditions in that market through the first half of the year.</w:t>
      </w:r>
    </w:p>
    <w:p>
      <w:pPr>
        <w:spacing w:after="0" w:line="176"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color w:val="auto"/>
        </w:rPr>
        <w:t>Gross profit margin increased in both the third quarter and first nine months of 2013 compared to 2012 due primarily to the CICE payroll tax credit in France, which was partially offset by the additional social security reserve recorded in France in the third quarter, the decrease in our permanent recruitment business, and pricing pressures in the small/medium-sized businesses in France and in Italy that unfavorably impacted staffing/interim gross margins.</w:t>
      </w:r>
    </w:p>
    <w:p>
      <w:pPr>
        <w:spacing w:after="0" w:line="1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Selling and administrative expenses decreased 2.6% (-8.1% in constant currency and -8.2% on an organic constant currency basis) during the third quarter of 2013 compared to 2012 primarily related to the decrease in organic salary-related costs due to lower headcount, partially offset by the $0.6 million of restructuring costs.</w:t>
      </w:r>
    </w:p>
    <w:p>
      <w:pPr>
        <w:spacing w:after="0" w:line="209"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Selling and administrative expenses decreased 3.7% (-6.3% in constant currency and -6.7% on an organic constant currency basis) during the first nine months of 2013 compared to 2012 primarily related to the decrease in organic salary-related costs due to lower headcount, partially offset by the $5.1 million of restructuring costs and the additional recurring selling and administrative costs resulting from the 2012 Damilo acquisition in France.</w:t>
      </w:r>
    </w:p>
    <w:p>
      <w:pPr>
        <w:spacing w:after="0" w:line="1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OUP margin in Southern Europe was 3.8% for the third quarter of 2013 compared to 2.6% for 2012. In France, the OUP margin was 4.1% for the third quarter of 2013 compared to 2.6% for 2012, due to the improvement in our gross profit margin and the decrease in salary-related costs due to lower headcount. In Italy, the OUP margin was 4.0% for the third quarter of 2013 compared to 3.8% for 2012, due to stronger price discipline and improved productivity. Other Southern Europe’s OUP margin increased to 1.8% for the third quarter of 2013 from 1.2% in 2012 due to the decrease in organic salary-related costs partially offset by the decrease in the gross profit margin.</w:t>
      </w:r>
    </w:p>
    <w:p>
      <w:pPr>
        <w:spacing w:after="0" w:line="2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OUP margin in Southern Europe was 3.3% for the first nine months of 2013 compared to 2.5% for 2012. In France, the OUP margin was 3.3% for the first nine months of 2013 compared to 2.3% for 2012, due to the improvement in our gross profit margin and the decrease in salary-related costs due to lower headcount, partially offset by the restructuring costs in the first nine months of 2013. In Italy, the OUP margin was 4.6% for both the first nine months of 2013 and 2012, as the decrease in salary-related and lease costs from lower headcount and fewer offices was offset by the decrease in the gross profit margin and the restructuring costs in the first nine months of 2013. Other Southern Europe’s OUP margin declined to 1.2% for the first nine months of 2013 from 1.5% in 2012 due to the decrease in the gross profit margin and the restructuring costs in the first nine months of 2013.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50"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In Northern Europe, which includes operations in the United Kingdom, the Nordics, Germany and the Netherlands (comprising 31%, 22%, 13%, and 10%, respectively, of Northern Europe’s revenues), revenues from services increased 1.5% (-0.3% decrease in constant currency and -1.1% on an organic constant currency basis) in the third quarter of 2013 as compared to 2012. The increase in revenues from services was primarily attributable to the increase in our Manpower staffing services due to improving demand and one additional billing day, partially offset by the 3.5% decline in constant currency in our Experis business line, which saw softening demand for IT services among our larger clients, in both our interim and permanent recruitment businesses.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1" w:name="page22"/>
    <w:bookmarkEnd w:id="21"/>
    <w:p>
      <w:pPr>
        <w:ind w:right="200"/>
        <w:spacing w:after="0" w:line="310" w:lineRule="auto"/>
        <w:rPr>
          <w:sz w:val="20"/>
          <w:szCs w:val="20"/>
          <w:color w:val="auto"/>
        </w:rPr>
      </w:pPr>
      <w:r>
        <w:rPr>
          <w:rFonts w:ascii="Arial" w:cs="Arial" w:eastAsia="Arial" w:hAnsi="Arial"/>
          <w:sz w:val="16"/>
          <w:szCs w:val="16"/>
          <w:color w:val="auto"/>
        </w:rPr>
        <w:t>Revenues from services decreased 1.6% (-2.5% in constant currency and -3.1% on an organic constant currency basis) in the first nine months of 2013 as compared to 2012. The decrease in revenues from services was primarily attributable to the 10.8% decline in constant currency in our Experis business line, which saw softening demand for IT services among our larger clients, in both our interim and permanent recruitment businesses.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margin decreased in the third quarter of 2013 compared to 2012 due to the decline in our staffing/interim margins as we experienced lower bench utilization in our Manpower business line in Sweden, continued to encounter general pricing pressures in several markets, and saw a 6.2% decrease in constant currency in our permanent recruitment business.</w:t>
      </w:r>
    </w:p>
    <w:p>
      <w:pPr>
        <w:spacing w:after="0" w:line="209"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Gross profit margin decreased in the first nine months of 2013 compared to 2012 due to the decline in our staffing/interim margins as we experienced lower bench utilization in our Manpower business line in Sweden and new collective labor agreements and higher holiday pay costs in Germany, encountered general pricing pressures in several markets, and saw a 10.1% decrease in constant currency in our permanent recruitment business.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Selling and administrative expenses decreased 6.3% (-8.6% decrease in constant currency and -9.3% on an organic constant currency basis) in the third quarter of 2013 compared to 2012. The decrease in selling and administrative expenses was due primarily to lower headcount, which reduced compensation-related expenses such as salaries and variable incentive-based costs, lower lease costs, and the additional cost savings from the cost recalibration plan put in place in 2012, partially offset by the $2.4 million of restructuring costs in the quarter and the additional recurring selling and administrative costs resulting from an acquisition in April 2013.</w:t>
      </w:r>
    </w:p>
    <w:p>
      <w:pPr>
        <w:spacing w:after="0" w:line="2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Selling and administrative expenses decreased 3.8% (-5.2% decrease in constant currency and -5.7% on an organic constant currency basis) in the first nine months of 2013 compared to 2012. The decrease in selling and administrative expenses was due primarily to lower headcount, which reduced compensation-related expenses such as salaries and variable incentive-based costs, lower lease costs, and the additional cost savings from the cost recalibration plan put in place in 2012, partially offset by the $28.8 million of restructuring costs in the nine months of 2013 and the additional recurring selling and administrative costs resulting from an acquisition in April 2013.</w:t>
      </w:r>
    </w:p>
    <w:p>
      <w:pPr>
        <w:spacing w:after="0" w:line="218"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OUP margin for Northern Europe was 3.5% and 3.0% for the third quarter of 2013 and 2012, respectively. The improvement in OUP margin was the result of the decrease in compensation-related expenses and lease costs as well as additional cost savings from the cost recalibration plan noted above, partially offset by the decrease in the gross profit margin and the $2.4 million of restructuring costs.</w:t>
      </w:r>
    </w:p>
    <w:p>
      <w:pPr>
        <w:spacing w:after="0" w:line="209"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OUP margin for Northern Europe was 2.2% and 2.9% for the first nine months of 2013 and 2012, respectively. The OUP margin declined as the decrease in compensation-related expenses and lease costs as well as additional cost savings from the cost recalibration plan was not enough to offset the decrease in the gross profit margin and the $28.8 million of restructuring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50"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 APME, revenues from services decreased 12.6% (-1.2% in constant currency) in the third quarter of 2013 compared to 2012. In Japan (which represents 38% of APME’s revenues), revenues from services decreased 2.4% in constant currency due primarily to continued soft demand for our staffing/interim services, partially offset by an increase in the permanent recruitment business. In Australia (which represents 23% of APME’s revenues), revenues from services were down 5.9% in constant currency for the third quarter of 2013 compared to 2012 due to the decreased demand for interim services in our Experis business line, partially offset by the increase in the permanent recruitment business in the third quarter of 2013 compared to 2012.</w:t>
      </w:r>
    </w:p>
    <w:p>
      <w:pPr>
        <w:spacing w:after="0" w:line="16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Revenues from services decreased 8.6% (-0.2% in constant currency) in the first nine months of 2013 compared to 2012. In Japan, revenues from services decreased 3.0% in constant currency due primarily to soft demand for our staffing/interim services and fewer billing days in the first nine months of 2013 compared to 2012, partially offset by an increase in the permanent recruitment business. In Australia, revenues from services were down 7.0% in constant currency for the first nine months of 2013 compared to 2012 due to the decreased demand for interim services in our Experis business line, partially offset by an increase in the permanent recruitment business.</w:t>
      </w:r>
    </w:p>
    <w:p>
      <w:pPr>
        <w:spacing w:after="0" w:line="19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Gross profit margin decreased in the third quarter and first nine months of 2013 compared to 2012 due to a decrease in our staffing/interim gross profit margin from modest pricing pressures and change in business mix, as well as the 2.2% and 4.6%, respectively, decline in constant currency in our permanent recruitment business.</w:t>
      </w:r>
    </w:p>
    <w:p>
      <w:pPr>
        <w:spacing w:after="0" w:line="20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Selling and administrative expenses decreased 14.7% (-3.4% in constant currency) in the third quarter of 2013 compared to 2012 related to reduced compensation-related expenses such as salaries and variable incentive-based costs due to lower headcount, partially offset by $1.1 million of restructuring costs.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22" w:name="page23"/>
    <w:bookmarkEnd w:id="22"/>
    <w:p>
      <w:pPr>
        <w:ind w:right="380"/>
        <w:spacing w:after="0" w:line="262" w:lineRule="auto"/>
        <w:rPr>
          <w:sz w:val="20"/>
          <w:szCs w:val="20"/>
          <w:color w:val="auto"/>
        </w:rPr>
      </w:pPr>
      <w:r>
        <w:rPr>
          <w:rFonts w:ascii="Arial" w:cs="Arial" w:eastAsia="Arial" w:hAnsi="Arial"/>
          <w:sz w:val="18"/>
          <w:szCs w:val="18"/>
          <w:color w:val="auto"/>
        </w:rPr>
        <w:t>Selling and administrative expenses decreased 11.6% (-3.6% in constant currency) in the first nine months of 2013 compared to 2012 related to reduced compensation-related expenses such as salaries and variable incentive-based costs due to lower headcount, partially offset by $3.9 million of restructuring costs.</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OUP margin for APME improved to 3.2% for the third quarter of 2013 from 3.0% for the third quarter of 2012, due to the favorable impact from the decrease in salary-related costs from lower headcount, partially offset by the $1.1 million of restructuring costs in the third quarter of 2013 and slight decrease in our gross profit margin.</w:t>
      </w:r>
    </w:p>
    <w:p>
      <w:pPr>
        <w:spacing w:after="0" w:line="18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OUP margin for APME was 2.9% in the first nine months of 2013 compared to 3.1% in 2012. OUP margin decreased for the first nine months of 2013 compared to 2012 due to the decrease in our gross profit margin, $3.9 million of restructuring costs and the impact of fewer billing days, partially offset by the decrease in salary-related costs due to lower headcount.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5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Revenues from services decreased 3.6% (-1.8% in constant currency) in the third quarter of 2013 compared to 2012. The decrease was due to the decline in demand for our talent management business, as we are seeing a longer sales cycle as clients continue to defer their discretionary spending. Our countercyclical outplacement services increased slightly at 0.2% in constant currency in the third quarter of 2013 compared to 2012, as the increased volumes were offset by clients opting for programs with shorter durations.</w:t>
      </w:r>
    </w:p>
    <w:p>
      <w:pPr>
        <w:spacing w:after="0" w:line="212"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Revenues from services decreased 3.6% (-2.1% in constant currency) in the first nine months of 2013 compared to 2012. The decrease was due to the decline in demand for our talent management business, partially offset by the 1.3% increase in outplacement services in constant currency in the first nine months of 2013 compared to 2012.</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Gross profit margin decreased in both the third quarter and first nine months of 2013 compared to 2012 due to the margin deterioration in both the outplacement business and talent management business, partially offset by the change in business mix as the higher-margin outplacement business represented a greater percentage of the revenue mix.</w:t>
      </w:r>
    </w:p>
    <w:p>
      <w:pPr>
        <w:spacing w:after="0" w:line="209"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color w:val="auto"/>
        </w:rPr>
        <w:t>Selling and administrative expenses decreased 4.1% (-3.0% in constant currency) in the third quarter of 2013 compared to 2012 due mostly to the cost savings from the cost recalibration plan put in place in 2012, partially offset by the restructuring costs of $2.9 million recorded in the third quarter of 2013.</w:t>
      </w:r>
    </w:p>
    <w:p>
      <w:pPr>
        <w:spacing w:after="0" w:line="12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Selling and administrative expenses decreased 10.4% (-9.4% in constant currency) in the first nine months of 2013 compared to 2012 due to the cost savings from the cost recalibration plan put in place in 2012, as well as a decrease in restructuring costs to $9.3 million recorded in the first nine months of 2013 compared to $10.4 million in the first nine months of 2012.</w:t>
      </w:r>
    </w:p>
    <w:p>
      <w:pPr>
        <w:spacing w:after="0" w:line="209"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OUP margin for Right Management was 5.8% in the third quarter of 2013 compared to 7.0% in 2012. The OUP margin for the third quarter of 2013 decreased due to the restructuring costs of $2.9 million recorded in the third quarter of 2013 and the decline in the gross profit margin, partially offset by the decrease in selling and administrative expenses due to the cost recalibration plan noted above.</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OUP margin for Right Management was 5.9% in the first nine months of 2013 compared to 2.1% in 2012. The OUP margin for the first nine months of 2013 improved due to the decrease in selling and administrative expenses from the cost savings from the cost recalibration plan noted above as well as the decline in restructuring costs, partially offset by the decrease in the gross profit margin.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50"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Changes in our financial results include the impact of changes in foreign currency exchange rates.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20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203"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3" w:name="page24"/>
    <w:bookmarkEnd w:id="23"/>
    <w:p>
      <w:pPr>
        <w:ind w:right="60"/>
        <w:spacing w:after="0" w:line="300"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these Non-GAAP percent variances to those calculated based on our GAAP financial results is provided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gridSpan w:val="8"/>
          </w:tcPr>
          <w:p>
            <w:pPr>
              <w:jc w:val="right"/>
              <w:ind w:right="1260"/>
              <w:spacing w:after="0"/>
              <w:rPr>
                <w:sz w:val="20"/>
                <w:szCs w:val="20"/>
                <w:color w:val="auto"/>
              </w:rPr>
            </w:pPr>
            <w:r>
              <w:rPr>
                <w:rFonts w:ascii="Arial" w:cs="Arial" w:eastAsia="Arial" w:hAnsi="Arial"/>
                <w:sz w:val="18"/>
                <w:szCs w:val="18"/>
                <w:b w:val="1"/>
                <w:bCs w:val="1"/>
                <w:color w:val="auto"/>
              </w:rPr>
              <w:t>3 Months Ended September 30, 2013 Compared to 2012</w:t>
            </w:r>
          </w:p>
        </w:tc>
        <w:tc>
          <w:tcPr>
            <w:tcW w:w="9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01"/>
        </w:trPr>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Impact of</w:t>
            </w: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5"/>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Acquisitions/</w:t>
            </w: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Organic</w:t>
            </w:r>
          </w:p>
        </w:tc>
      </w:tr>
      <w:tr>
        <w:trPr>
          <w:trHeight w:val="215"/>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Variance in</w:t>
            </w: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Dispositions</w:t>
            </w: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Constant</w:t>
            </w:r>
          </w:p>
        </w:tc>
      </w:tr>
      <w:tr>
        <w:trPr>
          <w:trHeight w:val="215"/>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Reported</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Reported</w:t>
            </w: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Impact of</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Constant</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 Constant</w:t>
            </w: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Currency</w:t>
            </w:r>
          </w:p>
        </w:tc>
      </w:tr>
      <w:tr>
        <w:trPr>
          <w:trHeight w:val="236"/>
        </w:trPr>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00"/>
              <w:spacing w:after="0" w:line="229" w:lineRule="exact"/>
              <w:rPr>
                <w:sz w:val="20"/>
                <w:szCs w:val="20"/>
                <w:color w:val="auto"/>
              </w:rPr>
            </w:pPr>
            <w:r>
              <w:rPr>
                <w:rFonts w:ascii="Arial" w:cs="Arial" w:eastAsia="Arial" w:hAnsi="Arial"/>
                <w:sz w:val="18"/>
                <w:szCs w:val="18"/>
                <w:color w:val="auto"/>
                <w:w w:val="87"/>
              </w:rPr>
              <w:t>Amount</w:t>
            </w:r>
            <w:r>
              <w:rPr>
                <w:rFonts w:ascii="Arial" w:cs="Arial" w:eastAsia="Arial" w:hAnsi="Arial"/>
                <w:sz w:val="25"/>
                <w:szCs w:val="25"/>
                <w:color w:val="auto"/>
                <w:w w:val="87"/>
                <w:vertAlign w:val="superscript"/>
              </w:rPr>
              <w:t>(a)</w:t>
            </w: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Variance</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Currency</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Currency</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Currency)</w:t>
            </w: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Variance</w:t>
            </w:r>
          </w:p>
        </w:tc>
      </w:tr>
      <w:tr>
        <w:trPr>
          <w:trHeight w:val="215"/>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5"/>
        </w:trPr>
        <w:tc>
          <w:tcPr>
            <w:tcW w:w="212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5"/>
        </w:trPr>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761.8</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r>
      <w:tr>
        <w:trPr>
          <w:trHeight w:val="222"/>
        </w:trPr>
        <w:tc>
          <w:tcPr>
            <w:tcW w:w="2120" w:type="dxa"/>
            <w:vAlign w:val="bottom"/>
          </w:tcPr>
          <w:p>
            <w:pPr>
              <w:ind w:left="14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382.0</w:t>
            </w: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9"/>
                <w:szCs w:val="19"/>
                <w:color w:val="auto"/>
              </w:rPr>
            </w:pPr>
          </w:p>
        </w:tc>
      </w:tr>
      <w:tr>
        <w:trPr>
          <w:trHeight w:val="222"/>
        </w:trPr>
        <w:tc>
          <w:tcPr>
            <w:tcW w:w="2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w:t>
            </w: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3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CCEEFF"/>
            </w:tcBorders>
            <w:shd w:val="clear" w:color="auto" w:fill="CCEEFF"/>
          </w:tcPr>
          <w:p>
            <w:pPr>
              <w:spacing w:after="0"/>
              <w:rPr>
                <w:sz w:val="19"/>
                <w:szCs w:val="19"/>
                <w:color w:val="auto"/>
              </w:rPr>
            </w:pPr>
          </w:p>
        </w:tc>
      </w:tr>
      <w:tr>
        <w:trPr>
          <w:trHeight w:val="215"/>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5"/>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5"/>
        </w:trPr>
        <w:tc>
          <w:tcPr>
            <w:tcW w:w="2120" w:type="dxa"/>
            <w:vAlign w:val="bottom"/>
          </w:tcPr>
          <w:p>
            <w:pPr>
              <w:ind w:left="14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1,420.7</w:t>
            </w:r>
          </w:p>
        </w:tc>
        <w:tc>
          <w:tcPr>
            <w:tcW w:w="120" w:type="dxa"/>
            <w:vAlign w:val="bottom"/>
          </w:tcPr>
          <w:p>
            <w:pPr>
              <w:spacing w:after="0"/>
              <w:rPr>
                <w:sz w:val="18"/>
                <w:szCs w:val="18"/>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2.1</w:t>
            </w: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r>
      <w:tr>
        <w:trPr>
          <w:trHeight w:val="215"/>
        </w:trPr>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Italy</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269.7</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r>
      <w:tr>
        <w:trPr>
          <w:trHeight w:val="222"/>
        </w:trPr>
        <w:tc>
          <w:tcPr>
            <w:tcW w:w="2120" w:type="dxa"/>
            <w:vAlign w:val="bottom"/>
          </w:tcPr>
          <w:p>
            <w:pPr>
              <w:ind w:left="140"/>
              <w:spacing w:after="0"/>
              <w:rPr>
                <w:sz w:val="20"/>
                <w:szCs w:val="20"/>
                <w:color w:val="auto"/>
              </w:rPr>
            </w:pPr>
            <w:r>
              <w:rPr>
                <w:rFonts w:ascii="Arial" w:cs="Arial" w:eastAsia="Arial" w:hAnsi="Arial"/>
                <w:sz w:val="18"/>
                <w:szCs w:val="18"/>
                <w:color w:val="auto"/>
              </w:rPr>
              <w:t>Other Southern Europe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227.9</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20.4</w:t>
            </w: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7.9</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12.5</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9"/>
                <w:szCs w:val="19"/>
                <w:color w:val="auto"/>
              </w:rPr>
            </w:pPr>
          </w:p>
        </w:tc>
      </w:tr>
      <w:tr>
        <w:trPr>
          <w:trHeight w:val="222"/>
        </w:trPr>
        <w:tc>
          <w:tcPr>
            <w:tcW w:w="2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1,918.3</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w:t>
            </w:r>
          </w:p>
        </w:tc>
        <w:tc>
          <w:tcPr>
            <w:tcW w:w="16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r>
      <w:tr>
        <w:trPr>
          <w:trHeight w:val="215"/>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5"/>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r>
      <w:tr>
        <w:trPr>
          <w:trHeight w:val="215"/>
        </w:trPr>
        <w:tc>
          <w:tcPr>
            <w:tcW w:w="2120" w:type="dxa"/>
            <w:vAlign w:val="bottom"/>
          </w:tcPr>
          <w:p>
            <w:pPr>
              <w:spacing w:after="0"/>
              <w:rPr>
                <w:sz w:val="20"/>
                <w:szCs w:val="20"/>
                <w:color w:val="auto"/>
              </w:rPr>
            </w:pPr>
            <w:r>
              <w:rPr>
                <w:rFonts w:ascii="Arial" w:cs="Arial" w:eastAsia="Arial" w:hAnsi="Arial"/>
                <w:sz w:val="18"/>
                <w:szCs w:val="18"/>
                <w:color w:val="auto"/>
              </w:rPr>
              <w:t>APME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601.4</w:t>
            </w: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(12.6)</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(11.4)</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r>
      <w:tr>
        <w:trPr>
          <w:trHeight w:val="222"/>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r>
      <w:tr>
        <w:trPr>
          <w:trHeight w:val="215"/>
        </w:trPr>
        <w:tc>
          <w:tcPr>
            <w:tcW w:w="2120" w:type="dxa"/>
            <w:vAlign w:val="bottom"/>
          </w:tcPr>
          <w:p>
            <w:pPr>
              <w:spacing w:after="0"/>
              <w:rPr>
                <w:sz w:val="20"/>
                <w:szCs w:val="20"/>
                <w:color w:val="auto"/>
              </w:rPr>
            </w:pPr>
            <w:r>
              <w:rPr>
                <w:rFonts w:ascii="Arial" w:cs="Arial" w:eastAsia="Arial" w:hAnsi="Arial"/>
                <w:sz w:val="18"/>
                <w:szCs w:val="18"/>
                <w:color w:val="auto"/>
              </w:rPr>
              <w:t>Consolidated</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5,188.8</w:t>
            </w:r>
          </w:p>
        </w:tc>
        <w:tc>
          <w:tcPr>
            <w:tcW w:w="120" w:type="dxa"/>
            <w:vAlign w:val="bottom"/>
          </w:tcPr>
          <w:p>
            <w:pPr>
              <w:spacing w:after="0"/>
              <w:rPr>
                <w:sz w:val="18"/>
                <w:szCs w:val="18"/>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r>
      <w:tr>
        <w:trPr>
          <w:trHeight w:val="20"/>
        </w:trPr>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2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5"/>
        </w:trPr>
        <w:tc>
          <w:tcPr>
            <w:tcW w:w="2120" w:type="dxa"/>
            <w:vAlign w:val="bottom"/>
          </w:tcPr>
          <w:p>
            <w:pPr>
              <w:spacing w:after="0"/>
              <w:rPr>
                <w:sz w:val="20"/>
                <w:szCs w:val="20"/>
                <w:color w:val="auto"/>
              </w:rPr>
            </w:pPr>
            <w:r>
              <w:rPr>
                <w:rFonts w:ascii="Arial" w:cs="Arial" w:eastAsia="Arial" w:hAnsi="Arial"/>
                <w:sz w:val="18"/>
                <w:szCs w:val="18"/>
                <w:color w:val="auto"/>
              </w:rPr>
              <w:t>Gross Profit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853.6</w:t>
            </w: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r>
      <w:tr>
        <w:trPr>
          <w:trHeight w:val="201"/>
        </w:trPr>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and</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29"/>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691.2</w:t>
            </w: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Operating Profit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162.4</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37.1</w:t>
            </w: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35.8</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34.9</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September 30, 2013.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0"/>
        </w:trPr>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8"/>
          </w:tcPr>
          <w:p>
            <w:pPr>
              <w:jc w:val="right"/>
              <w:ind w:right="1420"/>
              <w:spacing w:after="0"/>
              <w:rPr>
                <w:sz w:val="20"/>
                <w:szCs w:val="20"/>
                <w:color w:val="auto"/>
              </w:rPr>
            </w:pPr>
            <w:r>
              <w:rPr>
                <w:rFonts w:ascii="Arial" w:cs="Arial" w:eastAsia="Arial" w:hAnsi="Arial"/>
                <w:sz w:val="18"/>
                <w:szCs w:val="18"/>
                <w:b w:val="1"/>
                <w:bCs w:val="1"/>
                <w:color w:val="auto"/>
              </w:rPr>
              <w:t>9 Months Ended September 30, 2013 Compared to 2012</w:t>
            </w: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01"/>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94"/>
              </w:rPr>
              <w:t>Impact of</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5"/>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Acquisitions/</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Organic</w:t>
            </w:r>
          </w:p>
        </w:tc>
      </w:tr>
      <w:tr>
        <w:trPr>
          <w:trHeight w:val="215"/>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Variance in</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Dispositions</w:t>
            </w: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Constant</w:t>
            </w:r>
          </w:p>
        </w:tc>
      </w:tr>
      <w:tr>
        <w:trPr>
          <w:trHeight w:val="215"/>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Reported</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Reported</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Impact of</w:t>
            </w: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Constant</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 Constant</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Currency</w:t>
            </w:r>
          </w:p>
        </w:tc>
      </w:tr>
      <w:tr>
        <w:trPr>
          <w:trHeight w:val="236"/>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Amount(a)</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Variance</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Currency</w:t>
            </w: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Currency</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Currency)</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Variance</w:t>
            </w:r>
          </w:p>
        </w:tc>
      </w:tr>
      <w:tr>
        <w:trPr>
          <w:trHeight w:val="215"/>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Americas: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5"/>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2,216.4</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22"/>
        </w:trPr>
        <w:tc>
          <w:tcPr>
            <w:tcW w:w="2420" w:type="dxa"/>
            <w:vAlign w:val="bottom"/>
          </w:tcPr>
          <w:p>
            <w:pPr>
              <w:ind w:left="140"/>
              <w:spacing w:after="0"/>
              <w:rPr>
                <w:sz w:val="20"/>
                <w:szCs w:val="20"/>
                <w:color w:val="auto"/>
              </w:rPr>
            </w:pPr>
            <w:r>
              <w:rPr>
                <w:rFonts w:ascii="Arial" w:cs="Arial" w:eastAsia="Arial" w:hAnsi="Arial"/>
                <w:sz w:val="18"/>
                <w:szCs w:val="18"/>
                <w:color w:val="auto"/>
              </w:rPr>
              <w:t>Other Americas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1,156.1</w:t>
            </w:r>
          </w:p>
        </w:tc>
        <w:tc>
          <w:tcPr>
            <w:tcW w:w="140" w:type="dxa"/>
            <w:vAlign w:val="bottom"/>
          </w:tcPr>
          <w:p>
            <w:pPr>
              <w:spacing w:after="0"/>
              <w:rPr>
                <w:sz w:val="19"/>
                <w:szCs w:val="19"/>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8"/>
                <w:szCs w:val="18"/>
                <w:color w:val="auto"/>
              </w:rPr>
              <w:t>(2.0)</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r>
      <w:tr>
        <w:trPr>
          <w:trHeight w:val="222"/>
        </w:trPr>
        <w:tc>
          <w:tcPr>
            <w:tcW w:w="2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3,372.5</w:t>
            </w:r>
          </w:p>
        </w:tc>
        <w:tc>
          <w:tcPr>
            <w:tcW w:w="1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17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4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r>
      <w:tr>
        <w:trPr>
          <w:trHeight w:val="215"/>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5"/>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5"/>
        </w:trPr>
        <w:tc>
          <w:tcPr>
            <w:tcW w:w="2420" w:type="dxa"/>
            <w:vAlign w:val="bottom"/>
          </w:tcPr>
          <w:p>
            <w:pPr>
              <w:ind w:left="140"/>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3,886.5</w:t>
            </w:r>
          </w:p>
        </w:tc>
        <w:tc>
          <w:tcPr>
            <w:tcW w:w="140" w:type="dxa"/>
            <w:vAlign w:val="bottom"/>
          </w:tcPr>
          <w:p>
            <w:pPr>
              <w:spacing w:after="0"/>
              <w:rPr>
                <w:sz w:val="18"/>
                <w:szCs w:val="18"/>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8"/>
                <w:szCs w:val="18"/>
                <w:color w:val="auto"/>
              </w:rPr>
              <w:t>(5.5)</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(8.1)</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r>
      <w:tr>
        <w:trPr>
          <w:trHeight w:val="215"/>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Italy</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806.0</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w:t>
            </w: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r>
      <w:tr>
        <w:trPr>
          <w:trHeight w:val="222"/>
        </w:trPr>
        <w:tc>
          <w:tcPr>
            <w:tcW w:w="2420" w:type="dxa"/>
            <w:vAlign w:val="bottom"/>
          </w:tcPr>
          <w:p>
            <w:pPr>
              <w:ind w:left="140"/>
              <w:spacing w:after="0"/>
              <w:rPr>
                <w:sz w:val="20"/>
                <w:szCs w:val="20"/>
                <w:color w:val="auto"/>
              </w:rPr>
            </w:pPr>
            <w:r>
              <w:rPr>
                <w:rFonts w:ascii="Arial" w:cs="Arial" w:eastAsia="Arial" w:hAnsi="Arial"/>
                <w:sz w:val="18"/>
                <w:szCs w:val="18"/>
                <w:color w:val="auto"/>
              </w:rPr>
              <w:t>Other Southern Europe</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624.3</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8.7</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r>
      <w:tr>
        <w:trPr>
          <w:trHeight w:val="222"/>
        </w:trPr>
        <w:tc>
          <w:tcPr>
            <w:tcW w:w="2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5,316.8</w:t>
            </w:r>
          </w:p>
        </w:tc>
        <w:tc>
          <w:tcPr>
            <w:tcW w:w="1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w:t>
            </w:r>
          </w:p>
        </w:tc>
        <w:tc>
          <w:tcPr>
            <w:tcW w:w="17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14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1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r>
      <w:tr>
        <w:trPr>
          <w:trHeight w:val="215"/>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5"/>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4,217.2</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APME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1,857.2</w:t>
            </w:r>
          </w:p>
        </w:tc>
        <w:tc>
          <w:tcPr>
            <w:tcW w:w="140" w:type="dxa"/>
            <w:vAlign w:val="bottom"/>
          </w:tcPr>
          <w:p>
            <w:pPr>
              <w:spacing w:after="0"/>
              <w:rPr>
                <w:sz w:val="18"/>
                <w:szCs w:val="18"/>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(8.4)</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r>
      <w:tr>
        <w:trPr>
          <w:trHeight w:val="215"/>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234.7</w:t>
            </w: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r>
      <w:tr>
        <w:trPr>
          <w:trHeight w:val="27"/>
        </w:trPr>
        <w:tc>
          <w:tcPr>
            <w:tcW w:w="2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14,998.4</w:t>
            </w:r>
          </w:p>
        </w:tc>
        <w:tc>
          <w:tcPr>
            <w:tcW w:w="1840" w:type="dxa"/>
            <w:vAlign w:val="bottom"/>
            <w:gridSpan w:val="2"/>
          </w:tcPr>
          <w:p>
            <w:pPr>
              <w:jc w:val="right"/>
              <w:ind w:right="520"/>
              <w:spacing w:after="0"/>
              <w:rPr>
                <w:sz w:val="20"/>
                <w:szCs w:val="20"/>
                <w:color w:val="auto"/>
              </w:rPr>
            </w:pPr>
            <w:r>
              <w:rPr>
                <w:rFonts w:ascii="Arial" w:cs="Arial" w:eastAsia="Arial" w:hAnsi="Arial"/>
                <w:sz w:val="18"/>
                <w:szCs w:val="18"/>
                <w:color w:val="auto"/>
              </w:rPr>
              <w:t>(3.1)</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2,480.1</w:t>
            </w:r>
          </w:p>
        </w:tc>
        <w:tc>
          <w:tcPr>
            <w:tcW w:w="140" w:type="dxa"/>
            <w:vAlign w:val="bottom"/>
          </w:tcPr>
          <w:p>
            <w:pPr>
              <w:spacing w:after="0"/>
              <w:rPr>
                <w:sz w:val="18"/>
                <w:szCs w:val="18"/>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8"/>
                <w:szCs w:val="18"/>
                <w:color w:val="auto"/>
              </w:rPr>
              <w:t>(3.3)</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r>
      <w:tr>
        <w:trPr>
          <w:trHeight w:val="201"/>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and</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2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w:t>
            </w:r>
          </w:p>
        </w:tc>
        <w:tc>
          <w:tcPr>
            <w:tcW w:w="1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344.9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12.4</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12.9</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12.4</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nine months ended September 30, 2013.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During the nine months of 2013, we repatriated $136.2 million of our foreign earnings. As of September 30, 2013, we had $243.0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 permanently invested. As of September 30, 2013, we have identified approximately $260.6 million of non-United States earnings that are not permanently invested. We may repatriate additional earnings in the future as cash needs arise.</w:t>
      </w:r>
    </w:p>
    <w:p>
      <w:pPr>
        <w:spacing w:after="0" w:line="20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Cash provided by operating activities was $111.7 million during the first nine months of 2013 compared to a cash outflow of $14.6 million during the first nine months of 2012. This increase is primarily due to changes in our operating assets and liabilities, due to the timing of collections, accruals and payments, and increased net earnings. Changes in operating assets and liabilities utilized $183.3 million of cash during the first nine months of 2013 compared to $263.8 million during the first nine months of 2012.</w:t>
      </w:r>
    </w:p>
    <w:p>
      <w:pPr>
        <w:spacing w:after="0" w:line="2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Accounts receivable increased to $4,294.1 million as of September 30, 2013 from $4,179.0 million as of December 31, 2012. This increase was primarily due to the seasonal increase in revenue. DSO (Days Sales Outstanding) improved one day compared to September 30, 2012. At constant exchange rates, the September 30, 2013 balance would have been approximately $5.0 million higher than reported.</w:t>
      </w:r>
    </w:p>
    <w:p>
      <w:pPr>
        <w:spacing w:after="0" w:line="182"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Capital expenditures were $33.6 million in the first nine months of 2013 compared to $48.6 million in the first nine months of 2012. These expenditures were primarily comprised of purchases of computer equipment, office furniture and other costs related to office openings and refurbishments. The expenditures were lower in the first nine months of 2013 as we are doing fewer office refurbishments and leasehold improvement projects due to our simplification plan.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5" w:name="page26"/>
    <w:bookmarkEnd w:id="25"/>
    <w:p>
      <w:pPr>
        <w:jc w:val="both"/>
        <w:spacing w:after="0" w:line="275"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was $18.2 million and $46.0 million for the first nine months of 2013 and 2012, respectively.</w:t>
      </w:r>
    </w:p>
    <w:p>
      <w:pPr>
        <w:spacing w:after="0" w:line="19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Net debt payments were $266.2 million in the first nine months of 2013 as we paid off our €200.0 million 4.75% notes with available cash upon maturity in June 2013. Net debt borrowings were an inflow of $41.0 million in the first nine months of 2012.</w:t>
      </w:r>
    </w:p>
    <w:p>
      <w:pPr>
        <w:spacing w:after="0" w:line="19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€350.0 million 4.5% notes are due June 2018. When these notes mature, we plan to repay them with available cash, borrowings under our revolving credit agreement, or a new borrowing. The credit terms of any replacement borrowings, including interest rate and facility fees, will be dependent upon the condition of the credit markets at that time. We currently do not anticipate any problems accessing the credit markets should we need additional financing.</w:t>
      </w:r>
    </w:p>
    <w:p>
      <w:pPr>
        <w:spacing w:after="0" w:line="14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On October 15, 2013, we amended and restated our Five-Year Credit Agreement (“the Amended Agreement”) with a syndicate of commercial banks to, among other things: decrease the revolving commitments from $800.0 million to $600.0 million, revise the termination date of the facility from October 5, 2016 to October 15, 2018, and permit the termination date of the facility to be extended by an additional year twice during the term of the Amended Agreement. The remaining material terms and conditions of the Amended Agreement are substantially similar to the material terms and conditions of our Five-Year Credit Agreement dated October 5, 2011.</w:t>
      </w:r>
    </w:p>
    <w:p>
      <w:pPr>
        <w:spacing w:after="0" w:line="21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September 30, 2013, we had letters of credit totaling $0.9 million issued under our Five-Year Credit Agreement. Additional borrowings of $799.1 million were available to us under the credit agreement as of September 30, 2013. Under the Amended Agreement, this availability would have been $599.1 million.</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Five-Year Credit Agreement, as well as the Amended Agreement, require that we comply with a leverage ratio (Debt-to-EBITDA) of not greater than 3.5 to 1 and a fixed charge coverage ratio of not less than 1.5 to 1. As defined in these agreements, we had a Debt-to-EBITDA ratio of 0.74 to 1 and a fixed charge coverage ratio of 3.04 to 1 as of September 30, 2013. Based on our current forecast, we expect to be in compliance with our financial covenants for the next 12 months.</w:t>
      </w:r>
    </w:p>
    <w:p>
      <w:pPr>
        <w:spacing w:after="0" w:line="2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September 30, 2013, such credit lines totaled $446.9 million, of which $403.8 million was unused. Under the Five-Year Credit Agreement, as well as the Amended Agreement, total subsidiary borrowings cannot exceed $300.0 million in the first, second and fourth quarters, and $600.0 million in the third quarter of each year. Due to this limitation, additional borrowings of $556.9 million could have been made under these lines as of September 30, 2013.</w:t>
      </w:r>
    </w:p>
    <w:p>
      <w:pPr>
        <w:spacing w:after="0" w:line="2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2012, the Board of Directors authorized the repurchase of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No repurchases were made during the first nine months of 2013. During the first nine months of 2012, we purchased a total of 1,178,897 shares, comprised of 619,257 shares under the 2010 authorization and 559,640 shares under the 2011 authorization. As of September 30, 2013, there were 8.0 million shares remaining authorized for repurchase under the 2012 authorization and no shares remaining under any previous authorizations.</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On April 30, 2013, the Board of Directors declared a semi-annual cash dividend of $0.46 per share, which was paid on June 14, 2013 to shareholders of record on June 3, 2013.</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On October 29, 2013, the Board of Directors declared a cash dividend of $0.46 per share, which is payable on December 13, 2013 to shareholders of record on December 3, 2013.</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and certain other commitments of $1,723.9 million as of September 30, 2013 compared to $1,989.1 million as of December 31, 2012.</w:t>
      </w:r>
    </w:p>
    <w:p>
      <w:pPr>
        <w:spacing w:after="0" w:line="17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$164.4 million and $166.8 million as of September 30, 2013 and December 31, 2012, respectively, consisting of $126.1 million and $128.9 million for guarantees, respectively, and $38.3 million and $37.9 million for stand-by letters of credit,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$1.3 million and $1.2 million in the first nine months of 2013 and 2012, respectively.</w:t>
      </w:r>
    </w:p>
    <w:p>
      <w:pPr>
        <w:spacing w:after="0" w:line="17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We recorded net restructuring costs of $62.9 million and $22.2 million in the nine months ended September 30, 2013 and 2012, respectively, in selling and administrative expenses, related to severances and office closures in several countries. During the nine months ended September 30, 2013, we made payments of $62.8 million out of our restructuring reserve. We expect a majority of the remaining $41.5 million reserve will be paid by the end of 2014. Changes in the restructuring costs by reportable segment and Corporate are shown in Note 5 to the Consolidated Financial Statements.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26" w:name="page27"/>
    <w:bookmarkEnd w:id="26"/>
    <w:p>
      <w:pPr>
        <w:ind w:right="360"/>
        <w:spacing w:after="0" w:line="286" w:lineRule="auto"/>
        <w:rPr>
          <w:sz w:val="20"/>
          <w:szCs w:val="20"/>
          <w:color w:val="auto"/>
        </w:rPr>
      </w:pPr>
      <w:r>
        <w:rPr>
          <w:rFonts w:ascii="Arial" w:cs="Arial" w:eastAsia="Arial" w:hAnsi="Arial"/>
          <w:sz w:val="16"/>
          <w:szCs w:val="16"/>
          <w:color w:val="auto"/>
        </w:rPr>
        <w:t>In the fourth quarter of 2012, we implemented a simplification and cost recalibration plan that impacts all of our segments as well as our corporate functions. The goal of our plan is to simplify our organization by creating the right agility and speed, and focuses around four different areas: organization design, programs, delivery models, and technology structure. As a result of this plan, we expect a reduction in selling and administrative expenses of over</w:t>
      </w:r>
    </w:p>
    <w:p>
      <w:pPr>
        <w:spacing w:after="0" w:line="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$150 million in 2013. We expect that we will fully realize the annualized cost savings of over $180 million in 2014. We anticipate further restructuring costs in 2013 to achieve these expense savings as we continue to execute our plan.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accordance with the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8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2013 and determined that there was no impairment of our goodwill or our indefinite-lived intangible assets.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Significant assumptions used in our annual goodwill impairment test during the third quarter of 2013 included: expected future revenue growth rates, operating unit profit margins, and working capital levels; discount rates ranging from 11.7% to 16.5%;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 inclusive of simplification and cost recalibration activities since the fourth quarter of 2012.</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table below provides a sample of our reporting units’ estimated fair values and carrying values, which were determined as part of our annual goodwill impairment test performed in the third quarter ended September 30, 2013. The reporting units included below represent approximately 70% of our consolidated goodwill balance as of September 30, 2013.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Right</w:t>
            </w:r>
          </w:p>
        </w:tc>
      </w:tr>
      <w:tr>
        <w:trPr>
          <w:trHeight w:val="240"/>
        </w:trPr>
        <w:tc>
          <w:tcPr>
            <w:tcW w:w="38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2280" w:type="dxa"/>
            <w:vAlign w:val="bottom"/>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United States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Netherlands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France</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Management</w:t>
            </w:r>
          </w:p>
        </w:tc>
        <w:tc>
          <w:tcPr>
            <w:tcW w:w="100" w:type="dxa"/>
            <w:vAlign w:val="bottom"/>
          </w:tcPr>
          <w:p>
            <w:pPr>
              <w:spacing w:after="0"/>
              <w:rPr>
                <w:sz w:val="20"/>
                <w:szCs w:val="20"/>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values</w:t>
            </w:r>
          </w:p>
        </w:tc>
        <w:tc>
          <w:tcPr>
            <w:tcW w:w="2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Carrying values</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977.8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537.6</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25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French government passed legislation effective January 1, 2013 to improve competitiveness and reduce employment costs by offering payroll tax credits to most French and foreign enterprises subject to corporate tax in France. This law, CICE, provides credits based on a percentage of wages paid to employees receiving less than two and a half times the French minimum wage. The payroll tax credit is equal to 4% of eligible wages in 2013 and increases to 6% of eligible wages starting in 2014. We will receive the credit as a reduction of our current income taxes payable, with any amounts not creditable against our current income tax payable being paid to us after three years. Given the amount of our current income taxes payable, we expect the majority of the cash to be received at the end of this three-year carry forward period. We intend to use the credit to invest in employment opportunities and to improve our competitiveness, as required by the law. We are uncertain what impact, if any, this credit will have on overall market pricing or on client requests for pricing concessions, either of which could reduce the net benefit we receive from these credits. The CICE credit is accounted for as a reduction of our cost of services in the period earned, and has had a favorable impact on our consolidated gross profit margin, as well as our margins in France and Southern Europe.</w:t>
      </w:r>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Germany, the Confederation of German Trade Unions (representing eight German trade unions and over six million people) and the Employer’s Association of the Temporary Staffing Industry (representing two major temporary worker employers’ associations) entered into a new Collective Labor Agreement effective November 2013. The agreement will require higher wages to temporary employees and higher cost for vacation, sick pay and temporary staff time accounts, and will take effect between November 2013 and January 2014. This agreement is similar to nine other Collective Labor Agreements which became effective between November 2012 and July 2013. These changes will all have an unfavorable impact on our gross profit margin in Germany, as we pass on many of these additional costs to the client without a mark-up. However, we currently do not expect a significant impact on our consolidated or Northern Europe financial results.</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2013, the employer mandate provisions of the new U.S. healthcare legislation, Patient Protection and Affordable Care Act (PPACA), were delayed until 2015 from the original effective date of 2014. The employer mandate provisions of PPACA are expected to have the greatest financial impact on us and our clients with U.S.-based employees. We expect this legislation will increase the employment costs of our permanent employees and our associates, but we continue to assess the potential impact. Our intention is to pass on to our U.S. clients any cost increases related to our associates, however there is no assurance that we will be fully successful.</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2012,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Our 2012 Annual Report on Form 10-K contains certain disclosures about market risks affecting us. There have been no material changes to the information provided which would require additional disclosures as of the date of this filing.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220"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2012, the Board of Directors authorized the repurchase of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As of September 30, 2013, there were 8.0 million shares remaining authorized for repurchase under the 2012 authorization and no amounts remain under prior authorizations. The following table shows the total amount of shares repurchased during the third quarter of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18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Maximum number of</w:t>
            </w:r>
          </w:p>
        </w:tc>
      </w:tr>
      <w:tr>
        <w:trPr>
          <w:trHeight w:val="215"/>
        </w:trPr>
        <w:tc>
          <w:tcPr>
            <w:tcW w:w="43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Total number</w:t>
            </w: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80" w:type="dxa"/>
            <w:vAlign w:val="bottom"/>
          </w:tcPr>
          <w:p>
            <w:pPr>
              <w:spacing w:after="0"/>
              <w:rPr>
                <w:sz w:val="18"/>
                <w:szCs w:val="18"/>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shares that may yet be</w:t>
            </w:r>
          </w:p>
        </w:tc>
      </w:tr>
      <w:tr>
        <w:trPr>
          <w:trHeight w:val="215"/>
        </w:trPr>
        <w:tc>
          <w:tcPr>
            <w:tcW w:w="43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of shares</w:t>
            </w:r>
          </w:p>
        </w:tc>
        <w:tc>
          <w:tcPr>
            <w:tcW w:w="140" w:type="dxa"/>
            <w:vAlign w:val="bottom"/>
          </w:tcPr>
          <w:p>
            <w:pPr>
              <w:spacing w:after="0"/>
              <w:rPr>
                <w:sz w:val="18"/>
                <w:szCs w:val="18"/>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Average price paid</w:t>
            </w:r>
          </w:p>
        </w:tc>
        <w:tc>
          <w:tcPr>
            <w:tcW w:w="164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announced plans or</w:t>
            </w:r>
          </w:p>
        </w:tc>
        <w:tc>
          <w:tcPr>
            <w:tcW w:w="180" w:type="dxa"/>
            <w:vAlign w:val="bottom"/>
          </w:tcPr>
          <w:p>
            <w:pPr>
              <w:spacing w:after="0"/>
              <w:rPr>
                <w:sz w:val="18"/>
                <w:szCs w:val="18"/>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purchased under the</w:t>
            </w:r>
          </w:p>
        </w:tc>
      </w:tr>
      <w:tr>
        <w:trPr>
          <w:trHeight w:val="240"/>
        </w:trPr>
        <w:tc>
          <w:tcPr>
            <w:tcW w:w="43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per share</w:t>
            </w:r>
          </w:p>
        </w:tc>
        <w:tc>
          <w:tcPr>
            <w:tcW w:w="16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programs</w:t>
            </w: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20" w:type="dxa"/>
            <w:vAlign w:val="bottom"/>
          </w:tcPr>
          <w:p>
            <w:pPr>
              <w:spacing w:after="0"/>
              <w:rPr>
                <w:sz w:val="20"/>
                <w:szCs w:val="20"/>
                <w:color w:val="auto"/>
              </w:rPr>
            </w:pPr>
          </w:p>
        </w:tc>
      </w:tr>
      <w:tr>
        <w:trPr>
          <w:trHeight w:val="215"/>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July 1- 31, 2013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r>
              <w:rPr>
                <w:rFonts w:ascii="Arial" w:cs="Arial" w:eastAsia="Arial" w:hAnsi="Arial"/>
                <w:sz w:val="12"/>
                <w:szCs w:val="12"/>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55.34</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tcPr>
          <w:p>
            <w:pPr>
              <w:spacing w:after="0"/>
              <w:rPr>
                <w:sz w:val="18"/>
                <w:szCs w:val="18"/>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August 1 - 31, 2013</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tcPr>
          <w:p>
            <w:pPr>
              <w:spacing w:after="0"/>
              <w:rPr>
                <w:sz w:val="18"/>
                <w:szCs w:val="18"/>
                <w:color w:val="auto"/>
              </w:rPr>
            </w:pPr>
          </w:p>
        </w:tc>
      </w:tr>
      <w:tr>
        <w:trPr>
          <w:trHeight w:val="215"/>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September 1 - 30, 2013</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tcPr>
          <w:p>
            <w:pPr>
              <w:spacing w:after="0"/>
              <w:rPr>
                <w:sz w:val="18"/>
                <w:szCs w:val="18"/>
                <w:color w:val="auto"/>
              </w:rPr>
            </w:pPr>
          </w:p>
        </w:tc>
      </w:tr>
    </w:tbl>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Shares of restricted stock delivered by a director to ManpowerGroup, upon vesting, to satisfy tax withholding requirements.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2013:</w:t>
      </w:r>
    </w:p>
    <w:p>
      <w:pPr>
        <w:spacing w:after="0" w:line="198"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50" w:lineRule="exact"/>
        <w:rPr>
          <w:rFonts w:ascii="Arial" w:cs="Arial" w:eastAsia="Arial" w:hAnsi="Arial"/>
          <w:sz w:val="18"/>
          <w:szCs w:val="18"/>
          <w:color w:val="auto"/>
        </w:rPr>
      </w:pPr>
    </w:p>
    <w:p>
      <w:pPr>
        <w:ind w:left="380" w:right="940" w:hanging="372"/>
        <w:spacing w:after="0" w:line="306"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 and</w:t>
      </w:r>
    </w:p>
    <w:p>
      <w:pPr>
        <w:spacing w:after="0" w:line="173" w:lineRule="exact"/>
        <w:rPr>
          <w:rFonts w:ascii="Arial" w:cs="Arial" w:eastAsia="Arial" w:hAnsi="Arial"/>
          <w:sz w:val="17"/>
          <w:szCs w:val="17"/>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 and other services.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Item 6 – Exhibits</w:t>
      </w:r>
    </w:p>
    <w:p>
      <w:pPr>
        <w:spacing w:after="0" w:line="223" w:lineRule="exact"/>
        <w:rPr>
          <w:sz w:val="20"/>
          <w:szCs w:val="20"/>
          <w:color w:val="auto"/>
        </w:rPr>
      </w:pPr>
    </w:p>
    <w:p>
      <w:pPr>
        <w:ind w:left="900" w:right="460" w:hanging="510"/>
        <w:spacing w:after="0" w:line="275" w:lineRule="auto"/>
        <w:tabs>
          <w:tab w:leader="none" w:pos="880" w:val="left"/>
        </w:tabs>
        <w:rPr>
          <w:sz w:val="20"/>
          <w:szCs w:val="20"/>
          <w:color w:val="auto"/>
        </w:rPr>
      </w:pPr>
      <w:r>
        <w:rPr>
          <w:rFonts w:ascii="Arial" w:cs="Arial" w:eastAsia="Arial" w:hAnsi="Arial"/>
          <w:sz w:val="18"/>
          <w:szCs w:val="18"/>
          <w:color w:val="auto"/>
        </w:rPr>
        <w:t>10.1</w:t>
        <w:tab/>
        <w:t>Severance Agreement dated August 13, 2013 between the Company and Darryl Green, Incorporated by reference to the Company’s Current Report on Form 8-K dated August 13, 2013.</w:t>
      </w:r>
    </w:p>
    <w:p>
      <w:pPr>
        <w:spacing w:after="0" w:line="198" w:lineRule="exact"/>
        <w:rPr>
          <w:sz w:val="20"/>
          <w:szCs w:val="20"/>
          <w:color w:val="auto"/>
        </w:rPr>
      </w:pPr>
    </w:p>
    <w:p>
      <w:pPr>
        <w:ind w:left="900" w:hanging="510"/>
        <w:spacing w:after="0" w:line="275" w:lineRule="auto"/>
        <w:tabs>
          <w:tab w:leader="none" w:pos="880" w:val="left"/>
        </w:tabs>
        <w:rPr>
          <w:sz w:val="20"/>
          <w:szCs w:val="20"/>
          <w:color w:val="auto"/>
        </w:rPr>
      </w:pPr>
      <w:r>
        <w:rPr>
          <w:rFonts w:ascii="Arial" w:cs="Arial" w:eastAsia="Arial" w:hAnsi="Arial"/>
          <w:sz w:val="18"/>
          <w:szCs w:val="18"/>
          <w:color w:val="auto"/>
        </w:rPr>
        <w:t>10.2</w:t>
        <w:tab/>
        <w:t>Amended and Restated Five-Year Credit Agreement dated as of October 15, 2013 among the Company, a syndicate of lenders and Citibank, N.A., as Administrative Agent for the lenders.</w:t>
      </w:r>
    </w:p>
    <w:p>
      <w:pPr>
        <w:spacing w:after="0" w:line="198"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0"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 1934.</w:t>
      </w:r>
    </w:p>
    <w:p>
      <w:pPr>
        <w:spacing w:after="0" w:line="250" w:lineRule="exact"/>
        <w:rPr>
          <w:sz w:val="20"/>
          <w:szCs w:val="20"/>
          <w:color w:val="auto"/>
        </w:rPr>
      </w:pPr>
    </w:p>
    <w:p>
      <w:pPr>
        <w:ind w:left="900" w:right="380" w:hanging="510"/>
        <w:spacing w:after="0" w:line="275" w:lineRule="auto"/>
        <w:tabs>
          <w:tab w:leader="none" w:pos="880" w:val="left"/>
        </w:tabs>
        <w:rPr>
          <w:sz w:val="20"/>
          <w:szCs w:val="20"/>
          <w:color w:val="auto"/>
        </w:rPr>
      </w:pPr>
      <w:r>
        <w:rPr>
          <w:rFonts w:ascii="Arial" w:cs="Arial" w:eastAsia="Arial" w:hAnsi="Arial"/>
          <w:sz w:val="18"/>
          <w:szCs w:val="18"/>
          <w:color w:val="auto"/>
        </w:rPr>
        <w:t>31.2</w:t>
        <w:tab/>
        <w:t>Certification of Michael J. Van Handel, Executive Vice President and Chief Financial Officer, pursuant to Section 13a-14(a) of the Securities Exchange Act of 1934.</w:t>
      </w:r>
    </w:p>
    <w:p>
      <w:pPr>
        <w:spacing w:after="0" w:line="198"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0"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0" w:lineRule="exact"/>
        <w:rPr>
          <w:sz w:val="20"/>
          <w:szCs w:val="20"/>
          <w:color w:val="auto"/>
        </w:rPr>
      </w:pPr>
    </w:p>
    <w:p>
      <w:pPr>
        <w:ind w:left="900" w:right="400" w:hanging="516"/>
        <w:spacing w:after="0" w:line="310"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September 30, 2013,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273" w:right="279" w:bottom="1440" w:gutter="0" w:footer="0" w:header="0"/>
        </w:sectPr>
      </w:pPr>
    </w:p>
    <w:bookmarkStart w:id="30" w:name="page31"/>
    <w:bookmarkEnd w:id="30"/>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2633980</wp:posOffset>
            </wp:positionH>
            <wp:positionV relativeFrom="paragraph">
              <wp:posOffset>13970</wp:posOffset>
            </wp:positionV>
            <wp:extent cx="19716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1675" cy="17145"/>
                    </a:xfrm>
                    <a:prstGeom prst="rect">
                      <a:avLst/>
                    </a:prstGeom>
                    <a:noFill/>
                  </pic:spPr>
                </pic:pic>
              </a:graphicData>
            </a:graphic>
          </wp:anchor>
        </w:drawing>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2013</w:t>
      </w:r>
    </w:p>
    <w:p>
      <w:pPr>
        <w:spacing w:after="0" w:line="2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13970</wp:posOffset>
            </wp:positionV>
            <wp:extent cx="41744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74490" cy="17145"/>
                    </a:xfrm>
                    <a:prstGeom prst="rect">
                      <a:avLst/>
                    </a:prstGeom>
                    <a:noFill/>
                  </pic:spPr>
                </pic:pic>
              </a:graphicData>
            </a:graphic>
          </wp:anchor>
        </w:drawing>
      </w:r>
    </w:p>
    <w:p>
      <w:pPr>
        <w:spacing w:after="0" w:line="1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Executive Vice President and Chief Financial Officer</w:t>
      </w:r>
    </w:p>
    <w:p>
      <w:pPr>
        <w:spacing w:after="0" w:line="8" w:lineRule="exact"/>
        <w:rPr>
          <w:sz w:val="20"/>
          <w:szCs w:val="20"/>
          <w:color w:val="auto"/>
        </w:rPr>
      </w:pPr>
    </w:p>
    <w:p>
      <w:pPr>
        <w:ind w:left="2220" w:right="2700"/>
        <w:spacing w:after="0" w:line="258" w:lineRule="auto"/>
        <w:rPr>
          <w:sz w:val="20"/>
          <w:szCs w:val="20"/>
          <w:color w:val="auto"/>
        </w:rPr>
      </w:pPr>
      <w:r>
        <w:rPr>
          <w:rFonts w:ascii="Arial" w:cs="Arial" w:eastAsia="Arial" w:hAnsi="Arial"/>
          <w:sz w:val="18"/>
          <w:szCs w:val="18"/>
          <w:color w:val="auto"/>
        </w:rPr>
        <w:t>(Signing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20"/>
          </w:cols>
          <w:pgMar w:left="240" w:top="941" w:right="4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5"/>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Exhibit</w:t>
            </w:r>
          </w:p>
        </w:tc>
        <w:tc>
          <w:tcPr>
            <w:tcW w:w="120" w:type="dxa"/>
            <w:vAlign w:val="bottom"/>
          </w:tcPr>
          <w:p>
            <w:pPr>
              <w:spacing w:after="0"/>
              <w:rPr>
                <w:sz w:val="18"/>
                <w:szCs w:val="18"/>
                <w:color w:val="auto"/>
              </w:rPr>
            </w:pPr>
          </w:p>
        </w:tc>
        <w:tc>
          <w:tcPr>
            <w:tcW w:w="10520" w:type="dxa"/>
            <w:vAlign w:val="bottom"/>
          </w:tcPr>
          <w:p>
            <w:pPr>
              <w:spacing w:after="0"/>
              <w:rPr>
                <w:sz w:val="18"/>
                <w:szCs w:val="18"/>
                <w:color w:val="auto"/>
              </w:rPr>
            </w:pPr>
          </w:p>
        </w:tc>
      </w:tr>
      <w:tr>
        <w:trPr>
          <w:trHeight w:val="236"/>
        </w:trPr>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No.</w:t>
            </w:r>
          </w:p>
        </w:tc>
        <w:tc>
          <w:tcPr>
            <w:tcW w:w="120" w:type="dxa"/>
            <w:vAlign w:val="bottom"/>
          </w:tcPr>
          <w:p>
            <w:pPr>
              <w:spacing w:after="0"/>
              <w:rPr>
                <w:sz w:val="20"/>
                <w:szCs w:val="20"/>
                <w:color w:val="auto"/>
              </w:rPr>
            </w:pPr>
          </w:p>
        </w:tc>
        <w:tc>
          <w:tcPr>
            <w:tcW w:w="10520" w:type="dxa"/>
            <w:vAlign w:val="bottom"/>
            <w:tcBorders>
              <w:bottom w:val="single" w:sz="8" w:color="auto"/>
            </w:tcBorders>
          </w:tcPr>
          <w:p>
            <w:pPr>
              <w:ind w:left="4840"/>
              <w:spacing w:after="0"/>
              <w:rPr>
                <w:sz w:val="20"/>
                <w:szCs w:val="20"/>
                <w:color w:val="auto"/>
              </w:rPr>
            </w:pPr>
            <w:r>
              <w:rPr>
                <w:rFonts w:ascii="Arial" w:cs="Arial" w:eastAsia="Arial" w:hAnsi="Arial"/>
                <w:sz w:val="18"/>
                <w:szCs w:val="18"/>
                <w:color w:val="auto"/>
              </w:rPr>
              <w:t>Description</w:t>
            </w:r>
          </w:p>
        </w:tc>
      </w:tr>
      <w:tr>
        <w:trPr>
          <w:trHeight w:val="416"/>
        </w:trPr>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w w:val="93"/>
              </w:rPr>
              <w:t>Severance Agreement dated August 13, 2013 between the Company and Darryl Green, Incorporated by reference to the Company’s Current</w:t>
            </w:r>
          </w:p>
        </w:tc>
      </w:tr>
      <w:tr>
        <w:trPr>
          <w:trHeight w:val="230"/>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Report on Form 8-K dated August 13, 2013.</w:t>
            </w:r>
          </w:p>
        </w:tc>
      </w:tr>
      <w:tr>
        <w:trPr>
          <w:trHeight w:val="442"/>
        </w:trPr>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w w:val="89"/>
              </w:rPr>
              <w:t>Amended and Restated Five-Year Credit Agreement dated as of October 15, 2013 among the Company, a syndicate of lenders and Citibank, N.A.,</w:t>
            </w:r>
          </w:p>
        </w:tc>
      </w:tr>
      <w:tr>
        <w:trPr>
          <w:trHeight w:val="230"/>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as Administrative Agent for the lenders.</w:t>
            </w:r>
          </w:p>
        </w:tc>
      </w:tr>
      <w:tr>
        <w:trPr>
          <w:trHeight w:val="457"/>
        </w:trPr>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57"/>
        </w:trPr>
        <w:tc>
          <w:tcPr>
            <w:tcW w:w="78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w w:val="92"/>
              </w:rPr>
              <w:t>Certification of Jeffrey A. Joerres, Chairman and Chief Executive Officer, pursuant to Section 13a-14(a) of the Securities Exchange Act of 1934.</w:t>
            </w:r>
          </w:p>
        </w:tc>
      </w:tr>
      <w:tr>
        <w:trPr>
          <w:trHeight w:val="442"/>
        </w:trPr>
        <w:tc>
          <w:tcPr>
            <w:tcW w:w="7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w w:val="94"/>
              </w:rPr>
              <w:t>Certification of Michael J. Van Handel, Executive Vice President and Chief Financial Officer, pursuant to Section 13a-14(a) of the Securities</w:t>
            </w:r>
          </w:p>
        </w:tc>
      </w:tr>
      <w:tr>
        <w:trPr>
          <w:trHeight w:val="230"/>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Exchange Act of 1934.</w:t>
            </w:r>
          </w:p>
        </w:tc>
      </w:tr>
      <w:tr>
        <w:trPr>
          <w:trHeight w:val="457"/>
        </w:trPr>
        <w:tc>
          <w:tcPr>
            <w:tcW w:w="78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457"/>
        </w:trPr>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bl>
    <w:p>
      <w:pPr>
        <w:spacing w:after="0" w:line="227" w:lineRule="exact"/>
        <w:rPr>
          <w:sz w:val="20"/>
          <w:szCs w:val="20"/>
          <w:color w:val="auto"/>
        </w:rPr>
      </w:pPr>
    </w:p>
    <w:p>
      <w:pPr>
        <w:ind w:left="900" w:right="440" w:hanging="516"/>
        <w:spacing w:after="0" w:line="310"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September 30, 2013,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99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10.2</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$600,000,000</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FIVE YEAR CREDIT AGREEMENT</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Dated as of October 15, 2013</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Among</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MANPOWERGROUP INC.</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as Borrower</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INITIAL LENDERS NAMED HEREIN</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as Initial Lenders</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CITIBANK, N.A.</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as Administrative Agent</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BNP PARIBAS</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as Syndication Agent</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 BANK NATIONAL ASSOCIATION</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RBS CITIZENS, N.A.</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BARCLAYS BANK PLC</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BANK OF TOKYO-MITSUBISHI UFJ, LTD.</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UNICREDIT BANK AG, NEW YORK BRANCH</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as Documentation Agents</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CITIGROUP GLOBAL MARKETS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BNP PARIBAS SECURITIES CORP.</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J.P. MORGAN SECURITIES LLC</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as Joint Lead Arrangers and Book Managers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 ManpowerGroup Five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267970</wp:posOffset>
            </wp:positionV>
            <wp:extent cx="725106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Accounting Terms</w:t>
      </w:r>
    </w:p>
    <w:p>
      <w:pPr>
        <w:spacing w:after="0" w:line="25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ARTICLE II</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Revolving Credit Advances and the Letters of Credit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Making the Revolving Credit Advances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[Reserved]</w:t>
      </w:r>
      <w:r>
        <w:rPr>
          <w:rFonts w:ascii="Arial" w:cs="Arial" w:eastAsia="Arial" w:hAnsi="Arial"/>
          <w:sz w:val="18"/>
          <w:szCs w:val="18"/>
          <w:color w:val="auto"/>
        </w:rPr>
        <w:t>18</w:t>
      </w:r>
    </w:p>
    <w:p>
      <w:pPr>
        <w:spacing w:after="0" w:line="250" w:lineRule="exact"/>
        <w:rPr>
          <w:sz w:val="20"/>
          <w:szCs w:val="20"/>
          <w:color w:val="auto"/>
        </w:rPr>
      </w:pPr>
    </w:p>
    <w:p>
      <w:pPr>
        <w:ind w:left="320" w:right="2400"/>
        <w:spacing w:after="0" w:line="52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Issuance of and Drawings and Reimbursement Under Letters of Credit</w:t>
      </w:r>
      <w:r>
        <w:rPr>
          <w:rFonts w:ascii="Arial" w:cs="Arial" w:eastAsia="Arial" w:hAnsi="Arial"/>
          <w:sz w:val="18"/>
          <w:szCs w:val="18"/>
          <w:color w:val="auto"/>
        </w:rPr>
        <w:t xml:space="preserve"> SECTION 2.05. </w:t>
      </w:r>
      <w:r>
        <w:rPr>
          <w:rFonts w:ascii="Arial" w:cs="Arial" w:eastAsia="Arial" w:hAnsi="Arial"/>
          <w:sz w:val="18"/>
          <w:szCs w:val="18"/>
          <w:u w:val="single" w:color="auto"/>
          <w:color w:val="auto"/>
        </w:rPr>
        <w:t>Fees</w:t>
      </w:r>
    </w:p>
    <w:p>
      <w:pPr>
        <w:spacing w:after="0" w:line="2" w:lineRule="exact"/>
        <w:rPr>
          <w:sz w:val="20"/>
          <w:szCs w:val="20"/>
          <w:color w:val="auto"/>
        </w:rPr>
      </w:pPr>
    </w:p>
    <w:p>
      <w:pPr>
        <w:ind w:left="320" w:right="2880"/>
        <w:spacing w:after="0" w:line="529" w:lineRule="auto"/>
        <w:rPr>
          <w:sz w:val="20"/>
          <w:szCs w:val="20"/>
          <w:color w:val="auto"/>
        </w:rPr>
      </w:pPr>
      <w:r>
        <w:rPr>
          <w:rFonts w:ascii="Arial" w:cs="Arial" w:eastAsia="Arial" w:hAnsi="Arial"/>
          <w:sz w:val="18"/>
          <w:szCs w:val="18"/>
          <w:color w:val="auto"/>
        </w:rPr>
        <w:t xml:space="preserve">SECTION 2.06. Optional </w:t>
      </w:r>
      <w:r>
        <w:rPr>
          <w:rFonts w:ascii="Arial" w:cs="Arial" w:eastAsia="Arial" w:hAnsi="Arial"/>
          <w:sz w:val="18"/>
          <w:szCs w:val="18"/>
          <w:u w:val="single" w:color="auto"/>
          <w:color w:val="auto"/>
        </w:rPr>
        <w:t>Termination or Reduction of the Commitments</w:t>
      </w:r>
      <w:r>
        <w:rPr>
          <w:rFonts w:ascii="Arial" w:cs="Arial" w:eastAsia="Arial" w:hAnsi="Arial"/>
          <w:sz w:val="18"/>
          <w:szCs w:val="18"/>
          <w:color w:val="auto"/>
        </w:rPr>
        <w:t xml:space="preserve"> SECTION 2.07. </w:t>
      </w:r>
      <w:r>
        <w:rPr>
          <w:rFonts w:ascii="Arial" w:cs="Arial" w:eastAsia="Arial" w:hAnsi="Arial"/>
          <w:sz w:val="18"/>
          <w:szCs w:val="18"/>
          <w:u w:val="single" w:color="auto"/>
          <w:color w:val="auto"/>
        </w:rPr>
        <w:t>Repayment of Revolving Credit Advances and Letters of Credit</w:t>
      </w:r>
      <w:r>
        <w:rPr>
          <w:rFonts w:ascii="Arial" w:cs="Arial" w:eastAsia="Arial" w:hAnsi="Arial"/>
          <w:sz w:val="18"/>
          <w:szCs w:val="18"/>
          <w:color w:val="auto"/>
        </w:rPr>
        <w:t xml:space="preserve"> SECTION 2.08. </w:t>
      </w:r>
      <w:r>
        <w:rPr>
          <w:rFonts w:ascii="Arial" w:cs="Arial" w:eastAsia="Arial" w:hAnsi="Arial"/>
          <w:sz w:val="18"/>
          <w:szCs w:val="18"/>
          <w:u w:val="single" w:color="auto"/>
          <w:color w:val="auto"/>
        </w:rPr>
        <w:t>Interest on Revolving Credit Advances</w:t>
      </w:r>
      <w:r>
        <w:rPr>
          <w:rFonts w:ascii="Arial" w:cs="Arial" w:eastAsia="Arial" w:hAnsi="Arial"/>
          <w:sz w:val="18"/>
          <w:szCs w:val="18"/>
          <w:color w:val="auto"/>
        </w:rPr>
        <w:t xml:space="preserve"> SECTION 2.09. </w:t>
      </w:r>
      <w:r>
        <w:rPr>
          <w:rFonts w:ascii="Arial" w:cs="Arial" w:eastAsia="Arial" w:hAnsi="Arial"/>
          <w:sz w:val="18"/>
          <w:szCs w:val="18"/>
          <w:u w:val="single" w:color="auto"/>
          <w:color w:val="auto"/>
        </w:rPr>
        <w:t>Interest Rate Determination</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Optional Conversion of Revolving Credit Advances</w:t>
      </w:r>
    </w:p>
    <w:p>
      <w:pPr>
        <w:spacing w:after="0" w:line="250" w:lineRule="exact"/>
        <w:rPr>
          <w:sz w:val="20"/>
          <w:szCs w:val="20"/>
          <w:color w:val="auto"/>
        </w:rPr>
      </w:pPr>
    </w:p>
    <w:p>
      <w:pPr>
        <w:ind w:left="320" w:right="2100"/>
        <w:spacing w:after="0" w:line="52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Prepayments of Revolving Credit Advances and Letter of Credit Advances</w:t>
      </w:r>
      <w:r>
        <w:rPr>
          <w:rFonts w:ascii="Arial" w:cs="Arial" w:eastAsia="Arial" w:hAnsi="Arial"/>
          <w:sz w:val="18"/>
          <w:szCs w:val="18"/>
          <w:color w:val="auto"/>
        </w:rPr>
        <w:t xml:space="preserve"> SECTION 2.12. </w:t>
      </w:r>
      <w:r>
        <w:rPr>
          <w:rFonts w:ascii="Arial" w:cs="Arial" w:eastAsia="Arial" w:hAnsi="Arial"/>
          <w:sz w:val="18"/>
          <w:szCs w:val="18"/>
          <w:u w:val="single" w:color="auto"/>
          <w:color w:val="auto"/>
        </w:rPr>
        <w:t>Increased Costs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Illegality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Payments and Computations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Taxes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Sharing of Payments, Etc</w:t>
      </w:r>
      <w:r>
        <w:rPr>
          <w:rFonts w:ascii="Arial" w:cs="Arial" w:eastAsia="Arial" w:hAnsi="Arial"/>
          <w:sz w:val="18"/>
          <w:szCs w:val="18"/>
          <w:color w:val="auto"/>
        </w:rPr>
        <w: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Evidence of Debt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Use of Proceeds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Increase in the Aggregate Commitments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Replacement of Lenders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Extension of Termination Date</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Amendment and Restatement</w:t>
      </w:r>
    </w:p>
    <w:p>
      <w:pPr>
        <w:spacing w:after="0" w:line="250" w:lineRule="exact"/>
        <w:rPr>
          <w:sz w:val="20"/>
          <w:szCs w:val="20"/>
          <w:color w:val="auto"/>
        </w:rPr>
      </w:pPr>
    </w:p>
    <w:p>
      <w:pPr>
        <w:ind w:left="320"/>
        <w:spacing w:after="0" w:line="52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Conditions Precedent to Each Borrowing, Each Issuance of Letters of Credit and Commitment Increase</w:t>
      </w:r>
      <w:r>
        <w:rPr>
          <w:rFonts w:ascii="Arial" w:cs="Arial" w:eastAsia="Arial" w:hAnsi="Arial"/>
          <w:sz w:val="18"/>
          <w:szCs w:val="18"/>
          <w:color w:val="auto"/>
        </w:rPr>
        <w:t xml:space="preserve">. SECTION 3.03. </w:t>
      </w:r>
      <w:r>
        <w:rPr>
          <w:rFonts w:ascii="Arial" w:cs="Arial" w:eastAsia="Arial" w:hAnsi="Arial"/>
          <w:sz w:val="18"/>
          <w:szCs w:val="18"/>
          <w:u w:val="single" w:color="auto"/>
          <w:color w:val="auto"/>
        </w:rPr>
        <w:t>Determinations Under Section 3.01</w:t>
      </w:r>
    </w:p>
    <w:p>
      <w:pPr>
        <w:spacing w:after="0" w:line="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ARTICLE IV</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p>
    <w:p>
      <w:pPr>
        <w:sectPr>
          <w:pgSz w:w="11900" w:h="16838" w:orient="portrait"/>
          <w:cols w:equalWidth="0" w:num="1">
            <w:col w:w="9020"/>
          </w:cols>
          <w:pgMar w:left="1440" w:top="511" w:right="1439" w:bottom="0" w:gutter="0" w:footer="0" w:header="0"/>
        </w:sectPr>
      </w:pPr>
    </w:p>
    <w:bookmarkStart w:id="34" w:name="page35"/>
    <w:bookmarkEnd w:id="34"/>
    <w:p>
      <w:pPr>
        <w:ind w:left="5260"/>
        <w:spacing w:after="0"/>
        <w:rPr>
          <w:sz w:val="20"/>
          <w:szCs w:val="20"/>
          <w:color w:val="auto"/>
        </w:rPr>
      </w:pPr>
      <w:r>
        <w:rPr>
          <w:rFonts w:ascii="Arial" w:cs="Arial" w:eastAsia="Arial" w:hAnsi="Arial"/>
          <w:sz w:val="18"/>
          <w:szCs w:val="18"/>
          <w:color w:val="auto"/>
        </w:rPr>
        <w:t>ARTICLE V</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Negative Covenants</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Financial Covenants</w:t>
      </w:r>
    </w:p>
    <w:p>
      <w:pPr>
        <w:spacing w:after="0" w:line="2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VI</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p>
    <w:p>
      <w:pPr>
        <w:spacing w:after="0" w:line="250" w:lineRule="exact"/>
        <w:rPr>
          <w:sz w:val="20"/>
          <w:szCs w:val="20"/>
          <w:color w:val="auto"/>
        </w:rPr>
      </w:pPr>
    </w:p>
    <w:p>
      <w:pPr>
        <w:jc w:val="right"/>
        <w:ind w:right="3439"/>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Actions in Respect of the Letters of Credit upon Default</w:t>
      </w:r>
    </w:p>
    <w:p>
      <w:pPr>
        <w:spacing w:after="0" w:line="2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Appointment and Authority</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Rights as a Lender</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Exculpatory Provisions</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Reliance by Agent</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Indemnification</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Delegation of Duties</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Resignation of Agent</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Non-Reliance on Agent and Other Lenders</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No Other Duties, etc</w:t>
      </w:r>
    </w:p>
    <w:p>
      <w:pPr>
        <w:spacing w:after="0" w:line="2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VIII</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Etc</w:t>
      </w:r>
      <w:r>
        <w:rPr>
          <w:rFonts w:ascii="Arial" w:cs="Arial" w:eastAsia="Arial" w:hAnsi="Arial"/>
          <w:sz w:val="18"/>
          <w:szCs w:val="18"/>
          <w:color w:val="auto"/>
        </w:rPr>
        <w:t>.</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Notices; Effectiveness; Electronic Communication</w:t>
      </w:r>
      <w:r>
        <w:rPr>
          <w:rFonts w:ascii="Arial" w:cs="Arial" w:eastAsia="Arial" w:hAnsi="Arial"/>
          <w:sz w:val="17"/>
          <w:szCs w:val="17"/>
          <w:color w:val="auto"/>
        </w:rPr>
        <w:t>.</w:t>
      </w:r>
    </w:p>
    <w:p>
      <w:pPr>
        <w:spacing w:after="0" w:line="26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No Waiver; Remedies</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Costs and Expenses</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Right of Set-off</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Binding Effect</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Assignments and Participations</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Confidentiality</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Governing Law</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Execution in Counterparts</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Judgment</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Jurisdiction, Etc</w:t>
      </w:r>
      <w:r>
        <w:rPr>
          <w:rFonts w:ascii="Arial" w:cs="Arial" w:eastAsia="Arial" w:hAnsi="Arial"/>
          <w:sz w:val="18"/>
          <w:szCs w:val="18"/>
          <w:color w:val="auto"/>
        </w:rPr>
        <w:t>.</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Substitution of Currency</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u w:val="single" w:color="auto"/>
          <w:color w:val="auto"/>
        </w:rPr>
        <w:t>No Liability of the Lenders as Letter of Credit Issuers</w:t>
      </w:r>
    </w:p>
    <w:p>
      <w:pPr>
        <w:spacing w:after="0" w:line="26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Patriot Act</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No Fiduciary Duty</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Waiver of Jury Trial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w:t>
      </w:r>
    </w:p>
    <w:p>
      <w:pPr>
        <w:sectPr>
          <w:pgSz w:w="11900" w:h="16838" w:orient="portrait"/>
          <w:cols w:equalWidth="0" w:num="1">
            <w:col w:w="10219"/>
          </w:cols>
          <w:pgMar w:left="240" w:top="125" w:right="1440"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1400" w:type="dxa"/>
            <w:vAlign w:val="bottom"/>
            <w:gridSpan w:val="2"/>
          </w:tcPr>
          <w:p>
            <w:pPr>
              <w:spacing w:after="0"/>
              <w:rPr>
                <w:sz w:val="20"/>
                <w:szCs w:val="20"/>
                <w:color w:val="auto"/>
              </w:rPr>
            </w:pPr>
            <w:r>
              <w:rPr>
                <w:rFonts w:ascii="Arial" w:cs="Arial" w:eastAsia="Arial" w:hAnsi="Arial"/>
                <w:sz w:val="18"/>
                <w:szCs w:val="18"/>
                <w:color w:val="auto"/>
              </w:rPr>
              <w:t>Schedule I</w:t>
            </w:r>
          </w:p>
        </w:tc>
        <w:tc>
          <w:tcPr>
            <w:tcW w:w="300" w:type="dxa"/>
            <w:vAlign w:val="bottom"/>
          </w:tcPr>
          <w:p>
            <w:pPr>
              <w:spacing w:after="0"/>
              <w:rPr>
                <w:sz w:val="19"/>
                <w:szCs w:val="19"/>
                <w:color w:val="auto"/>
              </w:rPr>
            </w:pPr>
          </w:p>
        </w:tc>
        <w:tc>
          <w:tcPr>
            <w:tcW w:w="3560" w:type="dxa"/>
            <w:vAlign w:val="bottom"/>
            <w:gridSpan w:val="2"/>
          </w:tcPr>
          <w:p>
            <w:pPr>
              <w:ind w:left="60"/>
              <w:spacing w:after="0"/>
              <w:rPr>
                <w:sz w:val="20"/>
                <w:szCs w:val="20"/>
                <w:color w:val="auto"/>
              </w:rPr>
            </w:pPr>
            <w:r>
              <w:rPr>
                <w:rFonts w:ascii="Arial" w:cs="Arial" w:eastAsia="Arial" w:hAnsi="Arial"/>
                <w:sz w:val="18"/>
                <w:szCs w:val="18"/>
                <w:color w:val="auto"/>
              </w:rPr>
              <w:t>-   List of Applicable Lending Offices</w:t>
            </w:r>
          </w:p>
        </w:tc>
      </w:tr>
      <w:tr>
        <w:trPr>
          <w:trHeight w:val="457"/>
        </w:trPr>
        <w:tc>
          <w:tcPr>
            <w:tcW w:w="1400" w:type="dxa"/>
            <w:vAlign w:val="bottom"/>
            <w:gridSpan w:val="2"/>
          </w:tcPr>
          <w:p>
            <w:pPr>
              <w:spacing w:after="0"/>
              <w:rPr>
                <w:sz w:val="20"/>
                <w:szCs w:val="20"/>
                <w:color w:val="auto"/>
              </w:rPr>
            </w:pPr>
            <w:r>
              <w:rPr>
                <w:rFonts w:ascii="Arial" w:cs="Arial" w:eastAsia="Arial" w:hAnsi="Arial"/>
                <w:sz w:val="18"/>
                <w:szCs w:val="18"/>
                <w:color w:val="auto"/>
              </w:rPr>
              <w:t>Schedule 2.04(f)</w:t>
            </w:r>
          </w:p>
        </w:tc>
        <w:tc>
          <w:tcPr>
            <w:tcW w:w="300" w:type="dxa"/>
            <w:vAlign w:val="bottom"/>
          </w:tcPr>
          <w:p>
            <w:pPr>
              <w:spacing w:after="0"/>
              <w:rPr>
                <w:sz w:val="24"/>
                <w:szCs w:val="24"/>
                <w:color w:val="auto"/>
              </w:rPr>
            </w:pPr>
          </w:p>
        </w:tc>
        <w:tc>
          <w:tcPr>
            <w:tcW w:w="1360" w:type="dxa"/>
            <w:vAlign w:val="bottom"/>
          </w:tcPr>
          <w:p>
            <w:pPr>
              <w:ind w:left="940"/>
              <w:spacing w:after="0"/>
              <w:rPr>
                <w:sz w:val="20"/>
                <w:szCs w:val="20"/>
                <w:color w:val="auto"/>
              </w:rPr>
            </w:pPr>
            <w:r>
              <w:rPr>
                <w:rFonts w:ascii="Arial" w:cs="Arial" w:eastAsia="Arial" w:hAnsi="Arial"/>
                <w:sz w:val="18"/>
                <w:szCs w:val="18"/>
                <w:color w:val="auto"/>
              </w:rPr>
              <w:t>-</w:t>
            </w:r>
          </w:p>
        </w:tc>
        <w:tc>
          <w:tcPr>
            <w:tcW w:w="2200" w:type="dxa"/>
            <w:vAlign w:val="bottom"/>
          </w:tcPr>
          <w:p>
            <w:pPr>
              <w:ind w:left="120"/>
              <w:spacing w:after="0"/>
              <w:rPr>
                <w:sz w:val="20"/>
                <w:szCs w:val="20"/>
                <w:color w:val="auto"/>
              </w:rPr>
            </w:pPr>
            <w:r>
              <w:rPr>
                <w:rFonts w:ascii="Arial" w:cs="Arial" w:eastAsia="Arial" w:hAnsi="Arial"/>
                <w:sz w:val="18"/>
                <w:szCs w:val="18"/>
                <w:color w:val="auto"/>
              </w:rPr>
              <w:t>Letters of Credit</w:t>
            </w:r>
          </w:p>
        </w:tc>
      </w:tr>
      <w:tr>
        <w:trPr>
          <w:trHeight w:val="457"/>
        </w:trPr>
        <w:tc>
          <w:tcPr>
            <w:tcW w:w="1400" w:type="dxa"/>
            <w:vAlign w:val="bottom"/>
            <w:gridSpan w:val="2"/>
          </w:tcPr>
          <w:p>
            <w:pPr>
              <w:spacing w:after="0"/>
              <w:rPr>
                <w:sz w:val="20"/>
                <w:szCs w:val="20"/>
                <w:color w:val="auto"/>
              </w:rPr>
            </w:pPr>
            <w:r>
              <w:rPr>
                <w:rFonts w:ascii="Arial" w:cs="Arial" w:eastAsia="Arial" w:hAnsi="Arial"/>
                <w:sz w:val="18"/>
                <w:szCs w:val="18"/>
                <w:color w:val="auto"/>
              </w:rPr>
              <w:t>Schedule 5.02(a)</w:t>
            </w:r>
          </w:p>
        </w:tc>
        <w:tc>
          <w:tcPr>
            <w:tcW w:w="300" w:type="dxa"/>
            <w:vAlign w:val="bottom"/>
          </w:tcPr>
          <w:p>
            <w:pPr>
              <w:spacing w:after="0"/>
              <w:rPr>
                <w:sz w:val="24"/>
                <w:szCs w:val="24"/>
                <w:color w:val="auto"/>
              </w:rPr>
            </w:pP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2200" w:type="dxa"/>
            <w:vAlign w:val="bottom"/>
          </w:tcPr>
          <w:p>
            <w:pPr>
              <w:ind w:left="140"/>
              <w:spacing w:after="0"/>
              <w:rPr>
                <w:sz w:val="20"/>
                <w:szCs w:val="20"/>
                <w:color w:val="auto"/>
              </w:rPr>
            </w:pPr>
            <w:r>
              <w:rPr>
                <w:rFonts w:ascii="Arial" w:cs="Arial" w:eastAsia="Arial" w:hAnsi="Arial"/>
                <w:sz w:val="18"/>
                <w:szCs w:val="18"/>
                <w:color w:val="auto"/>
              </w:rPr>
              <w:t>Existing Liens</w:t>
            </w:r>
          </w:p>
        </w:tc>
      </w:tr>
      <w:tr>
        <w:trPr>
          <w:trHeight w:val="416"/>
        </w:trPr>
        <w:tc>
          <w:tcPr>
            <w:tcW w:w="14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78"/>
        </w:trPr>
        <w:tc>
          <w:tcPr>
            <w:tcW w:w="140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260"/>
              <w:spacing w:after="0"/>
              <w:rPr>
                <w:sz w:val="20"/>
                <w:szCs w:val="20"/>
                <w:color w:val="auto"/>
              </w:rPr>
            </w:pPr>
            <w:r>
              <w:rPr>
                <w:rFonts w:ascii="Arial" w:cs="Arial" w:eastAsia="Arial" w:hAnsi="Arial"/>
                <w:sz w:val="18"/>
                <w:szCs w:val="18"/>
                <w:color w:val="auto"/>
              </w:rPr>
              <w:t>Form of Note</w:t>
            </w:r>
          </w:p>
        </w:tc>
        <w:tc>
          <w:tcPr>
            <w:tcW w:w="2200" w:type="dxa"/>
            <w:vAlign w:val="bottom"/>
          </w:tcPr>
          <w:p>
            <w:pPr>
              <w:spacing w:after="0"/>
              <w:rPr>
                <w:sz w:val="24"/>
                <w:szCs w:val="24"/>
                <w:color w:val="auto"/>
              </w:rPr>
            </w:pPr>
          </w:p>
        </w:tc>
      </w:tr>
      <w:tr>
        <w:trPr>
          <w:trHeight w:val="457"/>
        </w:trPr>
        <w:tc>
          <w:tcPr>
            <w:tcW w:w="140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560" w:type="dxa"/>
            <w:vAlign w:val="bottom"/>
            <w:gridSpan w:val="2"/>
          </w:tcPr>
          <w:p>
            <w:pPr>
              <w:ind w:left="260"/>
              <w:spacing w:after="0"/>
              <w:rPr>
                <w:sz w:val="20"/>
                <w:szCs w:val="20"/>
                <w:color w:val="auto"/>
              </w:rPr>
            </w:pPr>
            <w:r>
              <w:rPr>
                <w:rFonts w:ascii="Arial" w:cs="Arial" w:eastAsia="Arial" w:hAnsi="Arial"/>
                <w:sz w:val="18"/>
                <w:szCs w:val="18"/>
                <w:color w:val="auto"/>
              </w:rPr>
              <w:t>Form of Notice of Borrowing</w:t>
            </w:r>
          </w:p>
        </w:tc>
      </w:tr>
      <w:tr>
        <w:trPr>
          <w:trHeight w:val="457"/>
        </w:trPr>
        <w:tc>
          <w:tcPr>
            <w:tcW w:w="140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560" w:type="dxa"/>
            <w:vAlign w:val="bottom"/>
            <w:gridSpan w:val="2"/>
          </w:tcPr>
          <w:p>
            <w:pPr>
              <w:ind w:left="260"/>
              <w:spacing w:after="0"/>
              <w:rPr>
                <w:sz w:val="20"/>
                <w:szCs w:val="20"/>
                <w:color w:val="auto"/>
              </w:rPr>
            </w:pPr>
            <w:r>
              <w:rPr>
                <w:rFonts w:ascii="Arial" w:cs="Arial" w:eastAsia="Arial" w:hAnsi="Arial"/>
                <w:sz w:val="18"/>
                <w:szCs w:val="18"/>
                <w:color w:val="auto"/>
              </w:rPr>
              <w:t>Form of Assignment and Assumption</w:t>
            </w:r>
          </w:p>
        </w:tc>
      </w:tr>
      <w:tr>
        <w:trPr>
          <w:trHeight w:val="457"/>
        </w:trPr>
        <w:tc>
          <w:tcPr>
            <w:tcW w:w="140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560" w:type="dxa"/>
            <w:vAlign w:val="bottom"/>
            <w:gridSpan w:val="2"/>
          </w:tcPr>
          <w:p>
            <w:pPr>
              <w:ind w:left="280"/>
              <w:spacing w:after="0"/>
              <w:rPr>
                <w:sz w:val="20"/>
                <w:szCs w:val="20"/>
                <w:color w:val="auto"/>
              </w:rPr>
            </w:pPr>
            <w:r>
              <w:rPr>
                <w:rFonts w:ascii="Arial" w:cs="Arial" w:eastAsia="Arial" w:hAnsi="Arial"/>
                <w:sz w:val="18"/>
                <w:szCs w:val="18"/>
                <w:color w:val="auto"/>
                <w:w w:val="92"/>
              </w:rPr>
              <w:t>Form of Opinion of Counsel for the Borrower</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719" w:firstLine="52"/>
        <w:spacing w:after="0" w:line="275" w:lineRule="auto"/>
        <w:tabs>
          <w:tab w:leader="none" w:pos="1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ManpowerGroup Five Year Credit Agreement NYDOCS03/975898.3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AMENDED AND RESTATED FIVE YEAR CREDIT AGREEMENT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15, 2013</w:t>
      </w:r>
    </w:p>
    <w:p>
      <w:pPr>
        <w:spacing w:after="0" w:line="250"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MANPOWERGROUP INC., a Wisconsin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banks, financial institutions and other institutional lenders (the “</w:t>
      </w:r>
      <w:r>
        <w:rPr>
          <w:rFonts w:ascii="Arial" w:cs="Arial" w:eastAsia="Arial" w:hAnsi="Arial"/>
          <w:sz w:val="18"/>
          <w:szCs w:val="18"/>
          <w:u w:val="single" w:color="auto"/>
          <w:color w:val="auto"/>
        </w:rPr>
        <w:t>Initial Lenders</w:t>
      </w:r>
      <w:r>
        <w:rPr>
          <w:rFonts w:ascii="Arial" w:cs="Arial" w:eastAsia="Arial" w:hAnsi="Arial"/>
          <w:sz w:val="18"/>
          <w:szCs w:val="18"/>
          <w:color w:val="auto"/>
        </w:rPr>
        <w:t>”) listed on the signature pages hereof as lenders, the banks listed on the signature pages hereof as issuing banks (the “</w:t>
      </w:r>
      <w:r>
        <w:rPr>
          <w:rFonts w:ascii="Arial" w:cs="Arial" w:eastAsia="Arial" w:hAnsi="Arial"/>
          <w:sz w:val="18"/>
          <w:szCs w:val="18"/>
          <w:u w:val="single" w:color="auto"/>
          <w:color w:val="auto"/>
        </w:rPr>
        <w:t>Initial Issuing Banks</w:t>
      </w:r>
      <w:r>
        <w:rPr>
          <w:rFonts w:ascii="Arial" w:cs="Arial" w:eastAsia="Arial" w:hAnsi="Arial"/>
          <w:sz w:val="18"/>
          <w:szCs w:val="18"/>
          <w:color w:val="auto"/>
        </w:rPr>
        <w:t>”, and together with the Initial Lenders, the “</w:t>
      </w:r>
      <w:r>
        <w:rPr>
          <w:rFonts w:ascii="Arial" w:cs="Arial" w:eastAsia="Arial" w:hAnsi="Arial"/>
          <w:sz w:val="18"/>
          <w:szCs w:val="18"/>
          <w:u w:val="single" w:color="auto"/>
          <w:color w:val="auto"/>
        </w:rPr>
        <w:t>Initial Lender Parties</w:t>
      </w:r>
      <w:r>
        <w:rPr>
          <w:rFonts w:ascii="Arial" w:cs="Arial" w:eastAsia="Arial" w:hAnsi="Arial"/>
          <w:sz w:val="18"/>
          <w:szCs w:val="18"/>
          <w:color w:val="auto"/>
        </w:rPr>
        <w:t>”) and CITIBANK, N.A. (“</w:t>
      </w:r>
      <w:r>
        <w:rPr>
          <w:rFonts w:ascii="Arial" w:cs="Arial" w:eastAsia="Arial" w:hAnsi="Arial"/>
          <w:sz w:val="18"/>
          <w:szCs w:val="18"/>
          <w:u w:val="single" w:color="auto"/>
          <w:color w:val="auto"/>
        </w:rPr>
        <w:t>Citibank</w:t>
      </w:r>
      <w:r>
        <w:rPr>
          <w:rFonts w:ascii="Arial" w:cs="Arial" w:eastAsia="Arial" w:hAnsi="Arial"/>
          <w:sz w:val="18"/>
          <w:szCs w:val="18"/>
          <w:color w:val="auto"/>
        </w:rPr>
        <w:t>”), as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 Parties (as hereinafter defined), agree as follows:</w:t>
      </w:r>
    </w:p>
    <w:p>
      <w:pPr>
        <w:spacing w:after="0" w:line="212"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PRELIMINARY STATEMENT. The Borrower (formerly known as Manpower Inc.), the lenders party thereto and Citibank, as administrative agent, are parties to a Five Year Credit Agreement dated as of October 5, 2011 (the “</w:t>
      </w:r>
      <w:r>
        <w:rPr>
          <w:rFonts w:ascii="Arial" w:cs="Arial" w:eastAsia="Arial" w:hAnsi="Arial"/>
          <w:sz w:val="18"/>
          <w:szCs w:val="18"/>
          <w:u w:val="single" w:color="auto"/>
          <w:color w:val="auto"/>
        </w:rPr>
        <w:t>Existing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Subject to the satisfaction of the conditions set forth in Section 3.01 hereof, the parties hereto agree to amend and restate the Existing Credit Agreement as herein set forth.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50"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shall have the following meanings (such meanings to be equally applicable to both the singular and plural forms of the terms defined):</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Agent.</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Revolving Credit Advance or a Letter of Credit Advance.</w:t>
      </w:r>
    </w:p>
    <w:p>
      <w:pPr>
        <w:spacing w:after="0" w:line="250" w:lineRule="exact"/>
        <w:rPr>
          <w:sz w:val="20"/>
          <w:szCs w:val="20"/>
          <w:color w:val="auto"/>
        </w:rPr>
      </w:pPr>
    </w:p>
    <w:p>
      <w:pPr>
        <w:jc w:val="both"/>
        <w:ind w:left="660"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5% or more of the Voting Stock of such Person or to direct or cause the direction of the management and policies of such Person, whether through the ownership of Voting Stock, by contract or otherwise.</w:t>
      </w:r>
    </w:p>
    <w:p>
      <w:pPr>
        <w:spacing w:after="0" w:line="218" w:lineRule="exact"/>
        <w:rPr>
          <w:sz w:val="20"/>
          <w:szCs w:val="20"/>
          <w:color w:val="auto"/>
        </w:rPr>
      </w:pPr>
    </w:p>
    <w:p>
      <w:pPr>
        <w:jc w:val="both"/>
        <w:ind w:left="660" w:right="20" w:firstLine="64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Agent’s Account</w:t>
      </w:r>
      <w:r>
        <w:rPr>
          <w:rFonts w:ascii="Arial" w:cs="Arial" w:eastAsia="Arial" w:hAnsi="Arial"/>
          <w:sz w:val="16"/>
          <w:szCs w:val="16"/>
          <w:color w:val="auto"/>
        </w:rPr>
        <w:t>” means (a) in the case of Advances denominated in Dollars, the account of the Agent maintained by the Agent at Citibank at its office at 388 Greenwich Street, New York, New York 10013, aba# 021000089, Account No. 36852248, Attention: Bank Loan Syndications, or</w:t>
      </w:r>
    </w:p>
    <w:p>
      <w:pPr>
        <w:ind w:left="1300" w:right="40" w:hanging="647"/>
        <w:spacing w:after="0" w:line="521" w:lineRule="auto"/>
        <w:tabs>
          <w:tab w:leader="none" w:pos="9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such other account of the Agent as is designated in writing from time to time by the Agent to the Borrower and the Lenders for such purpose. “</w:t>
      </w:r>
      <w:r>
        <w:rPr>
          <w:rFonts w:ascii="Arial" w:cs="Arial" w:eastAsia="Arial" w:hAnsi="Arial"/>
          <w:sz w:val="18"/>
          <w:szCs w:val="18"/>
          <w:u w:val="single" w:color="auto"/>
          <w:color w:val="auto"/>
        </w:rPr>
        <w:t>Anniversary Date</w:t>
      </w:r>
      <w:r>
        <w:rPr>
          <w:rFonts w:ascii="Arial" w:cs="Arial" w:eastAsia="Arial" w:hAnsi="Arial"/>
          <w:sz w:val="18"/>
          <w:szCs w:val="18"/>
          <w:color w:val="auto"/>
        </w:rPr>
        <w:t>” has the meaning specified in Section 2.22(a).</w:t>
      </w:r>
    </w:p>
    <w:p>
      <w:pPr>
        <w:spacing w:after="0" w:line="1" w:lineRule="exact"/>
        <w:rPr>
          <w:sz w:val="20"/>
          <w:szCs w:val="20"/>
          <w:color w:val="auto"/>
        </w:rPr>
      </w:pPr>
    </w:p>
    <w:p>
      <w:pPr>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bribery or corruption.</w:t>
      </w:r>
    </w:p>
    <w:p>
      <w:pPr>
        <w:spacing w:after="0" w:line="198" w:lineRule="exact"/>
        <w:rPr>
          <w:sz w:val="20"/>
          <w:szCs w:val="20"/>
          <w:color w:val="auto"/>
        </w:rPr>
      </w:pPr>
    </w:p>
    <w:p>
      <w:pPr>
        <w:ind w:left="660"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with respect to each Lender, such Lender’s Domestic Lending Office in the case of a Base Rate Advance and such Lender’s Eurocurrency Lending Office in the case of a Eurocurrency Rate Advance.</w:t>
      </w:r>
    </w:p>
    <w:p>
      <w:pPr>
        <w:spacing w:after="0" w:line="198" w:lineRule="exact"/>
        <w:rPr>
          <w:sz w:val="20"/>
          <w:szCs w:val="20"/>
          <w:color w:val="auto"/>
        </w:rPr>
      </w:pPr>
    </w:p>
    <w:p>
      <w:pPr>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as of any date, a percentage per annum determined by reference to the Public Debt Rating in effect on such date as set forth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Public Debt Rating</w:t>
            </w:r>
          </w:p>
        </w:tc>
        <w:tc>
          <w:tcPr>
            <w:tcW w:w="41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Applicable Margin for</w:t>
            </w:r>
          </w:p>
        </w:tc>
        <w:tc>
          <w:tcPr>
            <w:tcW w:w="3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Applicable Margin for Base Rate Advances</w:t>
            </w: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S&amp;P/Moody’s</w:t>
            </w:r>
          </w:p>
        </w:tc>
        <w:tc>
          <w:tcPr>
            <w:tcW w:w="4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Eurocurrency Rate Advances</w:t>
            </w:r>
          </w:p>
        </w:tc>
        <w:tc>
          <w:tcPr>
            <w:tcW w:w="3920" w:type="dxa"/>
            <w:vAlign w:val="bottom"/>
            <w:tcBorders>
              <w:bottom w:val="single" w:sz="8" w:color="auto"/>
            </w:tcBorders>
          </w:tcPr>
          <w:p>
            <w:pPr>
              <w:spacing w:after="0"/>
              <w:rPr>
                <w:sz w:val="20"/>
                <w:szCs w:val="20"/>
                <w:color w:val="auto"/>
              </w:rPr>
            </w:pPr>
          </w:p>
        </w:tc>
      </w:tr>
      <w:tr>
        <w:trPr>
          <w:trHeight w:val="201"/>
        </w:trPr>
        <w:tc>
          <w:tcPr>
            <w:tcW w:w="3400" w:type="dxa"/>
            <w:vAlign w:val="bottom"/>
          </w:tcPr>
          <w:p>
            <w:pPr>
              <w:ind w:left="340"/>
              <w:spacing w:after="0" w:line="201" w:lineRule="exact"/>
              <w:rPr>
                <w:sz w:val="20"/>
                <w:szCs w:val="20"/>
                <w:color w:val="auto"/>
              </w:rPr>
            </w:pPr>
            <w:r>
              <w:rPr>
                <w:rFonts w:ascii="Arial" w:cs="Arial" w:eastAsia="Arial" w:hAnsi="Arial"/>
                <w:sz w:val="18"/>
                <w:szCs w:val="18"/>
                <w:color w:val="auto"/>
              </w:rPr>
              <w:t>Level 1</w:t>
            </w:r>
          </w:p>
        </w:tc>
        <w:tc>
          <w:tcPr>
            <w:tcW w:w="41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Baa1 or above</w:t>
            </w:r>
          </w:p>
        </w:tc>
        <w:tc>
          <w:tcPr>
            <w:tcW w:w="410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1.000%</w:t>
            </w:r>
          </w:p>
        </w:tc>
        <w:tc>
          <w:tcPr>
            <w:tcW w:w="39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0.000%</w:t>
            </w:r>
          </w:p>
        </w:tc>
      </w:tr>
      <w:tr>
        <w:trPr>
          <w:trHeight w:val="201"/>
        </w:trPr>
        <w:tc>
          <w:tcPr>
            <w:tcW w:w="3400" w:type="dxa"/>
            <w:vAlign w:val="bottom"/>
          </w:tcPr>
          <w:p>
            <w:pPr>
              <w:ind w:left="340"/>
              <w:spacing w:after="0" w:line="201" w:lineRule="exact"/>
              <w:rPr>
                <w:sz w:val="20"/>
                <w:szCs w:val="20"/>
                <w:color w:val="auto"/>
              </w:rPr>
            </w:pPr>
            <w:r>
              <w:rPr>
                <w:rFonts w:ascii="Arial" w:cs="Arial" w:eastAsia="Arial" w:hAnsi="Arial"/>
                <w:sz w:val="18"/>
                <w:szCs w:val="18"/>
                <w:color w:val="auto"/>
              </w:rPr>
              <w:t>Level 2</w:t>
            </w:r>
          </w:p>
        </w:tc>
        <w:tc>
          <w:tcPr>
            <w:tcW w:w="41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Baa2</w:t>
            </w:r>
          </w:p>
        </w:tc>
        <w:tc>
          <w:tcPr>
            <w:tcW w:w="410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1.075%</w:t>
            </w:r>
          </w:p>
        </w:tc>
        <w:tc>
          <w:tcPr>
            <w:tcW w:w="39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0.075%</w:t>
            </w:r>
          </w:p>
        </w:tc>
      </w:tr>
      <w:tr>
        <w:trPr>
          <w:trHeight w:val="201"/>
        </w:trPr>
        <w:tc>
          <w:tcPr>
            <w:tcW w:w="3400" w:type="dxa"/>
            <w:vAlign w:val="bottom"/>
          </w:tcPr>
          <w:p>
            <w:pPr>
              <w:ind w:left="340"/>
              <w:spacing w:after="0" w:line="201" w:lineRule="exact"/>
              <w:rPr>
                <w:sz w:val="20"/>
                <w:szCs w:val="20"/>
                <w:color w:val="auto"/>
              </w:rPr>
            </w:pPr>
            <w:r>
              <w:rPr>
                <w:rFonts w:ascii="Arial" w:cs="Arial" w:eastAsia="Arial" w:hAnsi="Arial"/>
                <w:sz w:val="18"/>
                <w:szCs w:val="18"/>
                <w:color w:val="auto"/>
              </w:rPr>
              <w:t>Level 3</w:t>
            </w:r>
          </w:p>
        </w:tc>
        <w:tc>
          <w:tcPr>
            <w:tcW w:w="41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Baa3</w:t>
            </w:r>
          </w:p>
        </w:tc>
        <w:tc>
          <w:tcPr>
            <w:tcW w:w="410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1.275%</w:t>
            </w:r>
          </w:p>
        </w:tc>
        <w:tc>
          <w:tcPr>
            <w:tcW w:w="39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0.275%</w:t>
            </w:r>
          </w:p>
        </w:tc>
      </w:tr>
      <w:tr>
        <w:trPr>
          <w:trHeight w:val="201"/>
        </w:trPr>
        <w:tc>
          <w:tcPr>
            <w:tcW w:w="3400" w:type="dxa"/>
            <w:vAlign w:val="bottom"/>
          </w:tcPr>
          <w:p>
            <w:pPr>
              <w:ind w:left="340"/>
              <w:spacing w:after="0" w:line="201" w:lineRule="exact"/>
              <w:rPr>
                <w:sz w:val="20"/>
                <w:szCs w:val="20"/>
                <w:color w:val="auto"/>
              </w:rPr>
            </w:pPr>
            <w:r>
              <w:rPr>
                <w:rFonts w:ascii="Arial" w:cs="Arial" w:eastAsia="Arial" w:hAnsi="Arial"/>
                <w:sz w:val="18"/>
                <w:szCs w:val="18"/>
                <w:color w:val="auto"/>
              </w:rPr>
              <w:t>Level 4</w:t>
            </w:r>
          </w:p>
        </w:tc>
        <w:tc>
          <w:tcPr>
            <w:tcW w:w="41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 or Ba1</w:t>
            </w:r>
          </w:p>
        </w:tc>
        <w:tc>
          <w:tcPr>
            <w:tcW w:w="410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1.500%</w:t>
            </w:r>
          </w:p>
        </w:tc>
        <w:tc>
          <w:tcPr>
            <w:tcW w:w="39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0.500%</w:t>
            </w:r>
          </w:p>
        </w:tc>
      </w:tr>
      <w:tr>
        <w:trPr>
          <w:trHeight w:val="201"/>
        </w:trPr>
        <w:tc>
          <w:tcPr>
            <w:tcW w:w="3400" w:type="dxa"/>
            <w:vAlign w:val="bottom"/>
          </w:tcPr>
          <w:p>
            <w:pPr>
              <w:ind w:left="340"/>
              <w:spacing w:after="0" w:line="201" w:lineRule="exact"/>
              <w:rPr>
                <w:sz w:val="20"/>
                <w:szCs w:val="20"/>
                <w:color w:val="auto"/>
              </w:rPr>
            </w:pPr>
            <w:r>
              <w:rPr>
                <w:rFonts w:ascii="Arial" w:cs="Arial" w:eastAsia="Arial" w:hAnsi="Arial"/>
                <w:sz w:val="18"/>
                <w:szCs w:val="18"/>
                <w:color w:val="auto"/>
              </w:rPr>
              <w:t>Level 5</w:t>
            </w:r>
          </w:p>
        </w:tc>
        <w:tc>
          <w:tcPr>
            <w:tcW w:w="41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Lower than Level 4</w:t>
            </w:r>
          </w:p>
        </w:tc>
        <w:tc>
          <w:tcPr>
            <w:tcW w:w="410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1.725%</w:t>
            </w:r>
          </w:p>
        </w:tc>
        <w:tc>
          <w:tcPr>
            <w:tcW w:w="39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0.725%</w:t>
            </w:r>
          </w:p>
        </w:tc>
      </w:tr>
    </w:tbl>
    <w:p>
      <w:pPr>
        <w:spacing w:after="0" w:line="228" w:lineRule="exact"/>
        <w:rPr>
          <w:sz w:val="20"/>
          <w:szCs w:val="20"/>
          <w:color w:val="auto"/>
        </w:rPr>
      </w:pPr>
    </w:p>
    <w:p>
      <w:pPr>
        <w:ind w:left="660"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as of any date a percentage per annum determined by reference to the Public Debt Rating in effect on such date as set forth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Public Debt Rating</w:t>
            </w:r>
          </w:p>
        </w:tc>
        <w:tc>
          <w:tcPr>
            <w:tcW w:w="64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6"/>
              </w:rPr>
              <w:t>Applicable</w:t>
            </w:r>
          </w:p>
        </w:tc>
      </w:tr>
      <w:tr>
        <w:trPr>
          <w:trHeight w:val="236"/>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S&amp;P/Moody’s</w:t>
            </w:r>
          </w:p>
        </w:tc>
        <w:tc>
          <w:tcPr>
            <w:tcW w:w="6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6"/>
              </w:rPr>
              <w:t>Percentage</w:t>
            </w:r>
          </w:p>
        </w:tc>
      </w:tr>
      <w:tr>
        <w:trPr>
          <w:trHeight w:val="201"/>
        </w:trPr>
        <w:tc>
          <w:tcPr>
            <w:tcW w:w="4960" w:type="dxa"/>
            <w:vAlign w:val="bottom"/>
          </w:tcPr>
          <w:p>
            <w:pPr>
              <w:ind w:left="340"/>
              <w:spacing w:after="0" w:line="201" w:lineRule="exact"/>
              <w:rPr>
                <w:sz w:val="20"/>
                <w:szCs w:val="20"/>
                <w:color w:val="auto"/>
              </w:rPr>
            </w:pPr>
            <w:r>
              <w:rPr>
                <w:rFonts w:ascii="Arial" w:cs="Arial" w:eastAsia="Arial" w:hAnsi="Arial"/>
                <w:sz w:val="18"/>
                <w:szCs w:val="18"/>
                <w:color w:val="auto"/>
              </w:rPr>
              <w:t>Level 1</w:t>
            </w:r>
          </w:p>
        </w:tc>
        <w:tc>
          <w:tcPr>
            <w:tcW w:w="6460" w:type="dxa"/>
            <w:vAlign w:val="bottom"/>
          </w:tcPr>
          <w:p>
            <w:pPr>
              <w:spacing w:after="0"/>
              <w:rPr>
                <w:sz w:val="17"/>
                <w:szCs w:val="17"/>
                <w:color w:val="auto"/>
              </w:rPr>
            </w:pPr>
          </w:p>
        </w:tc>
      </w:tr>
      <w:tr>
        <w:trPr>
          <w:trHeight w:val="236"/>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Baa1 or above</w:t>
            </w:r>
          </w:p>
        </w:tc>
        <w:tc>
          <w:tcPr>
            <w:tcW w:w="6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0.125%</w:t>
            </w:r>
          </w:p>
        </w:tc>
      </w:tr>
      <w:tr>
        <w:trPr>
          <w:trHeight w:val="201"/>
        </w:trPr>
        <w:tc>
          <w:tcPr>
            <w:tcW w:w="4960" w:type="dxa"/>
            <w:vAlign w:val="bottom"/>
          </w:tcPr>
          <w:p>
            <w:pPr>
              <w:ind w:left="340"/>
              <w:spacing w:after="0" w:line="201" w:lineRule="exact"/>
              <w:rPr>
                <w:sz w:val="20"/>
                <w:szCs w:val="20"/>
                <w:color w:val="auto"/>
              </w:rPr>
            </w:pPr>
            <w:r>
              <w:rPr>
                <w:rFonts w:ascii="Arial" w:cs="Arial" w:eastAsia="Arial" w:hAnsi="Arial"/>
                <w:sz w:val="18"/>
                <w:szCs w:val="18"/>
                <w:color w:val="auto"/>
              </w:rPr>
              <w:t>Level 2</w:t>
            </w:r>
          </w:p>
        </w:tc>
        <w:tc>
          <w:tcPr>
            <w:tcW w:w="6460" w:type="dxa"/>
            <w:vAlign w:val="bottom"/>
          </w:tcPr>
          <w:p>
            <w:pPr>
              <w:spacing w:after="0"/>
              <w:rPr>
                <w:sz w:val="17"/>
                <w:szCs w:val="17"/>
                <w:color w:val="auto"/>
              </w:rPr>
            </w:pPr>
          </w:p>
        </w:tc>
      </w:tr>
      <w:tr>
        <w:trPr>
          <w:trHeight w:val="236"/>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Baa2</w:t>
            </w:r>
          </w:p>
        </w:tc>
        <w:tc>
          <w:tcPr>
            <w:tcW w:w="6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0.175%</w:t>
            </w:r>
          </w:p>
        </w:tc>
      </w:tr>
      <w:tr>
        <w:trPr>
          <w:trHeight w:val="201"/>
        </w:trPr>
        <w:tc>
          <w:tcPr>
            <w:tcW w:w="4960" w:type="dxa"/>
            <w:vAlign w:val="bottom"/>
          </w:tcPr>
          <w:p>
            <w:pPr>
              <w:ind w:left="340"/>
              <w:spacing w:after="0" w:line="201" w:lineRule="exact"/>
              <w:rPr>
                <w:sz w:val="20"/>
                <w:szCs w:val="20"/>
                <w:color w:val="auto"/>
              </w:rPr>
            </w:pPr>
            <w:r>
              <w:rPr>
                <w:rFonts w:ascii="Arial" w:cs="Arial" w:eastAsia="Arial" w:hAnsi="Arial"/>
                <w:sz w:val="18"/>
                <w:szCs w:val="18"/>
                <w:color w:val="auto"/>
              </w:rPr>
              <w:t>Level 3</w:t>
            </w:r>
          </w:p>
        </w:tc>
        <w:tc>
          <w:tcPr>
            <w:tcW w:w="6460" w:type="dxa"/>
            <w:vAlign w:val="bottom"/>
          </w:tcPr>
          <w:p>
            <w:pPr>
              <w:spacing w:after="0"/>
              <w:rPr>
                <w:sz w:val="17"/>
                <w:szCs w:val="17"/>
                <w:color w:val="auto"/>
              </w:rPr>
            </w:pPr>
          </w:p>
        </w:tc>
      </w:tr>
      <w:tr>
        <w:trPr>
          <w:trHeight w:val="236"/>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Baa3</w:t>
            </w:r>
          </w:p>
        </w:tc>
        <w:tc>
          <w:tcPr>
            <w:tcW w:w="6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0.225%</w:t>
            </w:r>
          </w:p>
        </w:tc>
      </w:tr>
      <w:tr>
        <w:trPr>
          <w:trHeight w:val="230"/>
        </w:trPr>
        <w:tc>
          <w:tcPr>
            <w:tcW w:w="4960" w:type="dxa"/>
            <w:vAlign w:val="bottom"/>
          </w:tcPr>
          <w:p>
            <w:pPr>
              <w:ind w:left="340"/>
              <w:spacing w:after="0"/>
              <w:rPr>
                <w:sz w:val="20"/>
                <w:szCs w:val="20"/>
                <w:color w:val="auto"/>
              </w:rPr>
            </w:pPr>
            <w:r>
              <w:rPr>
                <w:rFonts w:ascii="Arial" w:cs="Arial" w:eastAsia="Arial" w:hAnsi="Arial"/>
                <w:sz w:val="18"/>
                <w:szCs w:val="18"/>
                <w:color w:val="auto"/>
              </w:rPr>
              <w:t>Level 4</w:t>
            </w:r>
          </w:p>
        </w:tc>
        <w:tc>
          <w:tcPr>
            <w:tcW w:w="6460" w:type="dxa"/>
            <w:vAlign w:val="bottom"/>
          </w:tcPr>
          <w:p>
            <w:pPr>
              <w:spacing w:after="0"/>
              <w:rPr>
                <w:sz w:val="19"/>
                <w:szCs w:val="19"/>
                <w:color w:val="auto"/>
              </w:rPr>
            </w:pPr>
          </w:p>
        </w:tc>
      </w:tr>
    </w:tbl>
    <w:p>
      <w:pPr>
        <w:sectPr>
          <w:pgSz w:w="11900" w:h="16838" w:orient="portrait"/>
          <w:cols w:equalWidth="0" w:num="1">
            <w:col w:w="11420"/>
          </w:cols>
          <w:pgMar w:left="240" w:top="515"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 or Ba1</w:t>
            </w:r>
          </w:p>
        </w:tc>
        <w:tc>
          <w:tcPr>
            <w:tcW w:w="6560" w:type="dxa"/>
            <w:vAlign w:val="bottom"/>
            <w:tcBorders>
              <w:bottom w:val="single" w:sz="8" w:color="auto"/>
            </w:tcBorders>
          </w:tcPr>
          <w:p>
            <w:pPr>
              <w:jc w:val="right"/>
              <w:ind w:right="2810"/>
              <w:spacing w:after="0"/>
              <w:rPr>
                <w:sz w:val="20"/>
                <w:szCs w:val="20"/>
                <w:color w:val="auto"/>
              </w:rPr>
            </w:pPr>
            <w:r>
              <w:rPr>
                <w:rFonts w:ascii="Arial" w:cs="Arial" w:eastAsia="Arial" w:hAnsi="Arial"/>
                <w:sz w:val="18"/>
                <w:szCs w:val="18"/>
                <w:color w:val="auto"/>
              </w:rPr>
              <w:t>0.250%</w:t>
            </w:r>
          </w:p>
        </w:tc>
      </w:tr>
      <w:tr>
        <w:trPr>
          <w:trHeight w:val="201"/>
        </w:trPr>
        <w:tc>
          <w:tcPr>
            <w:tcW w:w="4860" w:type="dxa"/>
            <w:vAlign w:val="bottom"/>
          </w:tcPr>
          <w:p>
            <w:pPr>
              <w:ind w:left="340"/>
              <w:spacing w:after="0" w:line="201" w:lineRule="exact"/>
              <w:rPr>
                <w:sz w:val="20"/>
                <w:szCs w:val="20"/>
                <w:color w:val="auto"/>
              </w:rPr>
            </w:pPr>
            <w:r>
              <w:rPr>
                <w:rFonts w:ascii="Arial" w:cs="Arial" w:eastAsia="Arial" w:hAnsi="Arial"/>
                <w:sz w:val="18"/>
                <w:szCs w:val="18"/>
                <w:color w:val="auto"/>
              </w:rPr>
              <w:t>Level 5</w:t>
            </w:r>
          </w:p>
        </w:tc>
        <w:tc>
          <w:tcPr>
            <w:tcW w:w="6560" w:type="dxa"/>
            <w:vAlign w:val="bottom"/>
          </w:tcPr>
          <w:p>
            <w:pPr>
              <w:spacing w:after="0"/>
              <w:rPr>
                <w:sz w:val="17"/>
                <w:szCs w:val="17"/>
                <w:color w:val="auto"/>
              </w:rPr>
            </w:pPr>
          </w:p>
        </w:tc>
      </w:tr>
      <w:tr>
        <w:trPr>
          <w:trHeight w:val="236"/>
        </w:trPr>
        <w:tc>
          <w:tcPr>
            <w:tcW w:w="48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Lower than Level 4</w:t>
            </w:r>
          </w:p>
        </w:tc>
        <w:tc>
          <w:tcPr>
            <w:tcW w:w="6560" w:type="dxa"/>
            <w:vAlign w:val="bottom"/>
            <w:tcBorders>
              <w:bottom w:val="single" w:sz="8" w:color="auto"/>
            </w:tcBorders>
          </w:tcPr>
          <w:p>
            <w:pPr>
              <w:jc w:val="right"/>
              <w:ind w:right="2810"/>
              <w:spacing w:after="0"/>
              <w:rPr>
                <w:sz w:val="20"/>
                <w:szCs w:val="20"/>
                <w:color w:val="auto"/>
              </w:rPr>
            </w:pPr>
            <w:r>
              <w:rPr>
                <w:rFonts w:ascii="Arial" w:cs="Arial" w:eastAsia="Arial" w:hAnsi="Arial"/>
                <w:sz w:val="18"/>
                <w:szCs w:val="18"/>
                <w:color w:val="auto"/>
              </w:rPr>
              <w:t>0.275%</w:t>
            </w:r>
          </w:p>
        </w:tc>
      </w:tr>
    </w:tbl>
    <w:p>
      <w:pPr>
        <w:spacing w:after="0" w:line="228"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98" w:lineRule="exact"/>
        <w:rPr>
          <w:sz w:val="20"/>
          <w:szCs w:val="20"/>
          <w:color w:val="auto"/>
        </w:rPr>
      </w:pPr>
    </w:p>
    <w:p>
      <w:pPr>
        <w:jc w:val="both"/>
        <w:ind w:left="660"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(with the consent of any party whose consent is required by Section 8.07), and accepted by the Agent, in substantially the form of Exhibit C or any other form approved by the Agent.</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has the meaning specified in Section 2.19(d).</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has the meaning specified in Section 2.19(d)(ii).</w:t>
      </w:r>
    </w:p>
    <w:p>
      <w:pPr>
        <w:spacing w:after="0" w:line="250" w:lineRule="exact"/>
        <w:rPr>
          <w:sz w:val="20"/>
          <w:szCs w:val="20"/>
          <w:color w:val="auto"/>
        </w:rPr>
      </w:pPr>
    </w:p>
    <w:p>
      <w:pPr>
        <w:jc w:val="both"/>
        <w:ind w:left="660"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of any Letter of Credit means, at any time, the maximum amount available to be drawn under such Letter of Credit at such time as set forth in Section 2.01(b) (assuming compliance at such time with all conditions to drawing).</w:t>
      </w:r>
    </w:p>
    <w:p>
      <w:pPr>
        <w:spacing w:after="0" w:line="198"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a fluctuating interest rate per annum in effect from time to time, which rate per annum shall at all times be equal to the highest of:</w:t>
      </w:r>
    </w:p>
    <w:p>
      <w:pPr>
        <w:spacing w:after="0" w:line="198" w:lineRule="exact"/>
        <w:rPr>
          <w:sz w:val="20"/>
          <w:szCs w:val="20"/>
          <w:color w:val="auto"/>
        </w:rPr>
      </w:pPr>
    </w:p>
    <w:p>
      <w:pPr>
        <w:ind w:left="2640" w:hanging="697"/>
        <w:spacing w:after="0"/>
        <w:tabs>
          <w:tab w:leader="none" w:pos="2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rate of interest announced publicly by Citibank in New York, New York, from time to time, as Citibank’s base rate;</w:t>
      </w:r>
    </w:p>
    <w:p>
      <w:pPr>
        <w:spacing w:after="0" w:line="261" w:lineRule="exact"/>
        <w:rPr>
          <w:rFonts w:ascii="Arial" w:cs="Arial" w:eastAsia="Arial" w:hAnsi="Arial"/>
          <w:sz w:val="17"/>
          <w:szCs w:val="17"/>
          <w:color w:val="auto"/>
        </w:rPr>
      </w:pPr>
    </w:p>
    <w:p>
      <w:pPr>
        <w:ind w:left="2640" w:hanging="697"/>
        <w:spacing w:after="0"/>
        <w:tabs>
          <w:tab w:leader="none" w:pos="2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 of one percent per annum above the Federal Funds Rate; and</w:t>
      </w:r>
    </w:p>
    <w:p>
      <w:pPr>
        <w:spacing w:after="0" w:line="250" w:lineRule="exact"/>
        <w:rPr>
          <w:rFonts w:ascii="Arial" w:cs="Arial" w:eastAsia="Arial" w:hAnsi="Arial"/>
          <w:sz w:val="18"/>
          <w:szCs w:val="18"/>
          <w:color w:val="auto"/>
        </w:rPr>
      </w:pPr>
    </w:p>
    <w:p>
      <w:pPr>
        <w:jc w:val="both"/>
        <w:ind w:left="1300" w:firstLine="643"/>
        <w:spacing w:after="0" w:line="258" w:lineRule="auto"/>
        <w:tabs>
          <w:tab w:leader="none" w:pos="27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British Bankers Association Interest Settlement Rate applicable to Dollars for a period of one month (“One Month LIBOR”) plus 1.00% (for the avoidance of doubt, the One Month LIBOR for any day shall be based on the rate appearing on Reuters Screen LIBOR01 Page (or other commercially available source providing such quotations as designated by the Agent from time to time) at approximately 11:00 a.m. London time on such day).</w:t>
      </w:r>
    </w:p>
    <w:p>
      <w:pPr>
        <w:spacing w:after="0" w:line="212" w:lineRule="exact"/>
        <w:rPr>
          <w:sz w:val="20"/>
          <w:szCs w:val="20"/>
          <w:color w:val="auto"/>
        </w:rPr>
      </w:pPr>
    </w:p>
    <w:p>
      <w:pPr>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 Revolving Credit Advance or a Letter of Credit Advance denominated in Dollars that bears interest as provided in Section 2.08(a)(i).</w:t>
      </w:r>
    </w:p>
    <w:p>
      <w:pPr>
        <w:spacing w:after="0" w:line="198" w:lineRule="exact"/>
        <w:rPr>
          <w:sz w:val="20"/>
          <w:szCs w:val="20"/>
          <w:color w:val="auto"/>
        </w:rPr>
      </w:pPr>
    </w:p>
    <w:p>
      <w:pPr>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simultaneous Revolving Credit Advances of the same Type made by each of the Lenders pursuant to Section 2.01.</w:t>
      </w:r>
    </w:p>
    <w:p>
      <w:pPr>
        <w:spacing w:after="0" w:line="198" w:lineRule="exact"/>
        <w:rPr>
          <w:sz w:val="20"/>
          <w:szCs w:val="20"/>
          <w:color w:val="auto"/>
        </w:rPr>
      </w:pPr>
    </w:p>
    <w:p>
      <w:pPr>
        <w:ind w:left="660" w:right="40"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Minimum</w:t>
      </w:r>
      <w:r>
        <w:rPr>
          <w:rFonts w:ascii="Arial" w:cs="Arial" w:eastAsia="Arial" w:hAnsi="Arial"/>
          <w:sz w:val="17"/>
          <w:szCs w:val="17"/>
          <w:color w:val="auto"/>
        </w:rPr>
        <w:t>” means, in respect of Revolving Credit Advances denominated in Dollars, $5,000,000, in respect of Revolving Credit Advances denominated in Sterling, £5,000,000, in respect of Revolving Credit Advances denominated in Yen, ¥100,000,000, in respect of Revolving Credit Advances denominated in Canadian dollars, CAD$5,000,000, in respect of Revolving Credit Advances denominated in Swiss francs, CHF5,000,000 and, in respect of Revolving Credit Advances denominated in Euros, €10,000,000.</w:t>
      </w:r>
    </w:p>
    <w:p>
      <w:pPr>
        <w:spacing w:after="0" w:line="197" w:lineRule="exact"/>
        <w:rPr>
          <w:sz w:val="20"/>
          <w:szCs w:val="20"/>
          <w:color w:val="auto"/>
        </w:rPr>
      </w:pPr>
    </w:p>
    <w:p>
      <w:pPr>
        <w:ind w:left="660" w:right="140"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Multiple</w:t>
      </w:r>
      <w:r>
        <w:rPr>
          <w:rFonts w:ascii="Arial" w:cs="Arial" w:eastAsia="Arial" w:hAnsi="Arial"/>
          <w:sz w:val="17"/>
          <w:szCs w:val="17"/>
          <w:color w:val="auto"/>
        </w:rPr>
        <w:t>” means, in respect of Revolving Credit Advances denominated in Dollars, $1,000,000, in respect of Revolving Credit Advances denominated in Sterling, £1,000,000, in respect of Revolving Credit Advances denominated in Yen, ¥10,000,000, in respect of Revolving Credit Advances denominated in Canadian dollars, CAD $1,000,000, in respect of Revolving Credit Advances denominated in Swiss francs, CHF1,000,000 and, in respect of Revolving Credit Advances denominated in Euros, €1,000,000.</w:t>
      </w:r>
    </w:p>
    <w:p>
      <w:pPr>
        <w:spacing w:after="0" w:line="197" w:lineRule="exact"/>
        <w:rPr>
          <w:sz w:val="20"/>
          <w:szCs w:val="20"/>
          <w:color w:val="auto"/>
        </w:rPr>
      </w:pPr>
    </w:p>
    <w:p>
      <w:pPr>
        <w:jc w:val="both"/>
        <w:ind w:left="660"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of the year on which banks are not required or authorized by law to close in New York City and, if the applicable Business Day relates to any Eurocurrency Rate Advances, on which dealings are carried on in the London interbank market and banks are open for business in London and in the country of issue of the currency of such Eurocurrency Rate Advance (or, in the case of an Advance denominated in Euro, on which the Trans-European Automated Real-Time Gross Settlement Express Transfer (TARGET) System is open).</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w:t>
      </w:r>
      <w:r>
        <w:rPr>
          <w:rFonts w:ascii="Arial" w:cs="Arial" w:eastAsia="Arial" w:hAnsi="Arial"/>
          <w:sz w:val="17"/>
          <w:szCs w:val="17"/>
          <w:color w:val="auto"/>
        </w:rPr>
        <w:t>” means any lease that is or should be capitalized on the balance sheet of the lessee in accordance with GAAP.</w:t>
      </w:r>
    </w:p>
    <w:p>
      <w:pPr>
        <w:spacing w:after="0" w:line="262" w:lineRule="exact"/>
        <w:rPr>
          <w:sz w:val="20"/>
          <w:szCs w:val="20"/>
          <w:color w:val="auto"/>
        </w:rPr>
      </w:pPr>
    </w:p>
    <w:p>
      <w:pPr>
        <w:jc w:val="both"/>
        <w:ind w:left="660"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in respect of an obligation, provide and pledge (as a first priority perfected security interest) cash collateral in Dollars, at a location and pursuant to documentation in form and substance reasonably satisfactory to the Agent and each Issuing Bank (and “</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Collateralization</w:t>
      </w:r>
      <w:r>
        <w:rPr>
          <w:rFonts w:ascii="Arial" w:cs="Arial" w:eastAsia="Arial" w:hAnsi="Arial"/>
          <w:sz w:val="18"/>
          <w:szCs w:val="18"/>
          <w:color w:val="auto"/>
        </w:rPr>
        <w:t>” has a corresponding meaning).</w:t>
      </w:r>
    </w:p>
    <w:p>
      <w:pPr>
        <w:spacing w:after="0" w:line="209" w:lineRule="exact"/>
        <w:rPr>
          <w:sz w:val="20"/>
          <w:szCs w:val="20"/>
          <w:color w:val="auto"/>
        </w:rPr>
      </w:pPr>
    </w:p>
    <w:p>
      <w:pPr>
        <w:jc w:val="both"/>
        <w:ind w:left="660"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w:t>
      </w:r>
      <w:r>
        <w:rPr>
          <w:rFonts w:ascii="Arial" w:cs="Arial" w:eastAsia="Arial" w:hAnsi="Arial"/>
          <w:sz w:val="18"/>
          <w:szCs w:val="18"/>
          <w:color w:val="auto"/>
        </w:rPr>
        <w:t>” means the rate per annum equal to the average of the annual yield rates applicable to Canadian dollar banker’s acceptances at or about 10:00 a.m. (Toronto, Ontario time) two Business Days prior to the first day of such Interest Period as reported on the “CDOR page” (or any display substituted therefor) of Reuters Monitor Money Rates Service (or such other page or commercially available source displaying Canadian interbank bid rates for Canadian dollar bankers’ acceptances as may be designated by the Agent from time to time) for a term equivalent to such Interest Period (or if such Interest Period is not equal to a number of months, for a term equivalent to the number of months closest to such Interest Period).</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Revolving Commitment or a Letter of Credit Commitment.</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has the meaning specified in Section 2.19(b)(iii).</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2.19(a).</w:t>
      </w:r>
    </w:p>
    <w:p>
      <w:pPr>
        <w:spacing w:after="0" w:line="250"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Currencies</w:t>
      </w:r>
      <w:r>
        <w:rPr>
          <w:rFonts w:ascii="Arial" w:cs="Arial" w:eastAsia="Arial" w:hAnsi="Arial"/>
          <w:sz w:val="18"/>
          <w:szCs w:val="18"/>
          <w:color w:val="auto"/>
        </w:rPr>
        <w:t>” means lawful currency of the United Kingdom of Great Britain and Northern Ireland, lawful currency of Canada, lawful currency of Japan, lawful currency of Switzerland and Euros.</w:t>
      </w:r>
    </w:p>
    <w:p>
      <w:pPr>
        <w:sectPr>
          <w:pgSz w:w="11900" w:h="16838" w:orient="portrait"/>
          <w:cols w:equalWidth="0" w:num="1">
            <w:col w:w="11420"/>
          </w:cols>
          <w:pgMar w:left="240" w:top="125" w:right="239" w:bottom="0" w:gutter="0" w:footer="0" w:header="0"/>
        </w:sectPr>
      </w:pPr>
    </w:p>
    <w:bookmarkStart w:id="38" w:name="page39"/>
    <w:bookmarkEnd w:id="38"/>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w:t>
      </w:r>
    </w:p>
    <w:p>
      <w:pPr>
        <w:spacing w:after="0" w:line="209"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250" w:lineRule="exact"/>
        <w:rPr>
          <w:sz w:val="20"/>
          <w:szCs w:val="20"/>
          <w:color w:val="auto"/>
        </w:rPr>
      </w:pPr>
    </w:p>
    <w:p>
      <w:pPr>
        <w:jc w:val="both"/>
        <w:ind w:left="7"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Adjusted Debt</w:t>
      </w:r>
      <w:r>
        <w:rPr>
          <w:rFonts w:ascii="Arial" w:cs="Arial" w:eastAsia="Arial" w:hAnsi="Arial"/>
          <w:sz w:val="18"/>
          <w:szCs w:val="18"/>
          <w:color w:val="auto"/>
        </w:rPr>
        <w:t xml:space="preserve">” means the computation of (a) all Debt of the Borrower and its Consolidated Subsidiaries that, in accordance with GAAP, would be classified as indebtedness on a Consolidated balance sheet of the Borrower,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without duplication, the aggregate outstanding investment or claims held at any time by purchasers, assignees or other transferees of (or of interests in) Receivables under Receivables Purchase Agreements,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cash and cash equivalents (as presented on the face of the Borrower’s quarterly and audited fiscal year balance sheets) in excess of $400,000,000.</w:t>
      </w:r>
    </w:p>
    <w:p>
      <w:pPr>
        <w:spacing w:after="0" w:line="218" w:lineRule="exact"/>
        <w:rPr>
          <w:sz w:val="20"/>
          <w:szCs w:val="20"/>
          <w:color w:val="auto"/>
        </w:rPr>
      </w:pPr>
    </w:p>
    <w:p>
      <w:pPr>
        <w:jc w:val="both"/>
        <w:ind w:left="7" w:firstLine="64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for any period, the sum of the amounts for such period of (i) Consolidated Operating Profit of the Borrower and its Consolidated Subsidiaries for such period, determined in accordance with GAAP, plus (ii) the sum of the following amounts for such period, in each case to the extent the same shall have been deducted in the calculation of such Consolidated Operating Profit for such period: (A) amortization, (B) depreciation, (C) non-cash restructuring or impairment charges reported by the Borrower in respect of, or otherwise allocated to, such period, and (D) cash restructuring charges in an amount not to exceed $25,000,000 in any calendar year, minus (iii) to the extent the same shall have been included in the calculation of Consolidated Operating Profit for such period, any extraordinary, or unusual and non-recurring gains (or plus any extraordinary, or unusual and non-recurring, losses) calculated pursuant to GAAP for such period.</w:t>
      </w:r>
    </w:p>
    <w:p>
      <w:pPr>
        <w:spacing w:after="0" w:line="191" w:lineRule="exact"/>
        <w:rPr>
          <w:sz w:val="20"/>
          <w:szCs w:val="20"/>
          <w:color w:val="auto"/>
        </w:rPr>
      </w:pPr>
    </w:p>
    <w:p>
      <w:pPr>
        <w:jc w:val="both"/>
        <w:ind w:left="7"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for any period, the excess of (a) total interest expense, whether paid or accrued (including the interest component of Capitalized Leases), of the Borrower and its Consolidated Subsidiaries on a Consolidated basis, including, without limitation, all commissions, discounts and other fees and charges owed with respect to letters of credit and net costs under any agreements providing interest rate protection, but excluding however, amortization of discount, interest paid in property other than cash or any other interest expense not payable in cash over (b) total interest income, in each case as determined in conformity with GAAP.</w:t>
      </w:r>
    </w:p>
    <w:p>
      <w:pPr>
        <w:spacing w:after="0" w:line="202" w:lineRule="exact"/>
        <w:rPr>
          <w:sz w:val="20"/>
          <w:szCs w:val="20"/>
          <w:color w:val="auto"/>
        </w:rPr>
      </w:pPr>
    </w:p>
    <w:p>
      <w:pPr>
        <w:jc w:val="both"/>
        <w:ind w:left="7"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Operating Profit</w:t>
      </w:r>
      <w:r>
        <w:rPr>
          <w:rFonts w:ascii="Arial" w:cs="Arial" w:eastAsia="Arial" w:hAnsi="Arial"/>
          <w:sz w:val="16"/>
          <w:szCs w:val="16"/>
          <w:color w:val="auto"/>
        </w:rPr>
        <w:t>” means, for any period, revenue less the sum of (A) direct costs, and (b) selling and administrative expenses on a consolidated income statement of the Borrower and its Consolidated Subsidiaries for such period, all as determined in accordance with GAAP.</w:t>
      </w:r>
    </w:p>
    <w:p>
      <w:pPr>
        <w:spacing w:after="0" w:line="151" w:lineRule="exact"/>
        <w:rPr>
          <w:sz w:val="20"/>
          <w:szCs w:val="20"/>
          <w:color w:val="auto"/>
        </w:rPr>
      </w:pPr>
    </w:p>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Rental Expense</w:t>
      </w:r>
      <w:r>
        <w:rPr>
          <w:rFonts w:ascii="Arial" w:cs="Arial" w:eastAsia="Arial" w:hAnsi="Arial"/>
          <w:sz w:val="18"/>
          <w:szCs w:val="18"/>
          <w:color w:val="auto"/>
        </w:rPr>
        <w:t>” means, for any period, total rental expense, whether paid or accrued (excluding rental expense accrued in connection with restructuring charges (other than that portion actually paid during such period)), of the Borrower and its Consolidated Subsidiaries on a Consolidated basis, all as determined in conformity with GAAP.</w:t>
      </w:r>
    </w:p>
    <w:p>
      <w:pPr>
        <w:spacing w:after="0" w:line="209" w:lineRule="exact"/>
        <w:rPr>
          <w:sz w:val="20"/>
          <w:szCs w:val="20"/>
          <w:color w:val="auto"/>
        </w:rPr>
      </w:pPr>
    </w:p>
    <w:p>
      <w:pPr>
        <w:jc w:val="both"/>
        <w:ind w:left="7"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Subsidiary</w:t>
      </w:r>
      <w:r>
        <w:rPr>
          <w:rFonts w:ascii="Arial" w:cs="Arial" w:eastAsia="Arial" w:hAnsi="Arial"/>
          <w:sz w:val="18"/>
          <w:szCs w:val="18"/>
          <w:color w:val="auto"/>
        </w:rPr>
        <w:t>” means, at any date with respect to any Person, any Subsidiary thereof the accounts of which would be consolidated with those of such Person in its consolidated financial statements at such date in accordance with GAAP.</w:t>
      </w:r>
    </w:p>
    <w:p>
      <w:pPr>
        <w:spacing w:after="0" w:line="198" w:lineRule="exact"/>
        <w:rPr>
          <w:sz w:val="20"/>
          <w:szCs w:val="20"/>
          <w:color w:val="auto"/>
        </w:rPr>
      </w:pPr>
    </w:p>
    <w:p>
      <w:pPr>
        <w:jc w:val="both"/>
        <w:ind w:left="7" w:right="20"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means, with respect to any Person at any time of determination, total assets of such Person and its Consolidated Subsidiaries as set forth on the balance sheets most recently delivered to the Lenders pursuant to Section 5.01(h), excluding all Intangible Assets of such Person and its Consolidated Subsidiaries.</w:t>
      </w:r>
    </w:p>
    <w:p>
      <w:pPr>
        <w:jc w:val="both"/>
        <w:ind w:left="7"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Revolving Credit Advances of one Type into Revolving Credit Advances of the other Type pursuant to Section 2.09 or 2.10.</w:t>
      </w:r>
    </w:p>
    <w:p>
      <w:pPr>
        <w:spacing w:after="0" w:line="213" w:lineRule="exact"/>
        <w:rPr>
          <w:sz w:val="20"/>
          <w:szCs w:val="20"/>
          <w:color w:val="auto"/>
        </w:rPr>
      </w:pPr>
    </w:p>
    <w:p>
      <w:pPr>
        <w:jc w:val="both"/>
        <w:ind w:left="7" w:firstLine="64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(except for the purposes of Section 6.01 (d), other than trade letters of credit, performance bonds (including, without limitation, bonds posted pursuant to governmental rules and regulations) or similar obligations of such parties) or similar extensions of credit, (g) all obligations of such Person in respect of Hedge Agreements, (h) all Debt of others referred to in clauses (a) through (g) above or clause (i) below and other payment obligations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(i) all Debt referred to in clauses (a) 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97"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198" w:lineRule="exact"/>
        <w:rPr>
          <w:sz w:val="20"/>
          <w:szCs w:val="20"/>
          <w:color w:val="auto"/>
        </w:rPr>
      </w:pPr>
    </w:p>
    <w:p>
      <w:pPr>
        <w:jc w:val="both"/>
        <w:ind w:left="7" w:firstLine="645"/>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at any time, subject to Section 2.20(c), (i) any Lender that has failed for three or more Business Days to comply with its obligations under this Agreement to make an Advance, make a payment to an Issuing Bank in respect of drawing under a Letter of Credit or make any other payment due hereunder (each, a “</w:t>
      </w:r>
      <w:r>
        <w:rPr>
          <w:rFonts w:ascii="Arial" w:cs="Arial" w:eastAsia="Arial" w:hAnsi="Arial"/>
          <w:sz w:val="16"/>
          <w:szCs w:val="16"/>
          <w:u w:val="single" w:color="auto"/>
          <w:color w:val="auto"/>
        </w:rPr>
        <w:t>funding obligation</w:t>
      </w:r>
      <w:r>
        <w:rPr>
          <w:rFonts w:ascii="Arial" w:cs="Arial" w:eastAsia="Arial" w:hAnsi="Arial"/>
          <w:sz w:val="16"/>
          <w:szCs w:val="16"/>
          <w:color w:val="auto"/>
        </w:rPr>
        <w:t>”), unless such Lender has notified the Agent and the Borrower in writing that such failure is the result of such Lender’s determination that one or more conditions precedent to funding has not been satisfied (which conditions precedent, together with the applicable default, if any, will be specifically identified in such writing), (ii) any Lender that has notified the Agent, the Borrower or an Issuing Bank in writing, or has stated publicly, that it does not intend to comply with its funding obligations hereunder, unless such writing or statement states that such position is based on such Lender’s determination that one or more conditions precedent to funding cannot be satisfied (which conditions precedent, together with the applicable default, if any, will be specifically identified in such writing or public statement),</w:t>
      </w:r>
    </w:p>
    <w:p>
      <w:pPr>
        <w:spacing w:after="0" w:line="6" w:lineRule="exact"/>
        <w:rPr>
          <w:sz w:val="20"/>
          <w:szCs w:val="20"/>
          <w:color w:val="auto"/>
        </w:rPr>
      </w:pPr>
    </w:p>
    <w:p>
      <w:pPr>
        <w:jc w:val="both"/>
        <w:ind w:left="7" w:hanging="7"/>
        <w:spacing w:after="0" w:line="294" w:lineRule="auto"/>
        <w:tabs>
          <w:tab w:leader="none" w:pos="358"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Lender that has defaulted on its funding obligations under other loan agreements or credit agreements generally under which it has commitments to extend credit or that has notified, or whose Parent Company has notified, the Agent or the Borrower in writing, or has stated publicly, that it does not intend to comply with its funding obligations under loan agreements or credit agreements generally, (iv) any Lender that has, for three or more Business Days after written request of the Agent or the Borrower, failed to confirm in writing to the Agent and the Borrower that it</w:t>
      </w:r>
    </w:p>
    <w:p>
      <w:pPr>
        <w:sectPr>
          <w:pgSz w:w="11900" w:h="16838" w:orient="portrait"/>
          <w:cols w:equalWidth="0" w:num="1">
            <w:col w:w="10767"/>
          </w:cols>
          <w:pgMar w:left="893" w:top="125" w:right="239" w:bottom="0" w:gutter="0" w:footer="0" w:header="0"/>
        </w:sectPr>
      </w:pPr>
    </w:p>
    <w:bookmarkStart w:id="39" w:name="page40"/>
    <w:bookmarkEnd w:id="39"/>
    <w:p>
      <w:pPr>
        <w:spacing w:after="0" w:line="12" w:lineRule="exact"/>
        <w:rPr>
          <w:sz w:val="20"/>
          <w:szCs w:val="20"/>
          <w:color w:val="auto"/>
        </w:rPr>
      </w:pPr>
    </w:p>
    <w:p>
      <w:pPr>
        <w:jc w:val="both"/>
        <w:ind w:left="7"/>
        <w:spacing w:after="0" w:line="267" w:lineRule="auto"/>
        <w:rPr>
          <w:sz w:val="20"/>
          <w:szCs w:val="20"/>
          <w:color w:val="auto"/>
        </w:rPr>
      </w:pPr>
      <w:r>
        <w:rPr>
          <w:rFonts w:ascii="Arial" w:cs="Arial" w:eastAsia="Arial" w:hAnsi="Arial"/>
          <w:sz w:val="17"/>
          <w:szCs w:val="17"/>
          <w:color w:val="auto"/>
        </w:rPr>
        <w:t xml:space="preserve">will comply with its prospective funding obligations hereunder (provided that such Lender will cease to be a Defaulting Lender pursuant to this clause (iv) upon the Agent’s and the Borrower’s receipt of such written confirmation), or (v) any Lender with respect to which a Lender Insolvency Event has occurred and is continuing with respect to such Lender or its Parent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Insolvency Event shall not be deemed to occur with respect to a Lender or its Parent Company solely as a result of (1) the acquisition or maintenance of an ownership interest in such Lender or Parent Company by a governmental authority or instrumentality thereof or (2) in the case of a solvent Lender, the precautionary appointment of an administrator, guardian, custodian or other similar official by a Governmental Authority or instrumentality under or based on the law of the country where such Lender is subject to home jurisdiction supervision if applicable law requires that such appointment not be publicly disclosed, so long as, in the case of clause (1) and clause (2), such action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Agent that a Lender is a Defaulting Lender under any of clauses (i) through (v) above will be conclusive and binding absent manifest error, and such Lender will be deemed to be a Defaulting Lender (subject to Section 2.20(c)) upon notification of such determination by the Agent to the Borrower, the Issuing Banks and the Lenders.</w:t>
      </w:r>
    </w:p>
    <w:p>
      <w:pPr>
        <w:spacing w:after="0" w:line="211"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w:t>
      </w:r>
      <w:r>
        <w:rPr>
          <w:rFonts w:ascii="Arial" w:cs="Arial" w:eastAsia="Arial" w:hAnsi="Arial"/>
          <w:sz w:val="18"/>
          <w:szCs w:val="18"/>
          <w:u w:val="single" w:color="auto"/>
          <w:color w:val="auto"/>
        </w:rPr>
        <w:t>$</w:t>
      </w:r>
      <w:r>
        <w:rPr>
          <w:rFonts w:ascii="Arial" w:cs="Arial" w:eastAsia="Arial" w:hAnsi="Arial"/>
          <w:sz w:val="18"/>
          <w:szCs w:val="18"/>
          <w:color w:val="auto"/>
        </w:rPr>
        <w:t>” sign each means lawful currency of the United States of America.</w:t>
      </w:r>
    </w:p>
    <w:p>
      <w:pPr>
        <w:spacing w:after="0" w:line="250" w:lineRule="exact"/>
        <w:rPr>
          <w:sz w:val="20"/>
          <w:szCs w:val="20"/>
          <w:color w:val="auto"/>
        </w:rPr>
      </w:pPr>
    </w:p>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Lender, the office of such Lender specified as its “Domestic Lending Office” in its Administrative Questionnaire delivered to the Agent, or such other office of such Lender as such Lender may from time to time specify to the Borrower and the Agent.</w:t>
      </w:r>
    </w:p>
    <w:p>
      <w:pPr>
        <w:spacing w:after="0" w:line="209"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250"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any Person that meets the requirements to be an assignee under Section 8.07(b)(iii), (v) and (vi) (subject to such consents, if any, as may be required under Section 8.07(b)(iii)).</w:t>
      </w:r>
    </w:p>
    <w:p>
      <w:pPr>
        <w:spacing w:after="0" w:line="198" w:lineRule="exact"/>
        <w:rPr>
          <w:sz w:val="20"/>
          <w:szCs w:val="20"/>
          <w:color w:val="auto"/>
        </w:rPr>
      </w:pPr>
    </w:p>
    <w:p>
      <w:pPr>
        <w:jc w:val="both"/>
        <w:ind w:left="7" w:firstLine="64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Action</w:t>
      </w:r>
      <w:r>
        <w:rPr>
          <w:rFonts w:ascii="Arial" w:cs="Arial" w:eastAsia="Arial" w:hAnsi="Arial"/>
          <w:sz w:val="16"/>
          <w:szCs w:val="16"/>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w:t>
      </w:r>
    </w:p>
    <w:p>
      <w:pPr>
        <w:spacing w:after="0" w:line="2" w:lineRule="exact"/>
        <w:rPr>
          <w:sz w:val="20"/>
          <w:szCs w:val="20"/>
          <w:color w:val="auto"/>
        </w:rPr>
      </w:pPr>
    </w:p>
    <w:p>
      <w:pPr>
        <w:ind w:left="7" w:hanging="7"/>
        <w:spacing w:after="0" w:line="321" w:lineRule="auto"/>
        <w:tabs>
          <w:tab w:leader="none" w:pos="264" w:val="left"/>
        </w:tabs>
        <w:numPr>
          <w:ilvl w:val="0"/>
          <w:numId w:val="33"/>
        </w:numPr>
        <w:rPr>
          <w:rFonts w:ascii="Arial" w:cs="Arial" w:eastAsia="Arial" w:hAnsi="Arial"/>
          <w:sz w:val="16"/>
          <w:szCs w:val="16"/>
          <w:color w:val="auto"/>
        </w:rPr>
      </w:pPr>
      <w:r>
        <w:rPr>
          <w:rFonts w:ascii="Arial" w:cs="Arial" w:eastAsia="Arial" w:hAnsi="Arial"/>
          <w:sz w:val="16"/>
          <w:szCs w:val="16"/>
          <w:color w:val="auto"/>
        </w:rPr>
        <w:t>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65" w:lineRule="exact"/>
        <w:rPr>
          <w:sz w:val="20"/>
          <w:szCs w:val="20"/>
          <w:color w:val="auto"/>
        </w:rPr>
      </w:pPr>
    </w:p>
    <w:p>
      <w:pPr>
        <w:jc w:val="both"/>
        <w:ind w:left="7"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212" w:lineRule="exact"/>
        <w:rPr>
          <w:sz w:val="20"/>
          <w:szCs w:val="20"/>
          <w:color w:val="auto"/>
        </w:rPr>
      </w:pPr>
    </w:p>
    <w:p>
      <w:pPr>
        <w:ind w:left="64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Law.</w:t>
      </w:r>
    </w:p>
    <w:p>
      <w:pPr>
        <w:spacing w:after="0" w:line="235" w:lineRule="exact"/>
        <w:rPr>
          <w:sz w:val="20"/>
          <w:szCs w:val="20"/>
          <w:color w:val="auto"/>
        </w:rPr>
      </w:pPr>
    </w:p>
    <w:p>
      <w:pPr>
        <w:jc w:val="both"/>
        <w:ind w:left="7"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w:t>
      </w:r>
      <w:r>
        <w:rPr>
          <w:rFonts w:ascii="Arial" w:cs="Arial" w:eastAsia="Arial" w:hAnsi="Arial"/>
          <w:sz w:val="18"/>
          <w:szCs w:val="18"/>
          <w:color w:val="auto"/>
        </w:rPr>
        <w:t>” in Dollars of any Committed Currency on any date means the equivalent in Dollars of such Committed Currency determined by using the quoted spot rate at which the Agent’s principal office in London offers to exchange Dollars for such Committed Currency in London prior to 4:00 P.M. (London time) (unless otherwise indicated by the terms of this Agreement) on such date as is required pursuant to the terms of this Agreement, and the “Equivalent” in any Committed Currency of Dollars means the equivalent in such Committed Currency of Dollars determined by using the quoted spot rate at which the Agent’s principal office in London offers to exchange such Committed Currency for Dollars in London prior to 4:00 P.M. (London time) (unless otherwise indicated by the terms of this Agreement) on such date as is required pursuant to the terms of this Agreement.</w:t>
      </w:r>
    </w:p>
    <w:p>
      <w:pPr>
        <w:spacing w:after="0" w:line="220"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98"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for purposes of Title IV of ERISA is a member of the Borrower’s controlled group, or under common control with the Borrower, within the meaning of Section 414 of the Internal Revenue Code.</w:t>
      </w:r>
    </w:p>
    <w:p>
      <w:pPr>
        <w:spacing w:after="0" w:line="198" w:lineRule="exact"/>
        <w:rPr>
          <w:sz w:val="20"/>
          <w:szCs w:val="20"/>
          <w:color w:val="auto"/>
        </w:rPr>
      </w:pPr>
    </w:p>
    <w:p>
      <w:pPr>
        <w:jc w:val="both"/>
        <w:ind w:left="7" w:firstLine="645"/>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211" w:lineRule="exact"/>
        <w:rPr>
          <w:sz w:val="20"/>
          <w:szCs w:val="20"/>
          <w:color w:val="auto"/>
        </w:rPr>
      </w:pPr>
    </w:p>
    <w:p>
      <w:pPr>
        <w:jc w:val="both"/>
        <w:ind w:left="7" w:firstLine="645"/>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EURIBO Rate</w:t>
      </w:r>
      <w:r>
        <w:rPr>
          <w:rFonts w:ascii="Arial" w:cs="Arial" w:eastAsia="Arial" w:hAnsi="Arial"/>
          <w:sz w:val="16"/>
          <w:szCs w:val="16"/>
          <w:color w:val="auto"/>
        </w:rPr>
        <w:t>” means the rate appearing on Page 248 of the Reuters Screen (or on any successor or substitute page of such Service, or any successor to or substitute for such Service, providing rate quotations comparable to those currently provided on such page of such Service, as determined by the Agent from time to time for purposes of providing quotations of interest rates applicable to deposits in Euro by reference to the Banking Federation of the European Union Settlement Rates for deposits in Euro) at approximately 10:00 a.m., London time, two Business Days prior to the commencement of such Interest Period, as the rate for deposits in Euro with a maturity comparable to such Interest Period.</w:t>
      </w:r>
    </w:p>
    <w:p>
      <w:pPr>
        <w:spacing w:after="0" w:line="187"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currency of the European Union as constituted by the Treaty of Rome which established the European Community, as such treaty may be amended from time to time and as referred to in the EMU legislation.</w:t>
      </w:r>
    </w:p>
    <w:p>
      <w:pPr>
        <w:sectPr>
          <w:pgSz w:w="11900" w:h="16851" w:orient="portrait"/>
          <w:cols w:equalWidth="0" w:num="1">
            <w:col w:w="10767"/>
          </w:cols>
          <w:pgMar w:left="893" w:top="125" w:right="239" w:bottom="0" w:gutter="0" w:footer="0" w:header="0"/>
        </w:sectPr>
      </w:pPr>
    </w:p>
    <w:bookmarkStart w:id="40" w:name="page41"/>
    <w:bookmarkEnd w:id="40"/>
    <w:p>
      <w:pPr>
        <w:spacing w:after="0" w:line="36"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Lending Office</w:t>
      </w:r>
      <w:r>
        <w:rPr>
          <w:rFonts w:ascii="Arial" w:cs="Arial" w:eastAsia="Arial" w:hAnsi="Arial"/>
          <w:sz w:val="18"/>
          <w:szCs w:val="18"/>
          <w:color w:val="auto"/>
        </w:rPr>
        <w:t>” means, with respect to any Lender, the office of such Lender specified as its “Eurocurrency Lending Office” in its Administrative Questionnaire delivered to the Agent, or such other office of such Lender as such Lender may from time to time specify to the Borrower and the Agent.</w:t>
      </w:r>
    </w:p>
    <w:p>
      <w:pPr>
        <w:spacing w:after="0" w:line="20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of Governors of the Federal Reserve System, as in effect from time to time.</w:t>
      </w:r>
    </w:p>
    <w:p>
      <w:pPr>
        <w:spacing w:after="0" w:line="198"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Rate</w:t>
      </w:r>
      <w:r>
        <w:rPr>
          <w:rFonts w:ascii="Arial" w:cs="Arial" w:eastAsia="Arial" w:hAnsi="Arial"/>
          <w:sz w:val="17"/>
          <w:szCs w:val="17"/>
          <w:color w:val="auto"/>
        </w:rPr>
        <w:t>” means, for any Interest Period for each Eurocurrency Rate Advance comprising part of the same Borrowing, an interest rate per annum equal to the rate per annum obtained by dividing (a)(i) in the case of any Revolving Credit Advance denominated in Dollars or any Committed Currency other than Euro or Canadian dollars, the rate per annum (rounded upward to the nearest whole multiple of 1/100 of 1% per annum) appearing on Reuters Screen LIBOR01 Page (or any successor page) as the London interbank offered rate for deposits in Dollars or the applicable Committed Currency at approximately 11:00 A.M. (London time) two Business Days prior to the first day of such Interest Period for a term comparable to such Interest Period, (ii) in the case of any Revolving Credit Advance denominated in Euros, the EURIBO Rate or (iii) in the case of Revolving Credit Advances denominated in Canadian dollars, the CDOR Rate by (b) a percentage equal to 100% minus the Eurocurrency Rate Reserve Percentage for such Interest Period.</w:t>
      </w:r>
    </w:p>
    <w:p>
      <w:pPr>
        <w:spacing w:after="0" w:line="20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Advance</w:t>
      </w:r>
      <w:r>
        <w:rPr>
          <w:rFonts w:ascii="Arial" w:cs="Arial" w:eastAsia="Arial" w:hAnsi="Arial"/>
          <w:sz w:val="18"/>
          <w:szCs w:val="18"/>
          <w:color w:val="auto"/>
        </w:rPr>
        <w:t>” means a Revolving Credit Advance denominated in Dollars or a Committed Currency that bears interest as provided in Section 2.08(a)(ii).</w:t>
      </w:r>
    </w:p>
    <w:p>
      <w:pPr>
        <w:spacing w:after="0" w:line="198"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Rate Reserve Percentage</w:t>
      </w:r>
      <w:r>
        <w:rPr>
          <w:rFonts w:ascii="Arial" w:cs="Arial" w:eastAsia="Arial" w:hAnsi="Arial"/>
          <w:sz w:val="16"/>
          <w:szCs w:val="16"/>
          <w:color w:val="auto"/>
        </w:rPr>
        <w:t>” for any Interest Period for all Eurocurrency Rate Advances comprising part of the same Borrowing means the reserve percentage applicable two Business Days before the first day of such Interest Period under regulations issued from time to time by the Board of Governors of the Federal Reserve System (or any successor) for determining the maximum reserve requirement (including, without limitation, any emergency, supplemental or other marginal reserve requirement) for a member bank of the Federal Reserve System in New York City with respect to liabilities or assets consisting of or including Eurocurrency Liabilities (or with respect to any other category of liabilities that includes deposits by reference to which the interest rate on Eurocurrency Rate Advances is determined) having a term equal to such Interest Period.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preliminary statement to this Agreement.</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has the meaning specified in Section 2.04(f).</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Extending Lender</w:t>
      </w:r>
      <w:r>
        <w:rPr>
          <w:rFonts w:ascii="Arial" w:cs="Arial" w:eastAsia="Arial" w:hAnsi="Arial"/>
          <w:sz w:val="17"/>
          <w:szCs w:val="17"/>
          <w:color w:val="auto"/>
        </w:rPr>
        <w:t>” means a Lender that has agreed to extend the Termination Date applicable to it in accordance with Section 2.22.</w:t>
      </w:r>
    </w:p>
    <w:p>
      <w:pPr>
        <w:spacing w:after="0" w:line="262"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Internal Revenue Code.</w:t>
      </w:r>
    </w:p>
    <w:p>
      <w:pPr>
        <w:spacing w:after="0" w:line="191"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w:t>
      </w:r>
    </w:p>
    <w:p>
      <w:pPr>
        <w:spacing w:after="0" w:line="202"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with respect to any Issuing Bank, such Defaulting Lender’s Pro Rata Share of the L/C Obligations with respect to Letters of Credit issued by such Issuing Bank, other than L/C Obligations as to which such Defaulting Lender’s participation obligation has been reallocated to other Lenders or Cash Collateralized in accordance with the terms hereof.</w:t>
      </w:r>
    </w:p>
    <w:p>
      <w:pPr>
        <w:spacing w:after="0" w:line="19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250"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20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means interest rate swap, cap or collar agreements, interest rate future or option contracts, currency swap agreements, currency future or option contracts and other similar agreements.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2.19(a).</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2.19(b).</w:t>
      </w:r>
    </w:p>
    <w:p>
      <w:pPr>
        <w:spacing w:after="0" w:line="25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Memorandum</w:t>
      </w:r>
      <w:r>
        <w:rPr>
          <w:rFonts w:ascii="Arial" w:cs="Arial" w:eastAsia="Arial" w:hAnsi="Arial"/>
          <w:sz w:val="18"/>
          <w:szCs w:val="18"/>
          <w:color w:val="auto"/>
        </w:rPr>
        <w:t>” means the information memorandum dated September, 2013 used by the Agent in connection with the syndication of the Commitments.</w:t>
      </w:r>
    </w:p>
    <w:p>
      <w:pPr>
        <w:spacing w:after="0" w:line="19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Issuing Bank</w:t>
      </w:r>
      <w:r>
        <w:rPr>
          <w:rFonts w:ascii="Arial" w:cs="Arial" w:eastAsia="Arial" w:hAnsi="Arial"/>
          <w:sz w:val="18"/>
          <w:szCs w:val="18"/>
          <w:color w:val="auto"/>
        </w:rPr>
        <w:t>”, “</w:t>
      </w:r>
      <w:r>
        <w:rPr>
          <w:rFonts w:ascii="Arial" w:cs="Arial" w:eastAsia="Arial" w:hAnsi="Arial"/>
          <w:sz w:val="18"/>
          <w:szCs w:val="18"/>
          <w:u w:val="single" w:color="auto"/>
          <w:color w:val="auto"/>
        </w:rPr>
        <w:t>Initial Lender Parties</w:t>
      </w:r>
      <w:r>
        <w:rPr>
          <w:rFonts w:ascii="Arial" w:cs="Arial" w:eastAsia="Arial" w:hAnsi="Arial"/>
          <w:sz w:val="18"/>
          <w:szCs w:val="18"/>
          <w:color w:val="auto"/>
        </w:rPr>
        <w:t>” and “</w:t>
      </w:r>
      <w:r>
        <w:rPr>
          <w:rFonts w:ascii="Arial" w:cs="Arial" w:eastAsia="Arial" w:hAnsi="Arial"/>
          <w:sz w:val="18"/>
          <w:szCs w:val="18"/>
          <w:u w:val="single" w:color="auto"/>
          <w:color w:val="auto"/>
        </w:rPr>
        <w:t>Initial Lenders</w:t>
      </w:r>
      <w:r>
        <w:rPr>
          <w:rFonts w:ascii="Arial" w:cs="Arial" w:eastAsia="Arial" w:hAnsi="Arial"/>
          <w:sz w:val="18"/>
          <w:szCs w:val="18"/>
          <w:color w:val="auto"/>
        </w:rPr>
        <w:t>” each has the meaning specified in the recital of parties to this Agreement.</w:t>
      </w:r>
    </w:p>
    <w:p>
      <w:pPr>
        <w:spacing w:after="0" w:line="198"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Intangible Assets</w:t>
      </w:r>
      <w:r>
        <w:rPr>
          <w:rFonts w:ascii="Arial" w:cs="Arial" w:eastAsia="Arial" w:hAnsi="Arial"/>
          <w:sz w:val="16"/>
          <w:szCs w:val="16"/>
          <w:color w:val="auto"/>
        </w:rPr>
        <w:t>” means, with respect to any Person at any time of determination, (i) goodwill, organizational expenses, research and development expenses, trademarks, tradenames, copyrights, patents, patent applications, licenses and rights in any thereof, (ii) all reserves carried and not deducted from assets, (iii) treasury stock, (iv) securities which are not readily marketable, (v) cash held in a sinking or other analogous fund for</w:t>
      </w:r>
    </w:p>
    <w:p>
      <w:pPr>
        <w:sectPr>
          <w:pgSz w:w="11900" w:h="16874" w:orient="portrait"/>
          <w:cols w:equalWidth="0" w:num="1">
            <w:col w:w="10760"/>
          </w:cols>
          <w:pgMar w:left="900" w:top="367" w:right="239" w:bottom="0" w:gutter="0" w:footer="0" w:header="0"/>
        </w:sectPr>
      </w:pPr>
    </w:p>
    <w:bookmarkStart w:id="41" w:name="page42"/>
    <w:bookmarkEnd w:id="41"/>
    <w:p>
      <w:pPr>
        <w:jc w:val="both"/>
        <w:spacing w:after="0" w:line="262" w:lineRule="auto"/>
        <w:rPr>
          <w:sz w:val="20"/>
          <w:szCs w:val="20"/>
          <w:color w:val="auto"/>
        </w:rPr>
      </w:pPr>
      <w:r>
        <w:rPr>
          <w:rFonts w:ascii="Arial" w:cs="Arial" w:eastAsia="Arial" w:hAnsi="Arial"/>
          <w:sz w:val="18"/>
          <w:szCs w:val="18"/>
          <w:color w:val="auto"/>
        </w:rPr>
        <w:t>the purpose of redemption, retirement or prepayment of capital stock or indebtedness, (vi) any write-up in the book value of any asset resulting from a reevaluation thereof subsequent to December 31, 2012, and (vii) any items not included in items (i)-(vi) above which are treated as intangibles in accordance with GAAP.</w:t>
      </w:r>
    </w:p>
    <w:p>
      <w:pPr>
        <w:spacing w:after="0" w:line="209"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each Eurocurrency Rate Advance comprising part of the same Borrowing, the period commencing on the date of such Eurocurrency Rate Advance or the date of the Conversion of any Base Rate Advance into such Eurocurrency Rate Advance and ending on the last day of the period selected by the Borrower pursuant to the provisions below and, thereafter each subsequent period commencing on the last day of the immediately preceding Interest Period and ending on the last day of the period selected by the Borrower pursuant to the provisions below. The duration of each such Interest Period shall be one, two, three or six months, as the Borrower may, upon notice received by the Agent not later than 11:00 A.M. (New York City time) on the third Business Day prior to the first day of such Interest Period, select;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89" w:lineRule="exact"/>
        <w:rPr>
          <w:sz w:val="20"/>
          <w:szCs w:val="20"/>
          <w:color w:val="auto"/>
        </w:rPr>
      </w:pPr>
    </w:p>
    <w:p>
      <w:pPr>
        <w:ind w:left="1980" w:hanging="697"/>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Borrower may not select any Interest Period that ends after the latest Termination Date of any Lender;</w:t>
      </w:r>
    </w:p>
    <w:p>
      <w:pPr>
        <w:spacing w:after="0" w:line="250" w:lineRule="exact"/>
        <w:rPr>
          <w:rFonts w:ascii="Arial" w:cs="Arial" w:eastAsia="Arial" w:hAnsi="Arial"/>
          <w:sz w:val="18"/>
          <w:szCs w:val="18"/>
          <w:color w:val="auto"/>
        </w:rPr>
      </w:pPr>
    </w:p>
    <w:p>
      <w:pPr>
        <w:ind w:left="640" w:firstLine="643"/>
        <w:spacing w:after="0" w:line="275" w:lineRule="auto"/>
        <w:tabs>
          <w:tab w:leader="none" w:pos="20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Periods commencing on the same date for Eurocurrency Rate Advances comprising part of the same Borrowing shall be of the same duration;</w:t>
      </w:r>
    </w:p>
    <w:p>
      <w:pPr>
        <w:spacing w:after="0" w:line="197" w:lineRule="exact"/>
        <w:rPr>
          <w:rFonts w:ascii="Arial" w:cs="Arial" w:eastAsia="Arial" w:hAnsi="Arial"/>
          <w:sz w:val="18"/>
          <w:szCs w:val="18"/>
          <w:color w:val="auto"/>
        </w:rPr>
      </w:pPr>
    </w:p>
    <w:p>
      <w:pPr>
        <w:jc w:val="both"/>
        <w:ind w:left="640" w:firstLine="643"/>
        <w:spacing w:after="0" w:line="258" w:lineRule="auto"/>
        <w:tabs>
          <w:tab w:leader="none" w:pos="20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extension would cause the last day of such Interest Period to occur in the next following calendar month, the last day of such Interest Period shall occur on the next preceding Business Day; and</w:t>
      </w:r>
    </w:p>
    <w:p>
      <w:pPr>
        <w:spacing w:after="0" w:line="212" w:lineRule="exact"/>
        <w:rPr>
          <w:rFonts w:ascii="Arial" w:cs="Arial" w:eastAsia="Arial" w:hAnsi="Arial"/>
          <w:sz w:val="18"/>
          <w:szCs w:val="18"/>
          <w:color w:val="auto"/>
        </w:rPr>
      </w:pPr>
    </w:p>
    <w:p>
      <w:pPr>
        <w:jc w:val="both"/>
        <w:ind w:left="640" w:firstLine="643"/>
        <w:spacing w:after="0" w:line="310" w:lineRule="auto"/>
        <w:tabs>
          <w:tab w:leader="none" w:pos="2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rulings issued thereunder.</w:t>
      </w:r>
    </w:p>
    <w:p>
      <w:pPr>
        <w:spacing w:after="0" w:line="198"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the Initial Issuing Bank or any Eligible Assignee to which a portion of the Letter of Credit Commitment hereunder have been assigned pursuant to Section 8.07 so long as such Eligible Assignee expressly agrees to perform in accordance with their terms all of the obligations that by the terms of this Agreement are required to be performed by it as an Issuing Bank and notifies the Agent of its Applicable Lending Office (which information shall be recorded by the Agent in the Register), for so long as the Initial Issuing Bank or Eligible Assignee, as the case may be, shall have a Letter of Credit Commitment.</w:t>
      </w:r>
    </w:p>
    <w:p>
      <w:pPr>
        <w:spacing w:after="0" w:line="21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Cash Collateral Account</w:t>
      </w:r>
      <w:r>
        <w:rPr>
          <w:rFonts w:ascii="Arial" w:cs="Arial" w:eastAsia="Arial" w:hAnsi="Arial"/>
          <w:sz w:val="18"/>
          <w:szCs w:val="18"/>
          <w:color w:val="auto"/>
        </w:rPr>
        <w:t>” means an interest bearing cash collateral account to be established and maintained by the Agent, over which the Agent shall have sole dominion and control, upon terms as may be satisfactory to the Agent.</w:t>
      </w:r>
    </w:p>
    <w:p>
      <w:pPr>
        <w:spacing w:after="0" w:line="198"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means, as of any date, the aggregate Available Amount of outstanding Letters of Credit and Advances made by an Issuing Bank in accordance with Section 2.04 that have not been funded by the Lenders and, in the case of any Letters of Credit denominated in any Committed Currency, shall be the Equivalent in Dollars of such amount, determined as of the third Business Day prior to such date.</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Related Documents</w:t>
      </w:r>
      <w:r>
        <w:rPr>
          <w:rFonts w:ascii="Arial" w:cs="Arial" w:eastAsia="Arial" w:hAnsi="Arial"/>
          <w:sz w:val="18"/>
          <w:szCs w:val="18"/>
          <w:color w:val="auto"/>
        </w:rPr>
        <w:t>” has the meaning specified in Section 2.07(b)(ii)(A).</w:t>
      </w:r>
    </w:p>
    <w:p>
      <w:pPr>
        <w:spacing w:after="0" w:line="250"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Insolvency Event</w:t>
      </w:r>
      <w:r>
        <w:rPr>
          <w:rFonts w:ascii="Arial" w:cs="Arial" w:eastAsia="Arial" w:hAnsi="Arial"/>
          <w:sz w:val="17"/>
          <w:szCs w:val="17"/>
          <w:color w:val="auto"/>
        </w:rPr>
        <w:t>” means that (a) a Lender or its Parent Company is generally unable to pay its debts as they become due, or admits in writing its inability to pay its debts as they become due, or makes a general assignment for the benefit of its creditors, or (b) such Lender or its Parent Company has become the subject of a proceeding under any debtor relief law,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Party</w:t>
      </w:r>
      <w:r>
        <w:rPr>
          <w:rFonts w:ascii="Arial" w:cs="Arial" w:eastAsia="Arial" w:hAnsi="Arial"/>
          <w:sz w:val="18"/>
          <w:szCs w:val="18"/>
          <w:color w:val="auto"/>
        </w:rPr>
        <w:t>” means any Lender or Issuing Bank.</w:t>
      </w:r>
    </w:p>
    <w:p>
      <w:pPr>
        <w:spacing w:after="0" w:line="250"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Lenders, each Assuming Lender that shall become a party hereto pursuant to Section 2.19 or 2.22 and each Person that shall become a party hereto pursuant to Section 8.07.</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Advance</w:t>
      </w:r>
      <w:r>
        <w:rPr>
          <w:rFonts w:ascii="Arial" w:cs="Arial" w:eastAsia="Arial" w:hAnsi="Arial"/>
          <w:sz w:val="18"/>
          <w:szCs w:val="18"/>
          <w:color w:val="auto"/>
        </w:rPr>
        <w:t>” means an advance made by an Issuing Bank pursuant to Section 2.04(c).</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specified in Section 2.04(a).</w:t>
      </w:r>
    </w:p>
    <w:p>
      <w:pPr>
        <w:spacing w:after="0" w:line="250"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Commitment</w:t>
      </w:r>
      <w:r>
        <w:rPr>
          <w:rFonts w:ascii="Arial" w:cs="Arial" w:eastAsia="Arial" w:hAnsi="Arial"/>
          <w:sz w:val="17"/>
          <w:szCs w:val="17"/>
          <w:color w:val="auto"/>
        </w:rPr>
        <w:t>” means, with respect to the Initial Issuing Bank, the amount set forth opposite the Initial Issuing Bank’s name on Schedule I hereto under the caption “Letter of Credit Commitment” or, if the Initial Issuing Bank has entered into one or more Assignment and Assumptions, the amount set forth for such Issuing Bank in the Register maintained by the Agent pursuant to Section 8.07(c) as such Issuing Bank’s “Letter of Credit Commitment”, as such amount may be reduced at or prior to such time pursuant to Section 2.06.</w:t>
      </w:r>
    </w:p>
    <w:p>
      <w:pPr>
        <w:spacing w:after="0" w:line="197"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Facility</w:t>
      </w:r>
      <w:r>
        <w:rPr>
          <w:rFonts w:ascii="Arial" w:cs="Arial" w:eastAsia="Arial" w:hAnsi="Arial"/>
          <w:sz w:val="17"/>
          <w:szCs w:val="17"/>
          <w:color w:val="auto"/>
        </w:rPr>
        <w:t>” means, at any time, an amount equal to the lesser of (a) the amount of the Issuing Banks Letter of Credit Commitments at such time and (b) $150,000,000, as such amount may be reduced at or prior to such time pursuant to Section 2.06.</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has the meaning specified in Section 2.01(b).</w:t>
      </w:r>
    </w:p>
    <w:p>
      <w:pPr>
        <w:spacing w:after="0" w:line="25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lien, security interest or other similar charge or encumbrance, including, without limitation, the lien or retained security title of a conditional vendor.</w:t>
      </w:r>
    </w:p>
    <w:p>
      <w:pPr>
        <w:spacing w:after="0" w:line="19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material adverse change in the business, condition (financial or otherwise), operations, performance, properties or prospects of the Borrower and its Subsidiaries taken as a whole.</w:t>
      </w:r>
    </w:p>
    <w:p>
      <w:pPr>
        <w:sectPr>
          <w:pgSz w:w="11900" w:h="16838" w:orient="portrait"/>
          <w:cols w:equalWidth="0" w:num="1">
            <w:col w:w="10760"/>
          </w:cols>
          <w:pgMar w:left="900" w:top="125" w:right="239" w:bottom="0" w:gutter="0" w:footer="0" w:header="0"/>
        </w:sectPr>
      </w:pPr>
    </w:p>
    <w:bookmarkStart w:id="42" w:name="page43"/>
    <w:bookmarkEnd w:id="42"/>
    <w:p>
      <w:pPr>
        <w:jc w:val="both"/>
        <w:ind w:left="7"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condition (financial or otherwise), operations, performance, properties or prospects of the Borrower and its Subsidiaries taken as a whole, (b) the rights and remedies of the Agent or any Lender under this Agreement or any Note or (c) the ability of the Borrower to perform its obligations under this Agreement or any Note.</w:t>
      </w:r>
    </w:p>
    <w:p>
      <w:pPr>
        <w:spacing w:after="0" w:line="191" w:lineRule="exact"/>
        <w:rPr>
          <w:sz w:val="20"/>
          <w:szCs w:val="20"/>
          <w:color w:val="auto"/>
        </w:rPr>
      </w:pPr>
    </w:p>
    <w:p>
      <w:pPr>
        <w:jc w:val="both"/>
        <w:ind w:left="7"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at any time, (i) any Subsidiary of the Borrower which shall have contributed in excess of 5% of the Consolidated Net Earnings during the fiscal year then most recently ended and (ii) in the case of any other Subsidiary created, restructured in any material respect or acquired since the end of such fiscal year, such Subsidiary if it is reasonably projected to contribute in excess of 5% of the Consolidated Net Earnings of the Borrower during the then current fiscal year.</w:t>
      </w:r>
    </w:p>
    <w:p>
      <w:pPr>
        <w:spacing w:after="0" w:line="212"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50" w:lineRule="exact"/>
        <w:rPr>
          <w:sz w:val="20"/>
          <w:szCs w:val="20"/>
          <w:color w:val="auto"/>
        </w:rPr>
      </w:pPr>
    </w:p>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209" w:lineRule="exact"/>
        <w:rPr>
          <w:sz w:val="20"/>
          <w:szCs w:val="20"/>
          <w:color w:val="auto"/>
        </w:rPr>
      </w:pPr>
    </w:p>
    <w:p>
      <w:pPr>
        <w:jc w:val="both"/>
        <w:ind w:left="7"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212"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Non-Approving Lender</w:t>
      </w:r>
      <w:r>
        <w:rPr>
          <w:rFonts w:ascii="Arial" w:cs="Arial" w:eastAsia="Arial" w:hAnsi="Arial"/>
          <w:sz w:val="18"/>
          <w:szCs w:val="18"/>
          <w:color w:val="auto"/>
        </w:rPr>
        <w:t>” means any Lender that does not approve any consent, waiver or amendment that (i) requires the approval of all affected Lenders in accordance with the terms of Section 8.01 and (ii) has been approved by the Required Lenders.</w:t>
      </w:r>
    </w:p>
    <w:p>
      <w:pPr>
        <w:spacing w:after="0" w:line="198"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50"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specified in Section 2.22(b).</w:t>
      </w:r>
    </w:p>
    <w:p>
      <w:pPr>
        <w:spacing w:after="0" w:line="250" w:lineRule="exact"/>
        <w:rPr>
          <w:sz w:val="20"/>
          <w:szCs w:val="20"/>
          <w:color w:val="auto"/>
        </w:rPr>
      </w:pPr>
    </w:p>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of the Borrower payable to the order of any Lender, delivered pursuant to a request made under Section 2.17 in substantially the form of Exhibit A hereto, evidencing the aggregate indebtedness of the Borrower to such Lender resulting from the Revolving Credit Advances or Letter of Credit Advances made by such Lender.</w:t>
      </w:r>
    </w:p>
    <w:p>
      <w:pPr>
        <w:spacing w:after="0" w:line="209"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has the meaning specified in Section 2.02(a).</w:t>
      </w:r>
    </w:p>
    <w:p>
      <w:pPr>
        <w:spacing w:after="0" w:line="250"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Issuance</w:t>
      </w:r>
      <w:r>
        <w:rPr>
          <w:rFonts w:ascii="Arial" w:cs="Arial" w:eastAsia="Arial" w:hAnsi="Arial"/>
          <w:sz w:val="18"/>
          <w:szCs w:val="18"/>
          <w:color w:val="auto"/>
        </w:rPr>
        <w:t>” has the meaning specified in Section 2.04(a).</w:t>
      </w:r>
    </w:p>
    <w:p>
      <w:pPr>
        <w:spacing w:after="0" w:line="250"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Office</w:t>
      </w:r>
      <w:r>
        <w:rPr>
          <w:rFonts w:ascii="Arial" w:cs="Arial" w:eastAsia="Arial" w:hAnsi="Arial"/>
          <w:sz w:val="18"/>
          <w:szCs w:val="18"/>
          <w:color w:val="auto"/>
        </w:rPr>
        <w:t>” means, for any Committed Currency, such office of Citibank as shall be from time to time selected by the Agent and notified by the Agent to the Borrower and the Lenders.</w:t>
      </w:r>
    </w:p>
    <w:p>
      <w:pPr>
        <w:spacing w:after="0" w:line="198" w:lineRule="exact"/>
        <w:rPr>
          <w:sz w:val="20"/>
          <w:szCs w:val="20"/>
          <w:color w:val="auto"/>
        </w:rPr>
      </w:pPr>
    </w:p>
    <w:p>
      <w:pPr>
        <w:jc w:val="both"/>
        <w:ind w:left="7"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Company</w:t>
      </w:r>
      <w:r>
        <w:rPr>
          <w:rFonts w:ascii="Arial" w:cs="Arial" w:eastAsia="Arial" w:hAnsi="Arial"/>
          <w:sz w:val="17"/>
          <w:szCs w:val="17"/>
          <w:color w:val="auto"/>
        </w:rPr>
        <w:t>” means, with respect to a Lender, the bank holding company (as defined in Federal Reserve Board Regulation Y), if any, of such Lender, or if such Lender does not have a bank holding company, then any corporation, association, partnership or other business entity owning, beneficially or of record, directly or indirectly, a majority of the Voting Stock of such Lender.</w:t>
      </w:r>
    </w:p>
    <w:p>
      <w:pPr>
        <w:spacing w:after="0" w:line="191"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specified in Section 8.07(d).</w:t>
      </w:r>
    </w:p>
    <w:p>
      <w:pPr>
        <w:spacing w:after="0" w:line="250"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250" w:lineRule="exact"/>
        <w:rPr>
          <w:sz w:val="20"/>
          <w:szCs w:val="20"/>
          <w:color w:val="auto"/>
        </w:rPr>
      </w:pPr>
    </w:p>
    <w:p>
      <w:pPr>
        <w:jc w:val="both"/>
        <w:ind w:left="7"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such of the following as to which no enforcement, collection, execution, levy or foreclosure proceeding shall have been commenced: (a) Liens for taxes, assessments and governmental charges or levies to the extent not required to be paid under Section 5.01(b) hereof; (b) Liens imposed by law, such as materialmen’s, mechanics’, carriers’, workmen’s and repairmen’s Liens and other similar Liens arising in the ordinary course of business securing obligations that are not yet due or that are being contested in good faith by appropriate proceedings and with respect to which adequate reserves are being maintained; (c) pledges or deposits to secure obligations under workers’ compensation, unemployment insurance or other social security laws or similar legislation or to secure public or statutory obligations, the performance of tenders, surety and appeal bonds, bids, leases, government contracts, performance and return of money bonds (but not securing Debt) and similar obligations; and</w:t>
      </w:r>
    </w:p>
    <w:p>
      <w:pPr>
        <w:spacing w:after="0" w:line="2" w:lineRule="exact"/>
        <w:rPr>
          <w:sz w:val="20"/>
          <w:szCs w:val="20"/>
          <w:color w:val="auto"/>
        </w:rPr>
      </w:pPr>
    </w:p>
    <w:p>
      <w:pPr>
        <w:ind w:left="7" w:hanging="7"/>
        <w:spacing w:after="0" w:line="258" w:lineRule="auto"/>
        <w:tabs>
          <w:tab w:leader="none" w:pos="2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easements, rights of way and other encumbrances on title to real property that do not render title to the property encumbered thereby unmarketable or materially adversely affect the use of such property for its present purposes.</w:t>
      </w:r>
    </w:p>
    <w:p>
      <w:pPr>
        <w:spacing w:after="0" w:line="213"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98"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w:t>
      </w:r>
    </w:p>
    <w:p>
      <w:pPr>
        <w:spacing w:after="0" w:line="250" w:lineRule="exact"/>
        <w:rPr>
          <w:sz w:val="20"/>
          <w:szCs w:val="20"/>
          <w:color w:val="auto"/>
        </w:rPr>
      </w:pPr>
    </w:p>
    <w:p>
      <w:pPr>
        <w:jc w:val="both"/>
        <w:ind w:left="7" w:firstLine="645"/>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of any amount means, with respect to any Lender at any time, the product of such amount </w:t>
      </w:r>
      <w:r>
        <w:rPr>
          <w:rFonts w:ascii="Arial" w:cs="Arial" w:eastAsia="Arial" w:hAnsi="Arial"/>
          <w:sz w:val="16"/>
          <w:szCs w:val="16"/>
          <w:i w:val="1"/>
          <w:iCs w:val="1"/>
          <w:color w:val="auto"/>
        </w:rPr>
        <w:t>times</w:t>
      </w:r>
      <w:r>
        <w:rPr>
          <w:rFonts w:ascii="Arial" w:cs="Arial" w:eastAsia="Arial" w:hAnsi="Arial"/>
          <w:sz w:val="16"/>
          <w:szCs w:val="16"/>
          <w:color w:val="auto"/>
        </w:rPr>
        <w:t xml:space="preserve"> a fraction the numerator of which is the amount of such Lender’s Revolving Commitment at such time (or, if the Revolving Commitments shall have been terminated pursuant to Section 2.06 or 6.01, such Lender’s Revolving Commitment as in effect immediately prior to such termination) and the denominator of which is the aggregate amount of all Revolving Commitments at such time (or, if the Revolving Commitments shall have been terminated pursuant to Section 2.06 or 6.01, the aggregate amount of all Revolving Commitments as in effect immediately prior to such termination).</w:t>
      </w:r>
    </w:p>
    <w:p>
      <w:pPr>
        <w:spacing w:after="0" w:line="187" w:lineRule="exact"/>
        <w:rPr>
          <w:sz w:val="20"/>
          <w:szCs w:val="20"/>
          <w:color w:val="auto"/>
        </w:rPr>
      </w:pPr>
    </w:p>
    <w:p>
      <w:pPr>
        <w:jc w:val="both"/>
        <w:ind w:left="7" w:firstLine="64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Debt Rating</w:t>
      </w:r>
      <w:r>
        <w:rPr>
          <w:rFonts w:ascii="Arial" w:cs="Arial" w:eastAsia="Arial" w:hAnsi="Arial"/>
          <w:sz w:val="16"/>
          <w:szCs w:val="16"/>
          <w:color w:val="auto"/>
        </w:rPr>
        <w:t>” means, as of any date, the rating that has been most recently announced by either S&amp;P or Moody’s, as the case may be, for any class of non-credit enhanced long-term senior unsecured debt issued by the Borrower or, if either such rating agency shall have issued more than one such rating, the lowest such rating issued by such rating agency. For purposes of the foregoing, (a) if only one of S&amp;P and Moody’s shall have in effect a Public Debt Rating, the Applicable Margin and the Applicable Percentage shall be determined by reference to the available rating;</w:t>
      </w:r>
    </w:p>
    <w:p>
      <w:pPr>
        <w:spacing w:after="0" w:line="1" w:lineRule="exact"/>
        <w:rPr>
          <w:sz w:val="20"/>
          <w:szCs w:val="20"/>
          <w:color w:val="auto"/>
        </w:rPr>
      </w:pPr>
    </w:p>
    <w:p>
      <w:pPr>
        <w:jc w:val="both"/>
        <w:ind w:left="7" w:hanging="7"/>
        <w:spacing w:after="0" w:line="300" w:lineRule="auto"/>
        <w:tabs>
          <w:tab w:leader="none" w:pos="2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neither S&amp;P nor Moody’s shall have in effect a Public Debt Rating, the Applicable Margin and the Applicable Percentage will be set in accordance with Level 4 under the definition of “</w:t>
      </w:r>
      <w:r>
        <w:rPr>
          <w:rFonts w:ascii="Arial" w:cs="Arial" w:eastAsia="Arial" w:hAnsi="Arial"/>
          <w:sz w:val="16"/>
          <w:szCs w:val="16"/>
          <w:u w:val="single" w:color="auto"/>
          <w:color w:val="auto"/>
        </w:rPr>
        <w:t>Applicable Margin</w:t>
      </w:r>
      <w:r>
        <w:rPr>
          <w:rFonts w:ascii="Arial" w:cs="Arial" w:eastAsia="Arial" w:hAnsi="Arial"/>
          <w:sz w:val="16"/>
          <w:szCs w:val="16"/>
          <w:color w:val="auto"/>
        </w:rPr>
        <w:t>” or “</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as the case may be; (c) if the ratings established by S&amp;P and Moody’s shall fall within different levels, the Applicable Margin and the Applicable Percentage shall be based upon the higher rating,</w:t>
      </w:r>
    </w:p>
    <w:p>
      <w:pPr>
        <w:sectPr>
          <w:pgSz w:w="11900" w:h="16838" w:orient="portrait"/>
          <w:cols w:equalWidth="0" w:num="1">
            <w:col w:w="10767"/>
          </w:cols>
          <w:pgMar w:left="893" w:top="125" w:right="239" w:bottom="0" w:gutter="0" w:footer="0" w:header="0"/>
        </w:sectPr>
      </w:pPr>
    </w:p>
    <w:bookmarkStart w:id="43" w:name="page44"/>
    <w:bookmarkEnd w:id="43"/>
    <w:p>
      <w:pPr>
        <w:jc w:val="both"/>
        <w:ind w:left="660"/>
        <w:spacing w:after="0" w:line="274" w:lineRule="auto"/>
        <w:rPr>
          <w:sz w:val="20"/>
          <w:szCs w:val="20"/>
          <w:color w:val="auto"/>
        </w:rPr>
      </w:pPr>
      <w:r>
        <w:rPr>
          <w:rFonts w:ascii="Arial" w:cs="Arial" w:eastAsia="Arial" w:hAnsi="Arial"/>
          <w:sz w:val="17"/>
          <w:szCs w:val="17"/>
          <w:color w:val="auto"/>
        </w:rPr>
        <w:t>unless the ratings shall fall within levels that are separated by two or more levels, in which case the Applicable Margin and the Applicable Percentage shall be based upon the rating that is one level above the lower rating; (d) if any rating established by S&amp;P or Moody’s shall be changed, such change shall be effective as of the date on which such change is first announced publicly by the rating agency making such change; and (e)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8.07(c).</w:t>
      </w:r>
    </w:p>
    <w:p>
      <w:pPr>
        <w:spacing w:after="0" w:line="250"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98" w:lineRule="exact"/>
        <w:rPr>
          <w:sz w:val="20"/>
          <w:szCs w:val="20"/>
          <w:color w:val="auto"/>
        </w:rPr>
      </w:pPr>
    </w:p>
    <w:p>
      <w:pPr>
        <w:jc w:val="both"/>
        <w:ind w:left="660"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owed more than 50% of (a) the then aggregate unpaid principal amount (based on the Equivalent in Dollars at such time) of the Revolving Credit Advances outstanding at such time and (b) the aggregate unpaid principal amount of Letter of Credit Advances outstanding at such time, or, if no principal amount is outstanding from Letter of Credit Advances at such time, Lenders having more than 50% of the Revolving Commitments. The Commitment of any Defaulting Lender shall be disregarded in determining Required Lenders at any time.</w:t>
      </w:r>
    </w:p>
    <w:p>
      <w:pPr>
        <w:spacing w:after="0" w:line="218" w:lineRule="exact"/>
        <w:rPr>
          <w:sz w:val="20"/>
          <w:szCs w:val="20"/>
          <w:color w:val="auto"/>
        </w:rPr>
      </w:pPr>
    </w:p>
    <w:p>
      <w:pPr>
        <w:jc w:val="both"/>
        <w:ind w:left="660"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means, with respect to any Lender at any time, the amount set forth opposite such Lender’s name on Schedule I hereto under the caption “Revolving Commitment” or, if such Lender has entered into one or more Assignment and Assumptions, set forth for such Lender in the Register maintained by the Agent pursuant to Section 8.07(c) as such Lender’s “Revolving Commitment”, as such amount may be reduced at or prior to such time pursuant to Section 2.06.</w:t>
      </w:r>
    </w:p>
    <w:p>
      <w:pPr>
        <w:spacing w:after="0" w:line="212"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Advance</w:t>
      </w:r>
      <w:r>
        <w:rPr>
          <w:rFonts w:ascii="Arial" w:cs="Arial" w:eastAsia="Arial" w:hAnsi="Arial"/>
          <w:sz w:val="18"/>
          <w:szCs w:val="18"/>
          <w:color w:val="auto"/>
        </w:rPr>
        <w:t>” means an advance by a Lender to the Borrower as part of a Borrowing and refers to a Base Rate Advance or a Eurocurrency Rate Advance (each of which shall be a “</w:t>
      </w:r>
      <w:r>
        <w:rPr>
          <w:rFonts w:ascii="Arial" w:cs="Arial" w:eastAsia="Arial" w:hAnsi="Arial"/>
          <w:sz w:val="18"/>
          <w:szCs w:val="18"/>
          <w:u w:val="single" w:color="auto"/>
          <w:color w:val="auto"/>
        </w:rPr>
        <w:t>Type</w:t>
      </w:r>
      <w:r>
        <w:rPr>
          <w:rFonts w:ascii="Arial" w:cs="Arial" w:eastAsia="Arial" w:hAnsi="Arial"/>
          <w:sz w:val="18"/>
          <w:szCs w:val="18"/>
          <w:color w:val="auto"/>
        </w:rPr>
        <w:t>” of Revolving Credit Advance).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aggregate of the Revolving Commitments at such time.</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 division of The McGraw-Hill Companies, Inc.</w:t>
      </w:r>
    </w:p>
    <w:p>
      <w:pPr>
        <w:spacing w:after="0" w:line="250" w:lineRule="exact"/>
        <w:rPr>
          <w:sz w:val="20"/>
          <w:szCs w:val="20"/>
          <w:color w:val="auto"/>
        </w:rPr>
      </w:pPr>
    </w:p>
    <w:p>
      <w:pPr>
        <w:jc w:val="both"/>
        <w:ind w:left="660"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the subject or target of any Sanctions.</w:t>
      </w:r>
    </w:p>
    <w:p>
      <w:pPr>
        <w:spacing w:after="0" w:line="250" w:lineRule="exact"/>
        <w:rPr>
          <w:sz w:val="20"/>
          <w:szCs w:val="20"/>
          <w:color w:val="auto"/>
        </w:rPr>
      </w:pPr>
    </w:p>
    <w:p>
      <w:pPr>
        <w:jc w:val="both"/>
        <w:ind w:left="660"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or any EU member state, (b) any Person operating, organized or resident in a Sanctioned Country or (c) any Person controlled by any such Person.</w:t>
      </w:r>
    </w:p>
    <w:p>
      <w:pPr>
        <w:spacing w:after="0" w:line="212" w:lineRule="exact"/>
        <w:rPr>
          <w:sz w:val="20"/>
          <w:szCs w:val="20"/>
          <w:color w:val="auto"/>
        </w:rPr>
      </w:pPr>
    </w:p>
    <w:p>
      <w:pPr>
        <w:jc w:val="both"/>
        <w:ind w:left="660"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212" w:lineRule="exact"/>
        <w:rPr>
          <w:sz w:val="20"/>
          <w:szCs w:val="20"/>
          <w:color w:val="auto"/>
        </w:rPr>
      </w:pPr>
    </w:p>
    <w:p>
      <w:pPr>
        <w:jc w:val="both"/>
        <w:ind w:left="660" w:firstLine="64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means any corporation, partnership, joint venture, limited liability company, trust or estate, or any other entity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joint venture or other entity or (c) the beneficial interest in such trust or estate is at the time directly or indirectly owned or controlled by such Person, by such Person and one or more of its other Subsidiaries or by one or more of such Person’s other Subsidiaries.</w:t>
      </w:r>
    </w:p>
    <w:p>
      <w:pPr>
        <w:spacing w:after="0" w:line="203" w:lineRule="exact"/>
        <w:rPr>
          <w:sz w:val="20"/>
          <w:szCs w:val="20"/>
          <w:color w:val="auto"/>
        </w:rPr>
      </w:pPr>
    </w:p>
    <w:p>
      <w:pPr>
        <w:jc w:val="both"/>
        <w:ind w:left="660"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earlier of (a) October 15, 2018, subject to the extension thereof pursuant to Section 2.22 and (b) the date of termination in whole of the Commitments pursuant to Section 2.06 or 6.01;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Termination Date of any Lender that is a Non-Extending Lender to any requested extension pursuant to Section 2.22 shall be the Termination Date in effect immediately prior to the applicable Anniversary Date for all purposes of this Agreement.</w:t>
      </w:r>
    </w:p>
    <w:p>
      <w:pPr>
        <w:spacing w:after="0" w:line="212" w:lineRule="exact"/>
        <w:rPr>
          <w:sz w:val="20"/>
          <w:szCs w:val="20"/>
          <w:color w:val="auto"/>
        </w:rPr>
      </w:pPr>
    </w:p>
    <w:p>
      <w:pPr>
        <w:jc w:val="both"/>
        <w:ind w:left="660"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Commitment</w:t>
      </w:r>
      <w:r>
        <w:rPr>
          <w:rFonts w:ascii="Arial" w:cs="Arial" w:eastAsia="Arial" w:hAnsi="Arial"/>
          <w:sz w:val="18"/>
          <w:szCs w:val="18"/>
          <w:color w:val="auto"/>
        </w:rPr>
        <w:t xml:space="preserve">” means, with respect to each Lender at any time, (a) such Lender’s Revolving Commitment at such time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(i) the aggregate principal amount of all Revolving Credit Advances and Letter of Credit Advances made by such Lender (in its capacity as a Lender) and outstanding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such Lender’s Pro Rata Share of (A) the aggregate Available Amount of all the Letters of Credit outstanding at such time and (B) the aggregate principal amount of all Letter of Credit Advances made by each Issuing Bank pursuant to Section 2.04(c) and outstanding at such time.</w:t>
      </w:r>
    </w:p>
    <w:p>
      <w:pPr>
        <w:spacing w:after="0" w:line="218" w:lineRule="exact"/>
        <w:rPr>
          <w:sz w:val="20"/>
          <w:szCs w:val="20"/>
          <w:color w:val="auto"/>
        </w:rPr>
      </w:pPr>
    </w:p>
    <w:p>
      <w:pPr>
        <w:jc w:val="both"/>
        <w:ind w:left="660"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209"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98"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All accounting terms not specifically defined herein shall be construed in accordance with generally accepted accounting principles in the United States of America consistent with those applied in the preparation of the financial statements referred to in Section 4.01(e) (“</w:t>
      </w:r>
      <w:r>
        <w:rPr>
          <w:rFonts w:ascii="Arial" w:cs="Arial" w:eastAsia="Arial" w:hAnsi="Arial"/>
          <w:sz w:val="18"/>
          <w:szCs w:val="18"/>
          <w:u w:val="single" w:color="auto"/>
          <w:color w:val="auto"/>
        </w:rPr>
        <w:t>GAAP</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ARTICLE 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AND TERMS OF THE ADVANCES</w:t>
      </w:r>
    </w:p>
    <w:p>
      <w:pPr>
        <w:spacing w:after="0" w:line="250" w:lineRule="exact"/>
        <w:rPr>
          <w:sz w:val="20"/>
          <w:szCs w:val="20"/>
          <w:color w:val="auto"/>
        </w:rPr>
      </w:pPr>
    </w:p>
    <w:p>
      <w:pPr>
        <w:jc w:val="both"/>
        <w:ind w:firstLine="1290"/>
        <w:spacing w:after="0" w:line="270"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The Revolving Credit Advances and the Letters of Credit</w:t>
      </w:r>
      <w:r>
        <w:rPr>
          <w:rFonts w:ascii="Arial" w:cs="Arial" w:eastAsia="Arial" w:hAnsi="Arial"/>
          <w:sz w:val="17"/>
          <w:szCs w:val="17"/>
          <w:color w:val="auto"/>
        </w:rPr>
        <w:t xml:space="preserve">. (a) </w:t>
      </w:r>
      <w:r>
        <w:rPr>
          <w:rFonts w:ascii="Arial" w:cs="Arial" w:eastAsia="Arial" w:hAnsi="Arial"/>
          <w:sz w:val="17"/>
          <w:szCs w:val="17"/>
          <w:u w:val="single" w:color="auto"/>
          <w:color w:val="auto"/>
        </w:rPr>
        <w:t>The Revolving Credit Advances</w:t>
      </w:r>
      <w:r>
        <w:rPr>
          <w:rFonts w:ascii="Arial" w:cs="Arial" w:eastAsia="Arial" w:hAnsi="Arial"/>
          <w:sz w:val="17"/>
          <w:szCs w:val="17"/>
          <w:color w:val="auto"/>
        </w:rPr>
        <w:t>. Each Lender severally agrees, on the terms and conditions hereinafter set forth, to make Revolving Credit Advances to the Borrower from time to time on any Business Day during the period from the Effective Date until the Termination Date applicable to such Lender in an amount (based in respect of any Revolving Credit Advances to be denominated in a Committed Currency by reference to the Equivalent thereof in Dollars determined on the date of delivery of the applicable Notice of Borrowing) not to exceed at any time such Lender’s Unused Commitment at such time. Each Borrowing shall be in an amount not less than the Borrowing Minimum or the Borrowing Multiple in excess thereof and shall consist of Revolving Credit Advances of the same Type and in the same currency made on the same day by the Lenders ratably according to their respective Revolving Commitments. Within the limits of this Section 2.01(a), the Borrower may borrow under this Section 2.01(a), prepay pursuant to Section 2.11 and reborrow under this Section 2.01(a).</w:t>
      </w:r>
    </w:p>
    <w:p>
      <w:pPr>
        <w:spacing w:after="0" w:line="203" w:lineRule="exact"/>
        <w:rPr>
          <w:sz w:val="20"/>
          <w:szCs w:val="20"/>
          <w:color w:val="auto"/>
        </w:rPr>
      </w:pPr>
    </w:p>
    <w:p>
      <w:pPr>
        <w:jc w:val="both"/>
        <w:ind w:firstLine="1298"/>
        <w:spacing w:after="0" w:line="277" w:lineRule="auto"/>
        <w:tabs>
          <w:tab w:leader="none" w:pos="211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Letters of Credit</w:t>
      </w:r>
      <w:r>
        <w:rPr>
          <w:rFonts w:ascii="Arial" w:cs="Arial" w:eastAsia="Arial" w:hAnsi="Arial"/>
          <w:sz w:val="16"/>
          <w:szCs w:val="16"/>
          <w:color w:val="auto"/>
        </w:rPr>
        <w:t>. Each Issuing Bank agrees, on the terms and conditions hereinafter set forth, to issue letters of credit (each, a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denominated in Dollars or any Committed Currency for the account of the Borrower from time to time on any Business Day during the period from the Effective Date until 30 days before the Termination Date applicable to such Issuing Bank in an aggregate Available Amount (based in respect of any Letter of Credit to be denominated in a Committed Currency by reference to the Equivalent thereof in Dollars determined on the date of delivery of the applicable Notice of Issuance) (i) for all Letters of Credit issued by each Issuing Bank not to exceed at any time the lesser of (x) the Letter of Credit Facility at such time and (y) each Issuing Bank’s Letter of Credit Commitment at such time and (ii) for each such Letter of Credit not to exceed an amount equal to the Unused Commitments of the Lenders at such time. No Letter of Credit shall have an expiration date (including all rights of the Borrower or the beneficiary to require renewal) later than one year after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Letter of Credit may expire after the Termination Date of any Non-Extending Lender if, after giving effect to such issuance, the aggregate Revolving Commitments of the Extending Lenders (including any replacement Lenders) for the period following such Termination Date would be less than the Available Amount of the Letters of Credit expiring after such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respect of any Letter of Credit with an expiry later than the date that is 90 days prior to the Termination Date, the Borrower shall deliver to the Agent cash collateral on such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pursuant to documentation reasonably satisfactory to the Agent, in an amount equal to the sum of (x) the aggregate stated amount of all Letters of Credit with an expiry later than the date five Business Days prior to the Termination Date and (y) an amount equal to the full amount of fees that would accrue with respect to such Letters of Credit under Section 2.05(b) if each such Letter of Credit with an expiry later than the date five Business Days prior to the Termination Date were not drawn or cancelled prior to its stated expiry. Within the limits referred to above, the Borrower may request the issuance of Letters of Credit under this Section 2.01(b), repay any Letter of Credit Advances resulting from drawings thereunder pursuant to Section 2.04(c) and request the issuance of additional Letters of Credit under this Section 2.01(b).</w:t>
      </w:r>
    </w:p>
    <w:p>
      <w:pPr>
        <w:spacing w:after="0" w:line="209" w:lineRule="exact"/>
        <w:rPr>
          <w:sz w:val="20"/>
          <w:szCs w:val="20"/>
          <w:color w:val="auto"/>
        </w:rPr>
      </w:pPr>
    </w:p>
    <w:p>
      <w:pPr>
        <w:jc w:val="both"/>
        <w:ind w:firstLine="1290"/>
        <w:spacing w:after="0" w:line="266"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Making the Revolving Credit Advances</w:t>
      </w:r>
      <w:r>
        <w:rPr>
          <w:rFonts w:ascii="Arial" w:cs="Arial" w:eastAsia="Arial" w:hAnsi="Arial"/>
          <w:sz w:val="17"/>
          <w:szCs w:val="17"/>
          <w:color w:val="auto"/>
        </w:rPr>
        <w:t>. (a) Each Borrowing shall be made on notice, given not later than (x) 11:00 A.M. (New York City time) on the third Business Day prior to the date of the proposed Borrowing in the case of a Borrowing consisting of Eurocurrency Rate Advances denominated in Dollars, (y) 9:00 A.M. (New York City time) on the third Business Day prior to the date of the proposed Borrowing in the case of a Borrowing consisting of Eurocurrency Rate Advances denominated in any Committed Currency, or (z) 11:00 A.M. (New York City time) on the date of the proposed Borrowing in the case of a Borrowing consisting of Base Rate Advances, by the Borrower to the Agent which shall give to each Lender prompt notice thereof by telecopier. Each such notice of a Borrowing (a “</w:t>
      </w:r>
      <w:r>
        <w:rPr>
          <w:rFonts w:ascii="Arial" w:cs="Arial" w:eastAsia="Arial" w:hAnsi="Arial"/>
          <w:sz w:val="17"/>
          <w:szCs w:val="17"/>
          <w:u w:val="single" w:color="auto"/>
          <w:color w:val="auto"/>
        </w:rPr>
        <w:t>Notice of Borrowing</w:t>
      </w:r>
      <w:r>
        <w:rPr>
          <w:rFonts w:ascii="Arial" w:cs="Arial" w:eastAsia="Arial" w:hAnsi="Arial"/>
          <w:sz w:val="17"/>
          <w:szCs w:val="17"/>
          <w:color w:val="auto"/>
        </w:rPr>
        <w:t xml:space="preserve">”) shall be by telephone, confirmed immediately in writing, or telecopier in substantially the form of Exhibit B hereto, specifying therein the requested (i) date of such Borrowing, (ii) Type of Advances comprising such Borrowing, (iii) aggregate amount of such Borrowing, and (iv) in the case of a Borrowing consisting of Eurocurrency Rate Advances, initial Interest Period and currency for each such Revolving Credit Advance. Each Lender shall, before 1:00 P.M. (New York City time) on the date of such Borrowing, in the case of a Borrowing consisting of Advances denominated in Dollars, and before 11:00 A.M. (London time) on the date of such Borrowing, in the case of a Borrowing consisting of Eurocurrency Rate Advances denominated in any Committed Currency, make available for the account of its Applicable Lending Office to the Agent at the applicable Agent’s Account, in same day funds, such Lender’s ratable portion of such Borrowing in the denominated Committed Currency. After the Agent’s receipt of such funds and upon fulfillment of the applicable conditions set forth in Article III, the Agent will make such funds available to the Borrower at the Agent’s address referred to in Section 8.02;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Agent shall first make a portion of such funds equal to the aggregate principal amount of any Letter of Credit Advances outstanding on the date of such Borrowing,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accrued and unpaid thereon to and as of such date, available to the Lenders for repayment of such Letter of Credit Advances.</w:t>
      </w:r>
    </w:p>
    <w:p>
      <w:pPr>
        <w:spacing w:after="0" w:line="217" w:lineRule="exact"/>
        <w:rPr>
          <w:sz w:val="20"/>
          <w:szCs w:val="20"/>
          <w:color w:val="auto"/>
        </w:rPr>
      </w:pPr>
    </w:p>
    <w:p>
      <w:pPr>
        <w:jc w:val="both"/>
        <w:ind w:firstLine="1298"/>
        <w:spacing w:after="0" w:line="262" w:lineRule="auto"/>
        <w:tabs>
          <w:tab w:leader="none" w:pos="20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Anything in subsection (a) above to the contrary notwithstanding, the Borrower may not select Eurocurrency Rate Advances for any Borrowing if the aggregate amount of such Borrowing is less than the Borrowing Minimum or if the obligation of the Lenders to make Eurocurrency Rate Advances shall then be suspended pursuant to Section 2.09 or 2.13.</w:t>
      </w:r>
    </w:p>
    <w:p>
      <w:pPr>
        <w:spacing w:after="0" w:line="209" w:lineRule="exact"/>
        <w:rPr>
          <w:rFonts w:ascii="Arial" w:cs="Arial" w:eastAsia="Arial" w:hAnsi="Arial"/>
          <w:sz w:val="18"/>
          <w:szCs w:val="18"/>
          <w:color w:val="auto"/>
        </w:rPr>
      </w:pPr>
    </w:p>
    <w:p>
      <w:pPr>
        <w:jc w:val="both"/>
        <w:ind w:firstLine="1298"/>
        <w:spacing w:after="0" w:line="272" w:lineRule="auto"/>
        <w:tabs>
          <w:tab w:leader="none" w:pos="2022"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Notice of Borrowing shall be irrevocable and binding on the Borrower. In the case of any Borrowing that the related Notice of Borrowing specifies is to be comprised of Eurocurrency Rate Advances, the Borrower shall indemnify each Lender against any loss, cost or expense incurred by such Lender as a result of any failure to fulfill on or before the date specified in such Notice of Borrowing for such Borrowing the applicable conditions set forth in Article III, including, without limitation, any loss (including loss of anticipated profits), cost or expense incurred by reason of the liquidation or reemployment of deposits or other funds acquired by such Lender to fund the Revolving Credit Advance to be made by such Lender as part of such Borrowing when such Revolving Credit Advance, as a result of such failure, is not made on such date.</w:t>
      </w:r>
    </w:p>
    <w:p>
      <w:pPr>
        <w:spacing w:after="0" w:line="203" w:lineRule="exact"/>
        <w:rPr>
          <w:rFonts w:ascii="Arial" w:cs="Arial" w:eastAsia="Arial" w:hAnsi="Arial"/>
          <w:sz w:val="17"/>
          <w:szCs w:val="17"/>
          <w:color w:val="auto"/>
        </w:rPr>
      </w:pPr>
    </w:p>
    <w:p>
      <w:pPr>
        <w:jc w:val="both"/>
        <w:ind w:firstLine="1298"/>
        <w:spacing w:after="0" w:line="268" w:lineRule="auto"/>
        <w:tabs>
          <w:tab w:leader="none" w:pos="2131"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higher of (A) the interest rate applicable at the time to Revolving Credit Advances comprising such Borrowing and (B) the cost of funds incurred by the Agent in respect of such amount and (ii) in the case of such Lender, (A) the Federal Funds Rate in the case of Advances denominated in Dollars or (B) the cost of funds incurred by the Agent in respect of such amount in the case of Advances denominated in Committed Currencies. If such Lender shall repay to the Agent such corresponding amount, such amount so repaid shall constitute such Lender’s Revolving Credit Advance as part of such Borrowing for purposes of this Agreement.</w:t>
      </w:r>
    </w:p>
    <w:p>
      <w:pPr>
        <w:spacing w:after="0" w:line="206" w:lineRule="exact"/>
        <w:rPr>
          <w:rFonts w:ascii="Arial" w:cs="Arial" w:eastAsia="Arial" w:hAnsi="Arial"/>
          <w:sz w:val="17"/>
          <w:szCs w:val="17"/>
          <w:color w:val="auto"/>
        </w:rPr>
      </w:pPr>
    </w:p>
    <w:p>
      <w:pPr>
        <w:jc w:val="both"/>
        <w:ind w:firstLine="1298"/>
        <w:spacing w:after="0" w:line="285" w:lineRule="auto"/>
        <w:tabs>
          <w:tab w:leader="none" w:pos="204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failure of any Lender to make the Revolving Credit Advance to be made by it as part of any Borrowing shall not relieve any other Lender of its obligation, if any, hereunder to make its Revolving Credit Advance on the date of such Borrowing, but no Lender shall be responsible for the failure of any other Lender to make the Revolving Credit Advance to be made by such other Lender on the date of any Borrowing.</w:t>
      </w:r>
    </w:p>
    <w:p>
      <w:pPr>
        <w:sectPr>
          <w:pgSz w:w="11900" w:h="16838" w:orient="portrait"/>
          <w:cols w:equalWidth="0" w:num="1">
            <w:col w:w="11420"/>
          </w:cols>
          <w:pgMar w:left="240" w:top="125" w:right="239" w:bottom="0" w:gutter="0" w:footer="0" w:header="0"/>
        </w:sectPr>
      </w:pPr>
    </w:p>
    <w:bookmarkStart w:id="45" w:name="page46"/>
    <w:bookmarkEnd w:id="45"/>
    <w:p>
      <w:pPr>
        <w:ind w:left="130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[Reserved]</w:t>
      </w:r>
      <w:r>
        <w:rPr>
          <w:rFonts w:ascii="Arial" w:cs="Arial" w:eastAsia="Arial" w:hAnsi="Arial"/>
          <w:sz w:val="18"/>
          <w:szCs w:val="18"/>
          <w:color w:val="auto"/>
        </w:rPr>
        <w:t>. .</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Issuance of and Drawings and Reimbursement Under Letters of Credit</w:t>
      </w:r>
      <w:r>
        <w:rPr>
          <w:rFonts w:ascii="Arial" w:cs="Arial" w:eastAsia="Arial" w:hAnsi="Arial"/>
          <w:sz w:val="18"/>
          <w:szCs w:val="18"/>
          <w:color w:val="auto"/>
        </w:rPr>
        <w:t>.</w:t>
      </w:r>
    </w:p>
    <w:p>
      <w:pPr>
        <w:spacing w:after="0" w:line="250" w:lineRule="exact"/>
        <w:rPr>
          <w:sz w:val="20"/>
          <w:szCs w:val="20"/>
          <w:color w:val="auto"/>
        </w:rPr>
      </w:pPr>
    </w:p>
    <w:p>
      <w:pPr>
        <w:jc w:val="both"/>
        <w:ind w:firstLine="1298"/>
        <w:spacing w:after="0" w:line="286" w:lineRule="auto"/>
        <w:tabs>
          <w:tab w:leader="none" w:pos="1579"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Request for Issuance</w:t>
      </w:r>
      <w:r>
        <w:rPr>
          <w:rFonts w:ascii="Arial" w:cs="Arial" w:eastAsia="Arial" w:hAnsi="Arial"/>
          <w:sz w:val="16"/>
          <w:szCs w:val="16"/>
          <w:color w:val="auto"/>
        </w:rPr>
        <w:t>. (i) Each Letter of Credit shall be issued upon notice, given not later than 11:00 A.M. (New York City time) on the fifth Business Day prior to the date of the proposed issuance of such Letter of Credit, by the Borrower to any Issuing Bank, and such Issuing Bank shall give the Agent, prompt notice thereof by telecopier, and the Agent shall, within one Business Day of receipt of such notice, confirm the availability of the Letter of Credit Commitment to such Issuing Bank. Each such notice of issuance of a Letter of Credit (a “</w:t>
      </w:r>
      <w:r>
        <w:rPr>
          <w:rFonts w:ascii="Arial" w:cs="Arial" w:eastAsia="Arial" w:hAnsi="Arial"/>
          <w:sz w:val="16"/>
          <w:szCs w:val="16"/>
          <w:u w:val="single" w:color="auto"/>
          <w:color w:val="auto"/>
        </w:rPr>
        <w:t>Notice of Issuance</w:t>
      </w:r>
      <w:r>
        <w:rPr>
          <w:rFonts w:ascii="Arial" w:cs="Arial" w:eastAsia="Arial" w:hAnsi="Arial"/>
          <w:sz w:val="16"/>
          <w:szCs w:val="16"/>
          <w:color w:val="auto"/>
        </w:rPr>
        <w:t>”) shall be by telecopier, confirmed immediately in writing, specifying therein the requested (A) date of such issuance (which shall be a Business Day), (B) Available Amount of such Letter of Credit, (C) expiration date of such Letter of Credit, (D) name and address of the beneficiary of such Letter of Credit and (E) form of such Letter of Credit, and shall be accompanied by such application and agreement for letter of credit as such Issuing Bank may reasonably specify to the Borrower for use in connection with such requested Letter of Credit (a “</w:t>
      </w:r>
      <w:r>
        <w:rPr>
          <w:rFonts w:ascii="Arial" w:cs="Arial" w:eastAsia="Arial" w:hAnsi="Arial"/>
          <w:sz w:val="16"/>
          <w:szCs w:val="16"/>
          <w:u w:val="single" w:color="auto"/>
          <w:color w:val="auto"/>
        </w:rPr>
        <w:t>Letter of Credit Agreement</w:t>
      </w:r>
      <w:r>
        <w:rPr>
          <w:rFonts w:ascii="Arial" w:cs="Arial" w:eastAsia="Arial" w:hAnsi="Arial"/>
          <w:sz w:val="16"/>
          <w:szCs w:val="16"/>
          <w:color w:val="auto"/>
        </w:rPr>
        <w:t>”). If the requested form of such Letter of Credit is reasonably acceptable to such Issuing Bank, such Issuing Bank will, upon fulfillment of the applicable conditions set forth in Article III, make such Letter of Credit available to the Borrower at its office referred to in Section 8.02 or as otherwise agreed with the Borrower in connection with such issuance. In the event and to the extent that the provisions of any Letter of Credit Agreement shall conflict with this Agreement, the provisions of this Agreement shall govern.</w:t>
      </w:r>
    </w:p>
    <w:p>
      <w:pPr>
        <w:spacing w:after="0" w:line="196" w:lineRule="exact"/>
        <w:rPr>
          <w:rFonts w:ascii="Arial" w:cs="Arial" w:eastAsia="Arial" w:hAnsi="Arial"/>
          <w:sz w:val="16"/>
          <w:szCs w:val="16"/>
          <w:color w:val="auto"/>
        </w:rPr>
      </w:pPr>
    </w:p>
    <w:p>
      <w:pPr>
        <w:jc w:val="both"/>
        <w:ind w:firstLine="1298"/>
        <w:spacing w:after="0" w:line="268" w:lineRule="auto"/>
        <w:tabs>
          <w:tab w:leader="none" w:pos="210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Pro Rata Share of the aggregate amount available to be drawn under such Letter of Credit. The Borrower hereby agrees to each such participation. In consideration and in furtherance of the foregoing, each Lender hereby absolutely and unconditionally agrees to pay to the Agent, for the account of such Issuing Bank, such Lender’s Pro Rata Share of each Letter of Credit Advance made by such Issuing Bank and not reimbursed by the Borrower on the date made,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210" w:lineRule="exact"/>
        <w:rPr>
          <w:rFonts w:ascii="Arial" w:cs="Arial" w:eastAsia="Arial" w:hAnsi="Arial"/>
          <w:sz w:val="17"/>
          <w:szCs w:val="17"/>
          <w:color w:val="auto"/>
        </w:rPr>
      </w:pPr>
    </w:p>
    <w:p>
      <w:pPr>
        <w:jc w:val="both"/>
        <w:ind w:firstLine="1298"/>
        <w:spacing w:after="0" w:line="284" w:lineRule="auto"/>
        <w:tabs>
          <w:tab w:leader="none" w:pos="2009"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Drawing and Reimbursement</w:t>
      </w:r>
      <w:r>
        <w:rPr>
          <w:rFonts w:ascii="Arial" w:cs="Arial" w:eastAsia="Arial" w:hAnsi="Arial"/>
          <w:sz w:val="16"/>
          <w:szCs w:val="16"/>
          <w:color w:val="auto"/>
        </w:rPr>
        <w:t xml:space="preserve">. The payment by an Issuing Bank of a draft drawn under any Letter of Credit shall constitute for all purposes of this Agreement the making by any such Issuing Bank of a Letter of Credit Advance, which shall be a Base Rate Advance in the amount of such drawing (in the case of a Letter of Credit denominated in Dollars) or in the amount that is the Equivalent thereof in Dollars determined on the date of such drawing, in the case of any Letter of Credit denominated in a Committed Currency. Upon written demand by such Issuing Bank, with a copy of such demand to the Agent, each Lender shall pay to the Agent such Lender’s Pro Rata Share of such outstanding Letter of Credit Advance, by making available for the account of its Applicable Lending Office to the Agent for the account of such Issuing Bank, by deposit to the Agent’s Account, in same day funds, an amount equal to the portion of the outstanding principal amount of such Letter of Credit Advance to be funded by such Lender. Promptly after receipt thereof, the Agent shall transfer such funds to such Issuing Bank. Each Lender agrees to fund its Pro Rata Share of an outstanding Letter of Credit Advance on (i) the Business Day on which demand therefor is made by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 of such demand is given not later than 11:00 A.M. (New York City time) on such Business Day, or (ii) the first Business Day next succeeding such demand if notice of such demand is given after such time. If and to the extent that any Lender shall not have so made the amount of such Letter of Credit Advance available to the Agent, such Lender agrees to pay to the Agent forthwith on demand such amount together with interest thereon, for each day from the date of demand by any such Issuing Bank until the date such amount is paid to the Agent, at the Federal Funds Rate for its account or the account of such Issuing Bank, as applicable. If such Lender shall pay to the Agent such amount for the account of any such Issuing Bank on any Business Day, such amount so paid in respect of principal shall constitute a Letter of Credit Advance made by such Lender on such Business Day for purposes of this Agreement, and the outstanding principal amount of the Letter of Credit Advance made by such Issuing Bank shall be reduced by such amount on such Business Day.</w:t>
      </w:r>
    </w:p>
    <w:p>
      <w:pPr>
        <w:spacing w:after="0" w:line="199" w:lineRule="exact"/>
        <w:rPr>
          <w:rFonts w:ascii="Arial" w:cs="Arial" w:eastAsia="Arial" w:hAnsi="Arial"/>
          <w:sz w:val="16"/>
          <w:szCs w:val="16"/>
          <w:color w:val="auto"/>
        </w:rPr>
      </w:pPr>
    </w:p>
    <w:p>
      <w:pPr>
        <w:jc w:val="both"/>
        <w:ind w:firstLine="1298"/>
        <w:spacing w:after="0" w:line="254" w:lineRule="auto"/>
        <w:tabs>
          <w:tab w:leader="none" w:pos="2059"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Letter of Credit Reports</w:t>
      </w:r>
      <w:r>
        <w:rPr>
          <w:rFonts w:ascii="Arial" w:cs="Arial" w:eastAsia="Arial" w:hAnsi="Arial"/>
          <w:sz w:val="18"/>
          <w:szCs w:val="18"/>
          <w:color w:val="auto"/>
        </w:rPr>
        <w:t>. Each Issuing Bank shall furnish in respect of Letters of Credit issued by it (A) to the Agent on the first Business Day of each week a written report summarizing issuance and expiration dates of Letters of Credit issued during the previous week and drawings during such week under all Letters of Credit, (B) to each Lender on the first Business Day of each month a written report summarizing issuance and expiration dates of Letters of Credit during the preceding month and drawings during such month under all Letters of Credit and (C) to the Agent and each Lender on the first Business Day of each calendar quarter a written report setting forth the average daily aggregate Available Amount during the preceding calendar quarter of all Letters of Credit.</w:t>
      </w:r>
    </w:p>
    <w:p>
      <w:pPr>
        <w:spacing w:after="0" w:line="218" w:lineRule="exact"/>
        <w:rPr>
          <w:rFonts w:ascii="Arial" w:cs="Arial" w:eastAsia="Arial" w:hAnsi="Arial"/>
          <w:sz w:val="18"/>
          <w:szCs w:val="18"/>
          <w:color w:val="auto"/>
        </w:rPr>
      </w:pPr>
    </w:p>
    <w:p>
      <w:pPr>
        <w:jc w:val="both"/>
        <w:ind w:firstLine="1298"/>
        <w:spacing w:after="0" w:line="310" w:lineRule="auto"/>
        <w:tabs>
          <w:tab w:leader="none" w:pos="2049"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Failure to Make Letter of Credit Advances</w:t>
      </w:r>
      <w:r>
        <w:rPr>
          <w:rFonts w:ascii="Arial" w:cs="Arial" w:eastAsia="Arial" w:hAnsi="Arial"/>
          <w:sz w:val="16"/>
          <w:szCs w:val="16"/>
          <w:color w:val="auto"/>
        </w:rPr>
        <w:t>. The failure of any Lender to make the Letter of Credit Advance to be made by it on the date specified in Section 2.04(c) shall not relieve any other Lender of its obligation hereunder to make its Letter of Credit Advance on such date, but no Lender shall be responsible for the failure of any other Lender to make the Letter of Credit Advance to be made by such other Lender on such date.</w:t>
      </w:r>
    </w:p>
    <w:p>
      <w:pPr>
        <w:spacing w:after="0" w:line="174" w:lineRule="exact"/>
        <w:rPr>
          <w:rFonts w:ascii="Arial" w:cs="Arial" w:eastAsia="Arial" w:hAnsi="Arial"/>
          <w:sz w:val="16"/>
          <w:szCs w:val="16"/>
          <w:color w:val="auto"/>
        </w:rPr>
      </w:pPr>
    </w:p>
    <w:p>
      <w:pPr>
        <w:jc w:val="both"/>
        <w:ind w:firstLine="1298"/>
        <w:spacing w:after="0" w:line="274" w:lineRule="auto"/>
        <w:tabs>
          <w:tab w:leader="none" w:pos="1989"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Effective as of the Effective Date (i) the letters of credit issued for the account of the Borrower prior to such date by Persons who are Issuing Banks hereunder and set forth on Schedule 2.04(f) hereto (such letters of credit being the “</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in an aggregate face amount not exceeding the total amount set forth on such Schedule 2.04(f) will be deemed to have been issued as, and be, Letters of Credit hereunder and (ii) the Existing Letters of Credit and the reimbursement obligations in respect thereof shall be obligations of the Borrower hereunder and shall no longer be obligations under the documents pursuant to which such Existing Letters of Credit were initially issued.</w:t>
      </w:r>
    </w:p>
    <w:p>
      <w:pPr>
        <w:spacing w:after="0" w:line="202" w:lineRule="exact"/>
        <w:rPr>
          <w:sz w:val="20"/>
          <w:szCs w:val="20"/>
          <w:color w:val="auto"/>
        </w:rPr>
      </w:pPr>
    </w:p>
    <w:p>
      <w:pPr>
        <w:jc w:val="both"/>
        <w:ind w:firstLine="1290"/>
        <w:spacing w:after="0" w:line="268"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Fees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Facility Fee</w:t>
      </w:r>
      <w:r>
        <w:rPr>
          <w:rFonts w:ascii="Arial" w:cs="Arial" w:eastAsia="Arial" w:hAnsi="Arial"/>
          <w:sz w:val="17"/>
          <w:szCs w:val="17"/>
          <w:color w:val="auto"/>
        </w:rPr>
        <w:t>. The Borrower agrees to pay to the Agent, in Dollars, for the account of each Lender a facility fee on the aggregate amount of such Lender’s Revolving Commitment from the Effective Date in the case of each Initial Lender and from the effective date specified in the Assumption Agreement or in the Assignment and Assumption pursuant to which it became a Lender in the case of each other Lender until the Termination Date applicable to such Lender at a rate per annum equal to the Applicable Percentage in effect from time to time, payable in arrears quarterly on the last day of each March, June, September and December, commencing December 31, 2013, and on the Termination Date applicable to such Lender, and after the Termination Date payable upon demand until all amounts due and payable under this Agreement have been paid in full in cash and either all Letters of Credit have been terminated or the Borrower shall otherwise have complied with the provisions of Section 6.02, provided that after the Revolving Credit Commitments have been terminated, the facility fee will be calculated on the aggregate balance of amounts outstanding under this Agreement plus the amounts of any outstanding Letters of Credit; and provided further that no Defaulting Lender shall be entitled to receive any facility fee except in respect of its outstanding Advances for any period during which that Lender is a Defaulting Lender (and the Borrower shall not be required to pay such fee that otherwise would have been required to have been paid to that Defaulting Lender).</w:t>
      </w:r>
    </w:p>
    <w:p>
      <w:pPr>
        <w:spacing w:after="0" w:line="207" w:lineRule="exact"/>
        <w:rPr>
          <w:sz w:val="20"/>
          <w:szCs w:val="20"/>
          <w:color w:val="auto"/>
        </w:rPr>
      </w:pPr>
    </w:p>
    <w:p>
      <w:pPr>
        <w:jc w:val="both"/>
        <w:ind w:firstLine="1298"/>
        <w:spacing w:after="0" w:line="340" w:lineRule="auto"/>
        <w:tabs>
          <w:tab w:leader="none" w:pos="207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(i) The Borrower shall pay to the Agent, in Dollars, for the account of each Lender a commission on such Lender’s Pro Rata Share of the average daily aggregate Available Amount (based in respect of any Letter of Credit to be denominated in a Committed</w:t>
      </w:r>
    </w:p>
    <w:p>
      <w:pPr>
        <w:sectPr>
          <w:pgSz w:w="11900" w:h="16838" w:orient="portrait"/>
          <w:cols w:equalWidth="0" w:num="1">
            <w:col w:w="11420"/>
          </w:cols>
          <w:pgMar w:left="240" w:top="125" w:right="239" w:bottom="0" w:gutter="0" w:footer="0" w:header="0"/>
        </w:sectPr>
      </w:pPr>
    </w:p>
    <w:bookmarkStart w:id="46" w:name="page47"/>
    <w:bookmarkEnd w:id="46"/>
    <w:p>
      <w:pPr>
        <w:jc w:val="both"/>
        <w:spacing w:after="0" w:line="289" w:lineRule="auto"/>
        <w:rPr>
          <w:sz w:val="20"/>
          <w:szCs w:val="20"/>
          <w:color w:val="auto"/>
        </w:rPr>
      </w:pPr>
      <w:r>
        <w:rPr>
          <w:rFonts w:ascii="Arial" w:cs="Arial" w:eastAsia="Arial" w:hAnsi="Arial"/>
          <w:sz w:val="16"/>
          <w:szCs w:val="16"/>
          <w:color w:val="auto"/>
        </w:rPr>
        <w:t xml:space="preserve">Currency by reference to the Equivalent thereof in Dollars) all Letters of Credit outstanding from time to time at a rate per annum equal to the Applicable Margin for Eurocurrency Rate Advances in effect from time to time, payable in arrears quarterly on the last day of each March, June, September and December, commencing December 31, 2013, and on the Termination Date applicable to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to the extent that all or a portion of the Fronting Exposure in respect of any Defaulting Lender is reallocated to the Non-Defaulting Lenders pursuant to Section 2.20(a), such fees that would have accrued for the benefit of such Defaulting Lender will instead accrue for the benefit of and be payable to such Non-Defaulting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Revolving Credit Commitments, and (ii) to the extent that all or any portion of such Fronting Exposure cannot be so reallocated, such fees will instead accrue for the benefit of and be payable to the respective Issuing Banks ratably according to the outstanding Letters of Credit issued by each Issuing Bank, provided that such payments to the Issuing Banks shall accrue only to the extent that such Letters of Credit have not been Cash Collateralized.</w:t>
      </w:r>
    </w:p>
    <w:p>
      <w:pPr>
        <w:spacing w:after="0" w:line="190" w:lineRule="exact"/>
        <w:rPr>
          <w:sz w:val="20"/>
          <w:szCs w:val="20"/>
          <w:color w:val="auto"/>
        </w:rPr>
      </w:pPr>
    </w:p>
    <w:p>
      <w:pPr>
        <w:jc w:val="both"/>
        <w:ind w:left="660" w:firstLine="638"/>
        <w:spacing w:after="0" w:line="258" w:lineRule="auto"/>
        <w:tabs>
          <w:tab w:leader="none" w:pos="22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shall pay to each Issuing Bank, for its own account, a fronting fee equal to 0.125% per annum of the amount available to be drawn under each Letter of Credit issued by such Issuing Bank, payable quarterly in arrears, and such other commissions, issuance fees, transfer fees and other fees and charges in connection with the issuance or administration of each Letter of Credit as the Borrower and such Issuing Bank shall agree.</w:t>
      </w:r>
    </w:p>
    <w:p>
      <w:pPr>
        <w:spacing w:after="0" w:line="212" w:lineRule="exact"/>
        <w:rPr>
          <w:sz w:val="20"/>
          <w:szCs w:val="20"/>
          <w:color w:val="auto"/>
        </w:rPr>
      </w:pPr>
    </w:p>
    <w:p>
      <w:pPr>
        <w:ind w:left="2020" w:hanging="722"/>
        <w:spacing w:after="0"/>
        <w:tabs>
          <w:tab w:leader="none" w:pos="202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Agent’s Fees</w:t>
      </w:r>
      <w:r>
        <w:rPr>
          <w:rFonts w:ascii="Arial" w:cs="Arial" w:eastAsia="Arial" w:hAnsi="Arial"/>
          <w:sz w:val="16"/>
          <w:szCs w:val="16"/>
          <w:color w:val="auto"/>
        </w:rPr>
        <w:t>. The Borrower shall pay to the Agent for its own account such fees as may from time to time be agreed between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 and the Agent.</w:t>
      </w:r>
    </w:p>
    <w:p>
      <w:pPr>
        <w:spacing w:after="0" w:line="235"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Optional Termination or Reduction of the Commitments</w:t>
      </w:r>
      <w:r>
        <w:rPr>
          <w:rFonts w:ascii="Arial" w:cs="Arial" w:eastAsia="Arial" w:hAnsi="Arial"/>
          <w:sz w:val="17"/>
          <w:szCs w:val="17"/>
          <w:color w:val="auto"/>
        </w:rPr>
        <w:t xml:space="preserve">. The Borrower shall have the right, upon at least three Business Days’ notice to the Agent, to terminate in whole or permanently reduce ratably in part the Unused Commitments of the Lender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partial reduction shall be in the aggregate amount of $5,000,000 or an integral multiple of $1,000,000 in excess thereof.</w:t>
      </w:r>
    </w:p>
    <w:p>
      <w:pPr>
        <w:spacing w:after="0" w:line="191"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Repayment of Revolving Credit Advances and Letters of Credit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Revolving Credit Advances</w:t>
      </w:r>
      <w:r>
        <w:rPr>
          <w:rFonts w:ascii="Arial" w:cs="Arial" w:eastAsia="Arial" w:hAnsi="Arial"/>
          <w:sz w:val="18"/>
          <w:szCs w:val="18"/>
          <w:color w:val="auto"/>
        </w:rPr>
        <w:t>. The Borrower shall repay to the Agent for the account of each Lender on the Termination Date applicable to such Lender the aggregate principal amount of the Revolving Credit Advances made by it then outstanding.</w:t>
      </w:r>
    </w:p>
    <w:p>
      <w:pPr>
        <w:spacing w:after="0" w:line="209" w:lineRule="exact"/>
        <w:rPr>
          <w:sz w:val="20"/>
          <w:szCs w:val="20"/>
          <w:color w:val="auto"/>
        </w:rPr>
      </w:pPr>
    </w:p>
    <w:p>
      <w:pPr>
        <w:jc w:val="both"/>
        <w:ind w:firstLine="1298"/>
        <w:spacing w:after="0" w:line="262" w:lineRule="auto"/>
        <w:tabs>
          <w:tab w:leader="none" w:pos="201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Letter of Credit Advances</w:t>
      </w:r>
      <w:r>
        <w:rPr>
          <w:rFonts w:ascii="Arial" w:cs="Arial" w:eastAsia="Arial" w:hAnsi="Arial"/>
          <w:sz w:val="18"/>
          <w:szCs w:val="18"/>
          <w:color w:val="auto"/>
        </w:rPr>
        <w:t>. (i) The Borrower shall repay the outstanding principal amount of each Letter of Credit Advance made by each Lender Party that has made a Letter of Credit Advance to the Agent for the ratable account of each such Lender Party on the earlier of demand and the Termination Date applicable to such Lender Party.</w:t>
      </w:r>
    </w:p>
    <w:p>
      <w:pPr>
        <w:spacing w:after="0" w:line="209" w:lineRule="exact"/>
        <w:rPr>
          <w:sz w:val="20"/>
          <w:szCs w:val="20"/>
          <w:color w:val="auto"/>
        </w:rPr>
      </w:pPr>
    </w:p>
    <w:p>
      <w:pPr>
        <w:jc w:val="both"/>
        <w:ind w:firstLine="1298"/>
        <w:spacing w:after="0" w:line="274" w:lineRule="auto"/>
        <w:tabs>
          <w:tab w:leader="none" w:pos="212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obligations of the Borrower under this Agreement, any Letter of Credit Agreement and any other agreement or instrument relating to any Letter of Credit shall be unconditional and irrevocable, and shall be paid strictly in accordance with the terms of this Agreement, such Letter of Credit Agreement and such other agreement or instrument under all circumstances, including, without limitation, the following circumstances (it being understood that any such payment by the Borrower is without prejudice to, and does not constitute a waiver of, any rights the Borrower might have or might acquire as a result of the payment by any Lender of any draft or the reimbursement by the Borrower thereof):</w:t>
      </w:r>
    </w:p>
    <w:p>
      <w:pPr>
        <w:spacing w:after="0" w:line="202" w:lineRule="exact"/>
        <w:rPr>
          <w:sz w:val="20"/>
          <w:szCs w:val="20"/>
          <w:color w:val="auto"/>
        </w:rPr>
      </w:pPr>
    </w:p>
    <w:p>
      <w:pPr>
        <w:ind w:left="660" w:firstLine="638"/>
        <w:spacing w:after="0" w:line="275" w:lineRule="auto"/>
        <w:tabs>
          <w:tab w:leader="none" w:pos="21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any Note, any Letter of Credit Agreement, any Letter of Credit or any other agreement or instrument relating thereto (all of the foregoing being, collectively, the “</w:t>
      </w:r>
      <w:r>
        <w:rPr>
          <w:rFonts w:ascii="Arial" w:cs="Arial" w:eastAsia="Arial" w:hAnsi="Arial"/>
          <w:sz w:val="18"/>
          <w:szCs w:val="18"/>
          <w:u w:val="single" w:color="auto"/>
          <w:color w:val="auto"/>
        </w:rPr>
        <w:t>L/C Related Documents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660" w:firstLine="638"/>
        <w:spacing w:after="0" w:line="262" w:lineRule="auto"/>
        <w:tabs>
          <w:tab w:leader="none" w:pos="213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of the Borrower in respect of any L/C Related Document or any other amendment or waiver of or any consent to departure from all or any of the L/C Related Documents;</w:t>
      </w:r>
    </w:p>
    <w:p>
      <w:pPr>
        <w:spacing w:after="0" w:line="209" w:lineRule="exact"/>
        <w:rPr>
          <w:rFonts w:ascii="Arial" w:cs="Arial" w:eastAsia="Arial" w:hAnsi="Arial"/>
          <w:sz w:val="18"/>
          <w:szCs w:val="18"/>
          <w:color w:val="auto"/>
        </w:rPr>
      </w:pPr>
    </w:p>
    <w:p>
      <w:pPr>
        <w:jc w:val="both"/>
        <w:ind w:left="660" w:firstLine="638"/>
        <w:spacing w:after="0" w:line="258" w:lineRule="auto"/>
        <w:tabs>
          <w:tab w:leader="none" w:pos="21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the Borrower may have at any time against any beneficiary or any transferee of a Letter of Credit (or any Persons for which any such beneficiary or any such transferee may be acting), any Issuing Bank, any Agent, any Lender or any other Person, whether in connection with the transactions contemplated by the L/C Related Documents or any unrelated transaction;</w:t>
      </w:r>
    </w:p>
    <w:p>
      <w:pPr>
        <w:spacing w:after="0" w:line="212" w:lineRule="exact"/>
        <w:rPr>
          <w:rFonts w:ascii="Arial" w:cs="Arial" w:eastAsia="Arial" w:hAnsi="Arial"/>
          <w:sz w:val="18"/>
          <w:szCs w:val="18"/>
          <w:color w:val="auto"/>
        </w:rPr>
      </w:pPr>
    </w:p>
    <w:p>
      <w:pPr>
        <w:ind w:left="660" w:firstLine="638"/>
        <w:spacing w:after="0" w:line="275" w:lineRule="auto"/>
        <w:tabs>
          <w:tab w:leader="none" w:pos="2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statement or any other document presented under a Letter of Credit proving to be forged, fraudulent, invalid or insufficient in any respect or any statement therein being untrue or inaccurate in any respect;</w:t>
      </w:r>
    </w:p>
    <w:p>
      <w:pPr>
        <w:spacing w:after="0" w:line="197" w:lineRule="exact"/>
        <w:rPr>
          <w:rFonts w:ascii="Arial" w:cs="Arial" w:eastAsia="Arial" w:hAnsi="Arial"/>
          <w:sz w:val="18"/>
          <w:szCs w:val="18"/>
          <w:color w:val="auto"/>
        </w:rPr>
      </w:pPr>
    </w:p>
    <w:p>
      <w:pPr>
        <w:ind w:left="660" w:right="20" w:firstLine="638"/>
        <w:spacing w:after="0" w:line="275" w:lineRule="auto"/>
        <w:tabs>
          <w:tab w:leader="none" w:pos="2133"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by any Issuing Bank under a Letter of Credit against presentation of a draft or certificate that does not strictly comply with the terms of such Letter of Credit;</w:t>
      </w:r>
    </w:p>
    <w:p>
      <w:pPr>
        <w:spacing w:after="0" w:line="197" w:lineRule="exact"/>
        <w:rPr>
          <w:rFonts w:ascii="Arial" w:cs="Arial" w:eastAsia="Arial" w:hAnsi="Arial"/>
          <w:sz w:val="18"/>
          <w:szCs w:val="18"/>
          <w:color w:val="auto"/>
        </w:rPr>
      </w:pPr>
    </w:p>
    <w:p>
      <w:pPr>
        <w:ind w:left="660" w:firstLine="638"/>
        <w:spacing w:after="0" w:line="275" w:lineRule="auto"/>
        <w:tabs>
          <w:tab w:leader="none" w:pos="207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guarantee, for all or any of the obligations of the Borrower in respect of the L/C Related Documents; or</w:t>
      </w:r>
    </w:p>
    <w:p>
      <w:pPr>
        <w:spacing w:after="0" w:line="197" w:lineRule="exact"/>
        <w:rPr>
          <w:rFonts w:ascii="Arial" w:cs="Arial" w:eastAsia="Arial" w:hAnsi="Arial"/>
          <w:sz w:val="18"/>
          <w:szCs w:val="18"/>
          <w:color w:val="auto"/>
        </w:rPr>
      </w:pPr>
    </w:p>
    <w:p>
      <w:pPr>
        <w:ind w:left="660" w:right="20" w:firstLine="638"/>
        <w:spacing w:after="0" w:line="306" w:lineRule="auto"/>
        <w:tabs>
          <w:tab w:leader="none" w:pos="20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other circumstance or happening whatsoever, whether or not similar to any of the foregoing, including, without limitation, any other circumstance that might otherwise constitute a defense available to, or a discharge of, the Borrower or a guarantor.</w:t>
      </w:r>
    </w:p>
    <w:p>
      <w:pPr>
        <w:spacing w:after="0" w:line="174"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on Revolving Credit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Scheduled Interest</w:t>
      </w:r>
      <w:r>
        <w:rPr>
          <w:rFonts w:ascii="Arial" w:cs="Arial" w:eastAsia="Arial" w:hAnsi="Arial"/>
          <w:sz w:val="18"/>
          <w:szCs w:val="18"/>
          <w:color w:val="auto"/>
        </w:rPr>
        <w:t>. The Borrower shall pay interest on the unpaid principal amount of each Advance owing to each Lender from the date of such Revolving Credit Advance until such principal amount shall be paid in full, at the following rates per annum:</w:t>
      </w:r>
    </w:p>
    <w:p>
      <w:pPr>
        <w:spacing w:after="0" w:line="209" w:lineRule="exact"/>
        <w:rPr>
          <w:sz w:val="20"/>
          <w:szCs w:val="20"/>
          <w:color w:val="auto"/>
        </w:rPr>
      </w:pPr>
    </w:p>
    <w:p>
      <w:pPr>
        <w:jc w:val="both"/>
        <w:ind w:left="660" w:firstLine="638"/>
        <w:spacing w:after="0" w:line="258" w:lineRule="auto"/>
        <w:tabs>
          <w:tab w:leader="none" w:pos="196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xml:space="preserve">. During such periods as such Revolving Credit Advance is a Base Rate Advance, a rate per annum equal at all times to the sum of (x) the 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payable in arrears quarterly on the last day of each March, June, September and December during such periods and on the date such Base Rate Advance shall be Converted or paid in full.</w:t>
      </w:r>
    </w:p>
    <w:p>
      <w:pPr>
        <w:spacing w:after="0" w:line="212" w:lineRule="exact"/>
        <w:rPr>
          <w:rFonts w:ascii="Arial" w:cs="Arial" w:eastAsia="Arial" w:hAnsi="Arial"/>
          <w:sz w:val="18"/>
          <w:szCs w:val="18"/>
          <w:color w:val="auto"/>
        </w:rPr>
      </w:pPr>
    </w:p>
    <w:p>
      <w:pPr>
        <w:jc w:val="both"/>
        <w:ind w:left="660" w:firstLine="638"/>
        <w:spacing w:after="0" w:line="295" w:lineRule="auto"/>
        <w:tabs>
          <w:tab w:leader="none" w:pos="203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Eurocurrency Rate Advances</w:t>
      </w:r>
      <w:r>
        <w:rPr>
          <w:rFonts w:ascii="Arial" w:cs="Arial" w:eastAsia="Arial" w:hAnsi="Arial"/>
          <w:sz w:val="16"/>
          <w:szCs w:val="16"/>
          <w:color w:val="auto"/>
        </w:rPr>
        <w:t xml:space="preserve">. During such periods as such Revolving Credit Advance is a Eurocurrency Rate Advance, a rate per annum equal at all times during each Interest Period for such Revolving Credit Advance to the sum of (x) the Eurocurrency Rate for such Interest Period for such Revolving Credit Advance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Eurocurrency Rate Advance shall be Converted or paid in full.</w:t>
      </w:r>
    </w:p>
    <w:p>
      <w:pPr>
        <w:sectPr>
          <w:pgSz w:w="11900" w:h="16838" w:orient="portrait"/>
          <w:cols w:equalWidth="0" w:num="1">
            <w:col w:w="11420"/>
          </w:cols>
          <w:pgMar w:left="240" w:top="125" w:right="239" w:bottom="0" w:gutter="0" w:footer="0" w:header="0"/>
        </w:sectPr>
      </w:pPr>
    </w:p>
    <w:bookmarkStart w:id="47" w:name="page48"/>
    <w:bookmarkEnd w:id="47"/>
    <w:p>
      <w:pPr>
        <w:jc w:val="both"/>
        <w:ind w:firstLine="1298"/>
        <w:spacing w:after="0" w:line="269" w:lineRule="auto"/>
        <w:tabs>
          <w:tab w:leader="none" w:pos="2032"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Default Interest</w:t>
      </w:r>
      <w:r>
        <w:rPr>
          <w:rFonts w:ascii="Arial" w:cs="Arial" w:eastAsia="Arial" w:hAnsi="Arial"/>
          <w:sz w:val="17"/>
          <w:szCs w:val="17"/>
          <w:color w:val="auto"/>
        </w:rPr>
        <w:t>. Upon the occurrence and during the continuance of an Event of Default, the Agent may, and upon the request of the Required Lenders shall, require the Borrower to pay interest (“</w:t>
      </w:r>
      <w:r>
        <w:rPr>
          <w:rFonts w:ascii="Arial" w:cs="Arial" w:eastAsia="Arial" w:hAnsi="Arial"/>
          <w:sz w:val="17"/>
          <w:szCs w:val="17"/>
          <w:u w:val="single" w:color="auto"/>
          <w:color w:val="auto"/>
        </w:rPr>
        <w:t>Default Interest</w:t>
      </w:r>
      <w:r>
        <w:rPr>
          <w:rFonts w:ascii="Arial" w:cs="Arial" w:eastAsia="Arial" w:hAnsi="Arial"/>
          <w:sz w:val="17"/>
          <w:szCs w:val="17"/>
          <w:color w:val="auto"/>
        </w:rPr>
        <w:t xml:space="preserve">”) on (i) the unpaid principal amount of each Revolving Credit Advance and each Letter of Credit Advance owing to each Lender Party, payable in arrears on the dates referred to in Section 2.08(a)(i) or 2.08(a)(ii) above, at a rate per annum equal at all times to 2% per annum above the rate per annum required to be paid on such Advance pursuant to Section 2.08(a)(i) or 2.08(a)(ii)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Section 2.08 (a)(i)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following acceleration of the Advances pursuant to Section 6.01, Default Interest shall accrue and be payable hereunder whether or not previously required by the Agent.</w:t>
      </w:r>
    </w:p>
    <w:p>
      <w:pPr>
        <w:spacing w:after="0" w:line="206"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Interest Rate Determination</w:t>
      </w:r>
      <w:r>
        <w:rPr>
          <w:rFonts w:ascii="Arial" w:cs="Arial" w:eastAsia="Arial" w:hAnsi="Arial"/>
          <w:sz w:val="18"/>
          <w:szCs w:val="18"/>
          <w:color w:val="auto"/>
        </w:rPr>
        <w:t>. (a) The Agent shall give prompt notice to the Borrower and the Lenders of the applicable interest rate determined by the Agent for purposes of Section 2.08(a)(i) or (ii).</w:t>
      </w:r>
    </w:p>
    <w:p>
      <w:pPr>
        <w:spacing w:after="0" w:line="198" w:lineRule="exact"/>
        <w:rPr>
          <w:sz w:val="20"/>
          <w:szCs w:val="20"/>
          <w:color w:val="auto"/>
        </w:rPr>
      </w:pPr>
    </w:p>
    <w:p>
      <w:pPr>
        <w:jc w:val="both"/>
        <w:ind w:firstLine="1298"/>
        <w:spacing w:after="0" w:line="283" w:lineRule="auto"/>
        <w:tabs>
          <w:tab w:leader="none" w:pos="2173"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with respect to any Eurocurrency Rate Advances, the Required Lenders notify the Agent that (i) they are unable to obtain matching deposits in the London inter-bank market at or about 9:00 A.M. (New York time) on the second Business Day before the making of a Borrowing in sufficient amounts to fund their respective Revolving Credit Advances as a part of such Borrowing during its Interest Period or (ii) the Eurocurrency Rate for any Interest Period for such Advances will not adequately reflect the cost to such Required Lenders of making, funding or maintaining their respective Eurocurrency Rate Advances for such Interest Period, the Agent shall forthwith so notify the Borrower and the Lenders, whereupon (A) the Borrower will, on the last day of the then existing Interest Period therefor, (1) if such Eurocurrency Rate Advances are denominated in Dollars, either (x) prepay such Advances or (y) Convert such Advances into Base Rate Advances and (2) if such Eurocurrency Rate Advances are denominated in any Committed Currency, either</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prepay such Advances or (y) exchange such Advances into an Equivalent amount of Dollars and Convert such Advances into Base Rate Advances and</w:t>
      </w:r>
    </w:p>
    <w:p>
      <w:pPr>
        <w:spacing w:after="0" w:line="31"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(B) the obligation of the Lenders to make, or to Convert Revolving Credit Advances into, Eurocurrency Rate Advances shall be suspended until the Agent shall notify the Borrower and the Lenders that the circumstances causing such suspension no longer exist;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set forth in clause (ii) above are applicable, the Borrower may elect, by notice to the Agent and the Lenders, to continue such Advances in such Committed Currency for Interest Periods of not longer than one month, which Advances shall thereafter bear interest at a rate per annum equal to the Applicable Margin plus, for each Lender, the cost to such Lender (expressed as a rate per annum) of funding its Eurocurrency Rate Advances by whatever means it reasonably determines to be appropriate. Each Lender shall certify its cost of funds for each Interest Period to the Agent and the Borrower as soon as practicable (but in any event not later than ten Business Days after the first day of such Interest Period).</w:t>
      </w:r>
    </w:p>
    <w:p>
      <w:pPr>
        <w:spacing w:after="0" w:line="205" w:lineRule="exact"/>
        <w:rPr>
          <w:rFonts w:ascii="Arial" w:cs="Arial" w:eastAsia="Arial" w:hAnsi="Arial"/>
          <w:sz w:val="16"/>
          <w:szCs w:val="16"/>
          <w:color w:val="auto"/>
        </w:rPr>
      </w:pPr>
    </w:p>
    <w:p>
      <w:pPr>
        <w:jc w:val="both"/>
        <w:ind w:firstLine="1298"/>
        <w:spacing w:after="0" w:line="295" w:lineRule="auto"/>
        <w:tabs>
          <w:tab w:leader="none" w:pos="2033" w:val="left"/>
        </w:tabs>
        <w:numPr>
          <w:ilvl w:val="1"/>
          <w:numId w:val="49"/>
        </w:numPr>
        <w:rPr>
          <w:rFonts w:ascii="Arial" w:cs="Arial" w:eastAsia="Arial" w:hAnsi="Arial"/>
          <w:sz w:val="16"/>
          <w:szCs w:val="16"/>
          <w:color w:val="auto"/>
        </w:rPr>
      </w:pPr>
      <w:r>
        <w:rPr>
          <w:rFonts w:ascii="Arial" w:cs="Arial" w:eastAsia="Arial" w:hAnsi="Arial"/>
          <w:sz w:val="16"/>
          <w:szCs w:val="16"/>
          <w:color w:val="auto"/>
        </w:rPr>
        <w:t>If the Borrower shall fail to select the duration of any Interest Period for any Eurocurrency Rate Advances in accordance with the provisions contained in the definition of “Interest Period” in Section 1.01, the Agent will forthwith so notify the Borrower and the Lenders and such Advances will (to the extent such Eurocurrency Rate Advances remain outstanding on such day) automatically, on the last day of the then existing Interest Period therefor, (i) if such Eurocurrency Rate Advances are denominated in Dollars, Convert into Base Rate Advances and (ii) if such Eurocurrency Rate Advances are denominated in a Committed Currency, be exchanged for an Equivalent amount of Dollars and Convert into Base Rate Advances.</w:t>
      </w:r>
    </w:p>
    <w:p>
      <w:pPr>
        <w:spacing w:after="0" w:line="186" w:lineRule="exact"/>
        <w:rPr>
          <w:rFonts w:ascii="Arial" w:cs="Arial" w:eastAsia="Arial" w:hAnsi="Arial"/>
          <w:sz w:val="16"/>
          <w:szCs w:val="16"/>
          <w:color w:val="auto"/>
        </w:rPr>
      </w:pPr>
    </w:p>
    <w:p>
      <w:pPr>
        <w:ind w:firstLine="1298"/>
        <w:spacing w:after="0" w:line="340" w:lineRule="auto"/>
        <w:tabs>
          <w:tab w:leader="none" w:pos="2058" w:val="left"/>
        </w:tabs>
        <w:numPr>
          <w:ilvl w:val="1"/>
          <w:numId w:val="49"/>
        </w:numPr>
        <w:rPr>
          <w:rFonts w:ascii="Arial" w:cs="Arial" w:eastAsia="Arial" w:hAnsi="Arial"/>
          <w:sz w:val="16"/>
          <w:szCs w:val="16"/>
          <w:color w:val="auto"/>
        </w:rPr>
      </w:pPr>
      <w:r>
        <w:rPr>
          <w:rFonts w:ascii="Arial" w:cs="Arial" w:eastAsia="Arial" w:hAnsi="Arial"/>
          <w:sz w:val="16"/>
          <w:szCs w:val="16"/>
          <w:color w:val="auto"/>
        </w:rPr>
        <w:t>On the date on which the aggregate unpaid principal amount of Eurocurrency Rate Advances comprising any Borrowing shall be reduced, by payment or prepayment or otherwise, to less than the Borrowing Minimum, such Advances shall automatically Convert into Base Rate Advances.</w:t>
      </w:r>
    </w:p>
    <w:p>
      <w:pPr>
        <w:spacing w:after="0" w:line="150" w:lineRule="exact"/>
        <w:rPr>
          <w:rFonts w:ascii="Arial" w:cs="Arial" w:eastAsia="Arial" w:hAnsi="Arial"/>
          <w:sz w:val="16"/>
          <w:szCs w:val="16"/>
          <w:color w:val="auto"/>
        </w:rPr>
      </w:pPr>
    </w:p>
    <w:p>
      <w:pPr>
        <w:jc w:val="both"/>
        <w:ind w:firstLine="1298"/>
        <w:spacing w:after="0" w:line="286" w:lineRule="auto"/>
        <w:tabs>
          <w:tab w:leader="none" w:pos="2028"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Upon the occurrence and during the continuance of any Event of Default, (i) each Eurocurrency Rate Advance will automatically, on the last day of the then existing Interest Period therefor, (A) if such Eurocurrency Rate Advances are denominated in Dollars, be Converted into Base Rate Advances and (B) if such Eurocurrency Rate Advances are denominated in any Committed Currency, be exchanged for an Equivalent amount of Dollars and be Converted into Base Rate Advances and (ii) the obligation of the Lenders to make, or to Convert Advances into, Eurocurrency Rate Advances shall be suspended;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may elect, by notice to the Agent and the Lenders within one Business Day of such Event of Default, to continue such Advances in such Committed Currency, whereupon the Agent may require that each Interest Period relating to such Eurocurrency Rate Advances shall bear interest at the Overnight Eurocurrency Rate for a period of three Business Days and thereafter, each such Interest Period shall have a duration of not longer than one month. “</w:t>
      </w:r>
      <w:r>
        <w:rPr>
          <w:rFonts w:ascii="Arial" w:cs="Arial" w:eastAsia="Arial" w:hAnsi="Arial"/>
          <w:sz w:val="16"/>
          <w:szCs w:val="16"/>
          <w:u w:val="single" w:color="auto"/>
          <w:color w:val="auto"/>
        </w:rPr>
        <w:t>Overnight Eurocurrency Rate</w:t>
      </w:r>
      <w:r>
        <w:rPr>
          <w:rFonts w:ascii="Arial" w:cs="Arial" w:eastAsia="Arial" w:hAnsi="Arial"/>
          <w:sz w:val="16"/>
          <w:szCs w:val="16"/>
          <w:color w:val="auto"/>
        </w:rPr>
        <w:t>” means the rate per annum applicable to an overnight period beginning on one Business Day and ending on the next Business Day equal to the sum of 1%, the Applicable Interest Rate Margin and the average, rounded upward to the nearest whole multiple of 1/16 of 1%, if such average is not such a multiple, of the respective rates per annum quoted by each Lender to the Agent on request as the rate at which it is offering overnight deposits in the relevant currency in amounts comparable to such Lender’s Eurocurrency Rate Advances.</w:t>
      </w:r>
    </w:p>
    <w:p>
      <w:pPr>
        <w:spacing w:after="0" w:line="196" w:lineRule="exact"/>
        <w:rPr>
          <w:rFonts w:ascii="Arial" w:cs="Arial" w:eastAsia="Arial" w:hAnsi="Arial"/>
          <w:sz w:val="16"/>
          <w:szCs w:val="16"/>
          <w:color w:val="auto"/>
        </w:rPr>
      </w:pPr>
    </w:p>
    <w:p>
      <w:pPr>
        <w:ind w:left="1960" w:hanging="662"/>
        <w:spacing w:after="0"/>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the applicable Reuters Screen page (or any successor page) is unavailable,</w:t>
      </w:r>
    </w:p>
    <w:p>
      <w:pPr>
        <w:spacing w:after="0" w:line="250" w:lineRule="exact"/>
        <w:rPr>
          <w:sz w:val="20"/>
          <w:szCs w:val="20"/>
          <w:color w:val="auto"/>
        </w:rPr>
      </w:pPr>
    </w:p>
    <w:p>
      <w:pPr>
        <w:ind w:left="2080" w:hanging="782"/>
        <w:spacing w:after="0"/>
        <w:tabs>
          <w:tab w:leader="none" w:pos="2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Agent shall forthwith notify the Borrower and the Lenders that the interest rate cannot be determined for such Eurocurrency</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Rate Advances,</w:t>
      </w:r>
    </w:p>
    <w:p>
      <w:pPr>
        <w:spacing w:after="0" w:line="235" w:lineRule="exact"/>
        <w:rPr>
          <w:rFonts w:ascii="Arial" w:cs="Arial" w:eastAsia="Arial" w:hAnsi="Arial"/>
          <w:sz w:val="16"/>
          <w:szCs w:val="16"/>
          <w:color w:val="auto"/>
        </w:rPr>
      </w:pPr>
    </w:p>
    <w:p>
      <w:pPr>
        <w:jc w:val="both"/>
        <w:ind w:left="660" w:firstLine="638"/>
        <w:spacing w:after="0" w:line="300" w:lineRule="auto"/>
        <w:tabs>
          <w:tab w:leader="none" w:pos="21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 respect to Eurocurrency Rate Advances, each such Advance will automatically, on the last day of the then existing Interest Period therefor, (A) if such Eurocurrency Rate Advance is denominated in Dollars, Convert into a Base Rate Advance and (B) if such Eurocurrency Rate Advance is denominated in any Committed Currency, be prepaid by the Borrower or be automatically exchanged for an Equivalent amount of Dollars and be Converted into a Base Rate Advance (or if such Advance is then a Base Rate Advance, will continue as a Base Rate Advance), and</w:t>
      </w:r>
    </w:p>
    <w:p>
      <w:pPr>
        <w:spacing w:after="0" w:line="182" w:lineRule="exact"/>
        <w:rPr>
          <w:rFonts w:ascii="Arial" w:cs="Arial" w:eastAsia="Arial" w:hAnsi="Arial"/>
          <w:sz w:val="16"/>
          <w:szCs w:val="16"/>
          <w:color w:val="auto"/>
        </w:rPr>
      </w:pPr>
    </w:p>
    <w:p>
      <w:pPr>
        <w:jc w:val="both"/>
        <w:ind w:left="660" w:firstLine="638"/>
        <w:spacing w:after="0" w:line="262" w:lineRule="auto"/>
        <w:tabs>
          <w:tab w:leader="none" w:pos="213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obligation of the Lenders to make Eurodollar Rate Advances or to Convert Revolving Credit Advances into Eurodollar Rate Advances shall be suspended until the Agent shall notify the Borrower and the Lenders that the circumstances causing such suspension no longer exist.</w:t>
      </w:r>
    </w:p>
    <w:p>
      <w:pPr>
        <w:spacing w:after="0" w:line="209" w:lineRule="exact"/>
        <w:rPr>
          <w:sz w:val="20"/>
          <w:szCs w:val="20"/>
          <w:color w:val="auto"/>
        </w:rPr>
      </w:pPr>
    </w:p>
    <w:p>
      <w:pPr>
        <w:jc w:val="both"/>
        <w:ind w:firstLine="1613"/>
        <w:spacing w:after="0" w:line="252"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Optional Conversion of Revolving Credit Advances</w:t>
      </w:r>
      <w:r>
        <w:rPr>
          <w:rFonts w:ascii="Arial" w:cs="Arial" w:eastAsia="Arial" w:hAnsi="Arial"/>
          <w:sz w:val="18"/>
          <w:szCs w:val="18"/>
          <w:color w:val="auto"/>
        </w:rPr>
        <w:t xml:space="preserve">. The Borrower may on any Business Day, upon notice given to the Agent not later than 11:00 A.M. (New York City time) on the third Business Day prior to the date of the proposed Conversion and subject to the provisions of Sections 2.09 and 2.13, Convert all Revolving Credit Advances denominated in Dollars of one Type comprising the same Borrowing into Revolving Credit Advances denominated in Dollars of the other Type;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Conversion of Eurocurrency Rate Advances into Base Rate Advances shall be made only on the last day of an Interest Period for such Eurocurrency Rate Advances, any Conversion of Base Rate Advances into Eurocurrency Rate Advances shall be in an amount not less than the minimum amount specified in Section 2.02(b) and no Conversion of any Revolving Credit Advances shall result in more separate Borrowings than permitted under Section 2.02(b). Each such notice of a Conversion shall, within the restrictions specified above, specify (i) the date of such Conversion, (ii) the Dollar denominated Revolving Credit Advances to be Converted, and (iii) if such Conversion is into Eurocurrency Rate Advances, the duration of the initial Interest Period for each such Advance. Each notice of Conversion shall be irrevocable and binding on the Borrower.</w:t>
      </w:r>
    </w:p>
    <w:p>
      <w:pPr>
        <w:sectPr>
          <w:pgSz w:w="11900" w:h="16838" w:orient="portrait"/>
          <w:cols w:equalWidth="0" w:num="1">
            <w:col w:w="11420"/>
          </w:cols>
          <w:pgMar w:left="240" w:top="125" w:right="239" w:bottom="0" w:gutter="0" w:footer="0" w:header="0"/>
        </w:sectPr>
      </w:pPr>
    </w:p>
    <w:bookmarkStart w:id="48" w:name="page49"/>
    <w:bookmarkEnd w:id="48"/>
    <w:p>
      <w:pPr>
        <w:jc w:val="both"/>
        <w:ind w:firstLine="1290"/>
        <w:spacing w:after="0" w:line="252"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Prepayments of Revolving Credit Advances and Letter of Credit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The Borrower may, upon notice at least two Business Days’ prior to the date of such prepayment, in the case of Eurocurrency Rate Advances, and not later than 11:00 A.M. (New York City time) on the date of such prepayment, in the case of Base Rate Advances, to the Agent stating the proposed date and aggregate principal amount of the prepayment, and if such notice is given the Borrower shall, prepay the outstanding principal amount of the Revolving Credit Advances comprising part of the same Borrowing or Letter of Credit Advances in whole or ratably in part, together with accrued interest to the date of such prepayment on the principal amount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each partial prepayment shall be in an aggregate principal amount of not less than the Borrowing Minimum or a Borrowing Multiple in excess thereof or the Equivalent thereof in a Committed Currency (determined on the date notice of prepayment is given) and (y) in the event of any such prepayment of a Eurocurrency Rate Advance, the Borrower shall be obligated to reimburse the Lenders in respect thereof pursuant to Section 8.04(c).</w:t>
      </w:r>
    </w:p>
    <w:p>
      <w:pPr>
        <w:spacing w:after="0" w:line="222" w:lineRule="exact"/>
        <w:rPr>
          <w:sz w:val="20"/>
          <w:szCs w:val="20"/>
          <w:color w:val="auto"/>
        </w:rPr>
      </w:pPr>
    </w:p>
    <w:p>
      <w:pPr>
        <w:jc w:val="both"/>
        <w:ind w:firstLine="1298"/>
        <w:spacing w:after="0" w:line="285" w:lineRule="auto"/>
        <w:tabs>
          <w:tab w:leader="none" w:pos="205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Mandatory</w:t>
      </w:r>
      <w:r>
        <w:rPr>
          <w:rFonts w:ascii="Arial" w:cs="Arial" w:eastAsia="Arial" w:hAnsi="Arial"/>
          <w:sz w:val="16"/>
          <w:szCs w:val="16"/>
          <w:color w:val="auto"/>
        </w:rPr>
        <w:t>. (i) If, on any date, the Agent notifies the Borrower that, on any interest payment date, the sum of (A) the aggregate principal amount of all Advances denominated in Dollars then outstanding plus (B) the Equivalent in Dollars (determined on the third Business Day prior to such interest payment date) of the aggregate principal amount of all Advances denominated in Committed Currencies then outstanding exceeds 105% of the aggregate Commitments of the Lenders on such date, the Borrower shall, as soon as practicable and in any event within two Business Days after receipt of such notice, subject to the proviso to this sentence set forth below, prepay the outstanding principal amount of any Advances owing by the Borrower in an aggregate amount sufficient to reduce such sum to an amount not to exceed 100% of the aggregate Commitments of the Lenders on such date together with any interest accrued to the date of such prepayment on the aggregate principal amount of Advances prepaid; provided that if the aggregate principal amount of Base Rate Advances outstanding at the time of such required prepayment is less than the amount of such required prepayment, the portion of such required prepayment in excess of the aggregate principal amount of Base Rate Advances then outstanding shall be deferred until the earliest to occur of the last day of the Interest Period of the outstanding Eurocurrency Rate Advances in an aggregate amount equal to the excess of such required prepayment. The Agent shall give prompt notice of any prepayment required under this Section 2.11(b) to the Borrower and the Lenders, and shall provide prompt notice to the Borrower of any such notice of required prepayment received by it from any Lender.</w:t>
      </w:r>
    </w:p>
    <w:p>
      <w:pPr>
        <w:spacing w:after="0" w:line="201" w:lineRule="exact"/>
        <w:rPr>
          <w:sz w:val="20"/>
          <w:szCs w:val="20"/>
          <w:color w:val="auto"/>
        </w:rPr>
      </w:pPr>
    </w:p>
    <w:p>
      <w:pPr>
        <w:jc w:val="both"/>
        <w:ind w:firstLine="1298"/>
        <w:spacing w:after="0" w:line="278" w:lineRule="auto"/>
        <w:tabs>
          <w:tab w:leader="none" w:pos="2202" w:val="left"/>
        </w:tabs>
        <w:numPr>
          <w:ilvl w:val="0"/>
          <w:numId w:val="52"/>
        </w:numPr>
        <w:rPr>
          <w:rFonts w:ascii="Arial" w:cs="Arial" w:eastAsia="Arial" w:hAnsi="Arial"/>
          <w:sz w:val="17"/>
          <w:szCs w:val="17"/>
          <w:color w:val="auto"/>
        </w:rPr>
      </w:pPr>
      <w:r>
        <w:rPr>
          <w:rFonts w:ascii="Arial" w:cs="Arial" w:eastAsia="Arial" w:hAnsi="Arial"/>
          <w:sz w:val="17"/>
          <w:szCs w:val="17"/>
          <w:color w:val="auto"/>
        </w:rPr>
        <w:t>Each prepayment made pursuant to this Section 2.11(b) shall be made together with any interest accrued to the date of such prepayment on the principal amounts prepaid and, in the case of any prepayment of a Eurocurrency Rate Advance on a date other than the last day of an Interest Period or at its maturity, any additional amounts which the Borrower shall be obligated to reimburse to the Lenders in respect thereof pursuant to Section 8.04(c). The Agent shall give prompt notice of any prepayment required under this Section 2.11(b) to the Borrower and the Lenders.</w:t>
      </w:r>
    </w:p>
    <w:p>
      <w:pPr>
        <w:spacing w:after="0" w:line="197"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Increased Costs</w:t>
      </w:r>
      <w:r>
        <w:rPr>
          <w:rFonts w:ascii="Arial" w:cs="Arial" w:eastAsia="Arial" w:hAnsi="Arial"/>
          <w:sz w:val="17"/>
          <w:szCs w:val="17"/>
          <w:color w:val="auto"/>
        </w:rPr>
        <w:t xml:space="preserve">. (a) If, due to either (i) the introduction of or any change in or in the interpretation, administration or application of any law or regulation or (ii) the compliance with any guideline or request from any central bank or other governmental authority including, without limitation, any agency of the European Union or similar monetary or multinational authority (whether or not having the force of law), there shall be any increase in the cost to any Lender Party of agreeing to make or making, funding or maintaining Eurocurrency Rate Advances or of agreeing to issue or of issuing or maintaining or participating in Letters of Credit or of agreeing to make or of making or maintaining Letters of Credit Advances (excluding for purposes of this Section 2.12 any such increased costs resulting from (i) Taxes or Other Taxes (as to which Section 2.15 shall govern), (ii) changes in the basis of taxation of overall net income or overall gross income by the United States or by the foreign jurisdiction or state under the laws of which such Lender Party is organized or has its Applicable Lending Office or any political subdivision thereof and (iii) FATCA), then the Borrower shall from time to time, upon demand by such Lender Party (with a copy of such demand to the Agent), pay to the Agent for the account of such Lender Party additional amounts sufficient to compensate such Lender Party for such increased cost;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before making any such demand, each Lender agrees to use reasonable efforts (consistent with its internal policy and legal and regulatory restrictions) to designate a different Applicable Lending Office if the making of such a designation would avoid the need for, or reduce the amount of, such increased cost and would not, in the reasonable judgment of such Lender Party, be otherwise disadvantageous to such Lender Party. A certificate as to the amount of such increased cost, submitted to the Borrower and the Agent by such Lender Party, shall be conclusive and binding for all purposes, absent manifest error.</w:t>
      </w:r>
    </w:p>
    <w:p>
      <w:pPr>
        <w:spacing w:after="0" w:line="209" w:lineRule="exact"/>
        <w:rPr>
          <w:sz w:val="20"/>
          <w:szCs w:val="20"/>
          <w:color w:val="auto"/>
        </w:rPr>
      </w:pPr>
    </w:p>
    <w:p>
      <w:pPr>
        <w:jc w:val="both"/>
        <w:ind w:firstLine="1298"/>
        <w:spacing w:after="0" w:line="252" w:lineRule="auto"/>
        <w:tabs>
          <w:tab w:leader="none" w:pos="20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any Lender Party determines that compliance with any law or regulation or any guideline or request from any central bank or other governmental authority (whether or not having the force of law) affects or would affect the amount of capital or liquidity required or expected to be maintained by such Lender Party or any corporation controlling such Lender Party and that the amount of such capital or liquidity is increased by or based upon the existence of such Lender Party’s commitment to lend hereunder and other commitments of this type, then, upon demand by such Lender Party (with a copy of such demand to the Agent), the Borrower shall pay to the Agent for the account of such Lender Party, from time to time as specified by such Lender Party, additional amounts sufficient to compensate such Lender Party or such corporation in the light of such circumstances, to the extent that such Lender Party reasonably determines such increase in capital or liquidity to be allocable to the existence of such Lender Party’s commitment to lend hereunder. A certificate as to such amounts submitted to the Borrower and the Agent by such Lender Party shall be conclusive and binding for all purposes, absent manifest error.</w:t>
      </w:r>
    </w:p>
    <w:p>
      <w:pPr>
        <w:spacing w:after="0" w:line="221" w:lineRule="exact"/>
        <w:rPr>
          <w:rFonts w:ascii="Arial" w:cs="Arial" w:eastAsia="Arial" w:hAnsi="Arial"/>
          <w:sz w:val="18"/>
          <w:szCs w:val="18"/>
          <w:color w:val="auto"/>
        </w:rPr>
      </w:pPr>
    </w:p>
    <w:p>
      <w:pPr>
        <w:jc w:val="both"/>
        <w:ind w:firstLine="1298"/>
        <w:spacing w:after="0" w:line="272" w:lineRule="auto"/>
        <w:tabs>
          <w:tab w:leader="none" w:pos="1982"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 the avoidance of doubt and notwithstanding anything herein to the contrary, for the purposes of this Section 2.12,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case for this clause (y) pursuant to Basel III, shall in each case be deemed to be a change in law regardless of the date enacted, adopted, issued, promulgated or implemented.</w:t>
      </w:r>
    </w:p>
    <w:p>
      <w:pPr>
        <w:spacing w:after="0" w:line="203"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Notwithstanding any other provision of this Agreement, if any Lender Party shall notify the Agent that the introduction of or any change in or in the interpretation of any law or regulation makes it unlawful, or any central bank or other governmental authority asserts that it is unlawful, for any Lender Party or its Eurocurrency Lending Office to perform its obligations hereunder to make Eurocurrency Rate Advances in Dollars or any Committed Currency or to fund or maintain Eurocurrency Rate Advances in Dollars or any Committed Currency hereunder, (a) each Eurocurrency Rate Advance will automatically, upon such demand, Convert into a Base Rate Advance or an Advance that bears interest at the rate set forth in Section 2.08(a)(i), as the case may be, (i) if such Eurocurrency Rate Advance is denominated in Dollars, be Converted into a Base Rate Advance or an Advance that bears interest at the rate set forth in Section 2.08(a)(i), as the case may be, and (ii) if such Eurocurrency Rate Advance is denominated in any Committed Currency, be exchanged into an Equivalent amount of Dollars and be Converted into a Base Rate Advance or an Advance that bears interest at the rate set forth in Section 2.08(a)(i), as the case may be, and (b) the obligation of the Lender Parties to make Eurocurrency Rate Advances or to Convert Revolving Credit Advances into Eurocurrency Rate Advances shall be suspended until the Agent shall notify the Borrower and the Lender Parties that the circumstances causing such suspension no longer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before making any such demand, each Lender agrees to use reasonable efforts (consistent with its internal policy and legal and regulatory restrictions) to designate a different Eurodollar Lending Office if the making of such a designation would allow such Lender or its Eurodollar Lending Office to continue to perform its obligations to make Eurodollar Rate Advances or to continue to fund or maintain Eurodollar Rate Advances and would not, in the judgment of such Lender, be otherwise disadvantageous to such Lender.</w:t>
      </w:r>
    </w:p>
    <w:p>
      <w:pPr>
        <w:sectPr>
          <w:pgSz w:w="11900" w:h="16838" w:orient="portrait"/>
          <w:cols w:equalWidth="0" w:num="1">
            <w:col w:w="11420"/>
          </w:cols>
          <w:pgMar w:left="240" w:top="125" w:right="239" w:bottom="23" w:gutter="0" w:footer="0" w:header="0"/>
        </w:sectPr>
      </w:pPr>
    </w:p>
    <w:bookmarkStart w:id="49" w:name="page50"/>
    <w:bookmarkEnd w:id="49"/>
    <w:p>
      <w:pPr>
        <w:spacing w:after="0" w:line="116" w:lineRule="exact"/>
        <w:rPr>
          <w:sz w:val="20"/>
          <w:szCs w:val="20"/>
          <w:color w:val="auto"/>
        </w:rPr>
      </w:pPr>
    </w:p>
    <w:p>
      <w:pPr>
        <w:jc w:val="both"/>
        <w:ind w:firstLine="1290"/>
        <w:spacing w:after="0" w:line="284"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Payments and Computations</w:t>
      </w:r>
      <w:r>
        <w:rPr>
          <w:rFonts w:ascii="Arial" w:cs="Arial" w:eastAsia="Arial" w:hAnsi="Arial"/>
          <w:sz w:val="16"/>
          <w:szCs w:val="16"/>
          <w:color w:val="auto"/>
        </w:rPr>
        <w:t>. (a) The Borrower shall make each payment hereunder, irrespective of any right of counterclaim or set-off except with respect to principal of, interest on, and other amounts relating to, Advances or Letters of Credit denominated in a Committed Currency, not later than 11:00 A.M. (New York City time) on the day when due in Dollars to the Agent at the applicable Agent’s Account in same day funds. The Borrower shall make each payment, irrespective of any right of counterclaim or set-off hereunder with respect to principal of, interest on, and other amounts (other than fees) relating to, Advances or Letters of Credit denominated in a Committed Currency, not later than 11:00 A.M. (at the Payment Office for such Committed Currency) on the day when due in such Committed Currency to the Agent, by deposit of such funds to the applicable Agent’s Account in same day funds. The Agent will promptly thereafter cause to be distributed like funds relating to the payment of principal or interest or facility fees ratably (other than amounts payable pursuant to Section 2.12, 2.15, 2.20 or 8.04(c)) to the Lender Parties for the account of their respective Applicable Lending Offices, and like funds relating to the payment of any other amount payable to any Lender Party to such Lender Party for the account of its Applicable Lending Office, in each case to be applied in accordance with the terms of this Agreement. Upon any Assuming Lender becoming a Lender Party hereunder as a result of a Commitment Increase pursuant to Section 2.19 or an extension of the Termination Date pursuant to Section 2.20, and upon the Agent’s receipt of such Lender’s Assumption Agreement and recording of the information contained therein in the Register, from and after the applicable Increase Date or Anniversary Date, as the case may be, the Agent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8.07(c), from and after the effective date specified in such Assignment and Assumption, the Agent shall make all payments hereunder and under the Notes in respect of the interest assigned thereby to the Lender Party assignee thereunder, and the parties to such Assignment and Assumption shall make all appropriate adjustments in such payments for periods prior to such effective date directly between themselves.</w:t>
      </w:r>
    </w:p>
    <w:p>
      <w:pPr>
        <w:spacing w:after="0" w:line="197" w:lineRule="exact"/>
        <w:rPr>
          <w:sz w:val="20"/>
          <w:szCs w:val="20"/>
          <w:color w:val="auto"/>
        </w:rPr>
      </w:pPr>
    </w:p>
    <w:p>
      <w:pPr>
        <w:jc w:val="both"/>
        <w:ind w:firstLine="1298"/>
        <w:spacing w:after="0" w:line="295" w:lineRule="auto"/>
        <w:tabs>
          <w:tab w:leader="none" w:pos="205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computations of interest based on Citibank’s base rate and of interest on Advances denominated in Sterling shall be made by the Agent on the basis of a year of 365 or 366 days, as the case may be, and all computations of interest based on the Eurocurrency Rate, the Federal Funds Rate or One Month LIBOR and of fees or Letter of Credit commissions shall be made by the Agent on the basis of a year of 360 days, in each case for the actual number of days (including the first day but excluding the last day) occurring in the period for which such interest fees or commissions are payable. Each determination by the Agent of an interest rate hereunder shall be conclusive and binding for all purposes, absent manifest error.</w:t>
      </w:r>
    </w:p>
    <w:p>
      <w:pPr>
        <w:spacing w:after="0" w:line="186" w:lineRule="exact"/>
        <w:rPr>
          <w:rFonts w:ascii="Arial" w:cs="Arial" w:eastAsia="Arial" w:hAnsi="Arial"/>
          <w:sz w:val="16"/>
          <w:szCs w:val="16"/>
          <w:color w:val="auto"/>
        </w:rPr>
      </w:pPr>
    </w:p>
    <w:p>
      <w:pPr>
        <w:jc w:val="both"/>
        <w:ind w:firstLine="1298"/>
        <w:spacing w:after="0" w:line="278" w:lineRule="auto"/>
        <w:tabs>
          <w:tab w:leader="none" w:pos="2044"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extension would cause payment of interest on or principal of Eurocurrency Rate Advances to be made in the next following calendar month, such payment shall be made on the next preceding Business Day.</w:t>
      </w:r>
    </w:p>
    <w:p>
      <w:pPr>
        <w:spacing w:after="0" w:line="196" w:lineRule="exact"/>
        <w:rPr>
          <w:rFonts w:ascii="Arial" w:cs="Arial" w:eastAsia="Arial" w:hAnsi="Arial"/>
          <w:sz w:val="17"/>
          <w:szCs w:val="17"/>
          <w:color w:val="auto"/>
        </w:rPr>
      </w:pPr>
    </w:p>
    <w:p>
      <w:pPr>
        <w:jc w:val="both"/>
        <w:ind w:firstLine="1298"/>
        <w:spacing w:after="0" w:line="290" w:lineRule="auto"/>
        <w:tabs>
          <w:tab w:leader="none" w:pos="2019"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Unless the Agent shall have received notice from the Borrower prior to the date on which any payment is due to any Lender Party hereunder that the Borrower will not make such payment in full, the Agent may assume that the Borrower has made such payment in full to the Agent on such date and the Agent may, in reliance upon such assumption, cause to be distributed to each Lender Party on such due date an amount equal to the amount then due such Lender Party. If and to the extent the Borrower shall not have so made such payment in full to the Agent, each Lender Party shall repay to the Agent forthwith on demand such amount distributed to such Lender Party together with interest thereon, for each day from the date such amount is distributed to such Lender Party until the date such Lender Party repays such amount to the Agent, at (i) the Federal Funds Rate in the case of Advances denominated in Dollars or (ii) the cost of funds incurred by the Agent in respect of such amount in the case of Advances denominated in Committed Currencies.</w:t>
      </w:r>
    </w:p>
    <w:p>
      <w:pPr>
        <w:spacing w:after="0" w:line="191" w:lineRule="exact"/>
        <w:rPr>
          <w:rFonts w:ascii="Arial" w:cs="Arial" w:eastAsia="Arial" w:hAnsi="Arial"/>
          <w:sz w:val="16"/>
          <w:szCs w:val="16"/>
          <w:color w:val="auto"/>
        </w:rPr>
      </w:pPr>
    </w:p>
    <w:p>
      <w:pPr>
        <w:jc w:val="both"/>
        <w:ind w:firstLine="1298"/>
        <w:spacing w:after="0" w:line="268" w:lineRule="auto"/>
        <w:tabs>
          <w:tab w:leader="none" w:pos="215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the extent that the Agent receives funds for application to the amounts owing by the Borrower under or in respect of this Agreement or any Note in currencies other than the currency or currencies required to enable the Agent to distribute funds to the Lender Parties in accordance with the terms of this Section 2.14, the Agent shall be entitled to convert or exchange such funds into Dollars or into a Committed Currency or from Dollars to a Committed Currency or from a Committed Currency to Dollars, as the case may be, to the extent necessary to enable the Agent to distribute such funds in accordance with the terms of this Section 2.14; provided that the Borrower and each of the Lender Parties hereby agree that the Agent shall not be liable or responsible for any loss, cost or expense suffered by the Borrower or such Lender Party as a result of any conversion or exchange of currencies affected pursuant to this Section 2.14(f) or as a result of the failure of the Agent to effect any such conversion or exchange, other than any loss, cost or expense applicable to the Agent’s gross negligence or willful misconduct; and provided further that the Borrower agrees to indemnify the Agent and each Lender Party, and hold the Agent and each Lender Party harmless, for any and all losses, costs and expenses incurred by the Agent or any Lender Party for any conversion or exchange of currencies (or the failure to convert or exchange any currencies) in accordance with this Section 2.14(f), other than any loss, cost or expense applicable to the Agent’s gross negligence or willful misconduct.</w:t>
      </w:r>
    </w:p>
    <w:p>
      <w:pPr>
        <w:spacing w:after="0" w:line="207"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SECTION 2.15. Taxes. (a) Any and all payments by the Borrower to or for the account of any Lender or the Agent hereunder or under the Notes or any other documents to be delivered hereunder shall be made, in accordance with Section 2.14 or the applicable provisions of such other documents, free and clear of and without deduction for any and all present or future taxes, levies, imposts, deductions, charges or withholdings, and all liabilities with respect thereto, excluding (i) in the case of each Lender Party and the Agent, taxes imposed on its overall net income, and franchise taxes imposed on it in lieu of net income taxes, by the jurisdiction under the laws of which such Lender Party or the Agent (as the case may be) is organized or any political subdivision thereof and, in the case of each Lender Party, taxes imposed on its overall net income, and franchise taxes imposed on it in lieu of net income taxes, by the jurisdiction of such Lender Party’s Applicable Lending Office or any political subdivision thereof and (ii) any United States withholding tax imposed under FATCA (all such non-excluded taxes, levies, imposts, deductions, charges, withholdings and liabilities in respect of payments hereunder or under the Notes being hereinafter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 If the Borrower shall be required by law to deduct any Taxes from or in respect of any sum payable hereunder or under any Note or any other documents to be delivered hereunder to any Lender Party or the Agent, (i) the sum payable shall be increased as may be necessary so that after making all required deductions (including deductions applicable to additional sums payable under this Section 2.15) such Lender Party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198" w:lineRule="exact"/>
        <w:rPr>
          <w:sz w:val="20"/>
          <w:szCs w:val="20"/>
          <w:color w:val="auto"/>
        </w:rPr>
      </w:pPr>
    </w:p>
    <w:p>
      <w:pPr>
        <w:jc w:val="both"/>
        <w:ind w:firstLine="1298"/>
        <w:spacing w:after="0" w:line="258" w:lineRule="auto"/>
        <w:tabs>
          <w:tab w:leader="none" w:pos="19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addition, the Borrower shall pay any present or future stamp or documentary taxes or any other excise or property taxes, charges or similar levies that arise from any payment made hereunder or under the Notes or any other documents to be delivered hereunder or from the execution, delivery or registration of, performing under, or otherwise with respect to, this Agreement or the Notes or any other documents to be delivered hereunder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jc w:val="both"/>
        <w:ind w:firstLine="1298"/>
        <w:spacing w:after="0" w:line="300" w:lineRule="auto"/>
        <w:tabs>
          <w:tab w:leader="none" w:pos="200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Borrower shall indemnify each Lender and the Agent for and hold it harmless against the full amount of Taxes or Other Taxes (including, without limitation, taxes of any kind imposed or asserted by any jurisdiction on amounts payable under this Section 2.15) imposed on or paid by such Lender Party or the Agent (as the case may be) and any liability (including penalties, interest and expenses) arising therefrom or with respect thereto. This indemnification shall be made within 30 days from the date such Lender Party or the Agent (as the case may be) makes written demand therefor.</w:t>
      </w:r>
    </w:p>
    <w:p>
      <w:pPr>
        <w:spacing w:after="0" w:line="182" w:lineRule="exact"/>
        <w:rPr>
          <w:rFonts w:ascii="Arial" w:cs="Arial" w:eastAsia="Arial" w:hAnsi="Arial"/>
          <w:sz w:val="16"/>
          <w:szCs w:val="16"/>
          <w:color w:val="auto"/>
        </w:rPr>
      </w:pPr>
    </w:p>
    <w:p>
      <w:pPr>
        <w:jc w:val="both"/>
        <w:ind w:firstLine="1298"/>
        <w:spacing w:after="0" w:line="310" w:lineRule="auto"/>
        <w:tabs>
          <w:tab w:leader="none" w:pos="2193" w:val="left"/>
        </w:tabs>
        <w:numPr>
          <w:ilvl w:val="0"/>
          <w:numId w:val="55"/>
        </w:numPr>
        <w:rPr>
          <w:rFonts w:ascii="Arial" w:cs="Arial" w:eastAsia="Arial" w:hAnsi="Arial"/>
          <w:sz w:val="16"/>
          <w:szCs w:val="16"/>
          <w:color w:val="auto"/>
        </w:rPr>
      </w:pPr>
      <w:r>
        <w:rPr>
          <w:rFonts w:ascii="Arial" w:cs="Arial" w:eastAsia="Arial" w:hAnsi="Arial"/>
          <w:sz w:val="16"/>
          <w:szCs w:val="16"/>
          <w:color w:val="auto"/>
        </w:rPr>
        <w:t>Within 30 days after the date of any payment of Taxes, the Borrower shall furnish to the Agent, at its address referred to in Section 8.02, the original or a certified copy of a receipt evidencing such payment to the extent such a receipt is issued therefor, or other written proof of payment thereof that is reasonably satisfactory to the Agent. In the case of any payment hereunder or under the Notes or any other documents to be delivered</w:t>
      </w:r>
    </w:p>
    <w:p>
      <w:pPr>
        <w:sectPr>
          <w:pgSz w:w="11900" w:h="16955" w:orient="portrait"/>
          <w:cols w:equalWidth="0" w:num="1">
            <w:col w:w="11420"/>
          </w:cols>
          <w:pgMar w:left="240" w:top="125" w:right="239" w:bottom="0" w:gutter="0" w:footer="0" w:header="0"/>
        </w:sectPr>
      </w:pPr>
    </w:p>
    <w:bookmarkStart w:id="50" w:name="page51"/>
    <w:bookmarkEnd w:id="50"/>
    <w:p>
      <w:pPr>
        <w:jc w:val="both"/>
        <w:spacing w:after="0" w:line="286" w:lineRule="auto"/>
        <w:rPr>
          <w:sz w:val="20"/>
          <w:szCs w:val="20"/>
          <w:color w:val="auto"/>
        </w:rPr>
      </w:pPr>
      <w:r>
        <w:rPr>
          <w:rFonts w:ascii="Arial" w:cs="Arial" w:eastAsia="Arial" w:hAnsi="Arial"/>
          <w:sz w:val="16"/>
          <w:szCs w:val="16"/>
          <w:color w:val="auto"/>
        </w:rPr>
        <w:t>hereunder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w:t>
      </w:r>
    </w:p>
    <w:p>
      <w:pPr>
        <w:spacing w:after="0" w:line="2"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and subsection (e), the terms “</w:t>
      </w:r>
      <w:r>
        <w:rPr>
          <w:rFonts w:ascii="Arial" w:cs="Arial" w:eastAsia="Arial" w:hAnsi="Arial"/>
          <w:sz w:val="16"/>
          <w:szCs w:val="16"/>
          <w:u w:val="single" w:color="auto"/>
          <w:color w:val="auto"/>
        </w:rPr>
        <w:t>United States</w:t>
      </w:r>
      <w:r>
        <w:rPr>
          <w:rFonts w:ascii="Arial" w:cs="Arial" w:eastAsia="Arial" w:hAnsi="Arial"/>
          <w:sz w:val="16"/>
          <w:szCs w:val="16"/>
          <w:color w:val="auto"/>
        </w:rPr>
        <w:t>” and “</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shall have the meanings specified in Section 7701 of the Internal Revenue Code.</w:t>
      </w:r>
    </w:p>
    <w:p>
      <w:pPr>
        <w:spacing w:after="0" w:line="258" w:lineRule="exact"/>
        <w:rPr>
          <w:rFonts w:ascii="Arial" w:cs="Arial" w:eastAsia="Arial" w:hAnsi="Arial"/>
          <w:sz w:val="16"/>
          <w:szCs w:val="16"/>
          <w:color w:val="auto"/>
        </w:rPr>
      </w:pPr>
    </w:p>
    <w:p>
      <w:pPr>
        <w:jc w:val="both"/>
        <w:ind w:firstLine="1298"/>
        <w:spacing w:after="0" w:line="284" w:lineRule="auto"/>
        <w:tabs>
          <w:tab w:leader="none" w:pos="2041"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(i) Each Lender Party organized under the laws of a jurisdiction outside the United States, on or prior to the date of its execution and delivery of this Agreement in the case of each Initial Lender Party and on the date of the Assumption Agreement or the Assignment and Assumption pursuant to which it becomes a Lender Party in the case of each other Lender Party, and from time to time thereafter as reasonably requested in writing by the Borrower (but only so long as such Lender Party remains lawfully able to do so), shall provide each of the Agent and the Borrower with two original Internal Revenue Service forms W-8BEN or W-8ECI, as appropriate, or any successor or other form prescribed by the Internal Revenue Service, certifying that such Lender Party is exempt from or entitled to a reduced rate of United States withholding tax on payments pursuant to this Agreement or the Notes. If the form provided by a Lender Party at the time such Lender Party first becomes a party to this Agreement indicates a United States interest withholding tax rate in excess of zero, withholding tax at such rate shall be considered excluded from Taxes unless and until such Lender Party provides the appropriate forms certifying that a lesser rate applies, whereupon withholding tax at such lesser rate only shall be considered excluded from Taxes for periods governed by such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date of the Assignment and Assumption pursuant to which a Lender Party assignee becomes a party to this Agreement, the Lender Party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Party assignee on such date. If any form or document referred to in this subsection (e) requires the disclosure of information, other than information necessary to compute the tax payable and information required by the Internal Revenue Service, that the Lender Party reasonably considers to be confidential, the Lender shall give notice thereof to the Borrower and shall not be obligated to include in such form or document such confidential information.</w:t>
      </w:r>
    </w:p>
    <w:p>
      <w:pPr>
        <w:spacing w:after="0" w:line="200" w:lineRule="exact"/>
        <w:rPr>
          <w:sz w:val="20"/>
          <w:szCs w:val="20"/>
          <w:color w:val="auto"/>
        </w:rPr>
      </w:pPr>
    </w:p>
    <w:p>
      <w:pPr>
        <w:jc w:val="both"/>
        <w:ind w:firstLine="1298"/>
        <w:spacing w:after="0" w:line="270" w:lineRule="auto"/>
        <w:tabs>
          <w:tab w:leader="none" w:pos="2024"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a payment made to a Lender Party would be subject to United States federal withholding tax imposed by FATCA if such Lender Party were to fail to comply with the applicable reporting requirements of FATCA (including those contained in Section 1471(b) or 1472(b) of the Internal Revenue Code, as applicable), such Lender Party shall deliver to the Borrower and the Agent, at the time or times prescribed by law and at such time or times reasonably requested in writing by the Borrower, such documentation prescribed by applicable law (including as prescribed by Section 1471(b)(3)(C)(i) of the Internal Revenue Code) and such additional documentation reasonably requested in writing by the Borrower of the Agent as may be necessary for the Borrower or the Agent to comply with their obligations under FATCA, to determine that such Lender Party has complied with such Lender Party’s obligations under FATCA or to determine the amount to deduct and withhold from such payment. For purposes of this Section 2.14(e)(ii) FATCA shall include amendments made to FATCA after the date of this Agreement.</w:t>
      </w:r>
    </w:p>
    <w:p>
      <w:pPr>
        <w:spacing w:after="0" w:line="203" w:lineRule="exact"/>
        <w:rPr>
          <w:sz w:val="20"/>
          <w:szCs w:val="20"/>
          <w:color w:val="auto"/>
        </w:rPr>
      </w:pPr>
    </w:p>
    <w:p>
      <w:pPr>
        <w:jc w:val="both"/>
        <w:ind w:firstLine="1298"/>
        <w:spacing w:after="0" w:line="253" w:lineRule="auto"/>
        <w:tabs>
          <w:tab w:leader="none" w:pos="20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any period with respect to which a Lender Party has failed to provide the Borrower with the appropriate form, certificate or other document described in Section 2.15(e)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if such failure is due to a change in law, or in the interpretation or application thereof, occurring subsequent to the date on which a form, certificate or other document originally was required to be provided, or if such form, certificate or other document otherwise is not required under subsection (e) above), such Lender Party shall not be entitled to indemnification under Section 2.15(a) or (c) with respect to Taxes imposed by the United States by reason of such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should a Lender Party become subject to Taxes because of its failure to deliver a form, certificate or other document required hereunder, the Borrower shall take such steps as the Lender Party shall reasonably request to assist the Lender Party to recover such Taxes.</w:t>
      </w:r>
    </w:p>
    <w:p>
      <w:pPr>
        <w:spacing w:after="0" w:line="220" w:lineRule="exact"/>
        <w:rPr>
          <w:rFonts w:ascii="Arial" w:cs="Arial" w:eastAsia="Arial" w:hAnsi="Arial"/>
          <w:sz w:val="18"/>
          <w:szCs w:val="18"/>
          <w:color w:val="auto"/>
        </w:rPr>
      </w:pPr>
    </w:p>
    <w:p>
      <w:pPr>
        <w:jc w:val="both"/>
        <w:ind w:firstLine="1298"/>
        <w:spacing w:after="0" w:line="258" w:lineRule="auto"/>
        <w:tabs>
          <w:tab w:leader="none" w:pos="22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Lender Party claiming any additional amounts payable pursuant to this Section 2.15 agrees to use reasonable efforts (consistent with its internal policy and legal and regulatory restrictions) to change the jurisdiction of its Eurodollar Lending Office if the making of such a change would avoid the need for, or reduce the amount of, any such additional amounts that may thereafter accrue and would not, in the reasonable judgment of such Lender Party, be otherwise disadvantageous to such Lender Party.</w:t>
      </w:r>
    </w:p>
    <w:p>
      <w:pPr>
        <w:spacing w:after="0" w:line="212" w:lineRule="exact"/>
        <w:rPr>
          <w:rFonts w:ascii="Arial" w:cs="Arial" w:eastAsia="Arial" w:hAnsi="Arial"/>
          <w:sz w:val="18"/>
          <w:szCs w:val="18"/>
          <w:color w:val="auto"/>
        </w:rPr>
      </w:pPr>
    </w:p>
    <w:p>
      <w:pPr>
        <w:jc w:val="both"/>
        <w:ind w:firstLine="1298"/>
        <w:spacing w:after="0" w:line="253" w:lineRule="auto"/>
        <w:tabs>
          <w:tab w:leader="none" w:pos="20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If any Lender Party determines, in its sole discretion, that it has actually and finally realized, by reason of a refund, deduction or credit of any Taxes paid or reimbursed by the Borrower pursuant to subsection (a) or (c) above in respect of payments under this Agreement or the Notes, a current monetary benefit that it would otherwise not have obtained, and that would result in the total payments under this Section 2.15 exceeding the amount needed to make such Lender Party whole, such Lender Party shall pay to the Borrower, with reasonable promptness following the date on which it actually realizes such benefit, an amount equal to the lesser of the amount of such benefit or the amount of such excess, in each case net of all out-of-pocket expenses in securing such refund, deduction or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be construed to require any Lender to disclose confidential information regarding its tax affairs.</w:t>
      </w:r>
    </w:p>
    <w:p>
      <w:pPr>
        <w:spacing w:after="0" w:line="220"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Sharing of Payments, Etc</w:t>
      </w:r>
      <w:r>
        <w:rPr>
          <w:rFonts w:ascii="Arial" w:cs="Arial" w:eastAsia="Arial" w:hAnsi="Arial"/>
          <w:sz w:val="18"/>
          <w:szCs w:val="18"/>
          <w:color w:val="auto"/>
        </w:rPr>
        <w:t xml:space="preserve">. If any Lender shall, by exercising any right of 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pro rata share thereof as provided herein, then the Lender receiving such greater proportion shall (a) notify the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20" w:lineRule="exact"/>
        <w:rPr>
          <w:sz w:val="20"/>
          <w:szCs w:val="20"/>
          <w:color w:val="auto"/>
        </w:rPr>
      </w:pPr>
    </w:p>
    <w:p>
      <w:pPr>
        <w:ind w:left="660" w:firstLine="638"/>
        <w:spacing w:after="0" w:line="275" w:lineRule="auto"/>
        <w:tabs>
          <w:tab w:leader="none" w:pos="203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97" w:lineRule="exact"/>
        <w:rPr>
          <w:rFonts w:ascii="Arial" w:cs="Arial" w:eastAsia="Arial" w:hAnsi="Arial"/>
          <w:sz w:val="18"/>
          <w:szCs w:val="18"/>
          <w:color w:val="auto"/>
        </w:rPr>
      </w:pPr>
    </w:p>
    <w:p>
      <w:pPr>
        <w:jc w:val="both"/>
        <w:ind w:left="660" w:firstLine="638"/>
        <w:spacing w:after="0" w:line="278" w:lineRule="auto"/>
        <w:tabs>
          <w:tab w:leader="none" w:pos="218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 other than to the Borrower or any Subsidiary thereof (as to which the provisions of this paragraph shall apply).</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9" w:lineRule="exact"/>
        <w:rPr>
          <w:sz w:val="20"/>
          <w:szCs w:val="20"/>
          <w:color w:val="auto"/>
        </w:rPr>
      </w:pPr>
    </w:p>
    <w:p>
      <w:pPr>
        <w:jc w:val="both"/>
        <w:ind w:firstLine="1290"/>
        <w:spacing w:after="0" w:line="310"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Evidence of Debt</w:t>
      </w:r>
      <w:r>
        <w:rPr>
          <w:rFonts w:ascii="Arial" w:cs="Arial" w:eastAsia="Arial" w:hAnsi="Arial"/>
          <w:sz w:val="16"/>
          <w:szCs w:val="16"/>
          <w:color w:val="auto"/>
        </w:rPr>
        <w:t>. (a) Each Lender Party shall maintain in accordance with its usual practice an account or accounts evidencing the indebtedness of the Borrower to such Lender Party resulting from each Revolving Credit Advance owing to such Lender Party from time to time, including the amounts of principal and interest payable and paid to such Lender Party from time to time hereunder in respect of Revolving Credit</w:t>
      </w:r>
    </w:p>
    <w:p>
      <w:pPr>
        <w:sectPr>
          <w:pgSz w:w="11900" w:h="16838" w:orient="portrait"/>
          <w:cols w:equalWidth="0" w:num="1">
            <w:col w:w="11420"/>
          </w:cols>
          <w:pgMar w:left="240" w:top="125" w:right="239" w:bottom="0" w:gutter="0" w:footer="0" w:header="0"/>
        </w:sectPr>
      </w:pPr>
    </w:p>
    <w:bookmarkStart w:id="51" w:name="page52"/>
    <w:bookmarkEnd w:id="51"/>
    <w:p>
      <w:pPr>
        <w:spacing w:after="0" w:line="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Advances. The Borrower agrees that upon notice by any Lender Party to the Borrower (with a copy of such notice to the Agent) to the effect that a Note is required or appropriate in order for such Lender Party to evidence (whether for purposes of pledge, enforcement or otherwise) the Revolving Credit Advances owing to, or to be made by, such Lender Party, the Borrower shall promptly execute and deliver to such Lender Party a Note payable to the order of such Lender Party in a principal amount up to the Commitment of such Lender Party.</w:t>
      </w:r>
    </w:p>
    <w:p>
      <w:pPr>
        <w:spacing w:after="0" w:line="212" w:lineRule="exact"/>
        <w:rPr>
          <w:sz w:val="20"/>
          <w:szCs w:val="20"/>
          <w:color w:val="auto"/>
        </w:rPr>
      </w:pPr>
    </w:p>
    <w:p>
      <w:pPr>
        <w:jc w:val="both"/>
        <w:ind w:firstLine="1298"/>
        <w:spacing w:after="0" w:line="295" w:lineRule="auto"/>
        <w:tabs>
          <w:tab w:leader="none" w:pos="212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Register maintained by the Agent pursuant to Section 8.07(c) shall include a control account, and a subsidiary account for each Lender Party, in which accounts (taken together) shall be recorded (i) the date and amount of each Borrowing made hereunder, the Type of Advances comprising such Borrowing and, if appropriate, the Interest Period applicable thereto, (ii) the terms of each Assumption Agreement and each Assignment and Assumption delivered to and accepted by it, (iii) the amount of any principal or interest due and payable or to become due and payable from the Borrower to each Lender Party hereunder and (iv) the amount of any sum received by the Agent from the Borrower hereunder and each Lender Party’s share thereof.</w:t>
      </w:r>
    </w:p>
    <w:p>
      <w:pPr>
        <w:spacing w:after="0" w:line="186" w:lineRule="exact"/>
        <w:rPr>
          <w:rFonts w:ascii="Arial" w:cs="Arial" w:eastAsia="Arial" w:hAnsi="Arial"/>
          <w:sz w:val="16"/>
          <w:szCs w:val="16"/>
          <w:color w:val="auto"/>
        </w:rPr>
      </w:pPr>
    </w:p>
    <w:p>
      <w:pPr>
        <w:jc w:val="both"/>
        <w:ind w:firstLine="1298"/>
        <w:spacing w:after="0" w:line="295" w:lineRule="auto"/>
        <w:tabs>
          <w:tab w:leader="none" w:pos="2039"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Entries made in good faith by the Agent in the Register pursuant to subsection (b) above, and by each Lender Party in its account or accounts pursuant to subsection (a) above,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amount of principal and interest due and payable or to become due and payable from the Borrower to, in the case of the Register, each Lender and, in the case of such account or accounts, such Lender Party, under this Agreement,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the Agent or such Lender Party to make an entry, or any finding that an entry is incorrect, in the Register or such account or accounts shall not limit or otherwise affect the obligations of the Borrower under this Agreement.</w:t>
      </w:r>
    </w:p>
    <w:p>
      <w:pPr>
        <w:spacing w:after="0" w:line="187"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Advances and issuances of Letters of Credit shall be available (and the Borrower agrees that it shall use such proceeds) solely for general corporate purposes of the Borrower and its Subsidiaries, including, without limitation, acquisitions. The Borrower will not request any Borrowing or Letter of Credit, and the Borrower shall not use, and shall procure that its Subsidiaries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220"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auto"/>
        </w:rPr>
        <w:t xml:space="preserve">SECTION 2.19. </w:t>
      </w:r>
      <w:r>
        <w:rPr>
          <w:rFonts w:ascii="Arial" w:cs="Arial" w:eastAsia="Arial" w:hAnsi="Arial"/>
          <w:sz w:val="17"/>
          <w:szCs w:val="17"/>
          <w:u w:val="single" w:color="auto"/>
          <w:color w:val="auto"/>
        </w:rPr>
        <w:t>Increase in the Aggregate Commitments</w:t>
      </w:r>
      <w:r>
        <w:rPr>
          <w:rFonts w:ascii="Arial" w:cs="Arial" w:eastAsia="Arial" w:hAnsi="Arial"/>
          <w:sz w:val="17"/>
          <w:szCs w:val="17"/>
          <w:color w:val="auto"/>
        </w:rPr>
        <w:t>. (a) The Borrower may, at any time but in any event not more than once in any calendar year prior to the latest Termination Date, by notice to the Agent, request that the aggregate amount of the Commitment be increased by an amount of $10,000,000 or an integral multiple of $10,000,000 in excess thereof (each a “</w:t>
      </w:r>
      <w:r>
        <w:rPr>
          <w:rFonts w:ascii="Arial" w:cs="Arial" w:eastAsia="Arial" w:hAnsi="Arial"/>
          <w:sz w:val="17"/>
          <w:szCs w:val="17"/>
          <w:u w:val="single" w:color="auto"/>
          <w:color w:val="auto"/>
        </w:rPr>
        <w:t>Commitment Increase</w:t>
      </w:r>
      <w:r>
        <w:rPr>
          <w:rFonts w:ascii="Arial" w:cs="Arial" w:eastAsia="Arial" w:hAnsi="Arial"/>
          <w:sz w:val="17"/>
          <w:szCs w:val="17"/>
          <w:color w:val="auto"/>
        </w:rPr>
        <w:t>”) to be effective as of a date that is at least 90 days prior to the latest scheduled Termination Date then in effect (the “</w:t>
      </w:r>
      <w:r>
        <w:rPr>
          <w:rFonts w:ascii="Arial" w:cs="Arial" w:eastAsia="Arial" w:hAnsi="Arial"/>
          <w:sz w:val="17"/>
          <w:szCs w:val="17"/>
          <w:u w:val="single" w:color="auto"/>
          <w:color w:val="auto"/>
        </w:rPr>
        <w:t>Increase Date</w:t>
      </w:r>
      <w:r>
        <w:rPr>
          <w:rFonts w:ascii="Arial" w:cs="Arial" w:eastAsia="Arial" w:hAnsi="Arial"/>
          <w:sz w:val="17"/>
          <w:szCs w:val="17"/>
          <w:color w:val="auto"/>
        </w:rPr>
        <w:t xml:space="preserve">”) as specified in the related notice to the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in no event shall the aggregate amount of the Commitments at any time exceed $800,000,000 and (ii) on the date of any request by the Borrower for a Commitment Increase and on the related Increase Date, the applicable conditions set forth in Article III shall be satisfied.</w:t>
      </w:r>
    </w:p>
    <w:p>
      <w:pPr>
        <w:spacing w:after="0" w:line="203" w:lineRule="exact"/>
        <w:rPr>
          <w:sz w:val="20"/>
          <w:szCs w:val="20"/>
          <w:color w:val="auto"/>
        </w:rPr>
      </w:pPr>
    </w:p>
    <w:p>
      <w:pPr>
        <w:jc w:val="both"/>
        <w:ind w:firstLine="1298"/>
        <w:spacing w:after="0" w:line="253" w:lineRule="auto"/>
        <w:tabs>
          <w:tab w:leader="none" w:pos="20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Agent shall promptly notify the Lender Parties of a request by the Borrower for a Commitment Increase, which notice shall include (i) the proposed amount of such requested Commitment Increase, (ii) the proposed Increase Date and (iii) the date by which Lender Parties wishing to participate in the Commitment Increase must commit to an increase in the amount of their respective Commitments (the “</w:t>
      </w:r>
      <w:r>
        <w:rPr>
          <w:rFonts w:ascii="Arial" w:cs="Arial" w:eastAsia="Arial" w:hAnsi="Arial"/>
          <w:sz w:val="18"/>
          <w:szCs w:val="18"/>
          <w:u w:val="single" w:color="auto"/>
          <w:color w:val="auto"/>
        </w:rPr>
        <w:t>Commitment Date</w:t>
      </w:r>
      <w:r>
        <w:rPr>
          <w:rFonts w:ascii="Arial" w:cs="Arial" w:eastAsia="Arial" w:hAnsi="Arial"/>
          <w:sz w:val="18"/>
          <w:szCs w:val="18"/>
          <w:color w:val="auto"/>
        </w:rPr>
        <w:t>”). Each Lender Party that is willing to participate in such requested Commitment Increase (each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shall, in its sole discretion, give written notice to the Agent on or prior to the Commitment Date of the amount by which it is willing to increase its Commitment. If the Lender Parties notify the Agent that they are willing to increase the amount of their respective Commitments by an aggregate amount that exceeds the amount of the requested Commitment Increase, the requested Commitment Increase shall be allocated among the Lender Parties willing to participate therein in such proportion as the Agent and the Borrower may agree.</w:t>
      </w:r>
    </w:p>
    <w:p>
      <w:pPr>
        <w:spacing w:after="0" w:line="217" w:lineRule="exact"/>
        <w:rPr>
          <w:rFonts w:ascii="Arial" w:cs="Arial" w:eastAsia="Arial" w:hAnsi="Arial"/>
          <w:sz w:val="18"/>
          <w:szCs w:val="18"/>
          <w:color w:val="auto"/>
        </w:rPr>
      </w:pPr>
    </w:p>
    <w:p>
      <w:pPr>
        <w:jc w:val="both"/>
        <w:ind w:firstLine="1298"/>
        <w:spacing w:after="0" w:line="295" w:lineRule="auto"/>
        <w:tabs>
          <w:tab w:leader="none" w:pos="2106"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Promptly following each Commitment Date, the Agent shall notify the Borrower as to the amount, if any, by which the Lender Parties are willing to participate in the requested Commitment Increase. If the aggregate amount by which the Lender Parties are willing to participate in any requested Commitment Increase on any such Commitment Date is less than the requested Commitment Increase, then the Borrower may extend offers to one or more Eligible Assignees to participate in any portion of the requested Commitment Increase that has not been committed to by the Lender Parties as of the applicable Commitment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Commitment of each such Eligible Assignee shall be in an amount of not less than $5,000,000.</w:t>
      </w:r>
    </w:p>
    <w:p>
      <w:pPr>
        <w:spacing w:after="0" w:line="186" w:lineRule="exact"/>
        <w:rPr>
          <w:rFonts w:ascii="Arial" w:cs="Arial" w:eastAsia="Arial" w:hAnsi="Arial"/>
          <w:sz w:val="16"/>
          <w:szCs w:val="16"/>
          <w:color w:val="auto"/>
        </w:rPr>
      </w:pPr>
    </w:p>
    <w:p>
      <w:pPr>
        <w:jc w:val="both"/>
        <w:ind w:firstLine="1298"/>
        <w:spacing w:after="0" w:line="285" w:lineRule="auto"/>
        <w:tabs>
          <w:tab w:leader="none" w:pos="2273"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 each Increase Date, each Eligible Assignee that accepts an offer to participate in a requested Commitment Increase in accordance with Section 2.19(b) (each such Eligible Assignee and each Eligible Assignee that shall become a party hereto in accordance with Section 2.22, an “</w:t>
      </w:r>
      <w:r>
        <w:rPr>
          <w:rFonts w:ascii="Arial" w:cs="Arial" w:eastAsia="Arial" w:hAnsi="Arial"/>
          <w:sz w:val="16"/>
          <w:szCs w:val="16"/>
          <w:u w:val="single" w:color="auto"/>
          <w:color w:val="auto"/>
        </w:rPr>
        <w:t>Assuming Lender</w:t>
      </w:r>
      <w:r>
        <w:rPr>
          <w:rFonts w:ascii="Arial" w:cs="Arial" w:eastAsia="Arial" w:hAnsi="Arial"/>
          <w:sz w:val="16"/>
          <w:szCs w:val="16"/>
          <w:color w:val="auto"/>
        </w:rPr>
        <w:t>”) shall become a Lender Party to this Agreement as of such Increase Date and the Commitment of each Increasing Lender Party for such requested Commitment Increase shall be so increased by such amount (or by the amount allocated to such Lender Party pursuant to the last sentence of Section</w:t>
      </w:r>
    </w:p>
    <w:p>
      <w:pPr>
        <w:spacing w:after="0"/>
        <w:rPr>
          <w:rFonts w:ascii="Arial" w:cs="Arial" w:eastAsia="Arial" w:hAnsi="Arial"/>
          <w:sz w:val="16"/>
          <w:szCs w:val="16"/>
          <w:color w:val="auto"/>
        </w:rPr>
      </w:pPr>
      <w:r>
        <w:rPr>
          <w:rFonts w:ascii="Arial" w:cs="Arial" w:eastAsia="Arial" w:hAnsi="Arial"/>
          <w:sz w:val="16"/>
          <w:szCs w:val="16"/>
          <w:color w:val="auto"/>
        </w:rPr>
        <w:t xml:space="preserve">2.19(b)) as of such Increase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Agent shall have received on or before such Increase Date the following, each dated such date:</w:t>
      </w:r>
    </w:p>
    <w:p>
      <w:pPr>
        <w:spacing w:after="0" w:line="258" w:lineRule="exact"/>
        <w:rPr>
          <w:sz w:val="20"/>
          <w:szCs w:val="20"/>
          <w:color w:val="auto"/>
        </w:rPr>
      </w:pPr>
    </w:p>
    <w:p>
      <w:pPr>
        <w:jc w:val="both"/>
        <w:ind w:left="660" w:firstLine="638"/>
        <w:spacing w:after="0" w:line="262" w:lineRule="auto"/>
        <w:tabs>
          <w:tab w:leader="none" w:pos="20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certified copies of resolutions of the Board of Directors of the Borrower or the Executive Committee of such Board approving the Commitment Increase and the corresponding modifications to this Agreement and (B) an opinion of counsel for the Borrower (which may be in-house counsel), in substantially the form of Exhibit E hereto;</w:t>
      </w:r>
    </w:p>
    <w:p>
      <w:pPr>
        <w:spacing w:after="0" w:line="209" w:lineRule="exact"/>
        <w:rPr>
          <w:rFonts w:ascii="Arial" w:cs="Arial" w:eastAsia="Arial" w:hAnsi="Arial"/>
          <w:sz w:val="18"/>
          <w:szCs w:val="18"/>
          <w:color w:val="auto"/>
        </w:rPr>
      </w:pPr>
    </w:p>
    <w:p>
      <w:pPr>
        <w:ind w:left="660" w:firstLine="638"/>
        <w:spacing w:after="0" w:line="275" w:lineRule="auto"/>
        <w:tabs>
          <w:tab w:leader="none" w:pos="210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assumption agreement from each Assuming Lender, if any, in form and substance satisfactory to the Borrower and the Agent (each an “</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duly executed by such Eligible Assignee, the Agent and the Borrower; and</w:t>
      </w:r>
    </w:p>
    <w:p>
      <w:pPr>
        <w:spacing w:after="0" w:line="197" w:lineRule="exact"/>
        <w:rPr>
          <w:rFonts w:ascii="Arial" w:cs="Arial" w:eastAsia="Arial" w:hAnsi="Arial"/>
          <w:sz w:val="18"/>
          <w:szCs w:val="18"/>
          <w:color w:val="auto"/>
        </w:rPr>
      </w:pPr>
    </w:p>
    <w:p>
      <w:pPr>
        <w:ind w:left="660" w:firstLine="638"/>
        <w:spacing w:after="0" w:line="275" w:lineRule="auto"/>
        <w:tabs>
          <w:tab w:leader="none" w:pos="22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confirmation from each Increasing Lender of the increase in the amount of its Commitment in a writing satisfactory to the Borrower and the Agent.</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each Increase Date, upon fulfillment of the conditions set forth in the immediately preceding sentence of this Section 2.19(d), the Agent shall notify the Lender Parties (including, without limitation, each Assuming Lender) and the Borrower, on or before 1:00 P.M. (New York City time), by telecopier, of the occurrence of the Commitment Increase to be effected on such Increase Date and shall record in the Register the relevant information with respect to each Increasing Lender and each Assuming Lender on such date.</w:t>
      </w:r>
    </w:p>
    <w:p>
      <w:pPr>
        <w:spacing w:after="0" w:line="212" w:lineRule="exact"/>
        <w:rPr>
          <w:sz w:val="20"/>
          <w:szCs w:val="20"/>
          <w:color w:val="auto"/>
        </w:rPr>
      </w:pPr>
    </w:p>
    <w:p>
      <w:pPr>
        <w:ind w:right="640" w:firstLine="1290"/>
        <w:spacing w:after="0" w:line="275"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(a) If a Lender becomes, and during the period it remains, a Defaulting Lender, the following provisions shall apply:</w:t>
      </w:r>
    </w:p>
    <w:p>
      <w:pPr>
        <w:spacing w:after="0" w:line="198" w:lineRule="exact"/>
        <w:rPr>
          <w:sz w:val="20"/>
          <w:szCs w:val="20"/>
          <w:color w:val="auto"/>
        </w:rPr>
      </w:pPr>
    </w:p>
    <w:p>
      <w:pPr>
        <w:jc w:val="both"/>
        <w:ind w:left="660" w:firstLine="638"/>
        <w:spacing w:after="0" w:line="300" w:lineRule="auto"/>
        <w:tabs>
          <w:tab w:leader="none" w:pos="1967"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unless a Default has occurred and is continuing, such Defaulting Lenders’ Pro Rata Share of the L/C Obligations will, subject to the limitation in the first proviso below, automatically be reallocated (effective on the day such Lender becomes a Defaulting Lender) among the Non-Defaulting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Revolving Credit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sum of each Non-Defaulting Lender’s aggregate principal amount of Advances and allocated share of the L/C Obligations may not in any event exceed the Revolving Credit</w:t>
      </w:r>
    </w:p>
    <w:p>
      <w:pPr>
        <w:sectPr>
          <w:pgSz w:w="11900" w:h="16866" w:orient="portrait"/>
          <w:cols w:equalWidth="0" w:num="1">
            <w:col w:w="11420"/>
          </w:cols>
          <w:pgMar w:left="240" w:top="125" w:right="239" w:bottom="0" w:gutter="0" w:footer="0" w:header="0"/>
        </w:sectPr>
      </w:pPr>
    </w:p>
    <w:bookmarkStart w:id="52" w:name="page53"/>
    <w:bookmarkEnd w:id="52"/>
    <w:p>
      <w:pPr>
        <w:jc w:val="both"/>
        <w:ind w:left="660"/>
        <w:spacing w:after="0" w:line="285" w:lineRule="auto"/>
        <w:rPr>
          <w:sz w:val="20"/>
          <w:szCs w:val="20"/>
          <w:color w:val="auto"/>
        </w:rPr>
      </w:pPr>
      <w:r>
        <w:rPr>
          <w:rFonts w:ascii="Arial" w:cs="Arial" w:eastAsia="Arial" w:hAnsi="Arial"/>
          <w:sz w:val="17"/>
          <w:szCs w:val="17"/>
          <w:color w:val="auto"/>
        </w:rPr>
        <w:t>Commitment of such Non-Defaulting Lender as in effect at the time of such reallocation and (B) neither such reallocation nor any payment by a Non-Defaulting Lender pursuant thereto will constitute a waiver or release of any claim the Borrower, the Agent, any Issuing Bank or any other Lender may have against such Defaulting Lender or cause such Defaulting Lender to be a Non-Defaulting Lender;</w:t>
      </w:r>
    </w:p>
    <w:p>
      <w:pPr>
        <w:spacing w:after="0" w:line="191" w:lineRule="exact"/>
        <w:rPr>
          <w:sz w:val="20"/>
          <w:szCs w:val="20"/>
          <w:color w:val="auto"/>
        </w:rPr>
      </w:pPr>
    </w:p>
    <w:p>
      <w:pPr>
        <w:jc w:val="both"/>
        <w:ind w:left="660" w:firstLine="638"/>
        <w:spacing w:after="0" w:line="254" w:lineRule="auto"/>
        <w:tabs>
          <w:tab w:leader="none" w:pos="21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extent that any portion (the “</w:t>
      </w:r>
      <w:r>
        <w:rPr>
          <w:rFonts w:ascii="Arial" w:cs="Arial" w:eastAsia="Arial" w:hAnsi="Arial"/>
          <w:sz w:val="18"/>
          <w:szCs w:val="18"/>
          <w:u w:val="single" w:color="auto"/>
          <w:color w:val="auto"/>
        </w:rPr>
        <w:t>unreallocated portion</w:t>
      </w:r>
      <w:r>
        <w:rPr>
          <w:rFonts w:ascii="Arial" w:cs="Arial" w:eastAsia="Arial" w:hAnsi="Arial"/>
          <w:sz w:val="18"/>
          <w:szCs w:val="18"/>
          <w:color w:val="auto"/>
        </w:rPr>
        <w:t>”) of the Defaulting Lender’s share of the L/C Obligations cannot be so reallocated, whether by reason of the first proviso in clause (i) above or otherwise, the Borrower will, not later than three Business Days after demand by the Agent (at the direction of an Issuing Bank), (A) Cash Collateralize the obligations of the Borrower in respect of such L/C Obligations in an amount at least equal to the aggregate amount of the unreallocated portion of such L/C Obligations, or (B) make other arrangements satisfactory to the Agent and each Issuing Bank, as the case may be, in their sole discretion to protect them against the risk of non-payment by such Defaulting Lender; and</w:t>
      </w:r>
    </w:p>
    <w:p>
      <w:pPr>
        <w:spacing w:after="0" w:line="218" w:lineRule="exact"/>
        <w:rPr>
          <w:rFonts w:ascii="Arial" w:cs="Arial" w:eastAsia="Arial" w:hAnsi="Arial"/>
          <w:sz w:val="18"/>
          <w:szCs w:val="18"/>
          <w:color w:val="auto"/>
        </w:rPr>
      </w:pPr>
    </w:p>
    <w:p>
      <w:pPr>
        <w:jc w:val="both"/>
        <w:ind w:left="660" w:firstLine="638"/>
        <w:spacing w:after="0" w:line="283" w:lineRule="auto"/>
        <w:tabs>
          <w:tab w:leader="none" w:pos="1638"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any amount paid by the Borrower or otherwise received by the Agent for the account of a Defaulting Lender under this Agreement (whether on account of principal, interest, fees, indemnity payments or other amounts) will not be paid or distributed to such Defaulting Lender, but will instead be retained by the Agent in a segregated non-interest bearing account until (subject to Section 2.20(d)) the termination of the Revolving Credit Commitments and payment in full of all obligations of the Borrower hereunder and will be applied by the Agent, to the fullest extent permitted by law, to the making of payments from time to time in the following order of priority: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Agent under this Agreement,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of any amounts owing by such Defaulting Lender to an Issuing Bank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as to the respective amounts owing to each of them) under this Agreement,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the payment of post-default interest and then current interest due and payable to the Lenders hereunder other than Defaulting Lenders, ratably among them in accordance with the amounts of such interest then due and payable to them,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Event of Default exists), to the funding of any Advance in respect of which such Defaulting Lender has failed to fund its portion thereof as required by this Agreement, as determined by the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payment of fees then due and payable to the Non-Defaulting Lenders hereunder, ratably among them in accordance with the amounts of such fees then due and payable to them,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pay principal then due and payable to the Non-Defaulting Lenders hereunder ratably in accordance with the amounts thereof then due and payable to them,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ratable payment of other amounts then due and payable to the Non-Defaulting Lenders,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fund the Cash Collateralization requirements specified in clause (ii) above, </w:t>
      </w:r>
      <w:r>
        <w:rPr>
          <w:rFonts w:ascii="Arial" w:cs="Arial" w:eastAsia="Arial" w:hAnsi="Arial"/>
          <w:sz w:val="16"/>
          <w:szCs w:val="16"/>
          <w:u w:val="single" w:color="auto"/>
          <w:color w:val="auto"/>
        </w:rPr>
        <w:t>ninth</w:t>
      </w:r>
      <w:r>
        <w:rPr>
          <w:rFonts w:ascii="Arial" w:cs="Arial" w:eastAsia="Arial" w:hAnsi="Arial"/>
          <w:sz w:val="16"/>
          <w:szCs w:val="16"/>
          <w:color w:val="auto"/>
        </w:rPr>
        <w:t xml:space="preserve">, so long as no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tenth</w:t>
      </w:r>
      <w:r>
        <w:rPr>
          <w:rFonts w:ascii="Arial" w:cs="Arial" w:eastAsia="Arial" w:hAnsi="Arial"/>
          <w:sz w:val="16"/>
          <w:szCs w:val="16"/>
          <w:color w:val="auto"/>
        </w:rPr>
        <w:t xml:space="preserve"> after the termination of the Revolving Credit Commitments and payment in full of all obligations of the Borrower hereunder, to pay amounts owing under this Agreement to such Defaulting Lender or as a court of competent jurisdiction may otherwise direct. Any payments, prepayments or other amounts paid or payable to a Defaulting Lender that are applied (or held) to pay amounts owed by a Defaulting Lender or to post cash collateral pursuant to this Section 2.20 shall be deemed paid to and redirected by such Defaulting Lender, and each Lender irrevocably consents hereto.</w:t>
      </w:r>
    </w:p>
    <w:p>
      <w:pPr>
        <w:spacing w:after="0" w:line="205" w:lineRule="exact"/>
        <w:rPr>
          <w:sz w:val="20"/>
          <w:szCs w:val="20"/>
          <w:color w:val="auto"/>
        </w:rPr>
      </w:pPr>
    </w:p>
    <w:p>
      <w:pPr>
        <w:jc w:val="both"/>
        <w:ind w:left="660" w:firstLine="645"/>
        <w:spacing w:after="0" w:line="274" w:lineRule="auto"/>
        <w:rPr>
          <w:sz w:val="20"/>
          <w:szCs w:val="20"/>
          <w:color w:val="auto"/>
        </w:rPr>
      </w:pPr>
      <w:r>
        <w:rPr>
          <w:rFonts w:ascii="Arial" w:cs="Arial" w:eastAsia="Arial" w:hAnsi="Arial"/>
          <w:sz w:val="17"/>
          <w:szCs w:val="17"/>
          <w:color w:val="auto"/>
        </w:rPr>
        <w:t>In furtherance of the foregoing, if any Lender becomes, and during the period it remains, a Defaulting Lender, each Issuing Bank is hereby authorized by the Borrower (which authorization is irrevocable and coupled with an interest) to give, in its discretion, through the Agent, Notices of Borrowing pursuant to Section 3.02 in such amounts and in such times as may be required to (i) reimburse an outstanding drawing under a Letter of Credit or (ii) Cash Collateralize the obligations of the Borrower in respect of outstanding Letters of Credit in an amount at least equal to the aggregate amount of the obligations (contingent or otherwise) of such Defaulting Lender in respect of such Letter of Credit.</w:t>
      </w:r>
    </w:p>
    <w:p>
      <w:pPr>
        <w:spacing w:after="0" w:line="202" w:lineRule="exact"/>
        <w:rPr>
          <w:sz w:val="20"/>
          <w:szCs w:val="20"/>
          <w:color w:val="auto"/>
        </w:rPr>
      </w:pPr>
    </w:p>
    <w:p>
      <w:pPr>
        <w:jc w:val="both"/>
        <w:ind w:firstLine="1298"/>
        <w:spacing w:after="0" w:line="258" w:lineRule="auto"/>
        <w:tabs>
          <w:tab w:leader="none" w:pos="22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Commitment of any Lender shall be increased or otherwise affected, and, except as otherwise expressly provided in this Section 2.20, performance by the Borrower of its obligations shall not be excused or otherwise modified as a result of the operation of this Section 2.20. The rights and remedies against a Defaulting Lender under this Section 2.20 are in addition to any other rights and remedies which the Borrower, the Agent, any Issuing Bank or any Lender may have against such Defaulting Lender.</w:t>
      </w:r>
    </w:p>
    <w:p>
      <w:pPr>
        <w:spacing w:after="0" w:line="212" w:lineRule="exact"/>
        <w:rPr>
          <w:rFonts w:ascii="Arial" w:cs="Arial" w:eastAsia="Arial" w:hAnsi="Arial"/>
          <w:sz w:val="18"/>
          <w:szCs w:val="18"/>
          <w:color w:val="auto"/>
        </w:rPr>
      </w:pPr>
    </w:p>
    <w:p>
      <w:pPr>
        <w:jc w:val="both"/>
        <w:ind w:firstLine="1298"/>
        <w:spacing w:after="0" w:line="252" w:lineRule="auto"/>
        <w:tabs>
          <w:tab w:leader="none" w:pos="212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If the Borrower and the Agent agree in writing in their reasonable determination that a Defaulting Lender should no longer be deemed to be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Agent may determine to be necessary to cause the Advances to be funded and held on a pro rata basis by the Lenders in accordance with their Revolving Credit Commitments,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222"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2.21. </w:t>
      </w:r>
      <w:r>
        <w:rPr>
          <w:rFonts w:ascii="Arial" w:cs="Arial" w:eastAsia="Arial" w:hAnsi="Arial"/>
          <w:sz w:val="17"/>
          <w:szCs w:val="17"/>
          <w:u w:val="single" w:color="auto"/>
          <w:color w:val="auto"/>
        </w:rPr>
        <w:t>Replacement of Lenders</w:t>
      </w:r>
      <w:r>
        <w:rPr>
          <w:rFonts w:ascii="Arial" w:cs="Arial" w:eastAsia="Arial" w:hAnsi="Arial"/>
          <w:sz w:val="17"/>
          <w:szCs w:val="17"/>
          <w:color w:val="auto"/>
        </w:rPr>
        <w:t xml:space="preserve">. If any Lender requests compensation under Section 2.12, or if the Borrower is required to pay additional amounts to any Lender or any governmental authority for the account of any Lender pursuant to Section 2.15 and, in each case, such Lender has declined or is unable to designate a different Applicable Lending Office in accordance with Section 2.12(a) or 2.15(g), or if any Lender is a Defaulting Lender or a Non-Approving Lender, then the Borrower may, at its sole expense and effort and so long as no Default is continuing, upon notice to such Lender and the Agent, require such Lender to assign and delegate, without recourse (in accordance with and subject to the restrictions contained in, and consents required by, Section 8.07), all of its interests, rights and obligations under this Agreement to an Eligible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03" w:lineRule="exact"/>
        <w:rPr>
          <w:sz w:val="20"/>
          <w:szCs w:val="20"/>
          <w:color w:val="auto"/>
        </w:rPr>
      </w:pPr>
    </w:p>
    <w:p>
      <w:pPr>
        <w:ind w:left="1980" w:hanging="682"/>
        <w:spacing w:after="0"/>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Borrower shall have paid to the Agent the assignment fee (if any) specified in Section 8.07;</w:t>
      </w:r>
    </w:p>
    <w:p>
      <w:pPr>
        <w:spacing w:after="0" w:line="250" w:lineRule="exact"/>
        <w:rPr>
          <w:rFonts w:ascii="Arial" w:cs="Arial" w:eastAsia="Arial" w:hAnsi="Arial"/>
          <w:sz w:val="18"/>
          <w:szCs w:val="18"/>
          <w:color w:val="auto"/>
        </w:rPr>
      </w:pPr>
    </w:p>
    <w:p>
      <w:pPr>
        <w:jc w:val="both"/>
        <w:ind w:firstLine="1298"/>
        <w:spacing w:after="0" w:line="262" w:lineRule="auto"/>
        <w:tabs>
          <w:tab w:leader="none" w:pos="1997"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Advances, accrued interest thereon, accrued fees and all other amounts payable to it hereunder (including any amounts under Section 8.04(e)) from the assignee (to the extent of such outstanding principal and accrued interest and fees) or the Borrower (in the case of all other amounts);</w:t>
      </w:r>
    </w:p>
    <w:p>
      <w:pPr>
        <w:spacing w:after="0" w:line="209" w:lineRule="exact"/>
        <w:rPr>
          <w:rFonts w:ascii="Arial" w:cs="Arial" w:eastAsia="Arial" w:hAnsi="Arial"/>
          <w:sz w:val="18"/>
          <w:szCs w:val="18"/>
          <w:color w:val="auto"/>
        </w:rPr>
      </w:pPr>
    </w:p>
    <w:p>
      <w:pPr>
        <w:ind w:firstLine="1298"/>
        <w:spacing w:after="0" w:line="275" w:lineRule="auto"/>
        <w:tabs>
          <w:tab w:leader="none" w:pos="206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claim for compensation under Section 2.12 or payments required to be made pursuant to Section 2.15, such assignment will result in a reduction in such compensation or payments thereafter;</w:t>
      </w:r>
    </w:p>
    <w:p>
      <w:pPr>
        <w:spacing w:after="0" w:line="197" w:lineRule="exact"/>
        <w:rPr>
          <w:rFonts w:ascii="Arial" w:cs="Arial" w:eastAsia="Arial" w:hAnsi="Arial"/>
          <w:sz w:val="18"/>
          <w:szCs w:val="18"/>
          <w:color w:val="auto"/>
        </w:rPr>
      </w:pPr>
    </w:p>
    <w:p>
      <w:pPr>
        <w:ind w:left="2000" w:hanging="702"/>
        <w:spacing w:after="0"/>
        <w:tabs>
          <w:tab w:leader="none" w:pos="2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 and</w:t>
      </w:r>
    </w:p>
    <w:p>
      <w:pPr>
        <w:spacing w:after="0" w:line="250" w:lineRule="exact"/>
        <w:rPr>
          <w:rFonts w:ascii="Arial" w:cs="Arial" w:eastAsia="Arial" w:hAnsi="Arial"/>
          <w:sz w:val="18"/>
          <w:szCs w:val="18"/>
          <w:color w:val="auto"/>
        </w:rPr>
      </w:pPr>
    </w:p>
    <w:p>
      <w:pPr>
        <w:ind w:right="20" w:firstLine="1298"/>
        <w:spacing w:after="0" w:line="275" w:lineRule="auto"/>
        <w:tabs>
          <w:tab w:leader="none" w:pos="21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any assignment resulting from a Lender becoming a Non-Approving Lender, the applicable assignee shall have consented to the applicable amendment, waiver or consent.</w:t>
      </w:r>
    </w:p>
    <w:p>
      <w:pPr>
        <w:sectPr>
          <w:pgSz w:w="11900" w:h="16838" w:orient="portrait"/>
          <w:cols w:equalWidth="0" w:num="1">
            <w:col w:w="11420"/>
          </w:cols>
          <w:pgMar w:left="240" w:top="125" w:right="239" w:bottom="0" w:gutter="0" w:footer="0" w:header="0"/>
        </w:sectPr>
      </w:pPr>
    </w:p>
    <w:bookmarkStart w:id="53" w:name="page54"/>
    <w:bookmarkEnd w:id="53"/>
    <w:p>
      <w:pPr>
        <w:ind w:firstLine="1290"/>
        <w:spacing w:after="0" w:line="275"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Extension of Termination Date</w:t>
      </w:r>
      <w:r>
        <w:rPr>
          <w:rFonts w:ascii="Arial" w:cs="Arial" w:eastAsia="Arial" w:hAnsi="Arial"/>
          <w:sz w:val="18"/>
          <w:szCs w:val="18"/>
          <w:color w:val="auto"/>
        </w:rPr>
        <w:t>.</w:t>
      </w:r>
    </w:p>
    <w:p>
      <w:pPr>
        <w:spacing w:after="0" w:line="250" w:lineRule="exact"/>
        <w:rPr>
          <w:sz w:val="20"/>
          <w:szCs w:val="20"/>
          <w:color w:val="auto"/>
        </w:rPr>
      </w:pPr>
    </w:p>
    <w:p>
      <w:pPr>
        <w:jc w:val="both"/>
        <w:ind w:right="20" w:firstLine="1298"/>
        <w:spacing w:after="0" w:line="285" w:lineRule="auto"/>
        <w:tabs>
          <w:tab w:leader="none" w:pos="2089"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Requests for Extension</w:t>
      </w:r>
      <w:r>
        <w:rPr>
          <w:rFonts w:ascii="Arial" w:cs="Arial" w:eastAsia="Arial" w:hAnsi="Arial"/>
          <w:sz w:val="17"/>
          <w:szCs w:val="17"/>
          <w:color w:val="auto"/>
        </w:rPr>
        <w:t>. The Borrower may, by notice to the Agent (who shall promptly notify the Lenders) not earlier than 60 days and not later than 30 days prior to any anniversary of the Effective Date (the “</w:t>
      </w:r>
      <w:r>
        <w:rPr>
          <w:rFonts w:ascii="Arial" w:cs="Arial" w:eastAsia="Arial" w:hAnsi="Arial"/>
          <w:sz w:val="17"/>
          <w:szCs w:val="17"/>
          <w:u w:val="single" w:color="auto"/>
          <w:color w:val="auto"/>
        </w:rPr>
        <w:t>Anniversary Date</w:t>
      </w:r>
      <w:r>
        <w:rPr>
          <w:rFonts w:ascii="Arial" w:cs="Arial" w:eastAsia="Arial" w:hAnsi="Arial"/>
          <w:sz w:val="17"/>
          <w:szCs w:val="17"/>
          <w:color w:val="auto"/>
        </w:rPr>
        <w:t>”), but not more than twice, request that each Lender extend such Lender’s Termination Date for an additional one year from the Termination Date then in effect with respect to such Lender.</w:t>
      </w:r>
    </w:p>
    <w:p>
      <w:pPr>
        <w:spacing w:after="0" w:line="190" w:lineRule="exact"/>
        <w:rPr>
          <w:rFonts w:ascii="Arial" w:cs="Arial" w:eastAsia="Arial" w:hAnsi="Arial"/>
          <w:sz w:val="17"/>
          <w:szCs w:val="17"/>
          <w:color w:val="auto"/>
        </w:rPr>
      </w:pPr>
    </w:p>
    <w:p>
      <w:pPr>
        <w:jc w:val="both"/>
        <w:ind w:firstLine="1298"/>
        <w:spacing w:after="0" w:line="295" w:lineRule="auto"/>
        <w:tabs>
          <w:tab w:leader="none" w:pos="203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Lender Elections to Extend</w:t>
      </w:r>
      <w:r>
        <w:rPr>
          <w:rFonts w:ascii="Arial" w:cs="Arial" w:eastAsia="Arial" w:hAnsi="Arial"/>
          <w:sz w:val="16"/>
          <w:szCs w:val="16"/>
          <w:color w:val="auto"/>
        </w:rPr>
        <w:t>. Each Lender, acting in its sole and individual discretion, shall, by notice to the Agent given not later than the date (the “</w:t>
      </w:r>
      <w:r>
        <w:rPr>
          <w:rFonts w:ascii="Arial" w:cs="Arial" w:eastAsia="Arial" w:hAnsi="Arial"/>
          <w:sz w:val="16"/>
          <w:szCs w:val="16"/>
          <w:u w:val="single" w:color="auto"/>
          <w:color w:val="auto"/>
        </w:rPr>
        <w:t>Notice Date</w:t>
      </w:r>
      <w:r>
        <w:rPr>
          <w:rFonts w:ascii="Arial" w:cs="Arial" w:eastAsia="Arial" w:hAnsi="Arial"/>
          <w:sz w:val="16"/>
          <w:szCs w:val="16"/>
          <w:color w:val="auto"/>
        </w:rPr>
        <w:t>”) that is 15 days prior to such Anniversary Date, advise the Agent whether or not such Lender agrees to such extension (and each Lender that determines not to so extend its Termination Date (a “</w:t>
      </w:r>
      <w:r>
        <w:rPr>
          <w:rFonts w:ascii="Arial" w:cs="Arial" w:eastAsia="Arial" w:hAnsi="Arial"/>
          <w:sz w:val="16"/>
          <w:szCs w:val="16"/>
          <w:u w:val="single" w:color="auto"/>
          <w:color w:val="auto"/>
        </w:rPr>
        <w:t>Non Extending Lender</w:t>
      </w:r>
      <w:r>
        <w:rPr>
          <w:rFonts w:ascii="Arial" w:cs="Arial" w:eastAsia="Arial" w:hAnsi="Arial"/>
          <w:sz w:val="16"/>
          <w:szCs w:val="16"/>
          <w:color w:val="auto"/>
        </w:rPr>
        <w:t>”) shall notify the Agent of such fact promptly after such determination (but in any event no later than the Notice Date) and any Lender that does not so advise the Agent on or before the Notice Date shall be deemed to be a Non Extending Lender). The election of any Lender to agree to such extension shall not obligate any other Lender to so agree.</w:t>
      </w:r>
    </w:p>
    <w:p>
      <w:pPr>
        <w:spacing w:after="0" w:line="186" w:lineRule="exact"/>
        <w:rPr>
          <w:rFonts w:ascii="Arial" w:cs="Arial" w:eastAsia="Arial" w:hAnsi="Arial"/>
          <w:sz w:val="16"/>
          <w:szCs w:val="16"/>
          <w:color w:val="auto"/>
        </w:rPr>
      </w:pPr>
    </w:p>
    <w:p>
      <w:pPr>
        <w:ind w:firstLine="1298"/>
        <w:spacing w:after="0" w:line="275" w:lineRule="auto"/>
        <w:tabs>
          <w:tab w:leader="none" w:pos="207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Notification by Agent</w:t>
      </w:r>
      <w:r>
        <w:rPr>
          <w:rFonts w:ascii="Arial" w:cs="Arial" w:eastAsia="Arial" w:hAnsi="Arial"/>
          <w:sz w:val="18"/>
          <w:szCs w:val="18"/>
          <w:color w:val="auto"/>
        </w:rPr>
        <w:t>. The Agent shall notify the Borrower of each Lender’s determination under this Section no later than the date 10 days prior to the applicable Anniversary Date (or, if such date is not a Business Day, on the next preceding Business Day).</w:t>
      </w:r>
    </w:p>
    <w:p>
      <w:pPr>
        <w:spacing w:after="0" w:line="197" w:lineRule="exact"/>
        <w:rPr>
          <w:rFonts w:ascii="Arial" w:cs="Arial" w:eastAsia="Arial" w:hAnsi="Arial"/>
          <w:sz w:val="18"/>
          <w:szCs w:val="18"/>
          <w:color w:val="auto"/>
        </w:rPr>
      </w:pPr>
    </w:p>
    <w:p>
      <w:pPr>
        <w:jc w:val="both"/>
        <w:ind w:firstLine="1298"/>
        <w:spacing w:after="0" w:line="254" w:lineRule="auto"/>
        <w:tabs>
          <w:tab w:leader="none" w:pos="207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Additional Revolving Commitment Lenders</w:t>
      </w:r>
      <w:r>
        <w:rPr>
          <w:rFonts w:ascii="Arial" w:cs="Arial" w:eastAsia="Arial" w:hAnsi="Arial"/>
          <w:sz w:val="18"/>
          <w:szCs w:val="18"/>
          <w:color w:val="auto"/>
        </w:rPr>
        <w:t>. The Borrower shall have the right on or before the applicable Anniversary Date to replace each Non Extending Lender with, and add as “Lenders” under this Agreement in place thereof, one or more Eligible Assignees (as an Assuming Lender) with the approval of the Agent and each Issuing Bank (which approval shall not be unreasonably delayed or withheld), each of which Assuming Lenders shall have entered into an Assumption Agreement pursuant to which such Assuming Lender shall, effective as of the applicable Anniversary Date, undertake a Revolving Commitment (and, if any such Assuming Lender is already a Lender, its Revolving Commitment shall be in addition to such Lender’s Revolving Commitment hereunder on such date).</w:t>
      </w:r>
    </w:p>
    <w:p>
      <w:pPr>
        <w:spacing w:after="0" w:line="218" w:lineRule="exact"/>
        <w:rPr>
          <w:rFonts w:ascii="Arial" w:cs="Arial" w:eastAsia="Arial" w:hAnsi="Arial"/>
          <w:sz w:val="18"/>
          <w:szCs w:val="18"/>
          <w:color w:val="auto"/>
        </w:rPr>
      </w:pPr>
    </w:p>
    <w:p>
      <w:pPr>
        <w:jc w:val="both"/>
        <w:ind w:firstLine="1298"/>
        <w:spacing w:after="0" w:line="254" w:lineRule="auto"/>
        <w:tabs>
          <w:tab w:leader="none" w:pos="203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Minimum Extension Requirement</w:t>
      </w:r>
      <w:r>
        <w:rPr>
          <w:rFonts w:ascii="Arial" w:cs="Arial" w:eastAsia="Arial" w:hAnsi="Arial"/>
          <w:sz w:val="18"/>
          <w:szCs w:val="18"/>
          <w:color w:val="auto"/>
        </w:rPr>
        <w:t>. If (and only if) the total of the Revolving Commitments of the Lenders that have agreed so to extend their Termination Date and the additional Revolving Commitments of the Assuming Lenders shall be more than 50% of the aggregate amount of the Revolving Commitments in effect immediately prior to the applicable Anniversary Date, then, effective as of such Anniversary Date, the Termination Date of each Extending Lender and of each Assuming Lender shall be extended to the date falling one year after the Termination Date in effect for such Lenders (except that, if such date is not a Business Day, such Termination Date as so extended shall be the next preceding Business Day) and each Assuming Lender shall thereupon become a “Lender” for all purposes of this Agreement.</w:t>
      </w:r>
    </w:p>
    <w:p>
      <w:pPr>
        <w:spacing w:after="0" w:line="218" w:lineRule="exact"/>
        <w:rPr>
          <w:rFonts w:ascii="Arial" w:cs="Arial" w:eastAsia="Arial" w:hAnsi="Arial"/>
          <w:sz w:val="18"/>
          <w:szCs w:val="18"/>
          <w:color w:val="auto"/>
        </w:rPr>
      </w:pPr>
    </w:p>
    <w:p>
      <w:pPr>
        <w:ind w:firstLine="1298"/>
        <w:spacing w:after="0" w:line="275" w:lineRule="auto"/>
        <w:tabs>
          <w:tab w:leader="none" w:pos="201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Extensions</w:t>
      </w:r>
      <w:r>
        <w:rPr>
          <w:rFonts w:ascii="Arial" w:cs="Arial" w:eastAsia="Arial" w:hAnsi="Arial"/>
          <w:sz w:val="18"/>
          <w:szCs w:val="18"/>
          <w:color w:val="auto"/>
        </w:rPr>
        <w:t>. Notwithstanding the foregoing, the extension of the Termination Date pursuant to this Section shall not be effective with respect to any Lender unless on the Notice Date and on the Anniversary Date:</w:t>
      </w:r>
    </w:p>
    <w:p>
      <w:pPr>
        <w:spacing w:after="0" w:line="198" w:lineRule="exact"/>
        <w:rPr>
          <w:sz w:val="20"/>
          <w:szCs w:val="20"/>
          <w:color w:val="auto"/>
        </w:rPr>
      </w:pPr>
    </w:p>
    <w:p>
      <w:pPr>
        <w:ind w:left="2000" w:hanging="702"/>
        <w:spacing w:after="0"/>
        <w:tabs>
          <w:tab w:leader="none" w:pos="2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such date and after giving effect to such extension; and</w:t>
      </w:r>
    </w:p>
    <w:p>
      <w:pPr>
        <w:spacing w:after="0" w:line="250" w:lineRule="exact"/>
        <w:rPr>
          <w:rFonts w:ascii="Arial" w:cs="Arial" w:eastAsia="Arial" w:hAnsi="Arial"/>
          <w:sz w:val="18"/>
          <w:szCs w:val="18"/>
          <w:color w:val="auto"/>
        </w:rPr>
      </w:pPr>
    </w:p>
    <w:p>
      <w:pPr>
        <w:ind w:left="660" w:firstLine="638"/>
        <w:spacing w:after="0" w:line="275" w:lineRule="auto"/>
        <w:tabs>
          <w:tab w:leader="none" w:pos="20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are true and correct on and as of such date of such extension and after giving effect to such extension, as though made on and as of such date.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EFFECTIVENESS AND LENDING</w:t>
      </w:r>
    </w:p>
    <w:p>
      <w:pPr>
        <w:spacing w:after="0" w:line="250" w:lineRule="exact"/>
        <w:rPr>
          <w:sz w:val="20"/>
          <w:szCs w:val="20"/>
          <w:color w:val="auto"/>
        </w:rPr>
      </w:pPr>
    </w:p>
    <w:p>
      <w:pPr>
        <w:ind w:firstLine="1290"/>
        <w:spacing w:after="0" w:line="306"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Conditions Precedent to Amendment and Restatement</w:t>
      </w:r>
      <w:r>
        <w:rPr>
          <w:rFonts w:ascii="Arial" w:cs="Arial" w:eastAsia="Arial" w:hAnsi="Arial"/>
          <w:sz w:val="17"/>
          <w:szCs w:val="17"/>
          <w:color w:val="auto"/>
        </w:rPr>
        <w:t>. This amendment and restatement of the Existing Credit Agreement shall become effective on and as of the first date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on which the following conditions precedent have been satisfied:</w:t>
      </w:r>
    </w:p>
    <w:p>
      <w:pPr>
        <w:spacing w:after="0" w:line="174" w:lineRule="exact"/>
        <w:rPr>
          <w:sz w:val="20"/>
          <w:szCs w:val="20"/>
          <w:color w:val="auto"/>
        </w:rPr>
      </w:pPr>
    </w:p>
    <w:p>
      <w:pPr>
        <w:ind w:left="1980" w:hanging="682"/>
        <w:spacing w:after="0"/>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shall have occurred no Material Adverse Change since December 31, 2012.</w:t>
      </w:r>
    </w:p>
    <w:p>
      <w:pPr>
        <w:spacing w:after="0" w:line="250" w:lineRule="exact"/>
        <w:rPr>
          <w:rFonts w:ascii="Arial" w:cs="Arial" w:eastAsia="Arial" w:hAnsi="Arial"/>
          <w:sz w:val="18"/>
          <w:szCs w:val="18"/>
          <w:color w:val="auto"/>
        </w:rPr>
      </w:pPr>
    </w:p>
    <w:p>
      <w:pPr>
        <w:jc w:val="both"/>
        <w:ind w:left="660" w:firstLine="638"/>
        <w:spacing w:after="0" w:line="258" w:lineRule="auto"/>
        <w:tabs>
          <w:tab w:leader="none" w:pos="20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shall exist no action, suit, investigation, litigation or proceeding affecting the Borrower or any of its Subsidiaries pending or, to the knowledge of the Borrower, threatened before any court, governmental agency or arbitrator that (i) is reasonably likely to have a Material Adverse Effect or (ii) purports to affect the legality, validity or enforceability of this Agreement or any Note or the consummation of the transactions contemplated hereby.</w:t>
      </w:r>
    </w:p>
    <w:p>
      <w:pPr>
        <w:spacing w:after="0" w:line="212" w:lineRule="exact"/>
        <w:rPr>
          <w:rFonts w:ascii="Arial" w:cs="Arial" w:eastAsia="Arial" w:hAnsi="Arial"/>
          <w:sz w:val="18"/>
          <w:szCs w:val="18"/>
          <w:color w:val="auto"/>
        </w:rPr>
      </w:pPr>
    </w:p>
    <w:p>
      <w:pPr>
        <w:jc w:val="both"/>
        <w:ind w:left="660" w:firstLine="638"/>
        <w:spacing w:after="0" w:line="258" w:lineRule="auto"/>
        <w:tabs>
          <w:tab w:leader="none" w:pos="20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Nothing shall have come to the attention of the Lender Parties during the course of their due diligence investigation to lead them to believe that the Information Memorandum was or has become misleading, incorrect or incomplete in any material respect; without limiting the generality of the foregoing, the Lender Parties shall have been given such access to the management, records, books of account, contracts and properties of the Borrower and its Subsidiaries as they shall have requested.</w:t>
      </w:r>
    </w:p>
    <w:p>
      <w:pPr>
        <w:spacing w:after="0" w:line="212" w:lineRule="exact"/>
        <w:rPr>
          <w:rFonts w:ascii="Arial" w:cs="Arial" w:eastAsia="Arial" w:hAnsi="Arial"/>
          <w:sz w:val="18"/>
          <w:szCs w:val="18"/>
          <w:color w:val="auto"/>
        </w:rPr>
      </w:pPr>
    </w:p>
    <w:p>
      <w:pPr>
        <w:jc w:val="both"/>
        <w:ind w:left="660" w:firstLine="638"/>
        <w:spacing w:after="0" w:line="258" w:lineRule="auto"/>
        <w:tabs>
          <w:tab w:leader="none" w:pos="205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governmental and third party consents and approvals necessary in connection with the transactions contemplated hereby shall have been obtained (without the imposition of any conditions that are not acceptable to the Lender Parties) and shall remain in effect, and no law or regulation shall be applicable in the reasonable judgment of the Lender Parties that restrains, prevents or imposes materially adverse conditions upon the transactions contemplated hereby.</w:t>
      </w:r>
    </w:p>
    <w:p>
      <w:pPr>
        <w:spacing w:after="0" w:line="212" w:lineRule="exact"/>
        <w:rPr>
          <w:rFonts w:ascii="Arial" w:cs="Arial" w:eastAsia="Arial" w:hAnsi="Arial"/>
          <w:sz w:val="18"/>
          <w:szCs w:val="18"/>
          <w:color w:val="auto"/>
        </w:rPr>
      </w:pPr>
    </w:p>
    <w:p>
      <w:pPr>
        <w:ind w:left="1980" w:hanging="682"/>
        <w:spacing w:after="0"/>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Borrower shall have notified the Agent in writing as to the proposed Effective Date.</w:t>
      </w:r>
    </w:p>
    <w:p>
      <w:pPr>
        <w:spacing w:after="0" w:line="250" w:lineRule="exact"/>
        <w:rPr>
          <w:rFonts w:ascii="Arial" w:cs="Arial" w:eastAsia="Arial" w:hAnsi="Arial"/>
          <w:sz w:val="18"/>
          <w:szCs w:val="18"/>
          <w:color w:val="auto"/>
        </w:rPr>
      </w:pPr>
    </w:p>
    <w:p>
      <w:pPr>
        <w:jc w:val="both"/>
        <w:ind w:left="660" w:right="20" w:firstLine="638"/>
        <w:spacing w:after="0" w:line="262" w:lineRule="auto"/>
        <w:tabs>
          <w:tab w:leader="none" w:pos="19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Borrower shall have paid all accrued fees and expenses of the Agent and the Lenders (including the accrued fees and expenses of counsel to the Agent to the extent invoiced reasonably in advance of the Effective Date, and accrued facility fees under Section 2.04(a) of the Existing Credit Agreement).</w:t>
      </w:r>
    </w:p>
    <w:p>
      <w:pPr>
        <w:spacing w:after="0" w:line="209" w:lineRule="exact"/>
        <w:rPr>
          <w:rFonts w:ascii="Arial" w:cs="Arial" w:eastAsia="Arial" w:hAnsi="Arial"/>
          <w:sz w:val="18"/>
          <w:szCs w:val="18"/>
          <w:color w:val="auto"/>
        </w:rPr>
      </w:pPr>
    </w:p>
    <w:p>
      <w:pPr>
        <w:ind w:left="660" w:firstLine="638"/>
        <w:spacing w:after="0" w:line="275" w:lineRule="auto"/>
        <w:tabs>
          <w:tab w:leader="none" w:pos="21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Agent shall have received for the account of each Lender Party a certificate signed by a duly authorized officer of the Borrower, dated the Effective Date, stating that:</w:t>
      </w:r>
    </w:p>
    <w:p>
      <w:pPr>
        <w:spacing w:after="0" w:line="197" w:lineRule="exact"/>
        <w:rPr>
          <w:rFonts w:ascii="Arial" w:cs="Arial" w:eastAsia="Arial" w:hAnsi="Arial"/>
          <w:sz w:val="18"/>
          <w:szCs w:val="18"/>
          <w:color w:val="auto"/>
        </w:rPr>
      </w:pPr>
    </w:p>
    <w:p>
      <w:pPr>
        <w:ind w:left="2600" w:hanging="657"/>
        <w:spacing w:after="0"/>
        <w:tabs>
          <w:tab w:leader="none" w:pos="2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correct on and as of the Effective Date, and</w:t>
      </w:r>
    </w:p>
    <w:p>
      <w:pPr>
        <w:sectPr>
          <w:pgSz w:w="11900" w:h="16838" w:orient="portrait"/>
          <w:cols w:equalWidth="0" w:num="1">
            <w:col w:w="11420"/>
          </w:cols>
          <w:pgMar w:left="240" w:top="125" w:right="239" w:bottom="0" w:gutter="0" w:footer="0" w:header="0"/>
        </w:sectPr>
      </w:pPr>
    </w:p>
    <w:bookmarkStart w:id="54" w:name="page55"/>
    <w:bookmarkEnd w:id="54"/>
    <w:p>
      <w:pPr>
        <w:spacing w:after="0" w:line="59" w:lineRule="exact"/>
        <w:rPr>
          <w:sz w:val="20"/>
          <w:szCs w:val="20"/>
          <w:color w:val="auto"/>
        </w:rPr>
      </w:pPr>
    </w:p>
    <w:p>
      <w:pPr>
        <w:ind w:left="2660" w:hanging="717"/>
        <w:spacing w:after="0"/>
        <w:tabs>
          <w:tab w:leader="none" w:pos="2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250" w:lineRule="exact"/>
        <w:rPr>
          <w:rFonts w:ascii="Arial" w:cs="Arial" w:eastAsia="Arial" w:hAnsi="Arial"/>
          <w:sz w:val="18"/>
          <w:szCs w:val="18"/>
          <w:color w:val="auto"/>
        </w:rPr>
      </w:pPr>
    </w:p>
    <w:p>
      <w:pPr>
        <w:ind w:left="660" w:right="20" w:firstLine="638"/>
        <w:spacing w:after="0" w:line="275" w:lineRule="auto"/>
        <w:tabs>
          <w:tab w:leader="none" w:pos="2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Agent shall have received on or before the Effective Date the following, each dated such day, in form and substance satisfactory to the Agent and (except for the Notes) in sufficient copies for each Lender:</w:t>
      </w:r>
    </w:p>
    <w:p>
      <w:pPr>
        <w:spacing w:after="0" w:line="197" w:lineRule="exact"/>
        <w:rPr>
          <w:rFonts w:ascii="Arial" w:cs="Arial" w:eastAsia="Arial" w:hAnsi="Arial"/>
          <w:sz w:val="18"/>
          <w:szCs w:val="18"/>
          <w:color w:val="auto"/>
        </w:rPr>
      </w:pPr>
    </w:p>
    <w:p>
      <w:pPr>
        <w:ind w:left="2600" w:hanging="657"/>
        <w:spacing w:after="0"/>
        <w:tabs>
          <w:tab w:leader="none" w:pos="26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Notes to the order of the Lenders to the extent requested by any Lender pursuant to Section 2.17.</w:t>
      </w:r>
    </w:p>
    <w:p>
      <w:pPr>
        <w:spacing w:after="0" w:line="250" w:lineRule="exact"/>
        <w:rPr>
          <w:sz w:val="20"/>
          <w:szCs w:val="20"/>
          <w:color w:val="auto"/>
        </w:rPr>
      </w:pPr>
    </w:p>
    <w:p>
      <w:pPr>
        <w:jc w:val="both"/>
        <w:ind w:left="1300" w:firstLine="643"/>
        <w:spacing w:after="0" w:line="262" w:lineRule="auto"/>
        <w:tabs>
          <w:tab w:leader="none" w:pos="26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pacing w:after="0" w:line="209" w:lineRule="exact"/>
        <w:rPr>
          <w:rFonts w:ascii="Arial" w:cs="Arial" w:eastAsia="Arial" w:hAnsi="Arial"/>
          <w:sz w:val="18"/>
          <w:szCs w:val="18"/>
          <w:color w:val="auto"/>
        </w:rPr>
      </w:pPr>
    </w:p>
    <w:p>
      <w:pPr>
        <w:ind w:left="1300" w:firstLine="643"/>
        <w:spacing w:after="0" w:line="306" w:lineRule="auto"/>
        <w:tabs>
          <w:tab w:leader="none" w:pos="27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173" w:lineRule="exact"/>
        <w:rPr>
          <w:rFonts w:ascii="Arial" w:cs="Arial" w:eastAsia="Arial" w:hAnsi="Arial"/>
          <w:sz w:val="17"/>
          <w:szCs w:val="17"/>
          <w:color w:val="auto"/>
        </w:rPr>
      </w:pPr>
    </w:p>
    <w:p>
      <w:pPr>
        <w:ind w:left="1300" w:firstLine="643"/>
        <w:spacing w:after="0" w:line="275" w:lineRule="auto"/>
        <w:tabs>
          <w:tab w:leader="none" w:pos="26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favorable opinion of Godfrey &amp; Kahn, S.C., counsel for the Borrower, substantially in the form of Exhibit E hereto and as to such other matters as any Lender Party through the Agent may reasonably request.</w:t>
      </w:r>
    </w:p>
    <w:p>
      <w:pPr>
        <w:spacing w:after="0" w:line="197" w:lineRule="exact"/>
        <w:rPr>
          <w:rFonts w:ascii="Arial" w:cs="Arial" w:eastAsia="Arial" w:hAnsi="Arial"/>
          <w:sz w:val="18"/>
          <w:szCs w:val="18"/>
          <w:color w:val="auto"/>
        </w:rPr>
      </w:pPr>
    </w:p>
    <w:p>
      <w:pPr>
        <w:ind w:left="2640" w:hanging="697"/>
        <w:spacing w:after="0"/>
        <w:tabs>
          <w:tab w:leader="none" w:pos="2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favorable opinion of Shearman &amp; Sterling LLP, counsel for the Agent, in form and substance satisfactory to the Agent.</w:t>
      </w:r>
    </w:p>
    <w:p>
      <w:pPr>
        <w:spacing w:after="0" w:line="273" w:lineRule="exact"/>
        <w:rPr>
          <w:sz w:val="20"/>
          <w:szCs w:val="20"/>
          <w:color w:val="auto"/>
        </w:rPr>
      </w:pPr>
    </w:p>
    <w:p>
      <w:pPr>
        <w:jc w:val="both"/>
        <w:ind w:firstLine="1290"/>
        <w:spacing w:after="0" w:line="29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Conditions Precedent to Each Borrowing, Each Issuance of Letters of Credit and Commitment Increase</w:t>
      </w:r>
      <w:r>
        <w:rPr>
          <w:rFonts w:ascii="Arial" w:cs="Arial" w:eastAsia="Arial" w:hAnsi="Arial"/>
          <w:sz w:val="16"/>
          <w:szCs w:val="16"/>
          <w:color w:val="auto"/>
        </w:rPr>
        <w:t>. The obligation of each Lender to make a Revolving Credit Advance on the occasion of each Borrowing, and the obligation of the Issuing Banks to issue a Letter of Credit and each Commitment Increase shall be subject to the conditions precedent that the Effective Date shall have occurred and on the date of such Borrowing, issuance of Letter of Credit or the applicable Increase Date (a) the following statements shall be true (and each of the giving of the applicable Notice of Borrowing, Notice of Issuance, request for Commitment Increase and the acceptance by the Borrower of the proceeds of such Borrowing shall constitute a representation and warranty by the Borrower that on the date of such Borrowing, such issuance of Letter of Credit or such Increase Date such statements are true):</w:t>
      </w:r>
    </w:p>
    <w:p>
      <w:pPr>
        <w:spacing w:after="0" w:line="189" w:lineRule="exact"/>
        <w:rPr>
          <w:sz w:val="20"/>
          <w:szCs w:val="20"/>
          <w:color w:val="auto"/>
        </w:rPr>
      </w:pPr>
    </w:p>
    <w:p>
      <w:pPr>
        <w:jc w:val="both"/>
        <w:ind w:left="660" w:firstLine="638"/>
        <w:spacing w:after="0" w:line="258" w:lineRule="auto"/>
        <w:tabs>
          <w:tab w:leader="none" w:pos="20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(except, in the case of Borrowings and issuance of Letters of Credit, the representations set forth in the last sentence of subsection (e) thereof and in subsection (f)(i) thereof) are correct on and as of such date, before and after giving effect to such Borrowing, such issuance of Letter of Credit or such Commitment Increase and to the application of the proceeds therefrom, as though made on and as of such date, and</w:t>
      </w:r>
    </w:p>
    <w:p>
      <w:pPr>
        <w:spacing w:after="0" w:line="212" w:lineRule="exact"/>
        <w:rPr>
          <w:rFonts w:ascii="Arial" w:cs="Arial" w:eastAsia="Arial" w:hAnsi="Arial"/>
          <w:sz w:val="18"/>
          <w:szCs w:val="18"/>
          <w:color w:val="auto"/>
        </w:rPr>
      </w:pPr>
    </w:p>
    <w:p>
      <w:pPr>
        <w:ind w:left="660" w:firstLine="638"/>
        <w:spacing w:after="0" w:line="275" w:lineRule="auto"/>
        <w:tabs>
          <w:tab w:leader="none" w:pos="23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Borrowing, such issuance of Letter of Credit or such Commitment Increase or from the application of the proceeds therefrom, that constitutes a Default;</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and (b) the Agent shall have received such other approvals, opinions or documents as any Lender Party through the Agent may reasonably request to confirm the foregoing.</w:t>
      </w:r>
    </w:p>
    <w:p>
      <w:pPr>
        <w:spacing w:after="0" w:line="198"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In addition to the other conditions precedent herein set forth, if any Lender becomes, and during the period it remains, a Defaulting Lender, no Issuing Bank will be required to issue any Letter of Credit or to amend any outstanding Letter of Credit to increase the face amount thereof, alter the drawing terms thereunder or extend the expiry date thereof unless such Issuing Bank is reasonably satisfied that any exposure that would result therefrom is eliminated or fully covered by the Revolving Credit Commitments of the Non-Defaulting Lenders or by Cash Collateralization or a combination thereof reasonably satisfactory to such Issuing Bank.</w:t>
      </w:r>
    </w:p>
    <w:p>
      <w:pPr>
        <w:spacing w:after="0" w:line="218" w:lineRule="exact"/>
        <w:rPr>
          <w:sz w:val="20"/>
          <w:szCs w:val="20"/>
          <w:color w:val="auto"/>
        </w:rPr>
      </w:pPr>
    </w:p>
    <w:p>
      <w:pPr>
        <w:jc w:val="both"/>
        <w:ind w:firstLine="1290"/>
        <w:spacing w:after="0" w:line="295"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Determinations Under Section 3.01</w:t>
      </w:r>
      <w:r>
        <w:rPr>
          <w:rFonts w:ascii="Arial" w:cs="Arial" w:eastAsia="Arial" w:hAnsi="Arial"/>
          <w:sz w:val="16"/>
          <w:szCs w:val="16"/>
          <w:color w:val="auto"/>
        </w:rPr>
        <w:t>. For purposes of determining compliance with the conditions specified in Section 3.01, each Lender Party shall be deemed to have consented to, approved or accepted or to be satisfied with each document or other matter required thereunder to be consented to or approved by or acceptable or satisfactory to the Lender Parties unless an officer of the Agent responsible for the transactions contemplated by this Agreement shall have received notice from such Lender Party prior to the date that the Borrower, by notice to the Lender Parties, designates as the proposed Effective Date, specifying its objection thereto. The Agent shall promptly notify the Lender Parties of the occurrence of the Effective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as follows:</w:t>
      </w:r>
    </w:p>
    <w:p>
      <w:pPr>
        <w:spacing w:after="0" w:line="250" w:lineRule="exact"/>
        <w:rPr>
          <w:sz w:val="20"/>
          <w:szCs w:val="20"/>
          <w:color w:val="auto"/>
        </w:rPr>
      </w:pPr>
    </w:p>
    <w:p>
      <w:pPr>
        <w:ind w:left="1980" w:hanging="682"/>
        <w:spacing w:after="0"/>
        <w:tabs>
          <w:tab w:leader="none" w:pos="1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Borrower is a corporation duly organized, validly existing and in good standing under the laws of the State of Wisconsin.</w:t>
      </w:r>
    </w:p>
    <w:p>
      <w:pPr>
        <w:spacing w:after="0" w:line="261" w:lineRule="exact"/>
        <w:rPr>
          <w:rFonts w:ascii="Arial" w:cs="Arial" w:eastAsia="Arial" w:hAnsi="Arial"/>
          <w:sz w:val="17"/>
          <w:szCs w:val="17"/>
          <w:color w:val="auto"/>
        </w:rPr>
      </w:pPr>
    </w:p>
    <w:p>
      <w:pPr>
        <w:jc w:val="both"/>
        <w:ind w:left="660" w:firstLine="638"/>
        <w:spacing w:after="0" w:line="258" w:lineRule="auto"/>
        <w:tabs>
          <w:tab w:leader="none" w:pos="22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execution, delivery and performance by the Borrower of this Agreement and the Notes to be delivered by it, and the consummation of the transactions contemplated hereby, are within the Borrower’s corporate powers, have been duly authorized by all necessary corporate action, and do not contravene (i) the Borrower’s charter or by-laws or (ii) law or any material contractual restriction binding on or affecting the Borrower.</w:t>
      </w:r>
    </w:p>
    <w:p>
      <w:pPr>
        <w:spacing w:after="0" w:line="212" w:lineRule="exact"/>
        <w:rPr>
          <w:rFonts w:ascii="Arial" w:cs="Arial" w:eastAsia="Arial" w:hAnsi="Arial"/>
          <w:sz w:val="18"/>
          <w:szCs w:val="18"/>
          <w:color w:val="auto"/>
        </w:rPr>
      </w:pPr>
    </w:p>
    <w:p>
      <w:pPr>
        <w:jc w:val="both"/>
        <w:ind w:left="660" w:firstLine="638"/>
        <w:spacing w:after="0" w:line="340" w:lineRule="auto"/>
        <w:tabs>
          <w:tab w:leader="none" w:pos="2057"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 to be delivered by it.</w:t>
      </w:r>
    </w:p>
    <w:p>
      <w:pPr>
        <w:spacing w:after="0" w:line="150" w:lineRule="exact"/>
        <w:rPr>
          <w:rFonts w:ascii="Arial" w:cs="Arial" w:eastAsia="Arial" w:hAnsi="Arial"/>
          <w:sz w:val="16"/>
          <w:szCs w:val="16"/>
          <w:color w:val="auto"/>
        </w:rPr>
      </w:pPr>
    </w:p>
    <w:p>
      <w:pPr>
        <w:jc w:val="both"/>
        <w:ind w:left="660" w:firstLine="638"/>
        <w:spacing w:after="0" w:line="255" w:lineRule="auto"/>
        <w:tabs>
          <w:tab w:leader="none" w:pos="203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Agreement has been, and each of the Notes to be delivered by it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 except as such enforceability may be limited by applicable bankruptcy, insolvency, reorganization, moratorium or similar laws affecting the enforcement of creditors’ rights generally and by general equitable principles.</w:t>
      </w:r>
    </w:p>
    <w:p>
      <w:pPr>
        <w:spacing w:after="0" w:line="217" w:lineRule="exact"/>
        <w:rPr>
          <w:rFonts w:ascii="Arial" w:cs="Arial" w:eastAsia="Arial" w:hAnsi="Arial"/>
          <w:sz w:val="18"/>
          <w:szCs w:val="18"/>
          <w:color w:val="auto"/>
        </w:rPr>
      </w:pPr>
    </w:p>
    <w:p>
      <w:pPr>
        <w:jc w:val="both"/>
        <w:ind w:left="660" w:firstLine="638"/>
        <w:spacing w:after="0" w:line="340" w:lineRule="auto"/>
        <w:tabs>
          <w:tab w:leader="none" w:pos="2208"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Consolidated balance sheet of the Borrower and its Subsidiaries as at December 31, 2012, and the related Consolidated statements of income and cash flows of the Borrower and its Subsidiaries for the fiscal year then ended, accompanied by an opinion of Deloitte &amp;</w:t>
      </w:r>
    </w:p>
    <w:p>
      <w:pPr>
        <w:sectPr>
          <w:pgSz w:w="11900" w:h="16898" w:orient="portrait"/>
          <w:cols w:equalWidth="0" w:num="1">
            <w:col w:w="11420"/>
          </w:cols>
          <w:pgMar w:left="240" w:top="367" w:right="239" w:bottom="0" w:gutter="0" w:footer="0" w:header="0"/>
        </w:sectPr>
      </w:pPr>
    </w:p>
    <w:bookmarkStart w:id="55" w:name="page56"/>
    <w:bookmarkEnd w:id="55"/>
    <w:p>
      <w:pPr>
        <w:jc w:val="both"/>
        <w:ind w:left="660"/>
        <w:spacing w:after="0" w:line="271" w:lineRule="auto"/>
        <w:rPr>
          <w:sz w:val="20"/>
          <w:szCs w:val="20"/>
          <w:color w:val="auto"/>
        </w:rPr>
      </w:pPr>
      <w:r>
        <w:rPr>
          <w:rFonts w:ascii="Arial" w:cs="Arial" w:eastAsia="Arial" w:hAnsi="Arial"/>
          <w:sz w:val="17"/>
          <w:szCs w:val="17"/>
          <w:color w:val="auto"/>
        </w:rPr>
        <w:t>Touche LLP, an independent registered public accounting firm, and the Consolidated balance sheet of the Borrower and its Subsidiaries as at June 30, 2013, and the related Consolidated statements of income and cash flows of the Borrower and its Subsidiaries for the six months then ended, duly certified by the chief financial officer of the Borrower, copies of which have been furnished to each Lender Party, fairly present in all material respects, subject, in the case of said balance sheet as at June 30, 2013, and said statements of income and cash flows for the six months then ended, to year-end audit adjustments,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 Since December 31, 2012, there has been no Material Adverse Change.</w:t>
      </w:r>
    </w:p>
    <w:p>
      <w:pPr>
        <w:spacing w:after="0" w:line="203" w:lineRule="exact"/>
        <w:rPr>
          <w:sz w:val="20"/>
          <w:szCs w:val="20"/>
          <w:color w:val="auto"/>
        </w:rPr>
      </w:pPr>
    </w:p>
    <w:p>
      <w:pPr>
        <w:jc w:val="both"/>
        <w:ind w:left="660" w:firstLine="638"/>
        <w:spacing w:after="0" w:line="258" w:lineRule="auto"/>
        <w:tabs>
          <w:tab w:leader="none" w:pos="199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is no pending or, to the knowledge of the Borrower, threatened action, suit, investigation, litigation or proceeding, including, without limitation, any Environmental Action, affecting the Borrower or any of its Subsidiaries before any court, governmental agency or arbitrator that (i) is reasonably likely to have a Material Adverse Effect or (ii) purports to affect the legality, validity or enforceability of this Agreement or any Note or the consummation of the transactions contemplated hereby.</w:t>
      </w:r>
    </w:p>
    <w:p>
      <w:pPr>
        <w:spacing w:after="0" w:line="212" w:lineRule="exact"/>
        <w:rPr>
          <w:rFonts w:ascii="Arial" w:cs="Arial" w:eastAsia="Arial" w:hAnsi="Arial"/>
          <w:sz w:val="18"/>
          <w:szCs w:val="18"/>
          <w:color w:val="auto"/>
        </w:rPr>
      </w:pPr>
    </w:p>
    <w:p>
      <w:pPr>
        <w:jc w:val="both"/>
        <w:ind w:left="660" w:firstLine="638"/>
        <w:spacing w:after="0" w:line="300" w:lineRule="auto"/>
        <w:tabs>
          <w:tab w:leader="none" w:pos="2061"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Borrower and its Subsidiaries have filed all United States Federal income tax returns and all other material tax returns which are required to be filed by them and have paid all taxes due pursuant to such returns or pursuant to any assessment received by the Borrower or any of its Subsidiaries except such taxes or assessments, if any, as are being contested in good faith by appropriate proceedings. The charges, accruals and reserves on the books of the Borrower and its Subsidiaries in respect of taxes are, in the opinion of the Borrower, adequate.</w:t>
      </w:r>
    </w:p>
    <w:p>
      <w:pPr>
        <w:spacing w:after="0" w:line="182" w:lineRule="exact"/>
        <w:rPr>
          <w:rFonts w:ascii="Arial" w:cs="Arial" w:eastAsia="Arial" w:hAnsi="Arial"/>
          <w:sz w:val="16"/>
          <w:szCs w:val="16"/>
          <w:color w:val="auto"/>
        </w:rPr>
      </w:pPr>
    </w:p>
    <w:p>
      <w:pPr>
        <w:jc w:val="both"/>
        <w:ind w:left="660" w:firstLine="638"/>
        <w:spacing w:after="0" w:line="262" w:lineRule="auto"/>
        <w:tabs>
          <w:tab w:leader="none" w:pos="2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proceeds of any Advance will be used to acquire any equity security of a class which is registered pursuant to Section 12 of the Securities Exchange Act of 1934 if the Borrower has reason to know that the board of directors of the issuer of such equity security opposes or will oppose such acquisition.</w:t>
      </w:r>
    </w:p>
    <w:p>
      <w:pPr>
        <w:spacing w:after="0" w:line="209" w:lineRule="exact"/>
        <w:rPr>
          <w:rFonts w:ascii="Arial" w:cs="Arial" w:eastAsia="Arial" w:hAnsi="Arial"/>
          <w:sz w:val="18"/>
          <w:szCs w:val="18"/>
          <w:color w:val="auto"/>
        </w:rPr>
      </w:pPr>
    </w:p>
    <w:p>
      <w:pPr>
        <w:jc w:val="both"/>
        <w:ind w:left="660" w:firstLine="638"/>
        <w:spacing w:after="0" w:line="285" w:lineRule="auto"/>
        <w:tabs>
          <w:tab w:leader="none" w:pos="1992"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Borrower is not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w:t>
      </w:r>
    </w:p>
    <w:p>
      <w:pPr>
        <w:spacing w:after="0" w:line="190" w:lineRule="exact"/>
        <w:rPr>
          <w:rFonts w:ascii="Arial" w:cs="Arial" w:eastAsia="Arial" w:hAnsi="Arial"/>
          <w:sz w:val="17"/>
          <w:szCs w:val="17"/>
          <w:color w:val="auto"/>
        </w:rPr>
      </w:pPr>
    </w:p>
    <w:p>
      <w:pPr>
        <w:jc w:val="both"/>
        <w:ind w:left="660" w:firstLine="638"/>
        <w:spacing w:after="0" w:line="289" w:lineRule="auto"/>
        <w:tabs>
          <w:tab w:leader="none" w:pos="2053"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operations of the Borrower and each of its Domestic Subsidiaries comply in all material respects with all applicable ERISA, environmental, health and safety requirements of law the failure to comply with which would have a Material Adverse Effect; (ii) the operations of each Foreign Subsidiary of the Borrower comply in all material respects with all applicable environmental, health and safety requirements of law, the failure to comply with which would have a Material Adverse Effect; and (iii) prior to the date hereof, the Borrower shall have inspected, and shall have caused each of its Domestic Subsidiaries to have inspected, its property owned in fee and, with respect to each building in which asbestos shall have been found, the Borrower shall have caused such building to be in compliance with applicable rules and regulations under local law relating to asbestos containment, maintenance and removal. The term “Domestic Subsidiary” means a Subsidiary organized under the laws of, or having its principal place of business within, a jurisdiction located in the United States and the term “Foreign Subsidiary” means any other Subsidiary.</w:t>
      </w:r>
    </w:p>
    <w:p>
      <w:pPr>
        <w:spacing w:after="0" w:line="190" w:lineRule="exact"/>
        <w:rPr>
          <w:rFonts w:ascii="Arial" w:cs="Arial" w:eastAsia="Arial" w:hAnsi="Arial"/>
          <w:sz w:val="16"/>
          <w:szCs w:val="16"/>
          <w:color w:val="auto"/>
        </w:rPr>
      </w:pPr>
    </w:p>
    <w:p>
      <w:pPr>
        <w:ind w:left="660" w:firstLine="638"/>
        <w:spacing w:after="0" w:line="275" w:lineRule="auto"/>
        <w:tabs>
          <w:tab w:leader="none" w:pos="200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Borrower is not an “investment company”, or a company “controlled” by an “investment company”, within the meaning of the Investment Company Act of 1940, as amended.</w:t>
      </w:r>
    </w:p>
    <w:p>
      <w:pPr>
        <w:spacing w:after="0" w:line="197" w:lineRule="exact"/>
        <w:rPr>
          <w:rFonts w:ascii="Arial" w:cs="Arial" w:eastAsia="Arial" w:hAnsi="Arial"/>
          <w:sz w:val="18"/>
          <w:szCs w:val="18"/>
          <w:color w:val="auto"/>
        </w:rPr>
      </w:pPr>
    </w:p>
    <w:p>
      <w:pPr>
        <w:jc w:val="both"/>
        <w:ind w:left="660" w:firstLine="638"/>
        <w:spacing w:after="0" w:line="262" w:lineRule="auto"/>
        <w:tabs>
          <w:tab w:leader="none" w:pos="223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information furnished to the Agent or any Lender Party by or at the direction of the Borrower in connection with this Agreement was, on the date furnished, true and correct in all material respects and did not fail to state any fact the omission of which rendered the information provided materially misleading in any material respect.</w:t>
      </w:r>
    </w:p>
    <w:p>
      <w:pPr>
        <w:spacing w:after="0" w:line="209" w:lineRule="exact"/>
        <w:rPr>
          <w:rFonts w:ascii="Arial" w:cs="Arial" w:eastAsia="Arial" w:hAnsi="Arial"/>
          <w:sz w:val="18"/>
          <w:szCs w:val="18"/>
          <w:color w:val="auto"/>
        </w:rPr>
      </w:pPr>
    </w:p>
    <w:p>
      <w:pPr>
        <w:jc w:val="both"/>
        <w:ind w:left="660" w:firstLine="638"/>
        <w:spacing w:after="0" w:line="310" w:lineRule="auto"/>
        <w:tabs>
          <w:tab w:leader="none" w:pos="22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Borrower and its Subsidiaries and, to the knowledge of the Borrower their respective directors, officers, employees and agents, are in compliance with Anti-Corruption Laws and applicable Sanctions in all material respects. None of the Borrower, any Subsidiary or to the knowledge of the Borrower or such Subsidiary any of their respective directors, officers, employees or any agents, is a Sanctioned Person.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OF THE BORROWER</w:t>
      </w:r>
    </w:p>
    <w:p>
      <w:pPr>
        <w:spacing w:after="0" w:line="250"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 So long as any Advance shall remain unpaid, any Lender shall have any Commitment hereunder or any Letter of Credit shall be outstanding, the Borrower will:</w:t>
      </w:r>
    </w:p>
    <w:p>
      <w:pPr>
        <w:spacing w:after="0" w:line="198" w:lineRule="exact"/>
        <w:rPr>
          <w:sz w:val="20"/>
          <w:szCs w:val="20"/>
          <w:color w:val="auto"/>
        </w:rPr>
      </w:pPr>
    </w:p>
    <w:p>
      <w:pPr>
        <w:jc w:val="both"/>
        <w:ind w:left="660" w:firstLine="638"/>
        <w:spacing w:after="0" w:line="278" w:lineRule="auto"/>
        <w:tabs>
          <w:tab w:leader="none" w:pos="2118"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Compliance with Laws, Etc</w:t>
      </w:r>
      <w:r>
        <w:rPr>
          <w:rFonts w:ascii="Arial" w:cs="Arial" w:eastAsia="Arial" w:hAnsi="Arial"/>
          <w:sz w:val="17"/>
          <w:szCs w:val="17"/>
          <w:color w:val="auto"/>
        </w:rPr>
        <w:t>. Comply, and cause each of its Subsidiaries to comply, in all material respects, with all applicable laws, rules, regulations and orders, such compliance to include, without limitation, compliance with ERISA and Environmental Laws, and maintain in effect and enforce policies and procedures reasonably designed to ensure compliance in all material respects by the Borrower, its Subsidiaries and their respective directors, officers, employees and agents with Anti-Corruption Laws and applicable Sanctions.</w:t>
      </w:r>
    </w:p>
    <w:p>
      <w:pPr>
        <w:spacing w:after="0" w:line="196" w:lineRule="exact"/>
        <w:rPr>
          <w:rFonts w:ascii="Arial" w:cs="Arial" w:eastAsia="Arial" w:hAnsi="Arial"/>
          <w:sz w:val="17"/>
          <w:szCs w:val="17"/>
          <w:color w:val="auto"/>
        </w:rPr>
      </w:pPr>
    </w:p>
    <w:p>
      <w:pPr>
        <w:jc w:val="both"/>
        <w:ind w:left="660" w:firstLine="638"/>
        <w:spacing w:after="0" w:line="272" w:lineRule="auto"/>
        <w:tabs>
          <w:tab w:leader="none" w:pos="2047"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Payment of Taxes, Etc</w:t>
      </w:r>
      <w:r>
        <w:rPr>
          <w:rFonts w:ascii="Arial" w:cs="Arial" w:eastAsia="Arial" w:hAnsi="Arial"/>
          <w:sz w:val="17"/>
          <w:szCs w:val="17"/>
          <w:color w:val="auto"/>
        </w:rPr>
        <w:t xml:space="preserve">. Pay and discharge, and cause each of its Subsidiaries to pay and discharge, before the same shall become delinquent, (i) all taxes, assessments and governmental charges or levies imposed upon it or upon its property and (ii) all lawful claims that, if unpaid, might by law become a Lien upon its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the Borrower nor any of its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(unless such Lien would be permitted in accordance with Section 5.02(a)).</w:t>
      </w:r>
    </w:p>
    <w:p>
      <w:pPr>
        <w:spacing w:after="0" w:line="203" w:lineRule="exact"/>
        <w:rPr>
          <w:rFonts w:ascii="Arial" w:cs="Arial" w:eastAsia="Arial" w:hAnsi="Arial"/>
          <w:sz w:val="17"/>
          <w:szCs w:val="17"/>
          <w:color w:val="auto"/>
        </w:rPr>
      </w:pPr>
    </w:p>
    <w:p>
      <w:pPr>
        <w:jc w:val="both"/>
        <w:ind w:left="660" w:firstLine="638"/>
        <w:spacing w:after="0" w:line="262" w:lineRule="auto"/>
        <w:tabs>
          <w:tab w:leader="none" w:pos="215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w:t>
      </w:r>
    </w:p>
    <w:p>
      <w:pPr>
        <w:spacing w:after="0" w:line="209" w:lineRule="exact"/>
        <w:rPr>
          <w:rFonts w:ascii="Arial" w:cs="Arial" w:eastAsia="Arial" w:hAnsi="Arial"/>
          <w:sz w:val="18"/>
          <w:szCs w:val="18"/>
          <w:color w:val="auto"/>
        </w:rPr>
      </w:pPr>
    </w:p>
    <w:p>
      <w:pPr>
        <w:jc w:val="both"/>
        <w:ind w:left="660" w:firstLine="638"/>
        <w:spacing w:after="0" w:line="300" w:lineRule="auto"/>
        <w:tabs>
          <w:tab w:leader="none" w:pos="2182"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Preservation of Corporate Existence, Etc</w:t>
      </w:r>
      <w:r>
        <w:rPr>
          <w:rFonts w:ascii="Arial" w:cs="Arial" w:eastAsia="Arial" w:hAnsi="Arial"/>
          <w:sz w:val="16"/>
          <w:szCs w:val="16"/>
          <w:color w:val="auto"/>
        </w:rPr>
        <w:t xml:space="preserve">. Preserve and maintain, and cause each of its Material Subsidiaries to preserve and maintain, its corporate existence, and its material rights (charter and statutory) and franchises;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 and its Subsidiaries may consummate any merger or consolidation permitted under Section 5.02(b),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neither the Borrower nor any of its Subsidiaries shall be required to preserve any right or franchise if the Board of Directors of the Borrower or such Subsidiary shall determine that</w:t>
      </w:r>
    </w:p>
    <w:p>
      <w:pPr>
        <w:sectPr>
          <w:pgSz w:w="11900" w:h="16838" w:orient="portrait"/>
          <w:cols w:equalWidth="0" w:num="1">
            <w:col w:w="11420"/>
          </w:cols>
          <w:pgMar w:left="240" w:top="125" w:right="239" w:bottom="0" w:gutter="0" w:footer="0" w:header="0"/>
        </w:sectPr>
      </w:pPr>
    </w:p>
    <w:bookmarkStart w:id="56" w:name="page57"/>
    <w:bookmarkEnd w:id="56"/>
    <w:p>
      <w:pPr>
        <w:spacing w:after="0" w:line="108"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the preservation thereof is no longer desirable in the conduct of the business of the Borrower or such Subsidiary, as the case may be, and that the loss thereof is not disadvantageous in any material respect to the Borrower, such Subsidiary or the Lenders.</w:t>
      </w:r>
    </w:p>
    <w:p>
      <w:pPr>
        <w:spacing w:after="0" w:line="198" w:lineRule="exact"/>
        <w:rPr>
          <w:sz w:val="20"/>
          <w:szCs w:val="20"/>
          <w:color w:val="auto"/>
        </w:rPr>
      </w:pPr>
    </w:p>
    <w:p>
      <w:pPr>
        <w:jc w:val="both"/>
        <w:ind w:left="660" w:firstLine="638"/>
        <w:spacing w:after="0" w:line="258" w:lineRule="auto"/>
        <w:tabs>
          <w:tab w:leader="none" w:pos="207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Visitation Rights</w:t>
      </w:r>
      <w:r>
        <w:rPr>
          <w:rFonts w:ascii="Arial" w:cs="Arial" w:eastAsia="Arial" w:hAnsi="Arial"/>
          <w:sz w:val="18"/>
          <w:szCs w:val="18"/>
          <w:color w:val="auto"/>
        </w:rPr>
        <w:t>. At any reasonable time and from time to time, permit the Agent or any of the Lender Parties or any agents or representatives thereof, to examine and make copies of and abstracts from the records and books of account of, and visit the properties of, the Borrower and any of its Subsidiaries, and to discuss the affairs, finances and accounts of the Borrower and any of its Subsidiaries with any of their officers or directors and with their independent certified public accountants.</w:t>
      </w:r>
    </w:p>
    <w:p>
      <w:pPr>
        <w:spacing w:after="0" w:line="212" w:lineRule="exact"/>
        <w:rPr>
          <w:rFonts w:ascii="Arial" w:cs="Arial" w:eastAsia="Arial" w:hAnsi="Arial"/>
          <w:sz w:val="18"/>
          <w:szCs w:val="18"/>
          <w:color w:val="auto"/>
        </w:rPr>
      </w:pPr>
    </w:p>
    <w:p>
      <w:pPr>
        <w:jc w:val="both"/>
        <w:ind w:left="660" w:firstLine="638"/>
        <w:spacing w:after="0" w:line="262" w:lineRule="auto"/>
        <w:tabs>
          <w:tab w:leader="none" w:pos="205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Keep, and cause each of its Consolidated Subsidiaries to keep, proper books of record and account, in which full and correct entries shall be made of all financial transactions and the assets and business of the Borrower and each such Subsidiary in accordance with generally accepted accounting principles in effect from time to time.</w:t>
      </w:r>
    </w:p>
    <w:p>
      <w:pPr>
        <w:spacing w:after="0" w:line="209" w:lineRule="exact"/>
        <w:rPr>
          <w:rFonts w:ascii="Arial" w:cs="Arial" w:eastAsia="Arial" w:hAnsi="Arial"/>
          <w:sz w:val="18"/>
          <w:szCs w:val="18"/>
          <w:color w:val="auto"/>
        </w:rPr>
      </w:pPr>
    </w:p>
    <w:p>
      <w:pPr>
        <w:ind w:left="660" w:firstLine="638"/>
        <w:spacing w:after="0" w:line="306" w:lineRule="auto"/>
        <w:tabs>
          <w:tab w:leader="none" w:pos="2168"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Maintenance of Properties, Etc</w:t>
      </w:r>
      <w:r>
        <w:rPr>
          <w:rFonts w:ascii="Arial" w:cs="Arial" w:eastAsia="Arial" w:hAnsi="Arial"/>
          <w:sz w:val="17"/>
          <w:szCs w:val="17"/>
          <w:color w:val="auto"/>
        </w:rPr>
        <w:t>. Maintain and preserve, and cause each of its Subsidiaries to maintain and preserve, all of its properties that are used or useful in the conduct of its business in good working order and condition, ordinary wear and tear excepted.</w:t>
      </w:r>
    </w:p>
    <w:p>
      <w:pPr>
        <w:spacing w:after="0" w:line="173" w:lineRule="exact"/>
        <w:rPr>
          <w:rFonts w:ascii="Arial" w:cs="Arial" w:eastAsia="Arial" w:hAnsi="Arial"/>
          <w:sz w:val="17"/>
          <w:szCs w:val="17"/>
          <w:color w:val="auto"/>
        </w:rPr>
      </w:pPr>
    </w:p>
    <w:p>
      <w:pPr>
        <w:ind w:left="2000" w:hanging="702"/>
        <w:spacing w:after="0"/>
        <w:tabs>
          <w:tab w:leader="none" w:pos="20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Furnish to the Lender Parties:</w:t>
      </w:r>
    </w:p>
    <w:p>
      <w:pPr>
        <w:spacing w:after="0" w:line="250" w:lineRule="exact"/>
        <w:rPr>
          <w:rFonts w:ascii="Arial" w:cs="Arial" w:eastAsia="Arial" w:hAnsi="Arial"/>
          <w:sz w:val="18"/>
          <w:szCs w:val="18"/>
          <w:color w:val="auto"/>
        </w:rPr>
      </w:pPr>
    </w:p>
    <w:p>
      <w:pPr>
        <w:jc w:val="both"/>
        <w:ind w:left="1300" w:firstLine="643"/>
        <w:spacing w:after="0" w:line="268" w:lineRule="auto"/>
        <w:tabs>
          <w:tab w:leader="none" w:pos="2669"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as soon as available and in any event within 50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chief accounting officer, treasurer or vice president – corporate controller of the Borrower as having been prepared in accordance with generally accepted accounting principles and certificates of the chief financial officer, treasurer or vice president – corporate controller of the Borrower as to compliance with the terms of this Agreement and setting forth in reasonable detail the calculations necessary to demonstrate compliance with Section 5.03,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210" w:lineRule="exact"/>
        <w:rPr>
          <w:rFonts w:ascii="Arial" w:cs="Arial" w:eastAsia="Arial" w:hAnsi="Arial"/>
          <w:sz w:val="17"/>
          <w:szCs w:val="17"/>
          <w:color w:val="auto"/>
        </w:rPr>
      </w:pPr>
    </w:p>
    <w:p>
      <w:pPr>
        <w:jc w:val="both"/>
        <w:ind w:left="1300" w:firstLine="643"/>
        <w:spacing w:after="0" w:line="253" w:lineRule="auto"/>
        <w:tabs>
          <w:tab w:leader="none" w:pos="2792"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independent public accountants of nationally recognized 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220" w:lineRule="exact"/>
        <w:rPr>
          <w:rFonts w:ascii="Arial" w:cs="Arial" w:eastAsia="Arial" w:hAnsi="Arial"/>
          <w:sz w:val="18"/>
          <w:szCs w:val="18"/>
          <w:color w:val="auto"/>
        </w:rPr>
      </w:pPr>
    </w:p>
    <w:p>
      <w:pPr>
        <w:jc w:val="both"/>
        <w:ind w:left="1300" w:firstLine="643"/>
        <w:spacing w:after="0" w:line="285" w:lineRule="auto"/>
        <w:tabs>
          <w:tab w:leader="none" w:pos="2743" w:val="left"/>
        </w:tabs>
        <w:numPr>
          <w:ilvl w:val="1"/>
          <w:numId w:val="77"/>
        </w:numPr>
        <w:rPr>
          <w:rFonts w:ascii="Arial" w:cs="Arial" w:eastAsia="Arial" w:hAnsi="Arial"/>
          <w:sz w:val="17"/>
          <w:szCs w:val="17"/>
          <w:color w:val="auto"/>
        </w:rPr>
      </w:pPr>
      <w:r>
        <w:rPr>
          <w:rFonts w:ascii="Arial" w:cs="Arial" w:eastAsia="Arial" w:hAnsi="Arial"/>
          <w:sz w:val="17"/>
          <w:szCs w:val="17"/>
          <w:color w:val="auto"/>
        </w:rPr>
        <w:t>as soon as possible and in any event within five days after the occurrence of each Default continuing on the date of such statement, a statement of the chief financial officer, chief accounting officer, treasurer or vice president – corporate controller of the Borrower setting forth details of such Default and the action that the Borrower has taken and proposes to take with respect thereto;</w:t>
      </w:r>
    </w:p>
    <w:p>
      <w:pPr>
        <w:spacing w:after="0" w:line="190" w:lineRule="exact"/>
        <w:rPr>
          <w:rFonts w:ascii="Arial" w:cs="Arial" w:eastAsia="Arial" w:hAnsi="Arial"/>
          <w:sz w:val="17"/>
          <w:szCs w:val="17"/>
          <w:color w:val="auto"/>
        </w:rPr>
      </w:pPr>
    </w:p>
    <w:p>
      <w:pPr>
        <w:jc w:val="both"/>
        <w:ind w:left="1300" w:firstLine="643"/>
        <w:spacing w:after="0" w:line="258" w:lineRule="auto"/>
        <w:tabs>
          <w:tab w:leader="none" w:pos="2761" w:val="left"/>
        </w:tabs>
        <w:numPr>
          <w:ilvl w:val="1"/>
          <w:numId w:val="77"/>
        </w:numPr>
        <w:rPr>
          <w:rFonts w:ascii="Arial" w:cs="Arial" w:eastAsia="Arial" w:hAnsi="Arial"/>
          <w:sz w:val="18"/>
          <w:szCs w:val="18"/>
          <w:color w:val="auto"/>
        </w:rPr>
      </w:pPr>
      <w:r>
        <w:rPr>
          <w:rFonts w:ascii="Arial" w:cs="Arial" w:eastAsia="Arial" w:hAnsi="Arial"/>
          <w:sz w:val="18"/>
          <w:szCs w:val="18"/>
          <w:color w:val="auto"/>
        </w:rPr>
        <w:t>promptly after the sending or filing thereof, copies of all quarterly and annual reports or any proxy solicitations that the Borrower sends to its securityholders generally, and copies of all reports on Form 8-K and registration statements for the public offering (other than pursuant to employee Plans) of securities that the Borrower or any Subsidiary files with the Securities and Exchange Commission or any national securities exchange;</w:t>
      </w:r>
    </w:p>
    <w:p>
      <w:pPr>
        <w:spacing w:after="0" w:line="212" w:lineRule="exact"/>
        <w:rPr>
          <w:rFonts w:ascii="Arial" w:cs="Arial" w:eastAsia="Arial" w:hAnsi="Arial"/>
          <w:sz w:val="18"/>
          <w:szCs w:val="18"/>
          <w:color w:val="auto"/>
        </w:rPr>
      </w:pPr>
    </w:p>
    <w:p>
      <w:pPr>
        <w:ind w:left="1300" w:firstLine="643"/>
        <w:spacing w:after="0" w:line="275" w:lineRule="auto"/>
        <w:tabs>
          <w:tab w:leader="none" w:pos="2647" w:val="left"/>
        </w:tabs>
        <w:numPr>
          <w:ilvl w:val="1"/>
          <w:numId w:val="77"/>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and proceedings before any court, governmental agency or arbitrator affecting the Borrower or any of its Subsidiaries of the type described in Section 4.01(f);</w:t>
      </w:r>
    </w:p>
    <w:p>
      <w:pPr>
        <w:spacing w:after="0" w:line="197" w:lineRule="exact"/>
        <w:rPr>
          <w:rFonts w:ascii="Arial" w:cs="Arial" w:eastAsia="Arial" w:hAnsi="Arial"/>
          <w:sz w:val="18"/>
          <w:szCs w:val="18"/>
          <w:color w:val="auto"/>
        </w:rPr>
      </w:pPr>
    </w:p>
    <w:p>
      <w:pPr>
        <w:ind w:left="1300" w:firstLine="643"/>
        <w:spacing w:after="0" w:line="275" w:lineRule="auto"/>
        <w:tabs>
          <w:tab w:leader="none" w:pos="27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promptly following any change in any credit rating (whether publicly announced or shadow) by either S&amp;P or Moody’s in respect of any debt of the Borrower, notice thereof; and</w:t>
      </w:r>
    </w:p>
    <w:p>
      <w:pPr>
        <w:spacing w:after="0" w:line="197" w:lineRule="exact"/>
        <w:rPr>
          <w:rFonts w:ascii="Arial" w:cs="Arial" w:eastAsia="Arial" w:hAnsi="Arial"/>
          <w:sz w:val="18"/>
          <w:szCs w:val="18"/>
          <w:color w:val="auto"/>
        </w:rPr>
      </w:pPr>
    </w:p>
    <w:p>
      <w:pPr>
        <w:ind w:left="1300" w:right="20" w:firstLine="643"/>
        <w:spacing w:after="0" w:line="275" w:lineRule="auto"/>
        <w:tabs>
          <w:tab w:leader="none" w:pos="2843"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such other information respecting the Borrower or any of its Subsidiaries as any Lender Party through the Agent may from time to time reasonably request.</w:t>
      </w:r>
    </w:p>
    <w:p>
      <w:pPr>
        <w:spacing w:after="0" w:line="198"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Reports and financial statements required to be delivered by the Borrower pursuant to paragraphs (i), (ii) and (iv) of this Section 5.01 shall be deemed to have been delivered on the date on which it posts such reports, or reports containing such financial statements, on its website on the Internet at www.manpowergroup.com and when such reports, or reports containing such financial statements are posted on the SEC’s website at www.sec.gov;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shall deliver paper copies of the reports and financial statements referred to in paragraphs (i), (ii) and (iv) of this Section 5.01 to the Agent or any Lender who requests it to deliver such paper copies until written notice to cease delivering paper copies is given by the Agent or such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every instance it shall provide paper copies of the certificate required by subsections (i) and (ii) to the Agent and the Agent shall, in turn, provide a copy to each of the Lender Parties until such time as the Agent shall provide it written notice otherwise.</w:t>
      </w:r>
    </w:p>
    <w:p>
      <w:pPr>
        <w:spacing w:after="0" w:line="20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Negative Covenants</w:t>
      </w:r>
      <w:r>
        <w:rPr>
          <w:rFonts w:ascii="Arial" w:cs="Arial" w:eastAsia="Arial" w:hAnsi="Arial"/>
          <w:sz w:val="18"/>
          <w:szCs w:val="18"/>
          <w:color w:val="auto"/>
        </w:rPr>
        <w:t>. So long as any Advance shall remain unpaid or any Lender Party shall have any Commitment hereunder or any Letter of Credit shall be outstanding, the Borrower will not:</w:t>
      </w:r>
    </w:p>
    <w:p>
      <w:pPr>
        <w:spacing w:after="0" w:line="198" w:lineRule="exact"/>
        <w:rPr>
          <w:sz w:val="20"/>
          <w:szCs w:val="20"/>
          <w:color w:val="auto"/>
        </w:rPr>
      </w:pPr>
    </w:p>
    <w:p>
      <w:pPr>
        <w:jc w:val="both"/>
        <w:ind w:left="660" w:firstLine="638"/>
        <w:spacing w:after="0" w:line="262" w:lineRule="auto"/>
        <w:tabs>
          <w:tab w:leader="none" w:pos="201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Liens, Etc</w:t>
      </w:r>
      <w:r>
        <w:rPr>
          <w:rFonts w:ascii="Arial" w:cs="Arial" w:eastAsia="Arial" w:hAnsi="Arial"/>
          <w:sz w:val="18"/>
          <w:szCs w:val="18"/>
          <w:color w:val="auto"/>
        </w:rPr>
        <w:t>. Create or suffer to exist, or permit any of its Subsidiaries to create or suffer to exist, any Lien on or with respect to any of its properties, whether now owned or hereafter acquired, or assign, or permit any of its Subsidiaries to assign, any right to receive income, other than:</w:t>
      </w:r>
    </w:p>
    <w:p>
      <w:pPr>
        <w:spacing w:after="0" w:line="209" w:lineRule="exact"/>
        <w:rPr>
          <w:rFonts w:ascii="Arial" w:cs="Arial" w:eastAsia="Arial" w:hAnsi="Arial"/>
          <w:sz w:val="18"/>
          <w:szCs w:val="18"/>
          <w:color w:val="auto"/>
        </w:rPr>
      </w:pPr>
    </w:p>
    <w:p>
      <w:pPr>
        <w:ind w:left="2600" w:hanging="657"/>
        <w:spacing w:after="0"/>
        <w:tabs>
          <w:tab w:leader="none" w:pos="26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50" w:lineRule="exact"/>
        <w:rPr>
          <w:rFonts w:ascii="Arial" w:cs="Arial" w:eastAsia="Arial" w:hAnsi="Arial"/>
          <w:sz w:val="18"/>
          <w:szCs w:val="18"/>
          <w:color w:val="auto"/>
        </w:rPr>
      </w:pPr>
    </w:p>
    <w:p>
      <w:pPr>
        <w:jc w:val="both"/>
        <w:ind w:left="1300" w:firstLine="643"/>
        <w:spacing w:after="0" w:line="300" w:lineRule="auto"/>
        <w:tabs>
          <w:tab w:leader="none" w:pos="2686" w:val="left"/>
        </w:tabs>
        <w:numPr>
          <w:ilvl w:val="1"/>
          <w:numId w:val="78"/>
        </w:numPr>
        <w:rPr>
          <w:rFonts w:ascii="Arial" w:cs="Arial" w:eastAsia="Arial" w:hAnsi="Arial"/>
          <w:sz w:val="16"/>
          <w:szCs w:val="16"/>
          <w:color w:val="auto"/>
        </w:rPr>
      </w:pPr>
      <w:r>
        <w:rPr>
          <w:rFonts w:ascii="Arial" w:cs="Arial" w:eastAsia="Arial" w:hAnsi="Arial"/>
          <w:sz w:val="16"/>
          <w:szCs w:val="16"/>
          <w:color w:val="auto"/>
        </w:rPr>
        <w:t>(A) Purchase money liens or purchase money security interests upon or in any property acquired or held by the Borrower or any of its Subsidiaries in the ordinary course of business to secure the purchase of such property or to secure indebtedness incurred solely for the purpose of financing the acquisition of such property, (B) liens consisting of the interests of lessors under Capitalized Leases and (C) liens not otherwise described above in this Section 5.02(a); provided, that the aggregate capitalized amount of Debt incurred pursuant to</w:t>
      </w:r>
    </w:p>
    <w:p>
      <w:pPr>
        <w:sectPr>
          <w:pgSz w:w="11900" w:h="16947" w:orient="portrait"/>
          <w:cols w:equalWidth="0" w:num="1">
            <w:col w:w="11420"/>
          </w:cols>
          <w:pgMar w:left="240" w:top="125" w:right="239" w:bottom="0" w:gutter="0" w:footer="0" w:header="0"/>
        </w:sectPr>
      </w:pPr>
    </w:p>
    <w:bookmarkStart w:id="57" w:name="page58"/>
    <w:bookmarkEnd w:id="57"/>
    <w:p>
      <w:pPr>
        <w:jc w:val="both"/>
        <w:ind w:left="100"/>
        <w:spacing w:after="0" w:line="262" w:lineRule="auto"/>
        <w:rPr>
          <w:sz w:val="20"/>
          <w:szCs w:val="20"/>
          <w:color w:val="auto"/>
        </w:rPr>
      </w:pPr>
      <w:r>
        <w:rPr>
          <w:rFonts w:ascii="Arial" w:cs="Arial" w:eastAsia="Arial" w:hAnsi="Arial"/>
          <w:sz w:val="18"/>
          <w:szCs w:val="18"/>
          <w:color w:val="auto"/>
        </w:rPr>
        <w:t>such Capitalized Leases, plus the aggregate principal amount of the indebtedness or other obligations secured by any of the liens described in this clause (ii) (or, if greater, the book value of the assets that are subject to such liens) shall not exceed $75,000,000 at any time outstanding; and</w:t>
      </w:r>
    </w:p>
    <w:p>
      <w:pPr>
        <w:spacing w:after="0" w:line="209" w:lineRule="exact"/>
        <w:rPr>
          <w:sz w:val="20"/>
          <w:szCs w:val="20"/>
          <w:color w:val="auto"/>
        </w:rPr>
      </w:pPr>
    </w:p>
    <w:p>
      <w:pPr>
        <w:ind w:left="1500" w:hanging="757"/>
        <w:spacing w:after="0"/>
        <w:tabs>
          <w:tab w:leader="none" w:pos="15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Liens existing on the Effective Date and described on Schedule 5.02(a) hereto,</w:t>
      </w:r>
    </w:p>
    <w:p>
      <w:pPr>
        <w:spacing w:after="0" w:line="250" w:lineRule="exact"/>
        <w:rPr>
          <w:rFonts w:ascii="Arial" w:cs="Arial" w:eastAsia="Arial" w:hAnsi="Arial"/>
          <w:sz w:val="18"/>
          <w:szCs w:val="18"/>
          <w:color w:val="auto"/>
        </w:rPr>
      </w:pPr>
    </w:p>
    <w:p>
      <w:pPr>
        <w:jc w:val="both"/>
        <w:ind w:left="100" w:firstLine="643"/>
        <w:spacing w:after="0" w:line="255" w:lineRule="auto"/>
        <w:tabs>
          <w:tab w:leader="none" w:pos="1571"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into or consolidated with the Borrower or any Subsidiary of the Borrower or becomes a Subsidiary of the Borrower or the property is acquired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not created in contemplation of such merger, consolidation or acquisition and do not extend to any assets other than those of the Person so merged into or consolidated with the Borrower or such Subsidiary or acquired by the Borrower or such Subsidiary,</w:t>
      </w:r>
    </w:p>
    <w:p>
      <w:pPr>
        <w:spacing w:after="0" w:line="217" w:lineRule="exact"/>
        <w:rPr>
          <w:rFonts w:ascii="Arial" w:cs="Arial" w:eastAsia="Arial" w:hAnsi="Arial"/>
          <w:sz w:val="18"/>
          <w:szCs w:val="18"/>
          <w:color w:val="auto"/>
        </w:rPr>
      </w:pPr>
    </w:p>
    <w:p>
      <w:pPr>
        <w:ind w:left="1440" w:hanging="697"/>
        <w:spacing w:after="0"/>
        <w:tabs>
          <w:tab w:leader="none" w:pos="14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Liens permitted by Section 5.02(d);</w:t>
      </w:r>
    </w:p>
    <w:p>
      <w:pPr>
        <w:spacing w:after="0" w:line="250" w:lineRule="exact"/>
        <w:rPr>
          <w:rFonts w:ascii="Arial" w:cs="Arial" w:eastAsia="Arial" w:hAnsi="Arial"/>
          <w:sz w:val="18"/>
          <w:szCs w:val="18"/>
          <w:color w:val="auto"/>
        </w:rPr>
      </w:pPr>
    </w:p>
    <w:p>
      <w:pPr>
        <w:jc w:val="both"/>
        <w:ind w:left="100" w:firstLine="643"/>
        <w:spacing w:after="0" w:line="262" w:lineRule="auto"/>
        <w:tabs>
          <w:tab w:leader="none" w:pos="1721"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clause (ii), (iii) or (iv) above upon or in the same property theretofore subject thereto or the replacement, extension or renewal (without increase in the amount or change in any direct or contingent obligor) of the Debt secured thereby;</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1540" w:hanging="797"/>
        <w:spacing w:after="0"/>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Liens on cash collateral provided under the terms of this Agreement; and</w:t>
      </w:r>
    </w:p>
    <w:p>
      <w:pPr>
        <w:spacing w:after="0" w:line="250" w:lineRule="exact"/>
        <w:rPr>
          <w:rFonts w:ascii="Arial" w:cs="Arial" w:eastAsia="Arial" w:hAnsi="Arial"/>
          <w:sz w:val="18"/>
          <w:szCs w:val="18"/>
          <w:color w:val="auto"/>
        </w:rPr>
      </w:pPr>
    </w:p>
    <w:p>
      <w:pPr>
        <w:jc w:val="both"/>
        <w:ind w:left="100" w:firstLine="643"/>
        <w:spacing w:after="0" w:line="258" w:lineRule="auto"/>
        <w:tabs>
          <w:tab w:leader="none" w:pos="165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Liens on cash balances of accounts maintained by the Borrower or any of its Subsidiaries organized outside of the United States with Bank Mendes Gans nv pursuant to the Cash Pooling Agreement dated July 9, 2003, as may be amended from time to time, or on cash balances of accounts maintained by the Borrower or any of its Subsidiaries organized outside of the United States with other lending institutions under substantially similar arrangements.</w:t>
      </w:r>
    </w:p>
    <w:p>
      <w:pPr>
        <w:spacing w:after="0" w:line="212" w:lineRule="exact"/>
        <w:rPr>
          <w:rFonts w:ascii="Arial" w:cs="Arial" w:eastAsia="Arial" w:hAnsi="Arial"/>
          <w:sz w:val="18"/>
          <w:szCs w:val="18"/>
          <w:color w:val="auto"/>
        </w:rPr>
      </w:pPr>
    </w:p>
    <w:p>
      <w:pPr>
        <w:jc w:val="both"/>
        <w:ind w:left="-540" w:firstLine="638"/>
        <w:spacing w:after="0" w:line="262" w:lineRule="auto"/>
        <w:tabs>
          <w:tab w:leader="none" w:pos="80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Mergers, Etc</w:t>
      </w:r>
      <w:r>
        <w:rPr>
          <w:rFonts w:ascii="Arial" w:cs="Arial" w:eastAsia="Arial" w:hAnsi="Arial"/>
          <w:sz w:val="18"/>
          <w:szCs w:val="18"/>
          <w:color w:val="auto"/>
        </w:rPr>
        <w:t>. Merge or consolidate with or into, or convey, transfer, lease or otherwise dispose of (whether in one transaction or in a series of transactions) all or substantially all of its assets (whether now owned or hereafter acquired) to, or acquire all or substantially all of the assets of, any Person, or permit any of its Subsidiaries to do so, other than:</w:t>
      </w:r>
    </w:p>
    <w:p>
      <w:pPr>
        <w:spacing w:after="0" w:line="209" w:lineRule="exact"/>
        <w:rPr>
          <w:rFonts w:ascii="Arial" w:cs="Arial" w:eastAsia="Arial" w:hAnsi="Arial"/>
          <w:sz w:val="18"/>
          <w:szCs w:val="18"/>
          <w:color w:val="auto"/>
        </w:rPr>
      </w:pPr>
    </w:p>
    <w:p>
      <w:pPr>
        <w:jc w:val="both"/>
        <w:ind w:left="100" w:firstLine="643"/>
        <w:spacing w:after="0" w:line="258" w:lineRule="auto"/>
        <w:tabs>
          <w:tab w:leader="none" w:pos="147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Borrower or any Subsidiary of the Borrower may, in the ordinary course of its business, acquire all or any portion of the stock of any Person conducting business primarily in the staffing or workforce management services industry or acquire all or substantially all of the assets used in the conduct by any Person of a staffing or workforce management services business (and assume the liabilities related to such assets);</w:t>
      </w:r>
    </w:p>
    <w:p>
      <w:pPr>
        <w:spacing w:after="0" w:line="212" w:lineRule="exact"/>
        <w:rPr>
          <w:rFonts w:ascii="Arial" w:cs="Arial" w:eastAsia="Arial" w:hAnsi="Arial"/>
          <w:sz w:val="18"/>
          <w:szCs w:val="18"/>
          <w:color w:val="auto"/>
        </w:rPr>
      </w:pPr>
    </w:p>
    <w:p>
      <w:pPr>
        <w:jc w:val="both"/>
        <w:ind w:left="100" w:firstLine="643"/>
        <w:spacing w:after="0" w:line="292" w:lineRule="auto"/>
        <w:tabs>
          <w:tab w:leader="none" w:pos="1496"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any Subsidiary of the Borrower or the Borrower may merge into or consolidate with, or transfer assets (including but not limited to stock or other equity interests of any Person) to or acquire the assets (including but not limited to stock or other equity interests of any Person) of any Subsidiary of the Borrower or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such merger or consolidation transaction to which the Borrower is a party, the Borrower shall be the surviving corporation; provided that, in each such case, immediately after giving effect to such proposed transaction, no Default shall exist (it being understood that in connection with any internal corporate restructuring of the Borrower, the Borrower may transfer assets to any of its Subsidiaries and may change its name); and</w:t>
      </w:r>
    </w:p>
    <w:p>
      <w:pPr>
        <w:spacing w:after="0" w:line="189" w:lineRule="exact"/>
        <w:rPr>
          <w:rFonts w:ascii="Arial" w:cs="Arial" w:eastAsia="Arial" w:hAnsi="Arial"/>
          <w:sz w:val="16"/>
          <w:szCs w:val="16"/>
          <w:color w:val="auto"/>
        </w:rPr>
      </w:pPr>
    </w:p>
    <w:p>
      <w:pPr>
        <w:ind w:left="1500" w:hanging="757"/>
        <w:spacing w:after="0"/>
        <w:tabs>
          <w:tab w:leader="none" w:pos="15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sales permitted pursuant to Section 5.02(c).</w:t>
      </w:r>
    </w:p>
    <w:p>
      <w:pPr>
        <w:spacing w:after="0" w:line="250" w:lineRule="exact"/>
        <w:rPr>
          <w:rFonts w:ascii="Arial" w:cs="Arial" w:eastAsia="Arial" w:hAnsi="Arial"/>
          <w:sz w:val="18"/>
          <w:szCs w:val="18"/>
          <w:color w:val="auto"/>
        </w:rPr>
      </w:pPr>
    </w:p>
    <w:p>
      <w:pPr>
        <w:jc w:val="both"/>
        <w:ind w:left="-540" w:firstLine="638"/>
        <w:spacing w:after="0" w:line="270" w:lineRule="auto"/>
        <w:tabs>
          <w:tab w:leader="none" w:pos="85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Sales, Etc. of Assets</w:t>
      </w:r>
      <w:r>
        <w:rPr>
          <w:rFonts w:ascii="Arial" w:cs="Arial" w:eastAsia="Arial" w:hAnsi="Arial"/>
          <w:sz w:val="17"/>
          <w:szCs w:val="17"/>
          <w:color w:val="auto"/>
        </w:rPr>
        <w:t>. Sell, lease, transfer or otherwise dispose of, or permit any of its Material Subsidiaries to sell, lease, transfer or otherwise dispose of, any material portion of its assets, including (without limitation) assets constituting any investment in any Subsidiary thereof or substantially all of the assets constituting the business of any division, branch or other unit operation thereof, except (i) in a transaction or a series of related transactions where the aggregate amount of the fair market value of all assets of the Borrower and its Subsidiaries sold, leased, assigned, transferred or otherwise disposed of in such transaction or transactions (as such fair market value is determined by the Board of Directors of the Borrower at the time of such transaction or transactions) does not exceed 15% of the Borrower’s Consolidated Tangible Assets, and the consideration received by the Borrower or any of its Subsidiaries in each such transaction shall constitute fair market value, or (ii) in connection with a transaction permitted by Section 5.02(b) or Section 5.02(d).</w:t>
      </w:r>
    </w:p>
    <w:p>
      <w:pPr>
        <w:spacing w:after="0" w:line="203" w:lineRule="exact"/>
        <w:rPr>
          <w:rFonts w:ascii="Arial" w:cs="Arial" w:eastAsia="Arial" w:hAnsi="Arial"/>
          <w:sz w:val="17"/>
          <w:szCs w:val="17"/>
          <w:color w:val="auto"/>
        </w:rPr>
      </w:pPr>
    </w:p>
    <w:p>
      <w:pPr>
        <w:jc w:val="both"/>
        <w:ind w:left="-540" w:firstLine="638"/>
        <w:spacing w:after="0" w:line="268" w:lineRule="auto"/>
        <w:tabs>
          <w:tab w:leader="none" w:pos="968"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Securitization Facilities</w:t>
      </w:r>
      <w:r>
        <w:rPr>
          <w:rFonts w:ascii="Arial" w:cs="Arial" w:eastAsia="Arial" w:hAnsi="Arial"/>
          <w:sz w:val="17"/>
          <w:szCs w:val="17"/>
          <w:color w:val="auto"/>
        </w:rPr>
        <w:t>. At any time sell, assign or otherwise dispose of all or any material portion of the Borrower’s or any Subsidiary’s accounts receivable, lease receivables or other rights to receive payment or income (any of the foregoing being a “</w:t>
      </w:r>
      <w:r>
        <w:rPr>
          <w:rFonts w:ascii="Arial" w:cs="Arial" w:eastAsia="Arial" w:hAnsi="Arial"/>
          <w:sz w:val="17"/>
          <w:szCs w:val="17"/>
          <w:u w:val="single" w:color="auto"/>
          <w:color w:val="auto"/>
        </w:rPr>
        <w:t>Receivable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in Section 5.02 to the contrary, the Borrower or any of its Subsidiaries may enter into one or more agreements contemplating the sale, assignment or other transfer of its Receivables, whether constituting a “true sale” or secured financing for accounting, tax or any other purpose (each, a “</w:t>
      </w:r>
      <w:r>
        <w:rPr>
          <w:rFonts w:ascii="Arial" w:cs="Arial" w:eastAsia="Arial" w:hAnsi="Arial"/>
          <w:sz w:val="17"/>
          <w:szCs w:val="17"/>
          <w:u w:val="single" w:color="auto"/>
          <w:color w:val="auto"/>
        </w:rPr>
        <w:t>Receivables Purchase Agreement</w:t>
      </w:r>
      <w:r>
        <w:rPr>
          <w:rFonts w:ascii="Arial" w:cs="Arial" w:eastAsia="Arial" w:hAnsi="Arial"/>
          <w:sz w:val="17"/>
          <w:szCs w:val="17"/>
          <w:color w:val="auto"/>
        </w:rPr>
        <w:t>”), so long as (i) the aggregate outstanding investment or claims held at any time by purchasers, assignees or other transferees of (or of interests in) Receivables under Receivables Purchase Agreements shall not exceed an amount equal to $500,000,000 and (ii) each sale, assignment or other transfer effected under or in connection with a Receivables Purchase Agreement shall be effected on a non-recourse or limited recourse basis; provided that in addition to such Receivables Purchase Agreements, the Borrower or any of its Subsidiaries may enter into one or more Receivables Purchase Agreements so long as the assets subject to such Receivables Purchase Agreement consist solely of accrued tax credits in France earned with respect to payroll and do not exceed an aggregate present value of $500,000,000.</w:t>
      </w:r>
    </w:p>
    <w:p>
      <w:pPr>
        <w:spacing w:after="0" w:line="206" w:lineRule="exact"/>
        <w:rPr>
          <w:rFonts w:ascii="Arial" w:cs="Arial" w:eastAsia="Arial" w:hAnsi="Arial"/>
          <w:sz w:val="17"/>
          <w:szCs w:val="17"/>
          <w:color w:val="auto"/>
        </w:rPr>
      </w:pPr>
    </w:p>
    <w:p>
      <w:pPr>
        <w:ind w:left="-540" w:firstLine="638"/>
        <w:spacing w:after="0" w:line="275" w:lineRule="auto"/>
        <w:tabs>
          <w:tab w:leader="none" w:pos="81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or permit any of its Consolidated Subsidiaries to make or permit, any change in accounting policies or reporting practices, except as required or permitted by generally accepted accounting principles.</w:t>
      </w:r>
    </w:p>
    <w:p>
      <w:pPr>
        <w:spacing w:after="0" w:line="197" w:lineRule="exact"/>
        <w:rPr>
          <w:rFonts w:ascii="Arial" w:cs="Arial" w:eastAsia="Arial" w:hAnsi="Arial"/>
          <w:sz w:val="18"/>
          <w:szCs w:val="18"/>
          <w:color w:val="auto"/>
        </w:rPr>
      </w:pPr>
    </w:p>
    <w:p>
      <w:pPr>
        <w:ind w:left="760" w:hanging="662"/>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Subsidiary Debt</w:t>
      </w:r>
      <w:r>
        <w:rPr>
          <w:rFonts w:ascii="Arial" w:cs="Arial" w:eastAsia="Arial" w:hAnsi="Arial"/>
          <w:sz w:val="18"/>
          <w:szCs w:val="18"/>
          <w:color w:val="auto"/>
        </w:rPr>
        <w:t>. Permit any of its Subsidiaries to create or suffer to exist, any Debt other than:</w:t>
      </w:r>
    </w:p>
    <w:p>
      <w:pPr>
        <w:spacing w:after="0" w:line="250" w:lineRule="exact"/>
        <w:rPr>
          <w:rFonts w:ascii="Arial" w:cs="Arial" w:eastAsia="Arial" w:hAnsi="Arial"/>
          <w:sz w:val="18"/>
          <w:szCs w:val="18"/>
          <w:color w:val="auto"/>
        </w:rPr>
      </w:pPr>
    </w:p>
    <w:p>
      <w:pPr>
        <w:ind w:left="1400" w:hanging="657"/>
        <w:spacing w:after="0"/>
        <w:tabs>
          <w:tab w:leader="none" w:pos="14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Debt owed to the Borrower or to a Subsidiary of the Borrower,</w:t>
      </w:r>
    </w:p>
    <w:p>
      <w:pPr>
        <w:spacing w:after="0" w:line="250" w:lineRule="exact"/>
        <w:rPr>
          <w:rFonts w:ascii="Arial" w:cs="Arial" w:eastAsia="Arial" w:hAnsi="Arial"/>
          <w:sz w:val="18"/>
          <w:szCs w:val="18"/>
          <w:color w:val="auto"/>
        </w:rPr>
      </w:pPr>
    </w:p>
    <w:p>
      <w:pPr>
        <w:jc w:val="both"/>
        <w:ind w:left="100" w:firstLine="643"/>
        <w:spacing w:after="0" w:line="340" w:lineRule="auto"/>
        <w:tabs>
          <w:tab w:leader="none" w:pos="1491" w:val="left"/>
        </w:tabs>
        <w:numPr>
          <w:ilvl w:val="1"/>
          <w:numId w:val="80"/>
        </w:numPr>
        <w:rPr>
          <w:rFonts w:ascii="Arial" w:cs="Arial" w:eastAsia="Arial" w:hAnsi="Arial"/>
          <w:sz w:val="16"/>
          <w:szCs w:val="16"/>
          <w:color w:val="auto"/>
        </w:rPr>
      </w:pPr>
      <w:r>
        <w:rPr>
          <w:rFonts w:ascii="Arial" w:cs="Arial" w:eastAsia="Arial" w:hAnsi="Arial"/>
          <w:sz w:val="16"/>
          <w:szCs w:val="16"/>
          <w:color w:val="auto"/>
        </w:rPr>
        <w:t>other Debt aggregating for all of the Borrower’s Subsidiaries not more than (A) $300,000,000 at any one time drawn and outstanding during each fiscal quarter ending March 31, June 30 and December 31 in each calendar year and (B) $600,000,000 at any one</w:t>
      </w:r>
    </w:p>
    <w:p>
      <w:pPr>
        <w:sectPr>
          <w:pgSz w:w="11900" w:h="16838" w:orient="portrait"/>
          <w:cols w:equalWidth="0" w:num="1">
            <w:col w:w="10220"/>
          </w:cols>
          <w:pgMar w:left="1440" w:top="125" w:right="239" w:bottom="0" w:gutter="0" w:footer="0" w:header="0"/>
        </w:sectPr>
      </w:pPr>
    </w:p>
    <w:bookmarkStart w:id="58" w:name="page59"/>
    <w:bookmarkEnd w:id="58"/>
    <w:p>
      <w:pPr>
        <w:ind w:left="1300"/>
        <w:spacing w:after="0"/>
        <w:rPr>
          <w:sz w:val="20"/>
          <w:szCs w:val="20"/>
          <w:color w:val="auto"/>
        </w:rPr>
      </w:pPr>
      <w:r>
        <w:rPr>
          <w:rFonts w:ascii="Arial" w:cs="Arial" w:eastAsia="Arial" w:hAnsi="Arial"/>
          <w:sz w:val="18"/>
          <w:szCs w:val="18"/>
          <w:color w:val="auto"/>
        </w:rPr>
        <w:t>time drawn and outstanding during each fiscal quarter ending September 30 in each calendar year,</w:t>
      </w:r>
    </w:p>
    <w:p>
      <w:pPr>
        <w:spacing w:after="0" w:line="250" w:lineRule="exact"/>
        <w:rPr>
          <w:sz w:val="20"/>
          <w:szCs w:val="20"/>
          <w:color w:val="auto"/>
        </w:rPr>
      </w:pPr>
    </w:p>
    <w:p>
      <w:pPr>
        <w:ind w:left="2720" w:hanging="777"/>
        <w:spacing w:after="0"/>
        <w:tabs>
          <w:tab w:leader="none" w:pos="27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indorsement of negotiable instruments for deposit or collection or similar transactions in the ordinary course of business,</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35" w:lineRule="exact"/>
        <w:rPr>
          <w:sz w:val="20"/>
          <w:szCs w:val="20"/>
          <w:color w:val="auto"/>
        </w:rPr>
      </w:pPr>
    </w:p>
    <w:p>
      <w:pPr>
        <w:ind w:left="2700" w:hanging="757"/>
        <w:spacing w:after="0"/>
        <w:tabs>
          <w:tab w:leader="none" w:pos="2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Debt which is, or would be permitted to be, secured by a Lien permitted under Section 5.02(a).</w:t>
      </w:r>
    </w:p>
    <w:p>
      <w:pPr>
        <w:spacing w:after="0" w:line="250" w:lineRule="exact"/>
        <w:rPr>
          <w:rFonts w:ascii="Arial" w:cs="Arial" w:eastAsia="Arial" w:hAnsi="Arial"/>
          <w:sz w:val="18"/>
          <w:szCs w:val="18"/>
          <w:color w:val="auto"/>
        </w:rPr>
      </w:pPr>
    </w:p>
    <w:p>
      <w:pPr>
        <w:ind w:left="660" w:right="20" w:firstLine="638"/>
        <w:spacing w:after="0" w:line="275" w:lineRule="auto"/>
        <w:tabs>
          <w:tab w:leader="none" w:pos="200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Make, or permit any of its Subsidiaries to make, any material change in the nature of its business as carried on at the date hereof.</w:t>
      </w:r>
    </w:p>
    <w:p>
      <w:pPr>
        <w:spacing w:after="0" w:line="198" w:lineRule="exact"/>
        <w:rPr>
          <w:sz w:val="20"/>
          <w:szCs w:val="20"/>
          <w:color w:val="auto"/>
        </w:rPr>
      </w:pPr>
    </w:p>
    <w:p>
      <w:pPr>
        <w:ind w:right="20" w:firstLine="1290"/>
        <w:spacing w:after="0" w:line="27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Financial Covenants</w:t>
      </w:r>
      <w:r>
        <w:rPr>
          <w:rFonts w:ascii="Arial" w:cs="Arial" w:eastAsia="Arial" w:hAnsi="Arial"/>
          <w:sz w:val="18"/>
          <w:szCs w:val="18"/>
          <w:color w:val="auto"/>
        </w:rPr>
        <w:t>. So long as any Advance shall remain unpaid or any Lender Party shall have any Commitment hereunder or any Letter of Credit shall be outstanding, the Borrower will:</w:t>
      </w:r>
    </w:p>
    <w:p>
      <w:pPr>
        <w:spacing w:after="0" w:line="198" w:lineRule="exact"/>
        <w:rPr>
          <w:sz w:val="20"/>
          <w:szCs w:val="20"/>
          <w:color w:val="auto"/>
        </w:rPr>
      </w:pPr>
    </w:p>
    <w:p>
      <w:pPr>
        <w:ind w:left="660" w:firstLine="638"/>
        <w:spacing w:after="0" w:line="275" w:lineRule="auto"/>
        <w:tabs>
          <w:tab w:leader="none" w:pos="205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Leverage Ratio</w:t>
      </w:r>
      <w:r>
        <w:rPr>
          <w:rFonts w:ascii="Arial" w:cs="Arial" w:eastAsia="Arial" w:hAnsi="Arial"/>
          <w:sz w:val="18"/>
          <w:szCs w:val="18"/>
          <w:color w:val="auto"/>
        </w:rPr>
        <w:t>. Maintain a ratio of Consolidated Adjusted Debt to Consolidated EBITDA as of the end of each fiscal quarter, in respect of the four-quarter period then ended, of not greater than 3.5 to 1.00.</w:t>
      </w:r>
    </w:p>
    <w:p>
      <w:pPr>
        <w:spacing w:after="0" w:line="197" w:lineRule="exact"/>
        <w:rPr>
          <w:rFonts w:ascii="Arial" w:cs="Arial" w:eastAsia="Arial" w:hAnsi="Arial"/>
          <w:sz w:val="18"/>
          <w:szCs w:val="18"/>
          <w:color w:val="auto"/>
        </w:rPr>
      </w:pPr>
    </w:p>
    <w:p>
      <w:pPr>
        <w:jc w:val="both"/>
        <w:ind w:left="660" w:firstLine="638"/>
        <w:spacing w:after="0" w:line="262" w:lineRule="auto"/>
        <w:tabs>
          <w:tab w:leader="none" w:pos="206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Maintain a ratio of (i) the sum of Consolidated EBITDA plus Consolidated Rental Expense to (ii) the sum of Consolidated Interest Expense and Consolidated Rental Expense as of the end of each fiscal quarter, in respect of the four-quarter period then ended, of not less than 1.50 to 1.00.</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250" w:lineRule="exact"/>
        <w:rPr>
          <w:sz w:val="20"/>
          <w:szCs w:val="20"/>
          <w:color w:val="auto"/>
        </w:rPr>
      </w:pPr>
    </w:p>
    <w:p>
      <w:pPr>
        <w:jc w:val="both"/>
        <w:ind w:left="660" w:firstLine="638"/>
        <w:spacing w:after="0" w:line="262" w:lineRule="auto"/>
        <w:tabs>
          <w:tab w:leader="none" w:pos="199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Advance when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209" w:lineRule="exact"/>
        <w:rPr>
          <w:rFonts w:ascii="Arial" w:cs="Arial" w:eastAsia="Arial" w:hAnsi="Arial"/>
          <w:sz w:val="18"/>
          <w:szCs w:val="18"/>
          <w:color w:val="auto"/>
        </w:rPr>
      </w:pPr>
    </w:p>
    <w:p>
      <w:pPr>
        <w:ind w:left="660" w:right="20" w:firstLine="638"/>
        <w:spacing w:after="0" w:line="275" w:lineRule="auto"/>
        <w:tabs>
          <w:tab w:leader="none" w:pos="22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the Borrower herein or by the Borrower (or any of its officers) in connection with this Agreement shall prove to have been incorrect in any material respect when made or deemed made; or</w:t>
      </w:r>
    </w:p>
    <w:p>
      <w:pPr>
        <w:spacing w:after="0" w:line="197" w:lineRule="exact"/>
        <w:rPr>
          <w:rFonts w:ascii="Arial" w:cs="Arial" w:eastAsia="Arial" w:hAnsi="Arial"/>
          <w:sz w:val="18"/>
          <w:szCs w:val="18"/>
          <w:color w:val="auto"/>
        </w:rPr>
      </w:pPr>
    </w:p>
    <w:p>
      <w:pPr>
        <w:jc w:val="both"/>
        <w:ind w:left="660" w:firstLine="638"/>
        <w:spacing w:after="0" w:line="258" w:lineRule="auto"/>
        <w:tabs>
          <w:tab w:leader="none" w:pos="20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The Borrower shall fail to perform or observe any term, covenant or agreement contained in Section 5.01(d), (e) or (h)(iii), 5.02 or 5.03, or (ii) the Borrower shall fail to perform or observe any other term, covenant or agreement contained in this Agreement on its part to be performed or observed if such failure shall remain unremedied for 30 days after written notice thereof shall have been given to the Borrower by the Agent or any Lender Party; or</w:t>
      </w:r>
    </w:p>
    <w:p>
      <w:pPr>
        <w:spacing w:after="0" w:line="212" w:lineRule="exact"/>
        <w:rPr>
          <w:rFonts w:ascii="Arial" w:cs="Arial" w:eastAsia="Arial" w:hAnsi="Arial"/>
          <w:sz w:val="18"/>
          <w:szCs w:val="18"/>
          <w:color w:val="auto"/>
        </w:rPr>
      </w:pPr>
    </w:p>
    <w:p>
      <w:pPr>
        <w:jc w:val="both"/>
        <w:ind w:left="660" w:firstLine="638"/>
        <w:spacing w:after="0" w:line="285" w:lineRule="auto"/>
        <w:tabs>
          <w:tab w:leader="none" w:pos="200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The Borrower or any of its Subsidiaries shall fail to pay any principal of or premium or interest on any Debt that is outstanding in a principal or notional amount of at least $50,000,000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this Section 6.01(d), in the case of (x) Debt of any Person (other than the Borrower or one of its Subsidiaries) which the Borrower or a Subsidiary has guaranteed and (y) Debt of Persons (other than the Borrower or one of its Subsidiaries) the payment of which is secured by a Lien on property of the Borrower or one of its Subsidiaries, such Debt shall be deemed to have not been paid when due or to have been declared to be due and payable only when the Borrower or its Subsidiary, as the case may be, shall have failed to pay when due any amount which it shall be obligated to pay with respect to such Debt; or</w:t>
      </w:r>
    </w:p>
    <w:p>
      <w:pPr>
        <w:spacing w:after="0" w:line="197" w:lineRule="exact"/>
        <w:rPr>
          <w:rFonts w:ascii="Arial" w:cs="Arial" w:eastAsia="Arial" w:hAnsi="Arial"/>
          <w:sz w:val="16"/>
          <w:szCs w:val="16"/>
          <w:color w:val="auto"/>
        </w:rPr>
      </w:pPr>
    </w:p>
    <w:p>
      <w:pPr>
        <w:jc w:val="both"/>
        <w:ind w:left="660" w:firstLine="638"/>
        <w:spacing w:after="0" w:line="252" w:lineRule="auto"/>
        <w:tabs>
          <w:tab w:leader="none" w:pos="210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Borrower or any of its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or any of its Subsidiaries shall take any corporate action to authorize any of the actions set forth above in this subsection (e); or</w:t>
      </w:r>
    </w:p>
    <w:p>
      <w:pPr>
        <w:spacing w:after="0" w:line="219" w:lineRule="exact"/>
        <w:rPr>
          <w:rFonts w:ascii="Arial" w:cs="Arial" w:eastAsia="Arial" w:hAnsi="Arial"/>
          <w:sz w:val="18"/>
          <w:szCs w:val="18"/>
          <w:color w:val="auto"/>
        </w:rPr>
      </w:pPr>
    </w:p>
    <w:p>
      <w:pPr>
        <w:jc w:val="both"/>
        <w:ind w:left="660" w:firstLine="638"/>
        <w:spacing w:after="0" w:line="258" w:lineRule="auto"/>
        <w:tabs>
          <w:tab w:leader="none" w:pos="2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Judgments or orders for the payment of money in excess of $50,000,000 in the aggregate shall be rendered against and remain unpaid by the Borrower or any of its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or</w:t>
      </w:r>
    </w:p>
    <w:p>
      <w:pPr>
        <w:spacing w:after="0" w:line="212" w:lineRule="exact"/>
        <w:rPr>
          <w:rFonts w:ascii="Arial" w:cs="Arial" w:eastAsia="Arial" w:hAnsi="Arial"/>
          <w:sz w:val="18"/>
          <w:szCs w:val="18"/>
          <w:color w:val="auto"/>
        </w:rPr>
      </w:pPr>
    </w:p>
    <w:p>
      <w:pPr>
        <w:jc w:val="both"/>
        <w:ind w:left="660" w:firstLine="638"/>
        <w:spacing w:after="0" w:line="258" w:lineRule="auto"/>
        <w:tabs>
          <w:tab w:leader="none" w:pos="20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non-monetary judgment or order shall be rendered against the Borrower or any of its Subsidiaries that is reasonably expected to have a Material Adverse Effect, and enforcement proceedings shall have been commenced by any Person upon such judgment or order and there shall be any period of 10 consecutive days during which a stay of enforcement of such judgment or order, by reason of a pending appeal or otherwise, shall not be in effect; or</w:t>
      </w:r>
    </w:p>
    <w:p>
      <w:pPr>
        <w:sectPr>
          <w:pgSz w:w="11900" w:h="16838" w:orient="portrait"/>
          <w:cols w:equalWidth="0" w:num="1">
            <w:col w:w="11420"/>
          </w:cols>
          <w:pgMar w:left="240" w:top="125" w:right="239" w:bottom="0" w:gutter="0" w:footer="0" w:header="0"/>
        </w:sectPr>
      </w:pPr>
    </w:p>
    <w:bookmarkStart w:id="59" w:name="page60"/>
    <w:bookmarkEnd w:id="59"/>
    <w:p>
      <w:pPr>
        <w:jc w:val="both"/>
        <w:ind w:left="660" w:right="20" w:firstLine="638"/>
        <w:spacing w:after="0" w:line="286" w:lineRule="auto"/>
        <w:tabs>
          <w:tab w:leader="none" w:pos="2007" w:val="left"/>
        </w:tabs>
        <w:numPr>
          <w:ilvl w:val="1"/>
          <w:numId w:val="86"/>
        </w:numPr>
        <w:rPr>
          <w:rFonts w:ascii="Arial" w:cs="Arial" w:eastAsia="Arial" w:hAnsi="Arial"/>
          <w:sz w:val="16"/>
          <w:szCs w:val="16"/>
          <w:color w:val="auto"/>
        </w:rPr>
      </w:pPr>
      <w:r>
        <w:rPr>
          <w:rFonts w:ascii="Arial" w:cs="Arial" w:eastAsia="Arial" w:hAnsi="Arial"/>
          <w:sz w:val="16"/>
          <w:szCs w:val="16"/>
          <w:color w:val="auto"/>
        </w:rPr>
        <w:t>(i) Any Person or two or more Persons acting in concert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25% or more of the combined voting power of all Voting Stock of the Borrower; or</w:t>
      </w:r>
    </w:p>
    <w:p>
      <w:pPr>
        <w:spacing w:after="0" w:line="2" w:lineRule="exact"/>
        <w:rPr>
          <w:rFonts w:ascii="Arial" w:cs="Arial" w:eastAsia="Arial" w:hAnsi="Arial"/>
          <w:sz w:val="16"/>
          <w:szCs w:val="16"/>
          <w:color w:val="auto"/>
        </w:rPr>
      </w:pPr>
    </w:p>
    <w:p>
      <w:pPr>
        <w:jc w:val="both"/>
        <w:ind w:left="660" w:hanging="7"/>
        <w:spacing w:after="0" w:line="287" w:lineRule="auto"/>
        <w:tabs>
          <w:tab w:leader="none" w:pos="935" w:val="left"/>
        </w:tabs>
        <w:numPr>
          <w:ilvl w:val="0"/>
          <w:numId w:val="87"/>
        </w:numPr>
        <w:rPr>
          <w:rFonts w:ascii="Arial" w:cs="Arial" w:eastAsia="Arial" w:hAnsi="Arial"/>
          <w:sz w:val="16"/>
          <w:szCs w:val="16"/>
          <w:color w:val="auto"/>
        </w:rPr>
      </w:pPr>
      <w:r>
        <w:rPr>
          <w:rFonts w:ascii="Arial" w:cs="Arial" w:eastAsia="Arial" w:hAnsi="Arial"/>
          <w:sz w:val="16"/>
          <w:szCs w:val="16"/>
          <w:color w:val="auto"/>
        </w:rPr>
        <w:t>during any period of up to 24 consecutive months, commencing before or after the date of this Agreement, individuals who at the beginning of such 24-month period were directors of the Borrower shall cease for any reason to constitute a majority of the board of directors of the Borrower (except to the extent that individuals who at the beginning of such 24-month period were replaced by individuals (x) elected by 66-2/3% of the remaining members of the board of directors of the Borrower or (y) nominated for election by a majority of the remaining members of the board of directors of the Borrower and thereafter elected as directors by the shareholders of the Borrower) ; or (iii) any Person or two or more Persons acting in concert shall have acquired by contract or otherwise, or shall have entered into a contract or arrangement that, upon consummation, will result in its or their acquisition of the power to exercise, directly or indirectly, a controlling influence over the management or policies of the Borrower; or</w:t>
      </w:r>
    </w:p>
    <w:p>
      <w:pPr>
        <w:spacing w:after="0" w:line="192" w:lineRule="exact"/>
        <w:rPr>
          <w:rFonts w:ascii="Arial" w:cs="Arial" w:eastAsia="Arial" w:hAnsi="Arial"/>
          <w:sz w:val="16"/>
          <w:szCs w:val="16"/>
          <w:color w:val="auto"/>
        </w:rPr>
      </w:pPr>
    </w:p>
    <w:p>
      <w:pPr>
        <w:jc w:val="both"/>
        <w:ind w:left="660" w:firstLine="638"/>
        <w:spacing w:after="0" w:line="285" w:lineRule="auto"/>
        <w:tabs>
          <w:tab w:leader="none" w:pos="2013"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Borrower or any of its ERISA Affiliates shall incur, or shall be reasonably likely to incur liability in excess of $50,000,000 in the aggregate as a result of one or more of the following: (i) the occurrence of any ERISA Event; (ii) the partial or complete withdrawal of the Borrower or any of its ERISA Affiliates from a Multiemployer Plan; or (iii) the reorganization or termination of a Multiemployer Plan;</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then, and in any such event, the Agent (i) shall at the request, or may with the consent, of the Required Lenders, by notice to the Borrower, declare the obligation of each Lender Party to make Advances (other than Letter of Credit Advances by an Issuing Bank or a Lender pursuant to Section 2.04(c)) and of any Issuing Bank to issue Letters of Credit to be terminated, whereupon the same shall forthwith terminate, and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the Borrower under the Federal Bankruptcy Code, (A) the obligation of each Lender Party to make Advances (other than Letter of Credit Advances by any Issuing Bank or a Lender pursuant to Section 2.04(c)) and of the Issuing Banks to issue Letters of Credit shall automatically be terminated and (B) the Advances, all such interest and all such amounts shall automatically become and be due and payable, without presentment, demand, protest or any notice of any kind, all of which are hereby expressly waived by the Borrower.</w:t>
      </w:r>
    </w:p>
    <w:p>
      <w:pPr>
        <w:spacing w:after="0" w:line="193"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Actions in Respect of the Letters of Credit upon Default</w:t>
      </w:r>
      <w:r>
        <w:rPr>
          <w:rFonts w:ascii="Arial" w:cs="Arial" w:eastAsia="Arial" w:hAnsi="Arial"/>
          <w:sz w:val="17"/>
          <w:szCs w:val="17"/>
          <w:color w:val="auto"/>
        </w:rPr>
        <w:t>. If any Event of Default shall have occurred and be continuing, the Agent may with the consent, or shall at the request, of the Required Lenders, irrespective of whether it is taking any of the actions described in Section 6.01 or otherwise, make demand upon the Borrower to, and forthwith upon such demand the Borrower will, (a) pay to the Agent on behalf of the Lender Parties in same day funds at the Agent’s office designated in such demand, for deposit in the L/C Cash Collateral Account, an amount equal to the aggregate Available Amount of all Letters of Credit then outstanding (but only to the extent such Available Amount has not already been Cash Collateralized) or (b) make such other arrangements in respect of the outstanding Letters of Credit as shall be acceptable to the Required Lenders. If at any time the Agent determines that any funds held in the L/C Cash Collateral Account are subject to any right or claim of any Person other than the Agent and the Lender Parties or that the total amount of such funds is less than the aggregate Available Amount of all Letters of Credit, the Borrower will, forthwith upon demand by the Agent, pay to the Agent, as additional funds to be deposited and held in the L/C Cash Collateral Account, an amount equal to the excess of (a) such aggregate Available Amount over (b) the total amount of funds, if any, then held in the L/C Cash Collateral Account that the Agent determines to be free and clear of any such right and claim. Upon the drawing of any Letter of Credit, to the extent funds are on deposit in the L/C Cash Collateral Account, such funds shall be applied to reimburse the Issuing Banks to the extent permitted by applicable law.</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AGENT</w:t>
      </w:r>
    </w:p>
    <w:p>
      <w:pPr>
        <w:spacing w:after="0" w:line="250"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 Each of the Lender Parties hereby irrevocably appoints Citibank to act on its behalf as the Agent hereunder and under the Notes and authorizes the Agent to take such actions on its behalf and to exercise such powers as are delegated to the Agent by the terms hereof, together with such actions and powers as are reasonably incidental thereto. The provisions of this Article are solely for the benefit of the Agent and the Lender Parties, and the Borrower shall not have rights as a third-party beneficiary of any of such provisions. It is understood and agreed that the use of the term “agent” herein or in any Note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3"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the Agent hereunder shall have the same rights and powers in its capacity as a Lender Party as any other Lender Party and may exercise the same as though it were not the Agent, and the term “Lender Party” or “Lender Parties”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Agent hereunder and without any duty to account therefor to the Lender Parties.</w:t>
      </w:r>
    </w:p>
    <w:p>
      <w:pPr>
        <w:spacing w:after="0" w:line="218"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(a) The Agent shall not have any duties or obligations except those expressly set forth herein, and its duties hereunder shall be administrative in nature. Without limiting the generality of the foregoing, the Agent:</w:t>
      </w:r>
    </w:p>
    <w:p>
      <w:pPr>
        <w:spacing w:after="0" w:line="198" w:lineRule="exact"/>
        <w:rPr>
          <w:sz w:val="20"/>
          <w:szCs w:val="20"/>
          <w:color w:val="auto"/>
        </w:rPr>
      </w:pPr>
    </w:p>
    <w:p>
      <w:pPr>
        <w:ind w:left="2900" w:hanging="957"/>
        <w:spacing w:after="0"/>
        <w:tabs>
          <w:tab w:leader="none" w:pos="2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continuing;</w:t>
      </w:r>
    </w:p>
    <w:p>
      <w:pPr>
        <w:spacing w:after="0" w:line="235" w:lineRule="exact"/>
        <w:rPr>
          <w:rFonts w:ascii="Arial" w:cs="Arial" w:eastAsia="Arial" w:hAnsi="Arial"/>
          <w:sz w:val="17"/>
          <w:szCs w:val="17"/>
          <w:color w:val="auto"/>
        </w:rPr>
      </w:pPr>
    </w:p>
    <w:p>
      <w:pPr>
        <w:jc w:val="both"/>
        <w:ind w:left="1300" w:firstLine="643"/>
        <w:spacing w:after="0" w:line="292" w:lineRule="auto"/>
        <w:tabs>
          <w:tab w:leader="none" w:pos="2715"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except discretionary rights and powers expressly contemplated hereby that the Agent is required to exercise as directed in writing by the Required Lenders (or such other number or percentage of the Lenders as shall be expressly provided for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Agent shall not be required to take any action that, in its opinion or the opinion of its counsel, may expose the Agent to liability or that is contrary to this Agreement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9" w:lineRule="exact"/>
        <w:rPr>
          <w:rFonts w:ascii="Arial" w:cs="Arial" w:eastAsia="Arial" w:hAnsi="Arial"/>
          <w:sz w:val="16"/>
          <w:szCs w:val="16"/>
          <w:color w:val="auto"/>
        </w:rPr>
      </w:pPr>
    </w:p>
    <w:p>
      <w:pPr>
        <w:jc w:val="both"/>
        <w:ind w:left="1300" w:firstLine="643"/>
        <w:spacing w:after="0" w:line="262" w:lineRule="auto"/>
        <w:tabs>
          <w:tab w:leader="none" w:pos="2725"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shall not, except as expressly set forth herein, have any duty to disclose, and shall not be liable for the failure to disclose, any information relating to the Borrower or any of its Affiliates that is communicated to or obtained by the Person serving as the Agent or any of its Affiliates in any capacity.</w:t>
      </w:r>
    </w:p>
    <w:p>
      <w:pPr>
        <w:sectPr>
          <w:pgSz w:w="11900" w:h="16838" w:orient="portrait"/>
          <w:cols w:equalWidth="0" w:num="1">
            <w:col w:w="11420"/>
          </w:cols>
          <w:pgMar w:left="240" w:top="125" w:right="239" w:bottom="0" w:gutter="0" w:footer="0" w:header="0"/>
        </w:sectPr>
      </w:pPr>
    </w:p>
    <w:bookmarkStart w:id="60" w:name="page61"/>
    <w:bookmarkEnd w:id="60"/>
    <w:p>
      <w:pPr>
        <w:spacing w:after="0" w:line="140" w:lineRule="exact"/>
        <w:rPr>
          <w:sz w:val="20"/>
          <w:szCs w:val="20"/>
          <w:color w:val="auto"/>
        </w:rPr>
      </w:pPr>
    </w:p>
    <w:p>
      <w:pPr>
        <w:jc w:val="both"/>
        <w:ind w:firstLine="1298"/>
        <w:spacing w:after="0" w:line="255" w:lineRule="auto"/>
        <w:tabs>
          <w:tab w:leader="none" w:pos="2045"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8.01 and 6.01), or (ii) in the absence of its own gross negligence or willful misconduct as determined by a court of competent jurisdiction by final and nonappealable judgment. The Agent shall be deemed not to have knowledge of any Default unless and until notice describing such Default is given to the Agent in writing by the Borrower or a Lender.</w:t>
      </w:r>
    </w:p>
    <w:p>
      <w:pPr>
        <w:spacing w:after="0" w:line="217" w:lineRule="exact"/>
        <w:rPr>
          <w:rFonts w:ascii="Arial" w:cs="Arial" w:eastAsia="Arial" w:hAnsi="Arial"/>
          <w:sz w:val="18"/>
          <w:szCs w:val="18"/>
          <w:color w:val="auto"/>
        </w:rPr>
      </w:pPr>
    </w:p>
    <w:p>
      <w:pPr>
        <w:jc w:val="both"/>
        <w:ind w:firstLine="1298"/>
        <w:spacing w:after="0" w:line="285" w:lineRule="auto"/>
        <w:tabs>
          <w:tab w:leader="none" w:pos="2071"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Agent shall not be responsible for or have any duty to ascertain or inquire into (i) any statement, warranty or representation made in or in connection with this Agreement,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agreement, instrument or document, or</w:t>
      </w:r>
    </w:p>
    <w:p>
      <w:pPr>
        <w:ind w:firstLine="8"/>
        <w:spacing w:after="0" w:line="258" w:lineRule="auto"/>
        <w:tabs>
          <w:tab w:leader="none" w:pos="2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satisfaction of any condition set forth in Article III or elsewhere herein, other than to confirm receipt of items expressly required to be delivered to the Agent.</w:t>
      </w:r>
    </w:p>
    <w:p>
      <w:pPr>
        <w:spacing w:after="0" w:line="213" w:lineRule="exact"/>
        <w:rPr>
          <w:sz w:val="20"/>
          <w:szCs w:val="20"/>
          <w:color w:val="auto"/>
        </w:rPr>
      </w:pPr>
    </w:p>
    <w:p>
      <w:pPr>
        <w:jc w:val="both"/>
        <w:ind w:firstLine="1290"/>
        <w:spacing w:after="0" w:line="288"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Reliance by Agent</w:t>
      </w:r>
      <w:r>
        <w:rPr>
          <w:rFonts w:ascii="Arial" w:cs="Arial" w:eastAsia="Arial" w:hAnsi="Arial"/>
          <w:sz w:val="16"/>
          <w:szCs w:val="16"/>
          <w:color w:val="auto"/>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an Advance, or the issuance, extension, renewal or increase of a Letter of Credit, that by its terms must be fulfilled to the satisfaction of a Lender or an Issuing Bank, the Agent may presume that such condition is satisfactory to such Lender or Issuing Bank unless the Agent shall have received notice to the contrary from such Lender or Issuing Bank prior to the making of such Advance or the issuance of such Letter of Credit.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1"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Indemnification</w:t>
      </w:r>
      <w:r>
        <w:rPr>
          <w:rFonts w:ascii="Arial" w:cs="Arial" w:eastAsia="Arial" w:hAnsi="Arial"/>
          <w:sz w:val="16"/>
          <w:szCs w:val="16"/>
          <w:color w:val="auto"/>
        </w:rPr>
        <w:t>. (a) Each Lender Party severally agrees to indemnify the Agent (to the extent not reimbursed by the Borrower), ratably according to the respective principal amounts of the Revolving Credit Advances and Letter of Credit Advances owed to each of them (or if no Revolving Credit Advances and Letter of Credit Advances are at the time outstanding,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(collectively, the “</w:t>
      </w:r>
      <w:r>
        <w:rPr>
          <w:rFonts w:ascii="Arial" w:cs="Arial" w:eastAsia="Arial" w:hAnsi="Arial"/>
          <w:sz w:val="16"/>
          <w:szCs w:val="16"/>
          <w:u w:val="single" w:color="auto"/>
          <w:color w:val="auto"/>
        </w:rPr>
        <w:t>Indemnified Costs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Party shall be liable for any portion of the Indemnified Costs resulting from the Agent’s gross negligence or willful misconduct. Without limitation of the foregoing, each Lender Party agrees to reimburse the Agent promptly upon demand for its ratable share of any out-of-pocket expenses (including reasonable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 In the case of any investigation, litigation or proceeding giving rise to any Indemnified Costs, this Section 7.05 applies whether any such investigation, litigation or proceeding is brought by the Agent, any Lender Party or a third party.</w:t>
      </w:r>
    </w:p>
    <w:p>
      <w:pPr>
        <w:spacing w:after="0" w:line="201" w:lineRule="exact"/>
        <w:rPr>
          <w:sz w:val="20"/>
          <w:szCs w:val="20"/>
          <w:color w:val="auto"/>
        </w:rPr>
      </w:pPr>
    </w:p>
    <w:p>
      <w:pPr>
        <w:jc w:val="both"/>
        <w:ind w:firstLine="1298"/>
        <w:spacing w:after="0" w:line="288" w:lineRule="auto"/>
        <w:tabs>
          <w:tab w:leader="none" w:pos="2036"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Each Lender Party severally agrees to indemnify the Issuing Banks (to the extent not promptly reimbursed by the Borrower) from and against such Lender Party’s ratable share (determined as provided below) of any and all liabilities, obligations, losses, damages, penalties, actions, judgments, suits, costs, expenses or disbursements of any kind or nature whatsoever that may be imposed on, incurred by, or asserted against any such Issuing Bank in any way relating to or arising out of this Agreement or any action taken or omitted by such Issuing Bank hereunder or in connection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no Lender Party shall be liable for any portion of such liabilities, obligations, losses, damages, penalties, actions, judgments, suits, costs, expenses or disbursements resulting from such Issuing Bank’s gross negligence or willful misconduct as found in a final, non-appealable judgment by a court of competent jurisdiction. Without limitation of the foregoing, each Lender Party agrees to reimburse any such Issuing Bank promptly upon demand for its ratable share of any costs and expenses (including, without limitation, fees and expenses of counsel) payable by the Borrower under Section 8.04, to the extent that such Issuing Bank is not promptly reimbursed for such costs and expenses by the Borrower.</w:t>
      </w:r>
    </w:p>
    <w:p>
      <w:pPr>
        <w:spacing w:after="0" w:line="190" w:lineRule="exact"/>
        <w:rPr>
          <w:rFonts w:ascii="Arial" w:cs="Arial" w:eastAsia="Arial" w:hAnsi="Arial"/>
          <w:sz w:val="16"/>
          <w:szCs w:val="16"/>
          <w:color w:val="auto"/>
        </w:rPr>
      </w:pPr>
    </w:p>
    <w:p>
      <w:pPr>
        <w:jc w:val="both"/>
        <w:ind w:firstLine="1298"/>
        <w:spacing w:after="0" w:line="268" w:lineRule="auto"/>
        <w:tabs>
          <w:tab w:leader="none" w:pos="210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For purposes of this Section 7.05, the Lender Parties’ respective ratable shares of any amount shall be determined, at any time, according to the sum of (i) the aggregate principal amount of the Advances outstanding at such time and owing to the respective Lender Parties, (ii) their respective Pro Rata Shares of the aggregate Available Amount of all Letters of Credit outstanding at such time and (iii) their respective Unused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principal amount of Letter of Credit Advances owing to the Issuing Banks shall be considered to be owed to the Lenders ratably in accordance with their respective Revolving Commitments. The failure of any Lender Party to reimburse the Agent or any such Issuing Bank, as the case may be, promptly upon demand for its ratable share of any amount required to be paid by the Lender Parties to such Agent or such Issuing Bank, as the case may be, as provided herein shall not relieve any other Lender Party of its obligation hereunder to reimburse such Agent or Issuing Bank, as the case may be, for its ratable share of such amount, but no Lender Party shall be responsible for the failure of any other Lender Party to reimburse the Agent or any such Issuing Bank, as the case may be, for such other Lender Party’s ratable share of such amount. Without prejudice to the survival of any other agreement of any Lender Party hereunder, the agreement and obligations of each Lender Party contained in this Section 7.05 shall survive the payment in full of principal, interest and all other amounts payable hereunder and under the Notes.</w:t>
      </w:r>
    </w:p>
    <w:p>
      <w:pPr>
        <w:spacing w:after="0" w:line="207"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Agent may perform any and all of its duties and exercise its rights and powers hereunder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The Agent shall not be responsible for the negligence or misconduct of any sub-agents except to the extent that a court of competent jurisdiction determines in a final and non appealable judgment that the Agent acted with gross negligence or willful misconduct in the selection of such sub-agents.</w:t>
      </w:r>
    </w:p>
    <w:p>
      <w:pPr>
        <w:spacing w:after="0" w:line="218" w:lineRule="exact"/>
        <w:rPr>
          <w:sz w:val="20"/>
          <w:szCs w:val="20"/>
          <w:color w:val="auto"/>
        </w:rPr>
      </w:pPr>
    </w:p>
    <w:p>
      <w:pPr>
        <w:jc w:val="both"/>
        <w:ind w:firstLine="1290"/>
        <w:spacing w:after="0" w:line="270"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Resignation of Agent</w:t>
      </w:r>
      <w:r>
        <w:rPr>
          <w:rFonts w:ascii="Arial" w:cs="Arial" w:eastAsia="Arial" w:hAnsi="Arial"/>
          <w:sz w:val="17"/>
          <w:szCs w:val="17"/>
          <w:color w:val="auto"/>
        </w:rPr>
        <w:t>. (a) The Agent may at any time give notice of its resignation to the Lender Parties and the Borrower. Upon receipt of any such notice of resignation, the Required Lenders shall have the right, so long as no Default has occurred and is continuing, with the consent of the Borrower (which consent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Agent may (but shall not be obligated to), on behalf of the Lender Parties, appoint a successor Agent meeting the qualifications set forth above. Whether or not a successor has been appointed, such resignation shall become effective in accordance with such notice on the Resignation Effective Date.</w:t>
      </w:r>
    </w:p>
    <w:p>
      <w:pPr>
        <w:spacing w:after="0" w:line="203" w:lineRule="exact"/>
        <w:rPr>
          <w:sz w:val="20"/>
          <w:szCs w:val="20"/>
          <w:color w:val="auto"/>
        </w:rPr>
      </w:pPr>
    </w:p>
    <w:p>
      <w:pPr>
        <w:jc w:val="both"/>
        <w:ind w:firstLine="1298"/>
        <w:spacing w:after="0" w:line="340" w:lineRule="auto"/>
        <w:tabs>
          <w:tab w:leader="none" w:pos="201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Person serving as Agent is a Defaulting Lender pursuant to clause (v) of the definition thereof, the Required Lenders may, to the extent permitted by applicable law, by notice in writing to the Borrower and such Person remove such Person as Agent and, so long as no Default has</w:t>
      </w:r>
    </w:p>
    <w:p>
      <w:pPr>
        <w:sectPr>
          <w:pgSz w:w="11900" w:h="16978" w:orient="portrait"/>
          <w:cols w:equalWidth="0" w:num="1">
            <w:col w:w="11420"/>
          </w:cols>
          <w:pgMar w:left="240" w:top="125" w:right="239" w:bottom="0" w:gutter="0" w:footer="0" w:header="0"/>
        </w:sectPr>
      </w:pPr>
    </w:p>
    <w:bookmarkStart w:id="61" w:name="page62"/>
    <w:bookmarkEnd w:id="61"/>
    <w:p>
      <w:pPr>
        <w:jc w:val="both"/>
        <w:spacing w:after="0" w:line="258" w:lineRule="auto"/>
        <w:rPr>
          <w:sz w:val="20"/>
          <w:szCs w:val="20"/>
          <w:color w:val="auto"/>
        </w:rPr>
      </w:pPr>
      <w:r>
        <w:rPr>
          <w:rFonts w:ascii="Arial" w:cs="Arial" w:eastAsia="Arial" w:hAnsi="Arial"/>
          <w:sz w:val="18"/>
          <w:szCs w:val="18"/>
          <w:color w:val="auto"/>
        </w:rPr>
        <w:t>occurred and is continuing, with the consent of the Borrower (which consent shall not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212" w:lineRule="exact"/>
        <w:rPr>
          <w:sz w:val="20"/>
          <w:szCs w:val="20"/>
          <w:color w:val="auto"/>
        </w:rPr>
      </w:pPr>
    </w:p>
    <w:p>
      <w:pPr>
        <w:jc w:val="both"/>
        <w:ind w:firstLine="1298"/>
        <w:spacing w:after="0" w:line="268" w:lineRule="auto"/>
        <w:tabs>
          <w:tab w:leader="none" w:pos="2063" w:val="left"/>
        </w:tabs>
        <w:numPr>
          <w:ilvl w:val="0"/>
          <w:numId w:val="93"/>
        </w:numPr>
        <w:rPr>
          <w:rFonts w:ascii="Arial" w:cs="Arial" w:eastAsia="Arial" w:hAnsi="Arial"/>
          <w:sz w:val="17"/>
          <w:szCs w:val="17"/>
          <w:color w:val="auto"/>
        </w:rPr>
      </w:pPr>
      <w:r>
        <w:rPr>
          <w:rFonts w:ascii="Arial" w:cs="Arial" w:eastAsia="Arial" w:hAnsi="Arial"/>
          <w:sz w:val="17"/>
          <w:szCs w:val="17"/>
          <w:color w:val="auto"/>
        </w:rPr>
        <w:t>With effect from the Resignation Effective Date or the Removal Effective Date (as applicable) (1) the retiring or removed Agent shall be discharged from its duties and obligations hereunder (except that in the case of any Cash Collateral held by the Agent on behalf of the Lenders or the Issuing Banks hereunder, the retiring or removed Agent shall continue to hold such Cash Collateral until such time as a successor Agent is appointed) and (2) all payments, communications and determinations provided to be made by, to or through the Agent shall instead be made by or to each Lender and Issuing Bank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and the retiring or removed Agent shall be discharged from all of its duties and obligations hereunder. The fees payable by the Borrower to a successor Agent shall be the same as those payable to its predecessor unless otherwise agreed between the Borrower and such successor. After the retiring or removed Agent’s resignation or removal hereunder, the provisions of this Article and Section 8.04 shall continue in effect for the benefit of such retiring or removed Agent, its sub-agents and their respective Related Parties in respect of any actions taken or omitted to be taken by any of them while the retiring or removed Agent was acting as Agent.</w:t>
      </w:r>
    </w:p>
    <w:p>
      <w:pPr>
        <w:spacing w:after="0" w:line="206" w:lineRule="exact"/>
        <w:rPr>
          <w:rFonts w:ascii="Arial" w:cs="Arial" w:eastAsia="Arial" w:hAnsi="Arial"/>
          <w:sz w:val="17"/>
          <w:szCs w:val="17"/>
          <w:color w:val="auto"/>
        </w:rPr>
      </w:pPr>
    </w:p>
    <w:p>
      <w:pPr>
        <w:jc w:val="both"/>
        <w:ind w:firstLine="1298"/>
        <w:spacing w:after="0" w:line="271" w:lineRule="auto"/>
        <w:tabs>
          <w:tab w:leader="none" w:pos="207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resignation pursuant to this Section by a Person acting as Agent shall, unless such Person shall notify the Borrower and the Lenders otherwise, also act to relieve such Person and its Affiliates of any obligation to advance or issue new, or extend existing, Letters of Credit where such advance, issuance or extension is to occur on or after the effective date of such resignation. Upon the acceptance of a successor’s appointment as Agent hereunder, (i) such successor shall succeed to and become vested with all of the rights, powers, privileges and duties of the retiring Issuing Bank, (ii) the retiring Issuing Bank shall be discharged from all of its duties and obligations hereunder and (iii)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203"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Non-Reliance on Agent and Other Lenders</w:t>
      </w:r>
      <w:r>
        <w:rPr>
          <w:rFonts w:ascii="Arial" w:cs="Arial" w:eastAsia="Arial" w:hAnsi="Arial"/>
          <w:sz w:val="18"/>
          <w:szCs w:val="18"/>
          <w:color w:val="auto"/>
        </w:rPr>
        <w:t>. Each Lender Party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Party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or any related agreement or any document furnished hereunder or thereunder.</w:t>
      </w:r>
    </w:p>
    <w:p>
      <w:pPr>
        <w:spacing w:after="0" w:line="218"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the Bookrunners, Arrangers, Syndication Agents or Documentation Agents listed on the cover page hereof shall have any powers, duties or responsibilities under this Agreement, except in its capacity, as applicable, as the Agent or a Lender hereunder.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50"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Agreement or the Notes,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no amendment, waiver or consent shall, unless in writing and signed by all the Lenders, do any of the following: (i) waive any of the conditions specified in Section 3.01, (ii) change the definition of “Required Lenders”, the percentage of the Commitments or of the aggregate unpaid principal amount of the Advances, or the number of Lenders, that shall be required for the Lenders or any of them to take any action hereunder or (iii) amend this Section 8.01 and (b) no amendment, waiver or consent shall, unless in writing and signed by each Lender directly affected thereby, do any of the following: (i) increase the Commitments of such Lender, (ii) reduce the principal of, or rate of interest on, the Advances or any fees or other amounts payable hereunder or (iii) postpone any date fixed for any payment of principal of, or interest on, the Advances or any fees or other amounts payable hereunder;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amendment, waiver or consent shall, unless in writing and signed by the Agent in addition to the Lenders required above to take such action, affect the rights or duties of the Agent under this Agreement or any Note;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amendment, waiver or consent shall, unless in writing and signed by the Issuing Banks in addition to the Lenders required above to take such action, affect the rights or obligation of the Issuing Banks under this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1560" w:type="dxa"/>
            <w:vAlign w:val="bottom"/>
          </w:tcPr>
          <w:p>
            <w:pPr>
              <w:ind w:left="140"/>
              <w:spacing w:after="0"/>
              <w:rPr>
                <w:sz w:val="20"/>
                <w:szCs w:val="20"/>
                <w:color w:val="auto"/>
              </w:rPr>
            </w:pPr>
            <w:r>
              <w:rPr>
                <w:rFonts w:ascii="Arial" w:cs="Arial" w:eastAsia="Arial" w:hAnsi="Arial"/>
                <w:sz w:val="18"/>
                <w:szCs w:val="18"/>
                <w:color w:val="auto"/>
              </w:rPr>
              <w:t>SECTION</w:t>
            </w:r>
          </w:p>
        </w:tc>
        <w:tc>
          <w:tcPr>
            <w:tcW w:w="2360" w:type="dxa"/>
            <w:vAlign w:val="bottom"/>
          </w:tcPr>
          <w:p>
            <w:pPr>
              <w:jc w:val="right"/>
              <w:ind w:right="1250"/>
              <w:spacing w:after="0"/>
              <w:rPr>
                <w:sz w:val="20"/>
                <w:szCs w:val="20"/>
                <w:color w:val="auto"/>
              </w:rPr>
            </w:pPr>
            <w:r>
              <w:rPr>
                <w:rFonts w:ascii="Arial" w:cs="Arial" w:eastAsia="Arial" w:hAnsi="Arial"/>
                <w:sz w:val="18"/>
                <w:szCs w:val="18"/>
                <w:color w:val="auto"/>
              </w:rPr>
              <w:t>8.02.</w:t>
            </w:r>
          </w:p>
        </w:tc>
        <w:tc>
          <w:tcPr>
            <w:tcW w:w="2020" w:type="dxa"/>
            <w:vAlign w:val="bottom"/>
            <w:gridSpan w:val="2"/>
          </w:tcPr>
          <w:p>
            <w:pPr>
              <w:ind w:left="1320"/>
              <w:spacing w:after="0"/>
              <w:rPr>
                <w:sz w:val="20"/>
                <w:szCs w:val="20"/>
                <w:color w:val="auto"/>
              </w:rPr>
            </w:pPr>
            <w:r>
              <w:rPr>
                <w:rFonts w:ascii="Arial" w:cs="Arial" w:eastAsia="Arial" w:hAnsi="Arial"/>
                <w:sz w:val="18"/>
                <w:szCs w:val="18"/>
                <w:color w:val="auto"/>
              </w:rPr>
              <w:t>Notices;</w:t>
            </w:r>
          </w:p>
        </w:tc>
        <w:tc>
          <w:tcPr>
            <w:tcW w:w="80" w:type="dxa"/>
            <w:vAlign w:val="bottom"/>
          </w:tcPr>
          <w:p>
            <w:pPr>
              <w:spacing w:after="0"/>
              <w:rPr>
                <w:sz w:val="18"/>
                <w:szCs w:val="18"/>
                <w:color w:val="auto"/>
              </w:rPr>
            </w:pPr>
          </w:p>
        </w:tc>
        <w:tc>
          <w:tcPr>
            <w:tcW w:w="2840" w:type="dxa"/>
            <w:vAlign w:val="bottom"/>
            <w:gridSpan w:val="2"/>
          </w:tcPr>
          <w:p>
            <w:pPr>
              <w:ind w:left="1160"/>
              <w:spacing w:after="0"/>
              <w:rPr>
                <w:sz w:val="20"/>
                <w:szCs w:val="20"/>
                <w:color w:val="auto"/>
              </w:rPr>
            </w:pPr>
            <w:r>
              <w:rPr>
                <w:rFonts w:ascii="Arial" w:cs="Arial" w:eastAsia="Arial" w:hAnsi="Arial"/>
                <w:sz w:val="18"/>
                <w:szCs w:val="18"/>
                <w:color w:val="auto"/>
              </w:rPr>
              <w:t>Effectiveness;</w:t>
            </w:r>
          </w:p>
        </w:tc>
        <w:tc>
          <w:tcPr>
            <w:tcW w:w="1400" w:type="dxa"/>
            <w:vAlign w:val="bottom"/>
          </w:tcPr>
          <w:p>
            <w:pPr>
              <w:jc w:val="right"/>
              <w:spacing w:after="0"/>
              <w:rPr>
                <w:sz w:val="20"/>
                <w:szCs w:val="20"/>
                <w:color w:val="auto"/>
              </w:rPr>
            </w:pPr>
            <w:r>
              <w:rPr>
                <w:rFonts w:ascii="Arial" w:cs="Arial" w:eastAsia="Arial" w:hAnsi="Arial"/>
                <w:sz w:val="18"/>
                <w:szCs w:val="18"/>
                <w:color w:val="auto"/>
              </w:rPr>
              <w:t>Electronic</w:t>
            </w:r>
          </w:p>
        </w:tc>
      </w:tr>
      <w:tr>
        <w:trPr>
          <w:trHeight w:val="195"/>
        </w:trPr>
        <w:tc>
          <w:tcPr>
            <w:tcW w:w="2720" w:type="dxa"/>
            <w:vAlign w:val="bottom"/>
            <w:gridSpan w:val="2"/>
          </w:tcPr>
          <w:p>
            <w:pPr>
              <w:spacing w:after="0" w:line="195" w:lineRule="exact"/>
              <w:rPr>
                <w:sz w:val="20"/>
                <w:szCs w:val="20"/>
                <w:color w:val="auto"/>
              </w:rPr>
            </w:pPr>
            <w:r>
              <w:rPr>
                <w:rFonts w:ascii="Arial" w:cs="Arial" w:eastAsia="Arial" w:hAnsi="Arial"/>
                <w:sz w:val="18"/>
                <w:szCs w:val="18"/>
                <w:color w:val="auto"/>
              </w:rPr>
              <w:t>Communication. (a)</w:t>
            </w:r>
          </w:p>
        </w:tc>
        <w:tc>
          <w:tcPr>
            <w:tcW w:w="2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w w:val="93"/>
              </w:rPr>
              <w:t>Notices Generally. Except in the case of notices and other</w:t>
            </w:r>
          </w:p>
        </w:tc>
      </w:tr>
      <w:tr>
        <w:trPr>
          <w:trHeight w:val="20"/>
        </w:trPr>
        <w:tc>
          <w:tcPr>
            <w:tcW w:w="11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51" w:lineRule="exact"/>
        <w:rPr>
          <w:sz w:val="20"/>
          <w:szCs w:val="20"/>
          <w:color w:val="auto"/>
        </w:rPr>
      </w:pPr>
    </w:p>
    <w:p>
      <w:pPr>
        <w:ind w:left="1300" w:firstLine="643"/>
        <w:spacing w:after="0" w:line="275" w:lineRule="auto"/>
        <w:tabs>
          <w:tab w:leader="none" w:pos="2607"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to the Borrower, to it at 100 Manpower Place, Milwaukee, Wisconsin 53212, Attention: Sherri Albinger, Vice President, Corporate Controller and Treasurer (Facsimile No. 414-906-7875; Telephone No. 414-906-6626);</w:t>
      </w:r>
    </w:p>
    <w:p>
      <w:pPr>
        <w:spacing w:after="0" w:line="197" w:lineRule="exact"/>
        <w:rPr>
          <w:rFonts w:ascii="Arial" w:cs="Arial" w:eastAsia="Arial" w:hAnsi="Arial"/>
          <w:sz w:val="18"/>
          <w:szCs w:val="18"/>
          <w:color w:val="auto"/>
        </w:rPr>
      </w:pPr>
    </w:p>
    <w:p>
      <w:pPr>
        <w:ind w:left="1300" w:firstLine="643"/>
        <w:spacing w:after="0" w:line="275" w:lineRule="auto"/>
        <w:tabs>
          <w:tab w:leader="none" w:pos="2839"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to the Agent, to Citibank at 1615 Brett Road, Building #3, New Castle, Delaware 19720, Attention of Bank Loan Syndications (Facsimile No. 212-994-0961; Telephone No. 302-894-6160;</w:t>
      </w:r>
    </w:p>
    <w:p>
      <w:pPr>
        <w:spacing w:after="0" w:line="197" w:lineRule="exact"/>
        <w:rPr>
          <w:rFonts w:ascii="Arial" w:cs="Arial" w:eastAsia="Arial" w:hAnsi="Arial"/>
          <w:sz w:val="18"/>
          <w:szCs w:val="18"/>
          <w:color w:val="auto"/>
        </w:rPr>
      </w:pPr>
    </w:p>
    <w:p>
      <w:pPr>
        <w:ind w:left="1300" w:firstLine="643"/>
        <w:spacing w:after="0" w:line="275" w:lineRule="auto"/>
        <w:tabs>
          <w:tab w:leader="none" w:pos="2741"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any Issuing Bank, to it at the address provided in writing to the Agent and the Borrower at the time of its appointment as an Issuing Bank hereunder;</w:t>
      </w:r>
    </w:p>
    <w:p>
      <w:pPr>
        <w:spacing w:after="0" w:line="197" w:lineRule="exact"/>
        <w:rPr>
          <w:rFonts w:ascii="Arial" w:cs="Arial" w:eastAsia="Arial" w:hAnsi="Arial"/>
          <w:sz w:val="18"/>
          <w:szCs w:val="18"/>
          <w:color w:val="auto"/>
        </w:rPr>
      </w:pPr>
    </w:p>
    <w:p>
      <w:pPr>
        <w:ind w:left="2700" w:hanging="757"/>
        <w:spacing w:after="0"/>
        <w:tabs>
          <w:tab w:leader="none" w:pos="2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to a Lender, to it at its address (or facsimile number) set forth in its Administrative Questionnaire.</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ectPr>
          <w:pgSz w:w="11900" w:h="16838" w:orient="portrait"/>
          <w:cols w:equalWidth="0" w:num="1">
            <w:col w:w="11420"/>
          </w:cols>
          <w:pgMar w:left="240" w:top="125" w:right="239" w:bottom="68" w:gutter="0" w:footer="0" w:header="0"/>
        </w:sectPr>
      </w:pPr>
    </w:p>
    <w:bookmarkStart w:id="62" w:name="page63"/>
    <w:bookmarkEnd w:id="62"/>
    <w:p>
      <w:pPr>
        <w:jc w:val="both"/>
        <w:ind w:firstLine="1298"/>
        <w:spacing w:after="0" w:line="254" w:lineRule="auto"/>
        <w:tabs>
          <w:tab w:leader="none" w:pos="2019"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 Parties hereunder may be delivered or furnished by electronic communication (including e-mail and Internet or intranet websites) pursuant to procedures approved by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Party pursuant to Article II if such Lender Party has notified the Agent that it is incapable of receiving notices under such Article by electronic communication. The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18"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20" w:lineRule="exact"/>
        <w:rPr>
          <w:sz w:val="20"/>
          <w:szCs w:val="20"/>
          <w:color w:val="auto"/>
        </w:rPr>
      </w:pPr>
    </w:p>
    <w:p>
      <w:pPr>
        <w:ind w:firstLine="1298"/>
        <w:spacing w:after="0" w:line="275" w:lineRule="auto"/>
        <w:tabs>
          <w:tab w:leader="none" w:pos="215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Any party hereto may change its address or facsimile number for notices and other communications hereunder by notice to the other parties hereto.</w:t>
      </w:r>
    </w:p>
    <w:p>
      <w:pPr>
        <w:spacing w:after="0" w:line="197" w:lineRule="exact"/>
        <w:rPr>
          <w:rFonts w:ascii="Arial" w:cs="Arial" w:eastAsia="Arial" w:hAnsi="Arial"/>
          <w:sz w:val="18"/>
          <w:szCs w:val="18"/>
          <w:color w:val="auto"/>
        </w:rPr>
      </w:pPr>
    </w:p>
    <w:p>
      <w:pPr>
        <w:ind w:left="2000" w:hanging="702"/>
        <w:spacing w:after="0"/>
        <w:tabs>
          <w:tab w:leader="none" w:pos="20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250" w:lineRule="exact"/>
        <w:rPr>
          <w:rFonts w:ascii="Arial" w:cs="Arial" w:eastAsia="Arial" w:hAnsi="Arial"/>
          <w:sz w:val="18"/>
          <w:szCs w:val="18"/>
          <w:color w:val="auto"/>
        </w:rPr>
      </w:pPr>
    </w:p>
    <w:p>
      <w:pPr>
        <w:jc w:val="both"/>
        <w:ind w:left="1300" w:firstLine="643"/>
        <w:spacing w:after="0" w:line="262" w:lineRule="auto"/>
        <w:tabs>
          <w:tab w:leader="none" w:pos="2767"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Borrower agrees that the Agent may, but shall not be obligated to, make the Communications (as defined below) available to the Lender Parties by posting the Communications on Debt Domain, Intralinks, Syndtrak or a substantially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209" w:lineRule="exact"/>
        <w:rPr>
          <w:rFonts w:ascii="Arial" w:cs="Arial" w:eastAsia="Arial" w:hAnsi="Arial"/>
          <w:sz w:val="18"/>
          <w:szCs w:val="18"/>
          <w:color w:val="auto"/>
        </w:rPr>
      </w:pPr>
    </w:p>
    <w:p>
      <w:pPr>
        <w:jc w:val="both"/>
        <w:ind w:left="1300" w:firstLine="643"/>
        <w:spacing w:after="0" w:line="285" w:lineRule="auto"/>
        <w:tabs>
          <w:tab w:leader="none" w:pos="2663"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Agent’s transmission of Communications through the Platform unless, and solely in the case of direct damages, such damages are found in a final, non-appealable judgment by a court of competent jurisdiction to have resulted from the gross negligence or willful misconduct of such Agent Party. “</w:t>
      </w:r>
      <w:r>
        <w:rPr>
          <w:rFonts w:ascii="Arial" w:cs="Arial" w:eastAsia="Arial" w:hAnsi="Arial"/>
          <w:sz w:val="16"/>
          <w:szCs w:val="16"/>
          <w:u w:val="single" w:color="auto"/>
          <w:color w:val="auto"/>
        </w:rPr>
        <w:t>Communications</w:t>
      </w:r>
      <w:r>
        <w:rPr>
          <w:rFonts w:ascii="Arial" w:cs="Arial" w:eastAsia="Arial" w:hAnsi="Arial"/>
          <w:sz w:val="16"/>
          <w:szCs w:val="16"/>
          <w:color w:val="auto"/>
        </w:rPr>
        <w:t>” means, collectively, any notice, demand, communication, information, document or other material that the Borrower provides to the Agent pursuant to this Agreement or the transactions contemplated herein which is distributed to the Agent or any Lender Party by means of electronic communications pursuant to this Section, including through the Platform.</w:t>
      </w:r>
    </w:p>
    <w:p>
      <w:pPr>
        <w:spacing w:after="0" w:line="201" w:lineRule="exact"/>
        <w:rPr>
          <w:sz w:val="20"/>
          <w:szCs w:val="20"/>
          <w:color w:val="auto"/>
        </w:rPr>
      </w:pPr>
    </w:p>
    <w:p>
      <w:pPr>
        <w:jc w:val="both"/>
        <w:ind w:firstLine="1290"/>
        <w:spacing w:after="0" w:line="310"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Party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74" w:lineRule="exact"/>
        <w:rPr>
          <w:sz w:val="20"/>
          <w:szCs w:val="20"/>
          <w:color w:val="auto"/>
        </w:rPr>
      </w:pPr>
    </w:p>
    <w:p>
      <w:pPr>
        <w:jc w:val="both"/>
        <w:ind w:firstLine="1290"/>
        <w:spacing w:after="0" w:line="252"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Costs and Expenses</w:t>
      </w:r>
      <w:r>
        <w:rPr>
          <w:rFonts w:ascii="Arial" w:cs="Arial" w:eastAsia="Arial" w:hAnsi="Arial"/>
          <w:sz w:val="18"/>
          <w:szCs w:val="18"/>
          <w:color w:val="auto"/>
        </w:rPr>
        <w:t>. (a) The Borrower agrees to pay on demand all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computer, duplication, appraisal, consultant, and audit expenses and (B) the reasonable fees and expenses of counsel for the Agent with respect thereto and with respect to advising the Agent as to its rights and responsibilities under this Agreement. The Borrower further agrees to pay on demand all costs and expenses of the Agent and the Lender Parties,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Party in connection with the enforcement of rights under this Section 8.04(a).</w:t>
      </w:r>
    </w:p>
    <w:p>
      <w:pPr>
        <w:spacing w:after="0" w:line="222" w:lineRule="exact"/>
        <w:rPr>
          <w:sz w:val="20"/>
          <w:szCs w:val="20"/>
          <w:color w:val="auto"/>
        </w:rPr>
      </w:pPr>
    </w:p>
    <w:p>
      <w:pPr>
        <w:jc w:val="both"/>
        <w:ind w:firstLine="1298"/>
        <w:spacing w:after="0" w:line="267" w:lineRule="auto"/>
        <w:tabs>
          <w:tab w:leader="none" w:pos="2113"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Borrower agrees to indemnify and hold harmless the Agent and each Lender and each of their Affiliates and their officers, directors, employees, agents and advisors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from and against any and all claims, damages, losses, liabilities and expenses (including, without limitation, reasonable fees and expenses of counsel) incurred by or asserted or awarded against any Indemnified Party, in each case arising out of or in connection with or by reason of (including, without limitation, in connection with any investigation, litigation or proceeding or preparation of a defense in connection therewith) the Notes, this Agreement, any of the transactions contemplated herein or the actual or proposed use of the proceeds of the Advances, except to the extent such claim, damage, loss, liability or expense is found in a final, non-appealable judgment by a court of competent jurisdiction to have resulted from such Indemnified Party’s gross negligence or willful misconduct. In the case of an investigation, litigation or other proceeding to which the indemnity in this Section 8.04(b) applies, such indemnity shall be effective whether or not such investigation, litigation or proceeding is brought by the Borrower, its directors, equityholders or creditors or an Indemnified Party or any other Person, whether or not any Indemnified Party is otherwise a party thereto and whether or not the transactions contemplated hereby are consummated. The Borrower also agrees not to assert any claim for special, indirect, consequential or punitive damages against the Agent, any Lender Party,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Advances.</w:t>
      </w:r>
    </w:p>
    <w:p>
      <w:pPr>
        <w:spacing w:after="0" w:line="211" w:lineRule="exact"/>
        <w:rPr>
          <w:rFonts w:ascii="Arial" w:cs="Arial" w:eastAsia="Arial" w:hAnsi="Arial"/>
          <w:sz w:val="17"/>
          <w:szCs w:val="17"/>
          <w:color w:val="auto"/>
        </w:rPr>
      </w:pPr>
    </w:p>
    <w:p>
      <w:pPr>
        <w:jc w:val="both"/>
        <w:ind w:firstLine="1298"/>
        <w:spacing w:after="0" w:line="288" w:lineRule="auto"/>
        <w:tabs>
          <w:tab w:leader="none" w:pos="1995"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any payment of principal of, or Conversion of, any Eurocurrency Rate Advance is made by the Borrower to or for the account of a Lender (i) other than on the last day of the Interest Period for such Advance, as a result of a payment or Conversion pursuant to Section 2.09, 2.11 or 2.13, acceleration of the maturity of the Notes pursuant to Section 6.01 or for any other reason, or by an Eligible Assignee to a Lender Party other than on the last day of the Interest Period for such Advance upon an assignment of rights and obligations under this Agreement pursuant to Section 8.07 as a result of a demand by the Borrower pursuant to Section 2.21 or (ii) as a result of a payment or Conversion pursuant to Section 2.09, 2.11 or 2.13, the Borrower shall, upon demand by such Lender Party (with a copy of such demand to the Agent), pay to the Agent for the account of such Lender Party any amounts required to compensate such Lender Party for any additional losses, costs or expenses that it may reasonably incur as a result of such payment or Conversion, including, without limitation, any loss (including loss of anticipated profits), cost or expense incurred by reason of the liquidation or reemployment of deposits or other funds acquired by any Lender Party to fund or maintain such Advance. If the amount of the Committed Currency purchased by any Lender Party in the case</w:t>
      </w:r>
    </w:p>
    <w:p>
      <w:pPr>
        <w:sectPr>
          <w:pgSz w:w="11900" w:h="16838" w:orient="portrait"/>
          <w:cols w:equalWidth="0" w:num="1">
            <w:col w:w="11420"/>
          </w:cols>
          <w:pgMar w:left="240" w:top="125" w:right="239" w:bottom="0" w:gutter="0" w:footer="0" w:header="0"/>
        </w:sectPr>
      </w:pPr>
    </w:p>
    <w:bookmarkStart w:id="63" w:name="page64"/>
    <w:bookmarkEnd w:id="63"/>
    <w:p>
      <w:pPr>
        <w:spacing w:after="0" w:line="275" w:lineRule="auto"/>
        <w:rPr>
          <w:sz w:val="20"/>
          <w:szCs w:val="20"/>
          <w:color w:val="auto"/>
        </w:rPr>
      </w:pPr>
      <w:r>
        <w:rPr>
          <w:rFonts w:ascii="Arial" w:cs="Arial" w:eastAsia="Arial" w:hAnsi="Arial"/>
          <w:sz w:val="18"/>
          <w:szCs w:val="18"/>
          <w:color w:val="auto"/>
        </w:rPr>
        <w:t>of a Conversion or redenomination of Advances in the case of Section 2.09 or 2.13 exceeds the sum required to satisfy such Lender Party’s liability in respect of such Advances, such Lender agrees to remit to the Company such excess.</w:t>
      </w:r>
    </w:p>
    <w:p>
      <w:pPr>
        <w:spacing w:after="0" w:line="198" w:lineRule="exact"/>
        <w:rPr>
          <w:sz w:val="20"/>
          <w:szCs w:val="20"/>
          <w:color w:val="auto"/>
        </w:rPr>
      </w:pPr>
    </w:p>
    <w:p>
      <w:pPr>
        <w:jc w:val="both"/>
        <w:ind w:firstLine="1298"/>
        <w:spacing w:after="0" w:line="262" w:lineRule="auto"/>
        <w:tabs>
          <w:tab w:leader="none" w:pos="2234"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Without prejudice to the survival of any other agreement of the Borrower hereunder, the agreements and obligations of the Borrower contained in Sections 2.12, 2.15 and 8.04 shall survive the payment in full of principal, interest and all other amounts payable hereunder and under the Notes.</w:t>
      </w:r>
    </w:p>
    <w:p>
      <w:pPr>
        <w:spacing w:after="0" w:line="209"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Party,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Party or any such Affiliate, to or for the credit or the account of the Borrower against any and all of the obligations of the Borrower now or hereafter existing under this Agreement or any Note to such Lender Party or its Affiliates, irrespective of whether or not such Lender Party or Affiliate shall have made any demand under this Agreement or any Note and although such obligations of the Borrower may be contingent or unmatured or are owed to a branch, office or Affiliate of such Lender Party different from the branch, office or Affiliate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Agent for further application in accordance with the provisions of Section 2.20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The rights of each Lender Party and its Affiliates under this Section are in addition to other rights and remedies (including other rights of setoff) that such Lender Party or its Affiliates may have. Each Lender Party agrees to notify the Borrower and the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209" w:lineRule="exact"/>
        <w:rPr>
          <w:sz w:val="20"/>
          <w:szCs w:val="20"/>
          <w:color w:val="auto"/>
        </w:rPr>
      </w:pPr>
    </w:p>
    <w:p>
      <w:pPr>
        <w:jc w:val="both"/>
        <w:ind w:firstLine="1290"/>
        <w:spacing w:after="0" w:line="274"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become effective when it shall have been executed by the Borrower and the Agent and when the Agent shall have been notified by each Initial Lender that such Initial Lender has executed it and upon satisfaction of the conditions precedent set forth in Section 3.01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all of the Lenders (and any other attempted assignment or transfer by the Borrower shall be null and void).</w:t>
      </w:r>
    </w:p>
    <w:p>
      <w:pPr>
        <w:spacing w:after="0" w:line="202" w:lineRule="exact"/>
        <w:rPr>
          <w:sz w:val="20"/>
          <w:szCs w:val="20"/>
          <w:color w:val="auto"/>
        </w:rPr>
      </w:pPr>
    </w:p>
    <w:p>
      <w:pPr>
        <w:jc w:val="both"/>
        <w:ind w:firstLine="1290"/>
        <w:spacing w:after="0" w:line="289"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Assignments and Participations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no Lender Party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Lender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Agent and the Lenders) any legal or equitable right, remedy or claim under or by reason of this Agreement.</w:t>
      </w:r>
    </w:p>
    <w:p>
      <w:pPr>
        <w:spacing w:after="0" w:line="190" w:lineRule="exact"/>
        <w:rPr>
          <w:sz w:val="20"/>
          <w:szCs w:val="20"/>
          <w:color w:val="auto"/>
        </w:rPr>
      </w:pPr>
    </w:p>
    <w:p>
      <w:pPr>
        <w:jc w:val="both"/>
        <w:ind w:firstLine="1298"/>
        <w:spacing w:after="0" w:line="262" w:lineRule="auto"/>
        <w:tabs>
          <w:tab w:leader="none" w:pos="200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 and the Advances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any such assignment shall be subject to the following conditions:</w:t>
      </w:r>
    </w:p>
    <w:p>
      <w:pPr>
        <w:spacing w:after="0" w:line="209" w:lineRule="exact"/>
        <w:rPr>
          <w:sz w:val="20"/>
          <w:szCs w:val="20"/>
          <w:color w:val="auto"/>
        </w:rPr>
      </w:pPr>
    </w:p>
    <w:p>
      <w:pPr>
        <w:ind w:left="1960" w:hanging="662"/>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50" w:lineRule="exact"/>
        <w:rPr>
          <w:rFonts w:ascii="Arial" w:cs="Arial" w:eastAsia="Arial" w:hAnsi="Arial"/>
          <w:sz w:val="18"/>
          <w:szCs w:val="18"/>
          <w:color w:val="auto"/>
        </w:rPr>
      </w:pPr>
    </w:p>
    <w:p>
      <w:pPr>
        <w:jc w:val="both"/>
        <w:ind w:left="1300" w:firstLine="643"/>
        <w:spacing w:after="0" w:line="258" w:lineRule="auto"/>
        <w:tabs>
          <w:tab w:leader="none" w:pos="224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and/or the Advances at the time owing to it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212" w:lineRule="exact"/>
        <w:rPr>
          <w:rFonts w:ascii="Arial" w:cs="Arial" w:eastAsia="Arial" w:hAnsi="Arial"/>
          <w:sz w:val="18"/>
          <w:szCs w:val="18"/>
          <w:color w:val="auto"/>
        </w:rPr>
      </w:pPr>
    </w:p>
    <w:p>
      <w:pPr>
        <w:jc w:val="both"/>
        <w:ind w:left="1300" w:firstLine="643"/>
        <w:spacing w:after="0" w:line="272" w:lineRule="auto"/>
        <w:tabs>
          <w:tab w:leader="none" w:pos="2254"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Agent or, if “</w:t>
      </w:r>
      <w:r>
        <w:rPr>
          <w:rFonts w:ascii="Arial" w:cs="Arial" w:eastAsia="Arial" w:hAnsi="Arial"/>
          <w:sz w:val="17"/>
          <w:szCs w:val="17"/>
          <w:u w:val="single" w:color="auto"/>
          <w:color w:val="auto"/>
        </w:rPr>
        <w:t>Trade Date</w:t>
      </w:r>
      <w:r>
        <w:rPr>
          <w:rFonts w:ascii="Arial" w:cs="Arial" w:eastAsia="Arial" w:hAnsi="Arial"/>
          <w:sz w:val="17"/>
          <w:szCs w:val="17"/>
          <w:color w:val="auto"/>
        </w:rPr>
        <w:t>” is specified in the Assignment and Assumption, as of the Trade Date) shall not be less than $5,000,000, unless each of the Agent and, so long as no Event of Default has occurred and is continuing, the Borrower otherwise consents (each such consent not to be unreasonably withheld or delayed).</w:t>
      </w:r>
    </w:p>
    <w:p>
      <w:pPr>
        <w:spacing w:after="0" w:line="203" w:lineRule="exact"/>
        <w:rPr>
          <w:rFonts w:ascii="Arial" w:cs="Arial" w:eastAsia="Arial" w:hAnsi="Arial"/>
          <w:sz w:val="17"/>
          <w:szCs w:val="17"/>
          <w:color w:val="auto"/>
        </w:rPr>
      </w:pPr>
    </w:p>
    <w:p>
      <w:pPr>
        <w:ind w:left="660" w:firstLine="638"/>
        <w:spacing w:after="0" w:line="275" w:lineRule="auto"/>
        <w:tabs>
          <w:tab w:leader="none" w:pos="220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Advances or the Commitment assigned.</w:t>
      </w:r>
    </w:p>
    <w:p>
      <w:pPr>
        <w:spacing w:after="0" w:line="197" w:lineRule="exact"/>
        <w:rPr>
          <w:rFonts w:ascii="Arial" w:cs="Arial" w:eastAsia="Arial" w:hAnsi="Arial"/>
          <w:sz w:val="18"/>
          <w:szCs w:val="18"/>
          <w:color w:val="auto"/>
        </w:rPr>
      </w:pPr>
    </w:p>
    <w:p>
      <w:pPr>
        <w:ind w:left="660" w:firstLine="638"/>
        <w:spacing w:after="0" w:line="275" w:lineRule="auto"/>
        <w:tabs>
          <w:tab w:leader="none" w:pos="21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paragraph (b)(i)(B) of this Section and, in addition:</w:t>
      </w:r>
    </w:p>
    <w:p>
      <w:pPr>
        <w:spacing w:after="0" w:line="197" w:lineRule="exact"/>
        <w:rPr>
          <w:rFonts w:ascii="Arial" w:cs="Arial" w:eastAsia="Arial" w:hAnsi="Arial"/>
          <w:sz w:val="18"/>
          <w:szCs w:val="18"/>
          <w:color w:val="auto"/>
        </w:rPr>
      </w:pPr>
    </w:p>
    <w:p>
      <w:pPr>
        <w:jc w:val="both"/>
        <w:ind w:left="1300" w:firstLine="643"/>
        <w:spacing w:after="0" w:line="278" w:lineRule="auto"/>
        <w:tabs>
          <w:tab w:leader="none" w:pos="2243"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consented to any such assignment unless it shall object thereto by written notice to the Agent within five Business Days after having received prior written notice thereof;</w:t>
      </w:r>
    </w:p>
    <w:p>
      <w:pPr>
        <w:spacing w:after="0" w:line="196" w:lineRule="exact"/>
        <w:rPr>
          <w:rFonts w:ascii="Arial" w:cs="Arial" w:eastAsia="Arial" w:hAnsi="Arial"/>
          <w:sz w:val="17"/>
          <w:szCs w:val="17"/>
          <w:color w:val="auto"/>
        </w:rPr>
      </w:pPr>
    </w:p>
    <w:p>
      <w:pPr>
        <w:jc w:val="both"/>
        <w:ind w:left="1300" w:firstLine="643"/>
        <w:spacing w:after="0" w:line="262" w:lineRule="auto"/>
        <w:tabs>
          <w:tab w:leader="none" w:pos="223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consent of the Agent (such consent not to be unreasonably withheld or delayed) shall be required for assignments in respect of any Commitments if such assignment is to a Person that is not a Lender, an Affiliate of such Lender or an Approved Fund with respect to such Lender, and</w:t>
      </w:r>
    </w:p>
    <w:p>
      <w:pPr>
        <w:spacing w:after="0" w:line="209" w:lineRule="exact"/>
        <w:rPr>
          <w:rFonts w:ascii="Arial" w:cs="Arial" w:eastAsia="Arial" w:hAnsi="Arial"/>
          <w:sz w:val="18"/>
          <w:szCs w:val="18"/>
          <w:color w:val="auto"/>
        </w:rPr>
      </w:pPr>
    </w:p>
    <w:p>
      <w:pPr>
        <w:ind w:left="2220" w:hanging="277"/>
        <w:spacing w:after="0"/>
        <w:tabs>
          <w:tab w:leader="none" w:pos="222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consent of each Issuing Bank shall be required for any assignment in respect of the Revolving Credit Commitments.</w:t>
      </w:r>
    </w:p>
    <w:p>
      <w:pPr>
        <w:spacing w:after="0" w:line="261" w:lineRule="exact"/>
        <w:rPr>
          <w:rFonts w:ascii="Arial" w:cs="Arial" w:eastAsia="Arial" w:hAnsi="Arial"/>
          <w:sz w:val="17"/>
          <w:szCs w:val="17"/>
          <w:color w:val="auto"/>
        </w:rPr>
      </w:pPr>
    </w:p>
    <w:p>
      <w:pPr>
        <w:jc w:val="both"/>
        <w:ind w:left="660" w:firstLine="638"/>
        <w:spacing w:after="0" w:line="306" w:lineRule="auto"/>
        <w:tabs>
          <w:tab w:leader="none" w:pos="2352"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The parties to each assignment shall execute and deliver to the Agent an Assignment and Assumption, together with a processing and recordation fee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Agent may, in its sole discretion, elect to waive such</w:t>
      </w:r>
    </w:p>
    <w:p>
      <w:pPr>
        <w:sectPr>
          <w:pgSz w:w="11900" w:h="16838" w:orient="portrait"/>
          <w:cols w:equalWidth="0" w:num="1">
            <w:col w:w="11420"/>
          </w:cols>
          <w:pgMar w:left="240" w:top="125" w:right="239" w:bottom="0" w:gutter="0" w:footer="0" w:header="0"/>
        </w:sectPr>
      </w:pPr>
    </w:p>
    <w:bookmarkStart w:id="64" w:name="page65"/>
    <w:bookmarkEnd w:id="64"/>
    <w:p>
      <w:pPr>
        <w:ind w:left="660"/>
        <w:spacing w:after="0" w:line="280" w:lineRule="auto"/>
        <w:rPr>
          <w:sz w:val="20"/>
          <w:szCs w:val="20"/>
          <w:color w:val="auto"/>
        </w:rPr>
      </w:pPr>
      <w:r>
        <w:rPr>
          <w:rFonts w:ascii="Arial" w:cs="Arial" w:eastAsia="Arial" w:hAnsi="Arial"/>
          <w:sz w:val="18"/>
          <w:szCs w:val="18"/>
          <w:color w:val="auto"/>
        </w:rPr>
        <w:t>processing and recordation fee in the case of any assignment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assignee, if it is not a Lender, shall deliver to the Agent an Administrative Questionnaire.</w:t>
      </w:r>
    </w:p>
    <w:p>
      <w:pPr>
        <w:spacing w:after="0" w:line="193" w:lineRule="exact"/>
        <w:rPr>
          <w:sz w:val="20"/>
          <w:szCs w:val="20"/>
          <w:color w:val="auto"/>
        </w:rPr>
      </w:pPr>
    </w:p>
    <w:p>
      <w:pPr>
        <w:jc w:val="both"/>
        <w:ind w:left="660" w:firstLine="638"/>
        <w:spacing w:after="0" w:line="262" w:lineRule="auto"/>
        <w:tabs>
          <w:tab w:leader="none" w:pos="2047"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spacing w:after="0" w:line="209" w:lineRule="exact"/>
        <w:rPr>
          <w:rFonts w:ascii="Arial" w:cs="Arial" w:eastAsia="Arial" w:hAnsi="Arial"/>
          <w:sz w:val="18"/>
          <w:szCs w:val="18"/>
          <w:color w:val="auto"/>
        </w:rPr>
      </w:pPr>
    </w:p>
    <w:p>
      <w:pPr>
        <w:ind w:left="2040" w:hanging="742"/>
        <w:spacing w:after="0"/>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250" w:lineRule="exact"/>
        <w:rPr>
          <w:rFonts w:ascii="Arial" w:cs="Arial" w:eastAsia="Arial" w:hAnsi="Arial"/>
          <w:sz w:val="18"/>
          <w:szCs w:val="18"/>
          <w:color w:val="auto"/>
        </w:rPr>
      </w:pPr>
    </w:p>
    <w:p>
      <w:pPr>
        <w:jc w:val="both"/>
        <w:ind w:left="660" w:firstLine="638"/>
        <w:spacing w:after="0" w:line="287" w:lineRule="auto"/>
        <w:tabs>
          <w:tab w:leader="none" w:pos="216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other compensating actions, including funding, with the consent of the Borrower and the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Agent, each Issuing Bank and each other Lender hereunder (and interest accrued thereon), and (y) acquire (and fund as appropriate) its full pro rata share of all Advances in accordance with its Commitment.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3" w:lineRule="exact"/>
        <w:rPr>
          <w:sz w:val="20"/>
          <w:szCs w:val="20"/>
          <w:color w:val="auto"/>
        </w:rPr>
      </w:pPr>
    </w:p>
    <w:p>
      <w:pPr>
        <w:jc w:val="both"/>
        <w:ind w:firstLine="1290"/>
        <w:spacing w:after="0" w:line="268" w:lineRule="auto"/>
        <w:rPr>
          <w:sz w:val="20"/>
          <w:szCs w:val="20"/>
          <w:color w:val="auto"/>
        </w:rPr>
      </w:pPr>
      <w:r>
        <w:rPr>
          <w:rFonts w:ascii="Arial" w:cs="Arial" w:eastAsia="Arial" w:hAnsi="Arial"/>
          <w:sz w:val="17"/>
          <w:szCs w:val="17"/>
          <w:color w:val="auto"/>
        </w:rPr>
        <w:t xml:space="preserve">Subject to acceptance and recording thereof by the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2.12 and 8.04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210" w:lineRule="exact"/>
        <w:rPr>
          <w:sz w:val="20"/>
          <w:szCs w:val="20"/>
          <w:color w:val="auto"/>
        </w:rPr>
      </w:pPr>
    </w:p>
    <w:p>
      <w:pPr>
        <w:jc w:val="both"/>
        <w:ind w:firstLine="1298"/>
        <w:spacing w:after="0" w:line="272" w:lineRule="auto"/>
        <w:tabs>
          <w:tab w:leader="none" w:pos="2049"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Agent, acting solely for this purpose as an agent of the Borrower, shall maintain at one of its offices in the United States a copy of each Assignment and Assumption delivered to it and a register for the recordation of the names and addresses of the Lenders, and the Commitments of, and principal amounts of the Advances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203" w:lineRule="exact"/>
        <w:rPr>
          <w:rFonts w:ascii="Arial" w:cs="Arial" w:eastAsia="Arial" w:hAnsi="Arial"/>
          <w:sz w:val="17"/>
          <w:szCs w:val="17"/>
          <w:color w:val="auto"/>
        </w:rPr>
      </w:pPr>
    </w:p>
    <w:p>
      <w:pPr>
        <w:jc w:val="both"/>
        <w:ind w:firstLine="1298"/>
        <w:spacing w:after="0" w:line="271" w:lineRule="auto"/>
        <w:tabs>
          <w:tab w:leader="none" w:pos="2032"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the Borrower or the Agent, sell participations to any Person (other than a natural Person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Advances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Agent, the Issuing Banks and Lenders shall continue to deal solely and directly with such Lender in connection with such Lender’s rights and obligations under this Agreement. For the avoidance of doubt, each Lender shall be responsible for the indemnity under Section 8.04(c) with respect to any payments made by such Lender to its Participant(s).</w:t>
      </w:r>
    </w:p>
    <w:p>
      <w:pPr>
        <w:spacing w:after="0" w:line="203" w:lineRule="exact"/>
        <w:rPr>
          <w:sz w:val="20"/>
          <w:szCs w:val="20"/>
          <w:color w:val="auto"/>
        </w:rPr>
      </w:pPr>
    </w:p>
    <w:p>
      <w:pPr>
        <w:jc w:val="both"/>
        <w:ind w:firstLine="1290"/>
        <w:spacing w:after="0" w:line="286"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clause</w:t>
      </w:r>
    </w:p>
    <w:p>
      <w:pPr>
        <w:spacing w:after="0" w:line="2" w:lineRule="exact"/>
        <w:rPr>
          <w:sz w:val="20"/>
          <w:szCs w:val="20"/>
          <w:color w:val="auto"/>
        </w:rPr>
      </w:pPr>
    </w:p>
    <w:p>
      <w:pPr>
        <w:jc w:val="both"/>
        <w:ind w:firstLine="8"/>
        <w:spacing w:after="0" w:line="251" w:lineRule="auto"/>
        <w:tabs>
          <w:tab w:leader="none" w:pos="2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of the first proviso of Section 8.01 that affects such Participant. The Borrower agrees that each Participant shall be entitled to the benefits of Sections 2.12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the provisions of Section 2.21 as if it were an assignee under paragraph (b) of this Section. To the extent permitted by law, each Participant also shall be entitled to the benefits of Section 8.05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Section 2.14 as though it were a Lender.</w:t>
      </w:r>
    </w:p>
    <w:p>
      <w:pPr>
        <w:spacing w:after="0" w:line="220" w:lineRule="exact"/>
        <w:rPr>
          <w:rFonts w:ascii="Arial" w:cs="Arial" w:eastAsia="Arial" w:hAnsi="Arial"/>
          <w:sz w:val="18"/>
          <w:szCs w:val="18"/>
          <w:color w:val="auto"/>
        </w:rPr>
      </w:pPr>
    </w:p>
    <w:p>
      <w:pPr>
        <w:jc w:val="both"/>
        <w:ind w:firstLine="1298"/>
        <w:spacing w:after="0" w:line="255" w:lineRule="auto"/>
        <w:tabs>
          <w:tab w:leader="none" w:pos="1579"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A Participant shall not be entitled to receive any greater payment under Sections 2.12 and 2.15 than the applicable Lender would have been entitled to receive with respect to the participation sold to such Participant, unless the sale of the participation to such Participant is made with the Borrower’s prior written consent. A Participant that is organized under the laws of a jurisdiction outside of the United States shall not be entitled to the benefits of Section 2.15 unless the Borrower is notified of the participation sold to such Participant and such Participant agrees, for the benefit of the Borrower, to comply with Section 2.15(e) as though it were a Lender.</w:t>
      </w:r>
    </w:p>
    <w:p>
      <w:pPr>
        <w:spacing w:after="0" w:line="217" w:lineRule="exact"/>
        <w:rPr>
          <w:rFonts w:ascii="Arial" w:cs="Arial" w:eastAsia="Arial" w:hAnsi="Arial"/>
          <w:sz w:val="18"/>
          <w:szCs w:val="18"/>
          <w:color w:val="auto"/>
        </w:rPr>
      </w:pPr>
    </w:p>
    <w:p>
      <w:pPr>
        <w:jc w:val="both"/>
        <w:ind w:firstLine="1298"/>
        <w:spacing w:after="0" w:line="258" w:lineRule="auto"/>
        <w:tabs>
          <w:tab w:leader="none" w:pos="2123"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other central bank having jurisdiction over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212" w:lineRule="exact"/>
        <w:rPr>
          <w:sz w:val="20"/>
          <w:szCs w:val="20"/>
          <w:color w:val="auto"/>
        </w:rPr>
      </w:pPr>
    </w:p>
    <w:p>
      <w:pPr>
        <w:jc w:val="both"/>
        <w:ind w:firstLine="1298"/>
        <w:spacing w:after="0" w:line="274" w:lineRule="auto"/>
        <w:tabs>
          <w:tab w:leader="none" w:pos="211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The Issuing Bank may assign to an Eligible Assignee its rights and obligations or any portion of the undrawn Letter of Credit Commitment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amount of the Letter of Credit Commitment of the assigning Issuing Bank being assigned pursuant to each such assignment (determined as of the date of the Assignment and Assumption with respect to such assignment) shall in no event be less than $1,000,000 or an integral multiple of $1,000,000 in excess thereof, and (ii) the parties to each such assignment shall execute and deliver to the Agent, for its acceptance and recording in the Register, an Assignment and Assumption, together with a processing and recordation fee of $3,500.</w:t>
      </w:r>
    </w:p>
    <w:p>
      <w:pPr>
        <w:spacing w:after="0" w:line="201" w:lineRule="exact"/>
        <w:rPr>
          <w:rFonts w:ascii="Arial" w:cs="Arial" w:eastAsia="Arial" w:hAnsi="Arial"/>
          <w:sz w:val="17"/>
          <w:szCs w:val="17"/>
          <w:color w:val="auto"/>
        </w:rPr>
      </w:pPr>
    </w:p>
    <w:p>
      <w:pPr>
        <w:jc w:val="both"/>
        <w:ind w:firstLine="1298"/>
        <w:spacing w:after="0" w:line="262" w:lineRule="auto"/>
        <w:tabs>
          <w:tab w:leader="none" w:pos="202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Notwithstanding any other provision set forth in this Agreement, any Lender Party may at any time create a security interest in all or any portion of its rights under this Agreement including in favor of any Federal Reserve Bank in accordance with Regulation A of the Board of Governors of the Federal Reserve System.</w:t>
      </w:r>
    </w:p>
    <w:p>
      <w:pPr>
        <w:sectPr>
          <w:pgSz w:w="11900" w:h="16838" w:orient="portrait"/>
          <w:cols w:equalWidth="0" w:num="1">
            <w:col w:w="11420"/>
          </w:cols>
          <w:pgMar w:left="240" w:top="121" w:right="239" w:bottom="0" w:gutter="0" w:footer="0" w:header="0"/>
        </w:sectPr>
      </w:pPr>
    </w:p>
    <w:bookmarkStart w:id="65" w:name="page66"/>
    <w:bookmarkEnd w:id="65"/>
    <w:p>
      <w:pPr>
        <w:jc w:val="both"/>
        <w:ind w:firstLine="1290"/>
        <w:spacing w:after="0" w:line="285"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Agent and the Lender Parties agree to maintain the confidentiality of the Confidential Information, except that Confidential Information may be disclosed (a) to its Affiliates and to its Related Parties (it being 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Note or any action or proceeding relating to this Agreement or any Note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(ii) any actual or prospective party (or its Related Parties) to any swap, derivative or other transaction under which payments are to be made by reference to the Borrower and its obligations, this Agreement or payments hereunder or (iii) to any credit insurance provider relating to the Borrower and its obligations hereunder; (g) on a confidential basis to (i) any rating agency in connection with rating the Borrower or its Subsidiaries or the transactions contemplated by this Agreement or (ii) the CUSIP Service Bureau or any similar agency in connection with the issuance and monitoring of CUSIP numbers with respect to this Agreement; or (h) with the consent of the Borrower.</w:t>
      </w:r>
    </w:p>
    <w:p>
      <w:pPr>
        <w:spacing w:after="0" w:line="198"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and the Notes and any claims, controversy, dispute </w:t>
      </w:r>
      <w:r>
        <w:rPr>
          <w:rFonts w:ascii="Arial" w:cs="Arial" w:eastAsia="Arial" w:hAnsi="Arial"/>
          <w:sz w:val="18"/>
          <w:szCs w:val="18"/>
          <w:u w:val="single" w:color="auto"/>
          <w:color w:val="auto"/>
        </w:rPr>
        <w:t>or cause of action (whether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 or tort or otherwise) based upon,</w:t>
      </w:r>
      <w:r>
        <w:rPr>
          <w:rFonts w:ascii="Arial" w:cs="Arial" w:eastAsia="Arial" w:hAnsi="Arial"/>
          <w:sz w:val="18"/>
          <w:szCs w:val="18"/>
          <w:color w:val="auto"/>
        </w:rPr>
        <w:t xml:space="preserve"> arising out of or relating to this Agreement or any Note </w:t>
      </w:r>
      <w:r>
        <w:rPr>
          <w:rFonts w:ascii="Arial" w:cs="Arial" w:eastAsia="Arial" w:hAnsi="Arial"/>
          <w:sz w:val="18"/>
          <w:szCs w:val="18"/>
          <w:u w:val="single" w:color="auto"/>
          <w:color w:val="auto"/>
        </w:rPr>
        <w:t>and the transactions contemplated hereby and thereby</w:t>
      </w:r>
      <w:r>
        <w:rPr>
          <w:rFonts w:ascii="Arial" w:cs="Arial" w:eastAsia="Arial" w:hAnsi="Arial"/>
          <w:sz w:val="18"/>
          <w:szCs w:val="18"/>
          <w:color w:val="auto"/>
        </w:rPr>
        <w:t xml:space="preserve"> shall be governed by, and construed in accordance with, the law of the State of New York.</w:t>
      </w:r>
    </w:p>
    <w:p>
      <w:pPr>
        <w:spacing w:after="0" w:line="209"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212" w:lineRule="exact"/>
        <w:rPr>
          <w:sz w:val="20"/>
          <w:szCs w:val="20"/>
          <w:color w:val="auto"/>
        </w:rPr>
      </w:pPr>
    </w:p>
    <w:p>
      <w:pPr>
        <w:jc w:val="both"/>
        <w:ind w:firstLine="1290"/>
        <w:spacing w:after="0" w:line="278"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Judgment</w:t>
      </w:r>
      <w:r>
        <w:rPr>
          <w:rFonts w:ascii="Arial" w:cs="Arial" w:eastAsia="Arial" w:hAnsi="Arial"/>
          <w:sz w:val="17"/>
          <w:szCs w:val="17"/>
          <w:color w:val="auto"/>
        </w:rPr>
        <w:t>. (a) 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Agent could purchase Dollars with such other currency at Citibank’s principal office in London at 11:00 A.M. (London time) on the Business Day preceding that on which final judgment is given.</w:t>
      </w:r>
    </w:p>
    <w:p>
      <w:pPr>
        <w:spacing w:after="0" w:line="197" w:lineRule="exact"/>
        <w:rPr>
          <w:sz w:val="20"/>
          <w:szCs w:val="20"/>
          <w:color w:val="auto"/>
        </w:rPr>
      </w:pPr>
    </w:p>
    <w:p>
      <w:pPr>
        <w:jc w:val="both"/>
        <w:ind w:firstLine="1298"/>
        <w:spacing w:after="0" w:line="258" w:lineRule="auto"/>
        <w:tabs>
          <w:tab w:leader="none" w:pos="199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for the purposes of obtaining judgment in any court it is necessary to convert a sum due hereunder in a Committed Currency into Dollars, the parties agree to the fullest extent that they may effectively do so, that the rate of exchange used shall be that at which in accordance with normal banking procedures the Agent could purchase such Committed Currency with Dollars at Citibank’s principal office in London at 11:00 A.M. (London time) on the Business Day preceding that on which final judgment is given.</w:t>
      </w:r>
    </w:p>
    <w:p>
      <w:pPr>
        <w:spacing w:after="0" w:line="212" w:lineRule="exact"/>
        <w:rPr>
          <w:rFonts w:ascii="Arial" w:cs="Arial" w:eastAsia="Arial" w:hAnsi="Arial"/>
          <w:sz w:val="18"/>
          <w:szCs w:val="18"/>
          <w:color w:val="auto"/>
        </w:rPr>
      </w:pPr>
    </w:p>
    <w:p>
      <w:pPr>
        <w:jc w:val="both"/>
        <w:ind w:firstLine="1298"/>
        <w:spacing w:after="0" w:line="289" w:lineRule="auto"/>
        <w:tabs>
          <w:tab w:leader="none" w:pos="20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obligation of the Borrower in respect of any sum due from it in any currency (the “</w:t>
      </w:r>
      <w:r>
        <w:rPr>
          <w:rFonts w:ascii="Arial" w:cs="Arial" w:eastAsia="Arial" w:hAnsi="Arial"/>
          <w:sz w:val="16"/>
          <w:szCs w:val="16"/>
          <w:u w:val="single" w:color="auto"/>
          <w:color w:val="auto"/>
        </w:rPr>
        <w:t>Primary Currency</w:t>
      </w:r>
      <w:r>
        <w:rPr>
          <w:rFonts w:ascii="Arial" w:cs="Arial" w:eastAsia="Arial" w:hAnsi="Arial"/>
          <w:sz w:val="16"/>
          <w:szCs w:val="16"/>
          <w:color w:val="auto"/>
        </w:rPr>
        <w:t>”) to any Lender Party or the Agent hereunder shall, notwithstanding any judgment in any other currency, be discharged only to the extent that on the Business Day following receipt by such Lender Party or the Agent (as the case may be), of any sum adjudged to be so due in such other currency, such Lender Party or the Agent (as the case may be) may in accordance with normal banking procedures purchase the applicable Primary Currency with such other currency; if the amount of the applicable Primary Currency so purchased is less than such sum due to such Lender Party or the Agent (as the case may be) in the applicable Primary Currency, the Borrower agrees, as a separate obligation and notwithstanding any such judgment, to indemnify such Lender Party or the Agent (as the case may be) against such loss, and if the amount of the applicable Primary Currency so purchased exceeds such sum due to any Lender Party or the Agent (as the case may be) in the applicable Primary Currency, such Lender Party or the Agent (as the case may be) agrees to remit to the Borrower such excess.</w:t>
      </w:r>
    </w:p>
    <w:p>
      <w:pPr>
        <w:spacing w:after="0" w:line="190" w:lineRule="exact"/>
        <w:rPr>
          <w:sz w:val="20"/>
          <w:szCs w:val="20"/>
          <w:color w:val="auto"/>
        </w:rPr>
      </w:pPr>
    </w:p>
    <w:p>
      <w:pPr>
        <w:jc w:val="both"/>
        <w:ind w:firstLine="1290"/>
        <w:spacing w:after="0" w:line="268"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Jurisdiction, Etc</w:t>
      </w:r>
      <w:r>
        <w:rPr>
          <w:rFonts w:ascii="Arial" w:cs="Arial" w:eastAsia="Arial" w:hAnsi="Arial"/>
          <w:sz w:val="17"/>
          <w:szCs w:val="17"/>
          <w:color w:val="auto"/>
        </w:rPr>
        <w:t>. (a) The Borrower irrevocably and unconditionally agrees that it will not commence any action, litigation or proceeding of any kind or description, whether in law or equity, whether in contract or in tort or otherwise, against the Agent, any Lender Party or any Related Party of the foregoing in any way relating to this Agreement or any Note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Note shall affect any right that the Agent or any Lender Party or may otherwise have to bring any action or proceeding relating to this Agreement or any Note against the Borrower or its properties in the courts of any jurisdiction.</w:t>
      </w:r>
    </w:p>
    <w:p>
      <w:pPr>
        <w:spacing w:after="0" w:line="210" w:lineRule="exact"/>
        <w:rPr>
          <w:sz w:val="20"/>
          <w:szCs w:val="20"/>
          <w:color w:val="auto"/>
        </w:rPr>
      </w:pPr>
    </w:p>
    <w:p>
      <w:pPr>
        <w:jc w:val="both"/>
        <w:ind w:firstLine="1298"/>
        <w:spacing w:after="0" w:line="278" w:lineRule="auto"/>
        <w:tabs>
          <w:tab w:leader="none" w:pos="2126"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Waiver of Venue</w:t>
      </w:r>
      <w:r>
        <w:rPr>
          <w:rFonts w:ascii="Arial" w:cs="Arial" w:eastAsia="Arial" w:hAnsi="Arial"/>
          <w:sz w:val="17"/>
          <w:szCs w:val="17"/>
          <w:color w:val="auto"/>
        </w:rPr>
        <w:t>. The Borrower irrevocably and unconditionally waives, to the fullest extent permitted by applicable law, any objection that it may now or hereafter have to the laying of venue of any action or proceeding arising out of or relating to this Agreement or any Note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spacing w:after="0" w:line="197"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Substitution of Currency</w:t>
      </w:r>
      <w:r>
        <w:rPr>
          <w:rFonts w:ascii="Arial" w:cs="Arial" w:eastAsia="Arial" w:hAnsi="Arial"/>
          <w:sz w:val="18"/>
          <w:szCs w:val="18"/>
          <w:color w:val="auto"/>
        </w:rPr>
        <w:t>. If a change in any Committed Currency occurs pursuant to any applicable law, rule or regulation of any governmental, monetary or multi-national authority, this Agreement (including, without limitation, the definition of Eurocurrency Rate) will be amended to the extent determined by the Agent (acting reasonably and in consultation with the Borrower) to be necessary to reflect the change in currency and to put the Lender Parties and the Borrower in the same position, so far as possible, that they would have been in if no change in such Committed Currency had occurred.</w:t>
      </w:r>
    </w:p>
    <w:p>
      <w:pPr>
        <w:spacing w:after="0" w:line="218" w:lineRule="exact"/>
        <w:rPr>
          <w:sz w:val="20"/>
          <w:szCs w:val="20"/>
          <w:color w:val="auto"/>
        </w:rPr>
      </w:pPr>
    </w:p>
    <w:p>
      <w:pPr>
        <w:jc w:val="both"/>
        <w:ind w:firstLine="1290"/>
        <w:spacing w:after="0" w:line="287"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No Liability of the Issuing Banks.</w:t>
      </w:r>
      <w:r>
        <w:rPr>
          <w:rFonts w:ascii="Arial" w:cs="Arial" w:eastAsia="Arial" w:hAnsi="Arial"/>
          <w:sz w:val="16"/>
          <w:szCs w:val="16"/>
          <w:color w:val="auto"/>
        </w:rPr>
        <w:t xml:space="preserve"> The Borrower assumes all risks of the acts or omissions of any beneficiary or transferee of any Letter of Credit with respect to its use of such Letter of Credit. Neither an Issuing Bank nor any of its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 Borrower, to the extent of any direct, but not consequential, damages suffered by the Borrower that the Borrower proves were caused by (i) such Issuing Bank’s willful misconduct or gross negligence as determined in a final, non-appealable judgment by a court of competent jurisdiction in determining whether documents presented under any Letter of Credit comply with the terms of the Letter of Credit or (ii) such Issuing Bank’s willful failure to make lawful</w:t>
      </w:r>
    </w:p>
    <w:p>
      <w:pPr>
        <w:sectPr>
          <w:pgSz w:w="11900" w:h="16838" w:orient="portrait"/>
          <w:cols w:equalWidth="0" w:num="1">
            <w:col w:w="11420"/>
          </w:cols>
          <w:pgMar w:left="240" w:top="367" w:right="239" w:bottom="0" w:gutter="0" w:footer="0" w:header="0"/>
        </w:sectPr>
      </w:pPr>
    </w:p>
    <w:bookmarkStart w:id="66" w:name="page67"/>
    <w:bookmarkEnd w:id="66"/>
    <w:p>
      <w:pPr>
        <w:jc w:val="both"/>
        <w:spacing w:after="0" w:line="262" w:lineRule="auto"/>
        <w:rPr>
          <w:sz w:val="20"/>
          <w:szCs w:val="20"/>
          <w:color w:val="auto"/>
        </w:rPr>
      </w:pPr>
      <w:r>
        <w:rPr>
          <w:rFonts w:ascii="Arial" w:cs="Arial" w:eastAsia="Arial" w:hAnsi="Arial"/>
          <w:sz w:val="18"/>
          <w:szCs w:val="18"/>
          <w:color w:val="auto"/>
        </w:rPr>
        <w:t>payment under a Letter of Credit after the presentation to it of a draft and certificates strictly complying with the terms and conditions of the Letter of Credit. In furtherance and not in limitation of the foregoing, such Issuing Bank may accept documents that appear on their face to be in order, without responsibility for further investigation, regardless of any notice or information to the contrary.</w:t>
      </w:r>
    </w:p>
    <w:p>
      <w:pPr>
        <w:spacing w:after="0" w:line="209" w:lineRule="exact"/>
        <w:rPr>
          <w:sz w:val="20"/>
          <w:szCs w:val="20"/>
          <w:color w:val="auto"/>
        </w:rPr>
      </w:pPr>
    </w:p>
    <w:p>
      <w:pPr>
        <w:ind w:right="80" w:firstLine="1290"/>
        <w:spacing w:after="0" w:line="258"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Each Lender hereby notifies each Borrower that pursuant to the requirements of the USA Patriot Act (Title III of Pub. L. 107-56 (signed into law October 26, 2001)) (the “Act”), it is required to obtain, verify and record information that identifies each borrower, guarantor or grantor (the “Loan Parties”), which information includes the name and address of each Loan Party and other information that will allow such Lender to identify such Loan Party in accordance with the Act.</w:t>
      </w:r>
    </w:p>
    <w:p>
      <w:pPr>
        <w:spacing w:after="0" w:line="212"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No Fiduciary Duty</w:t>
      </w:r>
      <w:r>
        <w:rPr>
          <w:rFonts w:ascii="Arial" w:cs="Arial" w:eastAsia="Arial" w:hAnsi="Arial"/>
          <w:sz w:val="18"/>
          <w:szCs w:val="18"/>
          <w:color w:val="auto"/>
        </w:rPr>
        <w:t>. The Borrower acknowledges that the Lender Parties have no fiduciary relationship with, or fiduciary duty to, the Borrower arising out of or in connection with this Agreement, and the relationship between each Lender Party and the Borrower is solely that of creditor and debtor. This Agreement does not create a joint venture among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7920" w:firstLine="52"/>
        <w:spacing w:after="0" w:line="275" w:lineRule="auto"/>
        <w:tabs>
          <w:tab w:leader="none" w:pos="1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ManpowerGroup Five Year Credit Agreement NYDOCS03/975898.3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jc w:val="both"/>
        <w:ind w:firstLine="1290"/>
        <w:spacing w:after="0" w:line="254"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Borrower, the Agent and the Lender Parties hereby irrevocably waives, to the fullest extent permitted by applicable law, any right it may have to a trial by jury in any legal proceeding directly or indirectly arising out of or relating to this Agreement or any Note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18" w:lineRule="exact"/>
        <w:rPr>
          <w:sz w:val="20"/>
          <w:szCs w:val="20"/>
          <w:color w:val="auto"/>
        </w:rPr>
      </w:pPr>
    </w:p>
    <w:p>
      <w:pPr>
        <w:jc w:val="both"/>
        <w:ind w:right="20" w:firstLine="1290"/>
        <w:spacing w:after="0" w:line="275"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MANPOWERGROUP INC.</w:t>
      </w: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tabs>
          <w:tab w:leader="none" w:pos="5140" w:val="left"/>
        </w:tabs>
        <w:rPr>
          <w:sz w:val="20"/>
          <w:szCs w:val="20"/>
          <w:color w:val="auto"/>
        </w:rPr>
      </w:pPr>
      <w:r>
        <w:rPr>
          <w:rFonts w:ascii="Arial" w:cs="Arial" w:eastAsia="Arial" w:hAnsi="Arial"/>
          <w:sz w:val="18"/>
          <w:szCs w:val="18"/>
          <w:color w:val="auto"/>
        </w:rPr>
        <w:t>Title:</w:t>
        <w:tab/>
        <w:t>Vice President, Corporate Controller and Treasurer</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CITIBANK, N.A., as Agent, as Issuing Bank and as Lender</w:t>
      </w: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Syndication Agent</w:t>
      </w: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BNP PARIBAS, as Lender</w:t>
      </w: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Documentation Agents</w:t>
      </w: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JPMORGAN CHASE BANK, N.A., as Issuing Bank and as Lender</w:t>
      </w: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7" w:lineRule="exact"/>
        <w:rPr>
          <w:sz w:val="20"/>
          <w:szCs w:val="20"/>
          <w:color w:val="auto"/>
        </w:rPr>
      </w:pPr>
    </w:p>
    <w:p>
      <w:pPr>
        <w:ind w:right="7920" w:firstLine="52"/>
        <w:spacing w:after="0" w:line="275" w:lineRule="auto"/>
        <w:tabs>
          <w:tab w:leader="none" w:pos="1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ManpowerGroup Five Year Credit Agreement NYDOCS03/975898.3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8" w:name="page69"/>
    <w:bookmarkEnd w:id="68"/>
    <w:p>
      <w:pPr>
        <w:ind w:left="4468"/>
        <w:spacing w:after="0"/>
        <w:rPr>
          <w:sz w:val="20"/>
          <w:szCs w:val="20"/>
          <w:color w:val="auto"/>
        </w:rPr>
      </w:pPr>
      <w:r>
        <w:rPr>
          <w:rFonts w:ascii="Arial" w:cs="Arial" w:eastAsia="Arial" w:hAnsi="Arial"/>
          <w:sz w:val="18"/>
          <w:szCs w:val="18"/>
          <w:color w:val="auto"/>
        </w:rPr>
        <w:t>BARCLAYS BANK PLC, as Lender</w:t>
      </w:r>
    </w:p>
    <w:p>
      <w:pPr>
        <w:spacing w:after="0" w:line="25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RBS CITIZENS, N.A. , as Lender</w:t>
      </w:r>
    </w:p>
    <w:p>
      <w:pPr>
        <w:spacing w:after="0" w:line="25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468"/>
        <w:spacing w:after="0"/>
        <w:rPr>
          <w:sz w:val="20"/>
          <w:szCs w:val="20"/>
          <w:color w:val="auto"/>
        </w:rPr>
      </w:pPr>
      <w:r>
        <w:rPr>
          <w:rFonts w:ascii="Arial" w:cs="Arial" w:eastAsia="Arial" w:hAnsi="Arial"/>
          <w:sz w:val="17"/>
          <w:szCs w:val="17"/>
          <w:color w:val="auto"/>
        </w:rPr>
        <w:t>THE BANK OF TOKYO-MITSUBISHI UFJ, LTD. , as Lender</w:t>
      </w:r>
    </w:p>
    <w:p>
      <w:pPr>
        <w:spacing w:after="0" w:line="262"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U.S. BANK NATIONAL ASSOCIATION, as Lender</w:t>
      </w:r>
    </w:p>
    <w:p>
      <w:pPr>
        <w:spacing w:after="0" w:line="25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468"/>
        <w:spacing w:after="0"/>
        <w:rPr>
          <w:sz w:val="20"/>
          <w:szCs w:val="20"/>
          <w:color w:val="auto"/>
        </w:rPr>
      </w:pPr>
      <w:r>
        <w:rPr>
          <w:rFonts w:ascii="Arial" w:cs="Arial" w:eastAsia="Arial" w:hAnsi="Arial"/>
          <w:sz w:val="17"/>
          <w:szCs w:val="17"/>
          <w:color w:val="auto"/>
        </w:rPr>
        <w:t>UNICREDIT BANK AG, NEW YORK BRANCH, as Lender</w:t>
      </w:r>
    </w:p>
    <w:p>
      <w:pPr>
        <w:spacing w:after="0" w:line="262"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5368"/>
        <w:spacing w:after="0"/>
        <w:rPr>
          <w:sz w:val="20"/>
          <w:szCs w:val="20"/>
          <w:color w:val="auto"/>
        </w:rPr>
      </w:pPr>
      <w:r>
        <w:rPr>
          <w:rFonts w:ascii="Arial" w:cs="Arial" w:eastAsia="Arial" w:hAnsi="Arial"/>
          <w:sz w:val="18"/>
          <w:szCs w:val="18"/>
          <w:u w:val="single" w:color="auto"/>
          <w:color w:val="auto"/>
        </w:rPr>
        <w:t>Lenders</w:t>
      </w:r>
    </w:p>
    <w:p>
      <w:pPr>
        <w:spacing w:after="0" w:line="25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BMO HARRIS BANK N.A. , as Lender</w:t>
      </w:r>
    </w:p>
    <w:p>
      <w:pPr>
        <w:spacing w:after="0" w:line="25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7" w:lineRule="exact"/>
        <w:rPr>
          <w:sz w:val="20"/>
          <w:szCs w:val="20"/>
          <w:color w:val="auto"/>
        </w:rPr>
      </w:pPr>
    </w:p>
    <w:p>
      <w:pPr>
        <w:ind w:left="-52" w:right="6759" w:firstLine="52"/>
        <w:spacing w:after="0" w:line="275" w:lineRule="auto"/>
        <w:tabs>
          <w:tab w:leader="none" w:pos="9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ManpowerGroup Five Year Credit Agreement NYDOCS03/975898.4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234950</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167"/>
          </w:cols>
          <w:pgMar w:left="292" w:top="515" w:right="1440" w:bottom="1440" w:gutter="0" w:footer="0" w:header="0"/>
        </w:sectPr>
      </w:pPr>
    </w:p>
    <w:bookmarkStart w:id="69" w:name="page70"/>
    <w:bookmarkEnd w:id="69"/>
    <w:p>
      <w:pPr>
        <w:ind w:left="4468"/>
        <w:spacing w:after="0"/>
        <w:rPr>
          <w:sz w:val="20"/>
          <w:szCs w:val="20"/>
          <w:color w:val="auto"/>
        </w:rPr>
      </w:pPr>
      <w:r>
        <w:rPr>
          <w:rFonts w:ascii="Arial" w:cs="Arial" w:eastAsia="Arial" w:hAnsi="Arial"/>
          <w:sz w:val="18"/>
          <w:szCs w:val="18"/>
          <w:color w:val="auto"/>
        </w:rPr>
        <w:t>ING BANK N.V., DUBLIN BRANCH, as Lender</w:t>
      </w:r>
    </w:p>
    <w:p>
      <w:pPr>
        <w:spacing w:after="0" w:line="25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SUMITOMO MITSUI BANKING CORPORATION</w:t>
      </w:r>
    </w:p>
    <w:p>
      <w:pPr>
        <w:spacing w:after="0" w:line="25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468"/>
        <w:spacing w:after="0"/>
        <w:rPr>
          <w:sz w:val="20"/>
          <w:szCs w:val="20"/>
          <w:color w:val="auto"/>
        </w:rPr>
      </w:pPr>
      <w:r>
        <w:rPr>
          <w:rFonts w:ascii="Arial" w:cs="Arial" w:eastAsia="Arial" w:hAnsi="Arial"/>
          <w:sz w:val="16"/>
          <w:szCs w:val="16"/>
          <w:color w:val="auto"/>
        </w:rPr>
        <w:t>SOCIETE GENERALE, PARIS ETOILE ENTREPRISES, as Lender</w:t>
      </w:r>
    </w:p>
    <w:p>
      <w:pPr>
        <w:spacing w:after="0" w:line="27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NORDEA BANK FINLAND PLC, as Lender</w:t>
      </w:r>
    </w:p>
    <w:p>
      <w:pPr>
        <w:spacing w:after="0" w:line="25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 w:right="6759" w:firstLine="52"/>
        <w:spacing w:after="0" w:line="275" w:lineRule="auto"/>
        <w:tabs>
          <w:tab w:leader="none" w:pos="9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ManpowerGroup Five Year Credit Agreement NYDOCS03/975898.4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234950</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167"/>
          </w:cols>
          <w:pgMar w:left="292" w:top="515"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MANPOWERGROUP INC.</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FIVE YEAR CREDIT AGREEMENT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APPLICABLE LENDING OFFICES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0" w:type="dxa"/>
            <w:vAlign w:val="bottom"/>
            <w:tcBorders>
              <w:top w:val="single" w:sz="8" w:color="auto"/>
              <w:bottom w:val="single" w:sz="8" w:color="auto"/>
            </w:tcBorders>
          </w:tcPr>
          <w:p>
            <w:pPr>
              <w:ind w:left="1680"/>
              <w:spacing w:after="0"/>
              <w:rPr>
                <w:sz w:val="20"/>
                <w:szCs w:val="20"/>
                <w:color w:val="auto"/>
              </w:rPr>
            </w:pPr>
            <w:r>
              <w:rPr>
                <w:rFonts w:ascii="Arial" w:cs="Arial" w:eastAsia="Arial" w:hAnsi="Arial"/>
                <w:sz w:val="18"/>
                <w:szCs w:val="18"/>
                <w:color w:val="auto"/>
              </w:rPr>
              <w:t>Name of Initial Lender</w:t>
            </w:r>
          </w:p>
        </w:tc>
        <w:tc>
          <w:tcPr>
            <w:tcW w:w="38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Revolving Credit Commitment</w:t>
            </w:r>
          </w:p>
        </w:tc>
        <w:tc>
          <w:tcPr>
            <w:tcW w:w="32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Letter of Credit Commitment</w:t>
            </w: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Citibank, N.A.</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$70,000,000</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$75,000,000</w:t>
            </w: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BNP Paribas</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$70,000,000</w:t>
            </w: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JPMorgan Chase Bank, N.A.</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$70,000,000</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$75,000,000</w:t>
            </w: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Barclays Bank PLC</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$46,000,000</w:t>
            </w: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RBS Citizens, N.A.</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$46,000,000</w:t>
            </w: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Bank of Tokyo-Mitsubishi UFJ, Ltd.</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$46,000,000</w:t>
            </w: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Bank National Association</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$46,000,000</w:t>
            </w: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UniCredit Bank AG, New York Branch</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$46,000,000</w:t>
            </w: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BMO Harris Bank N.A.</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$35,000,000</w:t>
            </w: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ING Bank N.V., Dublin Branch</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$35,000,000</w:t>
            </w: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Sumitomo Mitsui Banking Corporation</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$35,000,000</w:t>
            </w: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Societe Generale, Paris Etoile Entreprises</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$30,000,000</w:t>
            </w: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Nordea Bank Finland plc</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$25,000,000</w:t>
            </w: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8"/>
              </w:rPr>
              <w:t>$600,000,000</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$150,000,000</w:t>
            </w:r>
          </w:p>
        </w:tc>
      </w:tr>
    </w:tbl>
    <w:p>
      <w:pPr>
        <w:spacing w:after="0" w:line="200" w:lineRule="exact"/>
        <w:rPr>
          <w:sz w:val="20"/>
          <w:szCs w:val="20"/>
          <w:color w:val="auto"/>
        </w:rPr>
      </w:pPr>
    </w:p>
    <w:p>
      <w:pPr>
        <w:spacing w:after="0" w:line="270" w:lineRule="exact"/>
        <w:rPr>
          <w:sz w:val="20"/>
          <w:szCs w:val="20"/>
          <w:color w:val="auto"/>
        </w:rPr>
      </w:pPr>
    </w:p>
    <w:p>
      <w:pPr>
        <w:ind w:right="7920" w:firstLine="52"/>
        <w:spacing w:after="0" w:line="275" w:lineRule="auto"/>
        <w:tabs>
          <w:tab w:leader="none" w:pos="14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ManpowerGroup Five Year Credit Agreement NYDOCS03/975898.3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Schedule 2.04(f)</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Letters of Credit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2013</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7920" w:firstLine="52"/>
        <w:spacing w:after="0" w:line="275" w:lineRule="auto"/>
        <w:tabs>
          <w:tab w:leader="none" w:pos="14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ManpowerGroup Five Year Credit Agreement NYDOCS03/975898.3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Schedule 5.02(a)</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Liens</w:t>
      </w:r>
    </w:p>
    <w:p>
      <w:pPr>
        <w:spacing w:after="0" w:line="200" w:lineRule="exact"/>
        <w:rPr>
          <w:sz w:val="20"/>
          <w:szCs w:val="20"/>
          <w:color w:val="auto"/>
        </w:rPr>
      </w:pPr>
    </w:p>
    <w:p>
      <w:pPr>
        <w:spacing w:after="0" w:line="29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Liens otherwise permitted by Section 5.02(a), including financing statements covering leased assets or purchase money security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ManpowerGroup Five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267970</wp:posOffset>
            </wp:positionV>
            <wp:extent cx="725106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300" w:top="51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A - FORM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pacing w:after="0" w:line="235"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U.S.$_______________</w:t>
      </w:r>
      <w:r>
        <w:rPr>
          <w:sz w:val="20"/>
          <w:szCs w:val="20"/>
          <w:color w:val="auto"/>
        </w:rPr>
        <w:tab/>
      </w:r>
      <w:r>
        <w:rPr>
          <w:rFonts w:ascii="Arial" w:cs="Arial" w:eastAsia="Arial" w:hAnsi="Arial"/>
          <w:sz w:val="16"/>
          <w:szCs w:val="16"/>
          <w:color w:val="auto"/>
        </w:rPr>
        <w:t>Dated: _______________, 200_</w:t>
      </w:r>
    </w:p>
    <w:p>
      <w:pPr>
        <w:spacing w:after="0" w:line="250" w:lineRule="exact"/>
        <w:rPr>
          <w:sz w:val="20"/>
          <w:szCs w:val="20"/>
          <w:color w:val="auto"/>
        </w:rPr>
      </w:pPr>
    </w:p>
    <w:p>
      <w:pPr>
        <w:jc w:val="both"/>
        <w:ind w:firstLine="1290"/>
        <w:spacing w:after="0" w:line="290" w:lineRule="auto"/>
        <w:rPr>
          <w:sz w:val="20"/>
          <w:szCs w:val="20"/>
          <w:color w:val="auto"/>
        </w:rPr>
      </w:pPr>
      <w:r>
        <w:rPr>
          <w:rFonts w:ascii="Arial" w:cs="Arial" w:eastAsia="Arial" w:hAnsi="Arial"/>
          <w:sz w:val="16"/>
          <w:szCs w:val="16"/>
          <w:color w:val="auto"/>
        </w:rPr>
        <w:t>FOR VALUE RECEIVED, the undersigned, MANPOWERGROUP INC., a Wisconsin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the order of _________________________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on the Termination Date (each as</w:t>
      </w:r>
    </w:p>
    <w:p>
      <w:pPr>
        <w:jc w:val="both"/>
        <w:spacing w:after="0" w:line="251" w:lineRule="auto"/>
        <w:rPr>
          <w:sz w:val="20"/>
          <w:szCs w:val="20"/>
          <w:color w:val="auto"/>
        </w:rPr>
      </w:pPr>
      <w:r>
        <w:rPr>
          <w:rFonts w:ascii="Arial" w:cs="Arial" w:eastAsia="Arial" w:hAnsi="Arial"/>
          <w:sz w:val="18"/>
          <w:szCs w:val="18"/>
          <w:color w:val="auto"/>
        </w:rPr>
        <w:t>defined in the Credit Agreement referred to below) the principal sum of U.S.$[amount of the Lender’s Commitment in figures] or, if less, the aggregate principal amount of the Revolving Credit Advances made by the Lender to the Borrower pursuant to the Amended and Restated Five Year Credit Agreement dated as of October 15, 2013 among the Borrower, the Lender and certain other lenders parties thereto, and Citibank, N.A. as Agent for the Lender and such other lenders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outstanding on the Termination Date.</w:t>
      </w:r>
    </w:p>
    <w:p>
      <w:pPr>
        <w:spacing w:after="0" w:line="220" w:lineRule="exact"/>
        <w:rPr>
          <w:sz w:val="20"/>
          <w:szCs w:val="20"/>
          <w:color w:val="auto"/>
        </w:rPr>
      </w:pPr>
    </w:p>
    <w:p>
      <w:pPr>
        <w:jc w:val="both"/>
        <w:ind w:firstLine="1290"/>
        <w:spacing w:after="0" w:line="340" w:lineRule="auto"/>
        <w:rPr>
          <w:sz w:val="20"/>
          <w:szCs w:val="20"/>
          <w:color w:val="auto"/>
        </w:rPr>
      </w:pPr>
      <w:r>
        <w:rPr>
          <w:rFonts w:ascii="Arial" w:cs="Arial" w:eastAsia="Arial" w:hAnsi="Arial"/>
          <w:sz w:val="16"/>
          <w:szCs w:val="16"/>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51"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Both principal and interest in respect of each Revolving Credit Advance (i) in Dollars are payable in lawful money of the United States of America to the Agent at its account maintained at 388 Greenwich Street, New York, New York 10013, in same day funds and (ii) in any Committed Currency are payable in such currency at the applicable Payment Office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218"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auto"/>
        </w:rPr>
        <w:t>This Promissory Note is one of the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Dollar amount first above mentioned, the indebtedness of the Borrower resulting from each such Revolving Credit Advance being evidenced by this Promissory Note, (ii) contains provisions for determining the Dollar Equivalent of Revolving Credit Advances denominated in Committed Currencies and (iii) contains provisions for acceleration of the maturity hereof upon the happening of certain stated events and also for prepayments on account of principal hereof prior to the maturity hereof upon the terms and conditions therein specified.</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MANPOWERGROUP INC.</w:t>
      </w: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__________________________</w:t>
      </w:r>
    </w:p>
    <w:p>
      <w:pPr>
        <w:spacing w:after="0" w:line="23" w:lineRule="exact"/>
        <w:rPr>
          <w:sz w:val="20"/>
          <w:szCs w:val="20"/>
          <w:color w:val="auto"/>
        </w:rPr>
      </w:pPr>
    </w:p>
    <w:p>
      <w:pPr>
        <w:ind w:left="5900" w:hanging="763"/>
        <w:spacing w:after="0"/>
        <w:tabs>
          <w:tab w:leader="none" w:pos="5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Title:</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ManpowerGroup Five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ADVANCES AND PAYMENTS OF PRINCIPAL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Amount of</w:t>
            </w:r>
          </w:p>
        </w:tc>
        <w:tc>
          <w:tcPr>
            <w:tcW w:w="25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r>
      <w:tr>
        <w:trPr>
          <w:trHeight w:val="215"/>
        </w:trPr>
        <w:tc>
          <w:tcPr>
            <w:tcW w:w="2160" w:type="dxa"/>
            <w:vAlign w:val="bottom"/>
          </w:tcPr>
          <w:p>
            <w:pPr>
              <w:ind w:left="960"/>
              <w:spacing w:after="0"/>
              <w:rPr>
                <w:sz w:val="20"/>
                <w:szCs w:val="20"/>
                <w:color w:val="auto"/>
              </w:rPr>
            </w:pPr>
            <w:r>
              <w:rPr>
                <w:rFonts w:ascii="Arial" w:cs="Arial" w:eastAsia="Arial" w:hAnsi="Arial"/>
                <w:sz w:val="18"/>
                <w:szCs w:val="18"/>
                <w:b w:val="1"/>
                <w:bCs w:val="1"/>
                <w:color w:val="auto"/>
              </w:rPr>
              <w:t>Date</w:t>
            </w:r>
          </w:p>
        </w:tc>
        <w:tc>
          <w:tcPr>
            <w:tcW w:w="234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Amount of</w:t>
            </w:r>
          </w:p>
        </w:tc>
        <w:tc>
          <w:tcPr>
            <w:tcW w:w="23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Principal Paid</w:t>
            </w:r>
          </w:p>
        </w:tc>
        <w:tc>
          <w:tcPr>
            <w:tcW w:w="25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Unpaid Principal</w:t>
            </w:r>
          </w:p>
        </w:tc>
        <w:tc>
          <w:tcPr>
            <w:tcW w:w="2120" w:type="dxa"/>
            <w:vAlign w:val="bottom"/>
          </w:tcPr>
          <w:p>
            <w:pPr>
              <w:ind w:left="640"/>
              <w:spacing w:after="0"/>
              <w:rPr>
                <w:sz w:val="20"/>
                <w:szCs w:val="20"/>
                <w:color w:val="auto"/>
              </w:rPr>
            </w:pPr>
            <w:r>
              <w:rPr>
                <w:rFonts w:ascii="Arial" w:cs="Arial" w:eastAsia="Arial" w:hAnsi="Arial"/>
                <w:sz w:val="18"/>
                <w:szCs w:val="18"/>
                <w:b w:val="1"/>
                <w:bCs w:val="1"/>
                <w:color w:val="auto"/>
              </w:rPr>
              <w:t>Notation</w:t>
            </w:r>
          </w:p>
        </w:tc>
      </w:tr>
      <w:tr>
        <w:trPr>
          <w:trHeight w:val="240"/>
        </w:trPr>
        <w:tc>
          <w:tcPr>
            <w:tcW w:w="2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0"/>
              </w:rPr>
              <w:t>Advance</w:t>
            </w:r>
          </w:p>
        </w:tc>
        <w:tc>
          <w:tcPr>
            <w:tcW w:w="23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2"/>
              </w:rPr>
              <w:t>or Prepaid</w:t>
            </w:r>
          </w:p>
        </w:tc>
        <w:tc>
          <w:tcPr>
            <w:tcW w:w="2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Balance</w:t>
            </w:r>
          </w:p>
        </w:tc>
        <w:tc>
          <w:tcPr>
            <w:tcW w:w="21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Made By</w:t>
            </w: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70" w:lineRule="exact"/>
        <w:rPr>
          <w:sz w:val="20"/>
          <w:szCs w:val="20"/>
          <w:color w:val="auto"/>
        </w:rPr>
      </w:pPr>
    </w:p>
    <w:p>
      <w:pPr>
        <w:ind w:right="7960" w:firstLine="52"/>
        <w:spacing w:after="0" w:line="275" w:lineRule="auto"/>
        <w:tabs>
          <w:tab w:leader="none" w:pos="14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ManpowerGroup Five Year Credit Agreement NYDOCS03/975898.4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B - FORM OF NOTICE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BORROWING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Lender Parties party</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Credit Agreement</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referred to below</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1615 Brett Road, Building #3</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Castle, Delaware 19720</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[Date]</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Bank Loan Syndications Department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0" w:lineRule="exact"/>
        <w:rPr>
          <w:sz w:val="20"/>
          <w:szCs w:val="20"/>
          <w:color w:val="auto"/>
        </w:rPr>
      </w:pPr>
    </w:p>
    <w:p>
      <w:pPr>
        <w:jc w:val="both"/>
        <w:ind w:firstLine="1290"/>
        <w:spacing w:after="0" w:line="274" w:lineRule="auto"/>
        <w:rPr>
          <w:sz w:val="20"/>
          <w:szCs w:val="20"/>
          <w:color w:val="auto"/>
        </w:rPr>
      </w:pPr>
      <w:r>
        <w:rPr>
          <w:rFonts w:ascii="Arial" w:cs="Arial" w:eastAsia="Arial" w:hAnsi="Arial"/>
          <w:sz w:val="17"/>
          <w:szCs w:val="17"/>
          <w:color w:val="auto"/>
        </w:rPr>
        <w:t>The undersigned, ManpowerGroup Inc., refers to the Amended and Restated Five Year Credit Agreement, dated as of October 15, 2013 (as amended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terms defined therein being used herein as therein defined), among the undersigned, certain Lender Parties thereto and Citibank, N.A., as Agent for said Lenders, and hereby gives you notice, irrevocably, pursuant to Section 2.02 of the Credit Agreement that the undersigned hereby requests a Borrowing under the Credit Agreement, and in that connection sets forth below the information relating to such Borrowing (the “</w:t>
      </w:r>
      <w:r>
        <w:rPr>
          <w:rFonts w:ascii="Arial" w:cs="Arial" w:eastAsia="Arial" w:hAnsi="Arial"/>
          <w:sz w:val="17"/>
          <w:szCs w:val="17"/>
          <w:u w:val="single" w:color="auto"/>
          <w:color w:val="auto"/>
        </w:rPr>
        <w:t>Proposed Borrowing</w:t>
      </w:r>
      <w:r>
        <w:rPr>
          <w:rFonts w:ascii="Arial" w:cs="Arial" w:eastAsia="Arial" w:hAnsi="Arial"/>
          <w:sz w:val="17"/>
          <w:szCs w:val="17"/>
          <w:color w:val="auto"/>
        </w:rPr>
        <w:t>”) as required by Section 2.02(a) of the Credit Agreement:</w:t>
      </w:r>
    </w:p>
    <w:p>
      <w:pPr>
        <w:spacing w:after="0" w:line="202" w:lineRule="exact"/>
        <w:rPr>
          <w:sz w:val="20"/>
          <w:szCs w:val="20"/>
          <w:color w:val="auto"/>
        </w:rPr>
      </w:pPr>
    </w:p>
    <w:p>
      <w:pPr>
        <w:ind w:left="1960" w:hanging="662"/>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Business Day of the Proposed Borrowing is _______________, 200_.</w:t>
      </w:r>
    </w:p>
    <w:p>
      <w:pPr>
        <w:spacing w:after="0" w:line="250" w:lineRule="exact"/>
        <w:rPr>
          <w:rFonts w:ascii="Arial" w:cs="Arial" w:eastAsia="Arial" w:hAnsi="Arial"/>
          <w:sz w:val="18"/>
          <w:szCs w:val="18"/>
          <w:color w:val="auto"/>
        </w:rPr>
      </w:pPr>
    </w:p>
    <w:p>
      <w:pPr>
        <w:ind w:left="2000" w:hanging="702"/>
        <w:spacing w:after="0"/>
        <w:tabs>
          <w:tab w:leader="none" w:pos="2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Type of Advances comprising the Proposed Borrowing is [Base Rate Advances] [Eurocurrency Rate Advances].</w:t>
      </w:r>
    </w:p>
    <w:p>
      <w:pPr>
        <w:spacing w:after="0" w:line="250" w:lineRule="exact"/>
        <w:rPr>
          <w:rFonts w:ascii="Arial" w:cs="Arial" w:eastAsia="Arial" w:hAnsi="Arial"/>
          <w:sz w:val="18"/>
          <w:szCs w:val="18"/>
          <w:color w:val="auto"/>
        </w:rPr>
      </w:pPr>
    </w:p>
    <w:p>
      <w:pPr>
        <w:ind w:left="660" w:firstLine="638"/>
        <w:spacing w:after="0" w:line="275" w:lineRule="auto"/>
        <w:tabs>
          <w:tab w:leader="none" w:pos="23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aggregate amount of the Proposed Borrowing is [$_______________][for a Borrowing in a Committed Currency, list currency and amount of Borrowing].</w:t>
      </w:r>
    </w:p>
    <w:p>
      <w:pPr>
        <w:spacing w:after="0" w:line="198"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7"/>
          <w:szCs w:val="17"/>
          <w:color w:val="auto"/>
        </w:rPr>
        <w:t>[(iv)</w:t>
      </w:r>
      <w:r>
        <w:rPr>
          <w:sz w:val="20"/>
          <w:szCs w:val="20"/>
          <w:color w:val="auto"/>
        </w:rPr>
        <w:tab/>
      </w:r>
      <w:r>
        <w:rPr>
          <w:rFonts w:ascii="Arial" w:cs="Arial" w:eastAsia="Arial" w:hAnsi="Arial"/>
          <w:sz w:val="17"/>
          <w:szCs w:val="17"/>
          <w:color w:val="auto"/>
        </w:rPr>
        <w:t>The initial Interest Period for each Eurocurrency Rate Advance made as part of the Proposed Borrowing is _____ month[s].]</w:t>
      </w: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hereby certifies that the following statements are true on the date hereof, and will be true on the date of the Proposed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Borrowing:</w:t>
      </w:r>
    </w:p>
    <w:p>
      <w:pPr>
        <w:spacing w:after="0" w:line="235" w:lineRule="exact"/>
        <w:rPr>
          <w:sz w:val="20"/>
          <w:szCs w:val="20"/>
          <w:color w:val="auto"/>
        </w:rPr>
      </w:pPr>
    </w:p>
    <w:p>
      <w:pPr>
        <w:jc w:val="both"/>
        <w:ind w:left="660" w:firstLine="638"/>
        <w:spacing w:after="0" w:line="262" w:lineRule="auto"/>
        <w:tabs>
          <w:tab w:leader="none" w:pos="213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(except the representations set forth in the last sentence of subsection (e) thereof and in subsection (f)(i) thereof) are correct, before and after giving effect to the Proposed Borrowing and to the application of the proceeds therefrom, as though made on and as of such date; and</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160" w:hanging="108"/>
        <w:spacing w:after="0"/>
        <w:tabs>
          <w:tab w:leader="none" w:pos="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ManpowerGroup Five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6" w:name="page77"/>
    <w:bookmarkEnd w:id="76"/>
    <w:p>
      <w:pPr>
        <w:ind w:left="608" w:firstLine="638"/>
        <w:spacing w:after="0" w:line="275" w:lineRule="auto"/>
        <w:tabs>
          <w:tab w:leader="none" w:pos="206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Proposed Borrowing or from the application of the proceeds therefrom, that constitutes a Default.</w:t>
      </w:r>
    </w:p>
    <w:p>
      <w:pPr>
        <w:spacing w:after="0" w:line="19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Very truly yours,</w:t>
      </w:r>
    </w:p>
    <w:p>
      <w:pPr>
        <w:spacing w:after="0" w:line="25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MANPOWERGROUP INC.</w:t>
      </w:r>
    </w:p>
    <w:p>
      <w:pPr>
        <w:spacing w:after="0" w:line="25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By __________________________</w:t>
      </w:r>
    </w:p>
    <w:p>
      <w:pPr>
        <w:spacing w:after="0" w:line="23" w:lineRule="exact"/>
        <w:rPr>
          <w:sz w:val="20"/>
          <w:szCs w:val="20"/>
          <w:color w:val="auto"/>
        </w:rPr>
      </w:pPr>
    </w:p>
    <w:p>
      <w:pPr>
        <w:ind w:left="4728"/>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52" w:right="7940" w:firstLine="52"/>
        <w:spacing w:after="0" w:line="275" w:lineRule="auto"/>
        <w:tabs>
          <w:tab w:leader="none" w:pos="9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ManpowerGroup Five Year Credit Agreement NYDOCS03/975898.4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234950</wp:posOffset>
            </wp:positionV>
            <wp:extent cx="725106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8"/>
          </w:cols>
          <w:pgMar w:left="292" w:top="515" w:right="259" w:bottom="1440" w:gutter="0" w:footer="0" w:header="0"/>
        </w:sectPr>
      </w:pPr>
    </w:p>
    <w:bookmarkStart w:id="77" w:name="page78"/>
    <w:bookmarkEnd w:id="77"/>
    <w:p>
      <w:pPr>
        <w:ind w:left="8520"/>
        <w:spacing w:after="0"/>
        <w:rPr>
          <w:sz w:val="20"/>
          <w:szCs w:val="20"/>
          <w:color w:val="auto"/>
        </w:rPr>
      </w:pPr>
      <w:r>
        <w:rPr>
          <w:rFonts w:ascii="Arial" w:cs="Arial" w:eastAsia="Arial" w:hAnsi="Arial"/>
          <w:sz w:val="16"/>
          <w:szCs w:val="16"/>
          <w:color w:val="auto"/>
        </w:rPr>
        <w:t>CUSIP Number:___________________</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 - FORM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 ASSUMPTION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SSIGNMENT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SSUMPTION</w:t>
      </w:r>
    </w:p>
    <w:p>
      <w:pPr>
        <w:spacing w:after="0" w:line="200" w:lineRule="exact"/>
        <w:rPr>
          <w:sz w:val="20"/>
          <w:szCs w:val="20"/>
          <w:color w:val="auto"/>
        </w:rPr>
      </w:pPr>
    </w:p>
    <w:p>
      <w:pPr>
        <w:spacing w:after="0" w:line="296"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[the][each]</w:t>
      </w:r>
      <w:r>
        <w:rPr>
          <w:rFonts w:ascii="Arial" w:cs="Arial" w:eastAsia="Arial" w:hAnsi="Arial"/>
          <w:sz w:val="22"/>
          <w:szCs w:val="22"/>
          <w:u w:val="single" w:color="auto"/>
          <w:color w:val="0000EE"/>
          <w:vertAlign w:val="superscript"/>
        </w:rPr>
        <w:t>11</w:t>
      </w:r>
      <w:r>
        <w:rPr>
          <w:rFonts w:ascii="Arial" w:cs="Arial" w:eastAsia="Arial" w:hAnsi="Arial"/>
          <w:sz w:val="16"/>
          <w:szCs w:val="16"/>
          <w:color w:val="auto"/>
        </w:rPr>
        <w:t xml:space="preserve"> Assignor identified in item 1 below ([the][each, an] “</w:t>
      </w:r>
      <w:r>
        <w:rPr>
          <w:rFonts w:ascii="Arial" w:cs="Arial" w:eastAsia="Arial" w:hAnsi="Arial"/>
          <w:sz w:val="16"/>
          <w:szCs w:val="16"/>
          <w:u w:val="single" w:color="auto"/>
          <w:color w:val="auto"/>
        </w:rPr>
        <w:t>Assignor</w:t>
      </w:r>
      <w:r>
        <w:rPr>
          <w:rFonts w:ascii="Arial" w:cs="Arial" w:eastAsia="Arial" w:hAnsi="Arial"/>
          <w:sz w:val="16"/>
          <w:szCs w:val="16"/>
          <w:color w:val="auto"/>
        </w:rPr>
        <w:t>”) and [the][each]</w:t>
      </w:r>
      <w:r>
        <w:rPr>
          <w:rFonts w:ascii="Arial" w:cs="Arial" w:eastAsia="Arial" w:hAnsi="Arial"/>
          <w:sz w:val="22"/>
          <w:szCs w:val="22"/>
          <w:u w:val="single" w:color="auto"/>
          <w:color w:val="0000EE"/>
          <w:vertAlign w:val="superscript"/>
        </w:rPr>
        <w:t>12</w:t>
      </w:r>
      <w:r>
        <w:rPr>
          <w:rFonts w:ascii="Arial" w:cs="Arial" w:eastAsia="Arial" w:hAnsi="Arial"/>
          <w:sz w:val="16"/>
          <w:szCs w:val="16"/>
          <w:color w:val="auto"/>
        </w:rPr>
        <w:t xml:space="preserve"> Assignee identified in item 2 below ([the] [each, an] “</w:t>
      </w:r>
      <w:r>
        <w:rPr>
          <w:rFonts w:ascii="Arial" w:cs="Arial" w:eastAsia="Arial" w:hAnsi="Arial"/>
          <w:sz w:val="16"/>
          <w:szCs w:val="16"/>
          <w:u w:val="single" w:color="auto"/>
          <w:color w:val="auto"/>
        </w:rPr>
        <w:t>Assignee</w:t>
      </w:r>
      <w:r>
        <w:rPr>
          <w:rFonts w:ascii="Arial" w:cs="Arial" w:eastAsia="Arial" w:hAnsi="Arial"/>
          <w:sz w:val="16"/>
          <w:szCs w:val="16"/>
          <w:color w:val="auto"/>
        </w:rPr>
        <w:t>”). [It is understood and agreed that the rights and obligations of [the Assignors][the Assignees]</w:t>
      </w:r>
      <w:r>
        <w:rPr>
          <w:rFonts w:ascii="Arial" w:cs="Arial" w:eastAsia="Arial" w:hAnsi="Arial"/>
          <w:sz w:val="22"/>
          <w:szCs w:val="22"/>
          <w:u w:val="single" w:color="auto"/>
          <w:color w:val="0000EE"/>
          <w:vertAlign w:val="superscript"/>
        </w:rPr>
        <w:t>13</w:t>
      </w:r>
      <w:r>
        <w:rPr>
          <w:rFonts w:ascii="Arial" w:cs="Arial" w:eastAsia="Arial" w:hAnsi="Arial"/>
          <w:sz w:val="16"/>
          <w:szCs w:val="16"/>
          <w:color w:val="auto"/>
        </w:rPr>
        <w:t xml:space="preserve"> hereunder are several and not joint.]</w:t>
      </w:r>
      <w:r>
        <w:rPr>
          <w:rFonts w:ascii="Arial" w:cs="Arial" w:eastAsia="Arial" w:hAnsi="Arial"/>
          <w:sz w:val="22"/>
          <w:szCs w:val="22"/>
          <w:u w:val="single" w:color="auto"/>
          <w:color w:val="0000EE"/>
          <w:vertAlign w:val="superscript"/>
        </w:rPr>
        <w:t>14</w:t>
      </w:r>
      <w:r>
        <w:rPr>
          <w:rFonts w:ascii="Arial" w:cs="Arial" w:eastAsia="Arial" w:hAnsi="Arial"/>
          <w:sz w:val="16"/>
          <w:szCs w:val="16"/>
          <w:color w:val="auto"/>
        </w:rPr>
        <w:t xml:space="preserve"> Capitalized terms used but not defined herein shall have the meanings given to them in the Credit Agreement identified below (as amended,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218"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 [each]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[the][any] Assignor and, except as expressly provided in this Assignment and Assumption, without representation or warranty by [the][any] Assignor.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540" w:type="dxa"/>
            <w:vAlign w:val="bottom"/>
          </w:tcPr>
          <w:p>
            <w:pPr>
              <w:ind w:left="360"/>
              <w:spacing w:after="0"/>
              <w:rPr>
                <w:sz w:val="20"/>
                <w:szCs w:val="20"/>
                <w:color w:val="auto"/>
              </w:rPr>
            </w:pPr>
            <w:r>
              <w:rPr>
                <w:rFonts w:ascii="Arial" w:cs="Arial" w:eastAsia="Arial" w:hAnsi="Arial"/>
                <w:sz w:val="18"/>
                <w:szCs w:val="18"/>
                <w:color w:val="auto"/>
              </w:rPr>
              <w:t>Assignor[s]:</w:t>
            </w:r>
          </w:p>
        </w:tc>
        <w:tc>
          <w:tcPr>
            <w:tcW w:w="6900" w:type="dxa"/>
            <w:vAlign w:val="bottom"/>
          </w:tcPr>
          <w:p>
            <w:pPr>
              <w:ind w:left="1140"/>
              <w:spacing w:after="0"/>
              <w:rPr>
                <w:sz w:val="20"/>
                <w:szCs w:val="20"/>
                <w:color w:val="auto"/>
              </w:rPr>
            </w:pPr>
            <w:r>
              <w:rPr>
                <w:rFonts w:ascii="Arial" w:cs="Arial" w:eastAsia="Arial" w:hAnsi="Arial"/>
                <w:sz w:val="18"/>
                <w:szCs w:val="18"/>
                <w:color w:val="auto"/>
              </w:rPr>
              <w:t>________________________________</w:t>
            </w:r>
          </w:p>
        </w:tc>
      </w:tr>
      <w:tr>
        <w:trPr>
          <w:trHeight w:val="442"/>
        </w:trPr>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900" w:type="dxa"/>
            <w:vAlign w:val="bottom"/>
          </w:tcPr>
          <w:p>
            <w:pPr>
              <w:ind w:left="1440"/>
              <w:spacing w:after="0"/>
              <w:rPr>
                <w:sz w:val="20"/>
                <w:szCs w:val="20"/>
                <w:color w:val="auto"/>
              </w:rPr>
            </w:pPr>
            <w:r>
              <w:rPr>
                <w:rFonts w:ascii="Arial" w:cs="Arial" w:eastAsia="Arial" w:hAnsi="Arial"/>
                <w:sz w:val="18"/>
                <w:szCs w:val="18"/>
                <w:color w:val="auto"/>
              </w:rPr>
              <w:t>______________________________</w:t>
            </w:r>
          </w:p>
        </w:tc>
      </w:tr>
      <w:tr>
        <w:trPr>
          <w:trHeight w:val="230"/>
        </w:trPr>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900" w:type="dxa"/>
            <w:vAlign w:val="bottom"/>
          </w:tcPr>
          <w:p>
            <w:pPr>
              <w:ind w:left="1440"/>
              <w:spacing w:after="0"/>
              <w:rPr>
                <w:sz w:val="20"/>
                <w:szCs w:val="20"/>
                <w:color w:val="auto"/>
              </w:rPr>
            </w:pPr>
            <w:r>
              <w:rPr>
                <w:rFonts w:ascii="Arial" w:cs="Arial" w:eastAsia="Arial" w:hAnsi="Arial"/>
                <w:sz w:val="18"/>
                <w:szCs w:val="18"/>
                <w:color w:val="auto"/>
              </w:rPr>
              <w:t>[Assignor [is] [is not] a Defaulting Lender]</w:t>
            </w:r>
          </w:p>
        </w:tc>
      </w:tr>
      <w:tr>
        <w:trPr>
          <w:trHeight w:val="457"/>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540" w:type="dxa"/>
            <w:vAlign w:val="bottom"/>
          </w:tcPr>
          <w:p>
            <w:pPr>
              <w:ind w:left="120"/>
              <w:spacing w:after="0"/>
              <w:rPr>
                <w:sz w:val="20"/>
                <w:szCs w:val="20"/>
                <w:color w:val="auto"/>
              </w:rPr>
            </w:pPr>
            <w:r>
              <w:rPr>
                <w:rFonts w:ascii="Arial" w:cs="Arial" w:eastAsia="Arial" w:hAnsi="Arial"/>
                <w:sz w:val="18"/>
                <w:szCs w:val="18"/>
                <w:color w:val="auto"/>
              </w:rPr>
              <w:t>Assignee[s]:</w:t>
            </w:r>
          </w:p>
        </w:tc>
        <w:tc>
          <w:tcPr>
            <w:tcW w:w="6900" w:type="dxa"/>
            <w:vAlign w:val="bottom"/>
          </w:tcPr>
          <w:p>
            <w:pPr>
              <w:ind w:left="380"/>
              <w:spacing w:after="0"/>
              <w:rPr>
                <w:sz w:val="20"/>
                <w:szCs w:val="20"/>
                <w:color w:val="auto"/>
              </w:rPr>
            </w:pPr>
            <w:r>
              <w:rPr>
                <w:rFonts w:ascii="Arial" w:cs="Arial" w:eastAsia="Arial" w:hAnsi="Arial"/>
                <w:sz w:val="18"/>
                <w:szCs w:val="18"/>
                <w:color w:val="auto"/>
              </w:rPr>
              <w:t>______________________________</w:t>
            </w:r>
          </w:p>
        </w:tc>
      </w:tr>
      <w:tr>
        <w:trPr>
          <w:trHeight w:val="442"/>
        </w:trPr>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900" w:type="dxa"/>
            <w:vAlign w:val="bottom"/>
          </w:tcPr>
          <w:p>
            <w:pPr>
              <w:ind w:left="1440"/>
              <w:spacing w:after="0"/>
              <w:rPr>
                <w:sz w:val="20"/>
                <w:szCs w:val="20"/>
                <w:color w:val="auto"/>
              </w:rPr>
            </w:pPr>
            <w:r>
              <w:rPr>
                <w:rFonts w:ascii="Arial" w:cs="Arial" w:eastAsia="Arial" w:hAnsi="Arial"/>
                <w:sz w:val="18"/>
                <w:szCs w:val="18"/>
                <w:color w:val="auto"/>
              </w:rPr>
              <w:t>______________________________</w:t>
            </w:r>
          </w:p>
        </w:tc>
      </w:tr>
      <w:tr>
        <w:trPr>
          <w:trHeight w:val="230"/>
        </w:trPr>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900" w:type="dxa"/>
            <w:vAlign w:val="bottom"/>
          </w:tcPr>
          <w:p>
            <w:pPr>
              <w:ind w:left="1440"/>
              <w:spacing w:after="0"/>
              <w:rPr>
                <w:sz w:val="20"/>
                <w:szCs w:val="20"/>
                <w:color w:val="auto"/>
              </w:rPr>
            </w:pPr>
            <w:r>
              <w:rPr>
                <w:rFonts w:ascii="Arial" w:cs="Arial" w:eastAsia="Arial" w:hAnsi="Arial"/>
                <w:sz w:val="18"/>
                <w:szCs w:val="18"/>
                <w:color w:val="auto"/>
                <w:w w:val="93"/>
              </w:rPr>
              <w:t>[for each Assignee, indicate [Affiliate][Approved Fund] of [</w:t>
            </w:r>
            <w:r>
              <w:rPr>
                <w:rFonts w:ascii="Arial" w:cs="Arial" w:eastAsia="Arial" w:hAnsi="Arial"/>
                <w:sz w:val="18"/>
                <w:szCs w:val="18"/>
                <w:i w:val="1"/>
                <w:iCs w:val="1"/>
                <w:color w:val="auto"/>
                <w:w w:val="93"/>
              </w:rPr>
              <w:t>identify Lender</w:t>
            </w:r>
            <w:r>
              <w:rPr>
                <w:rFonts w:ascii="Arial" w:cs="Arial" w:eastAsia="Arial" w:hAnsi="Arial"/>
                <w:sz w:val="18"/>
                <w:szCs w:val="18"/>
                <w:color w:val="auto"/>
                <w:w w:val="93"/>
              </w:rPr>
              <w:t>]</w:t>
            </w:r>
          </w:p>
        </w:tc>
      </w:tr>
      <w:tr>
        <w:trPr>
          <w:trHeight w:val="457"/>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1540" w:type="dxa"/>
            <w:vAlign w:val="bottom"/>
          </w:tcPr>
          <w:p>
            <w:pPr>
              <w:ind w:left="400"/>
              <w:spacing w:after="0"/>
              <w:rPr>
                <w:sz w:val="20"/>
                <w:szCs w:val="20"/>
                <w:color w:val="auto"/>
              </w:rPr>
            </w:pPr>
            <w:r>
              <w:rPr>
                <w:rFonts w:ascii="Arial" w:cs="Arial" w:eastAsia="Arial" w:hAnsi="Arial"/>
                <w:sz w:val="18"/>
                <w:szCs w:val="18"/>
                <w:color w:val="auto"/>
              </w:rPr>
              <w:t>Borrower(s):</w:t>
            </w:r>
          </w:p>
        </w:tc>
        <w:tc>
          <w:tcPr>
            <w:tcW w:w="6900" w:type="dxa"/>
            <w:vAlign w:val="bottom"/>
          </w:tcPr>
          <w:p>
            <w:pPr>
              <w:ind w:left="840"/>
              <w:spacing w:after="0"/>
              <w:rPr>
                <w:sz w:val="20"/>
                <w:szCs w:val="20"/>
                <w:color w:val="auto"/>
              </w:rPr>
            </w:pPr>
            <w:r>
              <w:rPr>
                <w:rFonts w:ascii="Arial" w:cs="Arial" w:eastAsia="Arial" w:hAnsi="Arial"/>
                <w:sz w:val="18"/>
                <w:szCs w:val="18"/>
                <w:color w:val="auto"/>
              </w:rPr>
              <w:t>ManpowerGroup Inc.</w:t>
            </w:r>
          </w:p>
        </w:tc>
      </w:tr>
      <w:tr>
        <w:trPr>
          <w:trHeight w:val="442"/>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1540" w:type="dxa"/>
            <w:vAlign w:val="bottom"/>
          </w:tcPr>
          <w:p>
            <w:pPr>
              <w:ind w:left="140"/>
              <w:spacing w:after="0"/>
              <w:rPr>
                <w:sz w:val="20"/>
                <w:szCs w:val="20"/>
                <w:color w:val="auto"/>
              </w:rPr>
            </w:pPr>
            <w:r>
              <w:rPr>
                <w:rFonts w:ascii="Arial" w:cs="Arial" w:eastAsia="Arial" w:hAnsi="Arial"/>
                <w:sz w:val="18"/>
                <w:szCs w:val="18"/>
                <w:color w:val="auto"/>
              </w:rPr>
              <w:t>Administrative</w:t>
            </w:r>
          </w:p>
        </w:tc>
        <w:tc>
          <w:tcPr>
            <w:tcW w:w="6900" w:type="dxa"/>
            <w:vAlign w:val="bottom"/>
          </w:tcPr>
          <w:p>
            <w:pPr>
              <w:ind w:left="220"/>
              <w:spacing w:after="0"/>
              <w:rPr>
                <w:sz w:val="20"/>
                <w:szCs w:val="20"/>
                <w:color w:val="auto"/>
              </w:rPr>
            </w:pPr>
            <w:r>
              <w:rPr>
                <w:rFonts w:ascii="Arial" w:cs="Arial" w:eastAsia="Arial" w:hAnsi="Arial"/>
                <w:sz w:val="18"/>
                <w:szCs w:val="18"/>
                <w:color w:val="auto"/>
              </w:rPr>
              <w:t>Citibank, N.A., as the administrative agent under the Credit Agreement</w:t>
            </w:r>
          </w:p>
        </w:tc>
      </w:tr>
      <w:tr>
        <w:trPr>
          <w:trHeight w:val="230"/>
        </w:trPr>
        <w:tc>
          <w:tcPr>
            <w:tcW w:w="260" w:type="dxa"/>
            <w:vAlign w:val="bottom"/>
          </w:tcPr>
          <w:p>
            <w:pPr>
              <w:spacing w:after="0"/>
              <w:rPr>
                <w:sz w:val="19"/>
                <w:szCs w:val="19"/>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Agent:</w:t>
            </w:r>
          </w:p>
        </w:tc>
        <w:tc>
          <w:tcPr>
            <w:tcW w:w="6900" w:type="dxa"/>
            <w:vAlign w:val="bottom"/>
          </w:tcPr>
          <w:p>
            <w:pPr>
              <w:spacing w:after="0"/>
              <w:rPr>
                <w:sz w:val="19"/>
                <w:szCs w:val="19"/>
                <w:color w:val="auto"/>
              </w:rPr>
            </w:pPr>
          </w:p>
        </w:tc>
      </w:tr>
    </w:tbl>
    <w:p>
      <w:pPr>
        <w:spacing w:after="0" w:line="227" w:lineRule="exact"/>
        <w:rPr>
          <w:sz w:val="20"/>
          <w:szCs w:val="20"/>
          <w:color w:val="auto"/>
        </w:rPr>
      </w:pPr>
    </w:p>
    <w:p>
      <w:pPr>
        <w:ind w:left="1920" w:hanging="1912"/>
        <w:spacing w:after="0" w:line="306" w:lineRule="auto"/>
        <w:tabs>
          <w:tab w:leader="none" w:pos="38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Credit Agreement: The $600,000,000 Amended and Restated Five Year Credit Agreement dated as of October 15, 2013 among ManpowerGroup Inc., the Lenders parties thereto, Citibank, N.A., as Administrative Agent, and the other agents parties thereto]</w:t>
      </w:r>
    </w:p>
    <w:p>
      <w:pPr>
        <w:spacing w:after="0" w:line="173" w:lineRule="exact"/>
        <w:rPr>
          <w:rFonts w:ascii="Arial" w:cs="Arial" w:eastAsia="Arial" w:hAnsi="Arial"/>
          <w:sz w:val="17"/>
          <w:szCs w:val="17"/>
          <w:color w:val="auto"/>
        </w:rPr>
      </w:pPr>
    </w:p>
    <w:p>
      <w:pPr>
        <w:ind w:left="420" w:right="10240" w:hanging="412"/>
        <w:spacing w:after="0" w:line="340" w:lineRule="auto"/>
        <w:tabs>
          <w:tab w:leader="none" w:pos="4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Assigned Interest[s]: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4"/>
          </w:tcPr>
          <w:p>
            <w:pPr>
              <w:jc w:val="center"/>
              <w:ind w:right="180"/>
              <w:spacing w:after="0"/>
              <w:rPr>
                <w:sz w:val="20"/>
                <w:szCs w:val="20"/>
                <w:color w:val="auto"/>
              </w:rPr>
            </w:pPr>
            <w:r>
              <w:rPr>
                <w:rFonts w:ascii="Arial" w:cs="Arial" w:eastAsia="Arial" w:hAnsi="Arial"/>
                <w:sz w:val="18"/>
                <w:szCs w:val="18"/>
                <w:color w:val="auto"/>
                <w:w w:val="91"/>
              </w:rPr>
              <w:t>Aggregate Amount of</w:t>
            </w:r>
          </w:p>
        </w:tc>
        <w:tc>
          <w:tcPr>
            <w:tcW w:w="18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Percentage Assigned of</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Facility</w:t>
            </w:r>
          </w:p>
        </w:tc>
        <w:tc>
          <w:tcPr>
            <w:tcW w:w="2280" w:type="dxa"/>
            <w:vAlign w:val="bottom"/>
            <w:gridSpan w:val="5"/>
          </w:tcPr>
          <w:p>
            <w:pPr>
              <w:jc w:val="center"/>
              <w:ind w:left="30"/>
              <w:spacing w:after="0"/>
              <w:rPr>
                <w:sz w:val="20"/>
                <w:szCs w:val="20"/>
                <w:color w:val="auto"/>
              </w:rPr>
            </w:pPr>
            <w:r>
              <w:rPr>
                <w:rFonts w:ascii="Arial" w:cs="Arial" w:eastAsia="Arial" w:hAnsi="Arial"/>
                <w:sz w:val="18"/>
                <w:szCs w:val="18"/>
                <w:color w:val="auto"/>
                <w:w w:val="92"/>
              </w:rPr>
              <w:t>Commitment /Advances for</w:t>
            </w:r>
          </w:p>
        </w:tc>
        <w:tc>
          <w:tcPr>
            <w:tcW w:w="1840" w:type="dxa"/>
            <w:vAlign w:val="bottom"/>
          </w:tcPr>
          <w:p>
            <w:pPr>
              <w:jc w:val="right"/>
              <w:spacing w:after="0"/>
              <w:rPr>
                <w:sz w:val="20"/>
                <w:szCs w:val="20"/>
                <w:color w:val="auto"/>
              </w:rPr>
            </w:pPr>
            <w:r>
              <w:rPr>
                <w:rFonts w:ascii="Arial" w:cs="Arial" w:eastAsia="Arial" w:hAnsi="Arial"/>
                <w:sz w:val="18"/>
                <w:szCs w:val="18"/>
                <w:color w:val="auto"/>
                <w:w w:val="95"/>
              </w:rPr>
              <w:t>Amount of Commitment</w:t>
            </w:r>
          </w:p>
        </w:tc>
        <w:tc>
          <w:tcPr>
            <w:tcW w:w="19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Commitment/</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auto"/>
                <w:w w:val="89"/>
              </w:rPr>
              <w:t>Assignor[s]</w:t>
            </w:r>
          </w:p>
        </w:tc>
        <w:tc>
          <w:tcPr>
            <w:tcW w:w="140" w:type="dxa"/>
            <w:vAlign w:val="bottom"/>
            <w:tcBorders>
              <w:bottom w:val="single" w:sz="8" w:color="0000EE"/>
            </w:tcBorders>
          </w:tcPr>
          <w:p>
            <w:pPr>
              <w:jc w:val="center"/>
              <w:spacing w:after="0" w:line="116" w:lineRule="exact"/>
              <w:rPr>
                <w:rFonts w:ascii="Arial" w:cs="Arial" w:eastAsia="Arial" w:hAnsi="Arial"/>
                <w:sz w:val="13"/>
                <w:szCs w:val="13"/>
                <w:color w:val="0000EE"/>
                <w:w w:val="82"/>
              </w:rPr>
            </w:pPr>
            <w:hyperlink w:anchor="page79">
              <w:r>
                <w:rPr>
                  <w:rFonts w:ascii="Arial" w:cs="Arial" w:eastAsia="Arial" w:hAnsi="Arial"/>
                  <w:sz w:val="13"/>
                  <w:szCs w:val="13"/>
                  <w:color w:val="0000EE"/>
                  <w:w w:val="82"/>
                </w:rPr>
                <w:t>15</w:t>
              </w:r>
            </w:hyperlink>
          </w:p>
        </w:tc>
        <w:tc>
          <w:tcPr>
            <w:tcW w:w="380" w:type="dxa"/>
            <w:vAlign w:val="bottom"/>
            <w:vMerge w:val="restart"/>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8"/>
                <w:szCs w:val="18"/>
                <w:color w:val="auto"/>
                <w:w w:val="88"/>
              </w:rPr>
              <w:t>Assignee[s]</w:t>
            </w:r>
          </w:p>
        </w:tc>
        <w:tc>
          <w:tcPr>
            <w:tcW w:w="140" w:type="dxa"/>
            <w:vAlign w:val="bottom"/>
            <w:tcBorders>
              <w:bottom w:val="single" w:sz="8" w:color="0000EE"/>
            </w:tcBorders>
          </w:tcPr>
          <w:p>
            <w:pPr>
              <w:jc w:val="right"/>
              <w:spacing w:after="0" w:line="116" w:lineRule="exact"/>
              <w:rPr>
                <w:rFonts w:ascii="Arial" w:cs="Arial" w:eastAsia="Arial" w:hAnsi="Arial"/>
                <w:sz w:val="13"/>
                <w:szCs w:val="13"/>
                <w:color w:val="0000EE"/>
                <w:w w:val="82"/>
              </w:rPr>
            </w:pPr>
            <w:hyperlink w:anchor="page79">
              <w:r>
                <w:rPr>
                  <w:rFonts w:ascii="Arial" w:cs="Arial" w:eastAsia="Arial" w:hAnsi="Arial"/>
                  <w:sz w:val="13"/>
                  <w:szCs w:val="13"/>
                  <w:color w:val="0000EE"/>
                  <w:w w:val="82"/>
                </w:rPr>
                <w:t>16</w:t>
              </w:r>
            </w:hyperlink>
          </w:p>
        </w:tc>
        <w:tc>
          <w:tcPr>
            <w:tcW w:w="160" w:type="dxa"/>
            <w:vAlign w:val="bottom"/>
            <w:vMerge w:val="restart"/>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Assigned</w:t>
            </w:r>
          </w:p>
        </w:tc>
        <w:tc>
          <w:tcPr>
            <w:tcW w:w="120" w:type="dxa"/>
            <w:vAlign w:val="bottom"/>
            <w:tcBorders>
              <w:bottom w:val="single" w:sz="8" w:color="0000EE"/>
            </w:tcBorders>
          </w:tcPr>
          <w:p>
            <w:pPr>
              <w:jc w:val="right"/>
              <w:spacing w:after="0" w:line="115" w:lineRule="exact"/>
              <w:rPr>
                <w:rFonts w:ascii="Arial" w:cs="Arial" w:eastAsia="Arial" w:hAnsi="Arial"/>
                <w:sz w:val="11"/>
                <w:szCs w:val="11"/>
                <w:color w:val="0000EE"/>
                <w:w w:val="81"/>
              </w:rPr>
            </w:pPr>
            <w:hyperlink w:anchor="page79">
              <w:r>
                <w:rPr>
                  <w:rFonts w:ascii="Arial" w:cs="Arial" w:eastAsia="Arial" w:hAnsi="Arial"/>
                  <w:sz w:val="11"/>
                  <w:szCs w:val="11"/>
                  <w:color w:val="0000EE"/>
                  <w:w w:val="81"/>
                </w:rPr>
                <w:t>17</w:t>
              </w:r>
            </w:hyperlink>
          </w:p>
        </w:tc>
        <w:tc>
          <w:tcPr>
            <w:tcW w:w="12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120" w:type="dxa"/>
            <w:vAlign w:val="bottom"/>
            <w:vMerge w:val="restart"/>
          </w:tcPr>
          <w:p>
            <w:pPr>
              <w:ind w:left="320"/>
              <w:spacing w:after="0"/>
              <w:rPr>
                <w:sz w:val="20"/>
                <w:szCs w:val="20"/>
                <w:color w:val="auto"/>
              </w:rPr>
            </w:pPr>
            <w:r>
              <w:rPr>
                <w:rFonts w:ascii="Arial" w:cs="Arial" w:eastAsia="Arial" w:hAnsi="Arial"/>
                <w:sz w:val="18"/>
                <w:szCs w:val="18"/>
                <w:color w:val="auto"/>
                <w:w w:val="88"/>
              </w:rPr>
              <w:t>all Lenders</w:t>
            </w:r>
          </w:p>
        </w:tc>
        <w:tc>
          <w:tcPr>
            <w:tcW w:w="120" w:type="dxa"/>
            <w:vAlign w:val="bottom"/>
            <w:tcBorders>
              <w:bottom w:val="single" w:sz="8" w:color="0000EE"/>
            </w:tcBorders>
          </w:tcPr>
          <w:p>
            <w:pPr>
              <w:jc w:val="right"/>
              <w:spacing w:after="0" w:line="115" w:lineRule="exact"/>
              <w:rPr>
                <w:rFonts w:ascii="Arial" w:cs="Arial" w:eastAsia="Arial" w:hAnsi="Arial"/>
                <w:sz w:val="11"/>
                <w:szCs w:val="11"/>
                <w:color w:val="0000EE"/>
                <w:w w:val="81"/>
              </w:rPr>
            </w:pPr>
            <w:hyperlink w:anchor="page79">
              <w:r>
                <w:rPr>
                  <w:rFonts w:ascii="Arial" w:cs="Arial" w:eastAsia="Arial" w:hAnsi="Arial"/>
                  <w:sz w:val="11"/>
                  <w:szCs w:val="11"/>
                  <w:color w:val="0000EE"/>
                  <w:w w:val="81"/>
                </w:rPr>
                <w:t>18</w:t>
              </w:r>
            </w:hyperlink>
          </w:p>
        </w:tc>
        <w:tc>
          <w:tcPr>
            <w:tcW w:w="620" w:type="dxa"/>
            <w:vAlign w:val="bottom"/>
            <w:vMerge w:val="restart"/>
          </w:tcPr>
          <w:p>
            <w:pPr>
              <w:spacing w:after="0"/>
              <w:rPr>
                <w:sz w:val="11"/>
                <w:szCs w:val="11"/>
                <w:color w:val="auto"/>
              </w:rPr>
            </w:pPr>
          </w:p>
        </w:tc>
        <w:tc>
          <w:tcPr>
            <w:tcW w:w="1840" w:type="dxa"/>
            <w:vAlign w:val="bottom"/>
            <w:vMerge w:val="restart"/>
          </w:tcPr>
          <w:p>
            <w:pPr>
              <w:jc w:val="right"/>
              <w:ind w:right="60"/>
              <w:spacing w:after="0" w:line="229" w:lineRule="exact"/>
              <w:rPr>
                <w:sz w:val="20"/>
                <w:szCs w:val="20"/>
                <w:color w:val="auto"/>
              </w:rPr>
            </w:pPr>
            <w:r>
              <w:rPr>
                <w:rFonts w:ascii="Arial" w:cs="Arial" w:eastAsia="Arial" w:hAnsi="Arial"/>
                <w:sz w:val="18"/>
                <w:szCs w:val="18"/>
                <w:color w:val="auto"/>
                <w:w w:val="97"/>
              </w:rPr>
              <w:t>/Advances Assigned</w:t>
            </w:r>
            <w:r>
              <w:rPr>
                <w:rFonts w:ascii="Arial" w:cs="Arial" w:eastAsia="Arial" w:hAnsi="Arial"/>
                <w:sz w:val="25"/>
                <w:szCs w:val="25"/>
                <w:color w:val="auto"/>
                <w:w w:val="97"/>
                <w:vertAlign w:val="superscript"/>
              </w:rPr>
              <w:t>8</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Advances</w:t>
            </w:r>
          </w:p>
        </w:tc>
        <w:tc>
          <w:tcPr>
            <w:tcW w:w="120" w:type="dxa"/>
            <w:vAlign w:val="bottom"/>
            <w:tcBorders>
              <w:bottom w:val="single" w:sz="8" w:color="0000EE"/>
            </w:tcBorders>
          </w:tcPr>
          <w:p>
            <w:pPr>
              <w:jc w:val="right"/>
              <w:spacing w:after="0" w:line="115" w:lineRule="exact"/>
              <w:rPr>
                <w:rFonts w:ascii="Arial" w:cs="Arial" w:eastAsia="Arial" w:hAnsi="Arial"/>
                <w:sz w:val="11"/>
                <w:szCs w:val="11"/>
                <w:color w:val="0000EE"/>
                <w:w w:val="81"/>
              </w:rPr>
            </w:pPr>
            <w:hyperlink w:anchor="page79">
              <w:r>
                <w:rPr>
                  <w:rFonts w:ascii="Arial" w:cs="Arial" w:eastAsia="Arial" w:hAnsi="Arial"/>
                  <w:sz w:val="11"/>
                  <w:szCs w:val="11"/>
                  <w:color w:val="0000EE"/>
                  <w:w w:val="81"/>
                </w:rPr>
                <w:t>19</w:t>
              </w:r>
            </w:hyperlink>
          </w:p>
        </w:tc>
        <w:tc>
          <w:tcPr>
            <w:tcW w:w="560" w:type="dxa"/>
            <w:vAlign w:val="bottom"/>
            <w:vMerge w:val="restart"/>
          </w:tcPr>
          <w:p>
            <w:pPr>
              <w:spacing w:after="0"/>
              <w:rPr>
                <w:sz w:val="11"/>
                <w:szCs w:val="11"/>
                <w:color w:val="auto"/>
              </w:rPr>
            </w:pPr>
          </w:p>
        </w:tc>
        <w:tc>
          <w:tcPr>
            <w:tcW w:w="1400" w:type="dxa"/>
            <w:vAlign w:val="bottom"/>
            <w:vMerge w:val="restart"/>
          </w:tcPr>
          <w:p>
            <w:pPr>
              <w:ind w:left="120"/>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81"/>
        </w:trPr>
        <w:tc>
          <w:tcPr>
            <w:tcW w:w="2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840" w:type="dxa"/>
            <w:vAlign w:val="bottom"/>
            <w:tcBorders>
              <w:bottom w:val="single" w:sz="8" w:color="auto"/>
            </w:tcBorders>
            <w:vMerge w:val="continue"/>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68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68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68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9"/>
              </w:rPr>
              <w:t>[7.</w:t>
            </w:r>
          </w:p>
        </w:tc>
        <w:tc>
          <w:tcPr>
            <w:tcW w:w="1360" w:type="dxa"/>
            <w:vAlign w:val="bottom"/>
            <w:gridSpan w:val="3"/>
            <w:vMerge w:val="restart"/>
          </w:tcPr>
          <w:p>
            <w:pPr>
              <w:jc w:val="center"/>
              <w:ind w:left="350"/>
              <w:spacing w:after="0"/>
              <w:rPr>
                <w:sz w:val="20"/>
                <w:szCs w:val="20"/>
                <w:color w:val="auto"/>
              </w:rPr>
            </w:pPr>
            <w:r>
              <w:rPr>
                <w:rFonts w:ascii="Arial" w:cs="Arial" w:eastAsia="Arial" w:hAnsi="Arial"/>
                <w:sz w:val="18"/>
                <w:szCs w:val="18"/>
                <w:color w:val="auto"/>
                <w:w w:val="88"/>
              </w:rPr>
              <w:t>Trade Date:</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8"/>
                <w:szCs w:val="18"/>
                <w:color w:val="auto"/>
              </w:rPr>
              <w:t>______________]</w:t>
            </w:r>
          </w:p>
        </w:tc>
        <w:tc>
          <w:tcPr>
            <w:tcW w:w="120" w:type="dxa"/>
            <w:vAlign w:val="bottom"/>
            <w:tcBorders>
              <w:bottom w:val="single" w:sz="8" w:color="0000EE"/>
            </w:tcBorders>
          </w:tcPr>
          <w:p>
            <w:pPr>
              <w:jc w:val="right"/>
              <w:spacing w:after="0"/>
              <w:rPr>
                <w:rFonts w:ascii="Arial" w:cs="Arial" w:eastAsia="Arial" w:hAnsi="Arial"/>
                <w:sz w:val="11"/>
                <w:szCs w:val="11"/>
                <w:color w:val="0000EE"/>
                <w:w w:val="81"/>
              </w:rPr>
            </w:pPr>
            <w:hyperlink w:anchor="page79">
              <w:r>
                <w:rPr>
                  <w:rFonts w:ascii="Arial" w:cs="Arial" w:eastAsia="Arial" w:hAnsi="Arial"/>
                  <w:sz w:val="11"/>
                  <w:szCs w:val="11"/>
                  <w:color w:val="0000EE"/>
                  <w:w w:val="81"/>
                </w:rPr>
                <w:t>20</w:t>
              </w:r>
            </w:hyperlink>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2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color w:val="auto"/>
                <w:w w:val="88"/>
              </w:rPr>
              <w:t>[Page break]</w:t>
            </w:r>
          </w:p>
        </w:tc>
        <w:tc>
          <w:tcPr>
            <w:tcW w:w="1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7"/>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3"/>
            <w:vMerge w:val="continue"/>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72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360" w:hanging="7"/>
        <w:spacing w:after="0" w:line="232" w:lineRule="auto"/>
        <w:tabs>
          <w:tab w:leader="none" w:pos="825" w:val="left"/>
        </w:tabs>
        <w:numPr>
          <w:ilvl w:val="0"/>
          <w:numId w:val="120"/>
        </w:numPr>
        <w:rPr>
          <w:rFonts w:ascii="Arial" w:cs="Arial" w:eastAsia="Arial" w:hAnsi="Arial"/>
          <w:sz w:val="23"/>
          <w:szCs w:val="23"/>
          <w:color w:val="auto"/>
          <w:vertAlign w:val="superscript"/>
        </w:rPr>
      </w:pPr>
      <w:r>
        <w:rPr>
          <w:rFonts w:ascii="Arial" w:cs="Arial" w:eastAsia="Arial" w:hAnsi="Arial"/>
          <w:sz w:val="17"/>
          <w:szCs w:val="17"/>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00" w:lineRule="exact"/>
        <w:rPr>
          <w:rFonts w:ascii="Arial" w:cs="Arial" w:eastAsia="Arial" w:hAnsi="Arial"/>
          <w:sz w:val="23"/>
          <w:szCs w:val="23"/>
          <w:color w:val="auto"/>
          <w:vertAlign w:val="superscript"/>
        </w:rPr>
      </w:pPr>
    </w:p>
    <w:p>
      <w:pPr>
        <w:spacing w:after="0" w:line="269" w:lineRule="exact"/>
        <w:rPr>
          <w:rFonts w:ascii="Arial" w:cs="Arial" w:eastAsia="Arial" w:hAnsi="Arial"/>
          <w:sz w:val="23"/>
          <w:szCs w:val="23"/>
          <w:color w:val="auto"/>
          <w:vertAlign w:val="superscript"/>
        </w:rPr>
      </w:pPr>
    </w:p>
    <w:p>
      <w:pPr>
        <w:ind w:left="660" w:right="540" w:hanging="7"/>
        <w:spacing w:after="0" w:line="232" w:lineRule="auto"/>
        <w:tabs>
          <w:tab w:leader="none" w:pos="830" w:val="left"/>
        </w:tabs>
        <w:numPr>
          <w:ilvl w:val="0"/>
          <w:numId w:val="120"/>
        </w:numPr>
        <w:rPr>
          <w:rFonts w:ascii="Arial" w:cs="Arial" w:eastAsia="Arial" w:hAnsi="Arial"/>
          <w:sz w:val="23"/>
          <w:szCs w:val="23"/>
          <w:color w:val="auto"/>
          <w:vertAlign w:val="superscript"/>
        </w:rPr>
      </w:pPr>
      <w:r>
        <w:rPr>
          <w:rFonts w:ascii="Arial" w:cs="Arial" w:eastAsia="Arial" w:hAnsi="Arial"/>
          <w:sz w:val="17"/>
          <w:szCs w:val="17"/>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ectPr>
          <w:pgSz w:w="11900" w:h="16838" w:orient="portrait"/>
          <w:cols w:equalWidth="0" w:num="1">
            <w:col w:w="11420"/>
          </w:cols>
          <w:pgMar w:left="240" w:top="757" w:right="239" w:bottom="0" w:gutter="0" w:footer="0" w:header="0"/>
        </w:sectPr>
      </w:pPr>
    </w:p>
    <w:bookmarkStart w:id="78" w:name="page79"/>
    <w:bookmarkEnd w:id="78"/>
    <w:p>
      <w:pPr>
        <w:ind w:left="812" w:hanging="167"/>
        <w:spacing w:after="0"/>
        <w:tabs>
          <w:tab w:leader="none" w:pos="812" w:val="left"/>
        </w:tabs>
        <w:numPr>
          <w:ilvl w:val="0"/>
          <w:numId w:val="121"/>
        </w:numPr>
        <w:rPr>
          <w:rFonts w:ascii="Arial" w:cs="Arial" w:eastAsia="Arial" w:hAnsi="Arial"/>
          <w:sz w:val="22"/>
          <w:szCs w:val="22"/>
          <w:color w:val="auto"/>
          <w:vertAlign w:val="superscript"/>
        </w:rPr>
      </w:pPr>
      <w:r>
        <w:rPr>
          <w:rFonts w:ascii="Arial" w:cs="Arial" w:eastAsia="Arial" w:hAnsi="Arial"/>
          <w:sz w:val="16"/>
          <w:szCs w:val="16"/>
          <w:color w:val="auto"/>
        </w:rPr>
        <w:t>Select as appropriate.</w:t>
      </w:r>
    </w:p>
    <w:p>
      <w:pPr>
        <w:spacing w:after="0" w:line="200" w:lineRule="exact"/>
        <w:rPr>
          <w:rFonts w:ascii="Arial" w:cs="Arial" w:eastAsia="Arial" w:hAnsi="Arial"/>
          <w:sz w:val="22"/>
          <w:szCs w:val="22"/>
          <w:color w:val="auto"/>
          <w:vertAlign w:val="superscript"/>
        </w:rPr>
      </w:pPr>
    </w:p>
    <w:p>
      <w:pPr>
        <w:spacing w:after="0" w:line="246" w:lineRule="exact"/>
        <w:rPr>
          <w:rFonts w:ascii="Arial" w:cs="Arial" w:eastAsia="Arial" w:hAnsi="Arial"/>
          <w:sz w:val="22"/>
          <w:szCs w:val="22"/>
          <w:color w:val="auto"/>
          <w:vertAlign w:val="superscript"/>
        </w:rPr>
      </w:pPr>
    </w:p>
    <w:p>
      <w:pPr>
        <w:ind w:left="812" w:hanging="167"/>
        <w:spacing w:after="0"/>
        <w:tabs>
          <w:tab w:leader="none" w:pos="812" w:val="left"/>
        </w:tabs>
        <w:numPr>
          <w:ilvl w:val="0"/>
          <w:numId w:val="121"/>
        </w:numPr>
        <w:rPr>
          <w:rFonts w:ascii="Arial" w:cs="Arial" w:eastAsia="Arial" w:hAnsi="Arial"/>
          <w:sz w:val="22"/>
          <w:szCs w:val="22"/>
          <w:color w:val="auto"/>
          <w:vertAlign w:val="superscript"/>
        </w:rPr>
      </w:pPr>
      <w:r>
        <w:rPr>
          <w:rFonts w:ascii="Arial" w:cs="Arial" w:eastAsia="Arial" w:hAnsi="Arial"/>
          <w:sz w:val="16"/>
          <w:szCs w:val="16"/>
          <w:color w:val="auto"/>
        </w:rPr>
        <w:t>Include bracketed language if there are either multiple Assignors or multiple Assignees.</w:t>
      </w:r>
    </w:p>
    <w:p>
      <w:pPr>
        <w:spacing w:after="0" w:line="200" w:lineRule="exact"/>
        <w:rPr>
          <w:sz w:val="20"/>
          <w:szCs w:val="20"/>
          <w:color w:val="auto"/>
        </w:rPr>
      </w:pPr>
    </w:p>
    <w:p>
      <w:pPr>
        <w:spacing w:after="0" w:line="235" w:lineRule="exact"/>
        <w:rPr>
          <w:sz w:val="20"/>
          <w:szCs w:val="20"/>
          <w:color w:val="auto"/>
        </w:rPr>
      </w:pPr>
    </w:p>
    <w:p>
      <w:pPr>
        <w:ind w:left="172" w:hanging="172"/>
        <w:spacing w:after="0"/>
        <w:tabs>
          <w:tab w:leader="none" w:pos="172" w:val="left"/>
        </w:tabs>
        <w:numPr>
          <w:ilvl w:val="0"/>
          <w:numId w:val="122"/>
        </w:numPr>
        <w:rPr>
          <w:rFonts w:ascii="Arial" w:cs="Arial" w:eastAsia="Arial" w:hAnsi="Arial"/>
          <w:sz w:val="23"/>
          <w:szCs w:val="23"/>
          <w:color w:val="auto"/>
          <w:vertAlign w:val="superscript"/>
        </w:rPr>
      </w:pPr>
      <w:r>
        <w:rPr>
          <w:rFonts w:ascii="Arial" w:cs="Arial" w:eastAsia="Arial" w:hAnsi="Arial"/>
          <w:sz w:val="17"/>
          <w:szCs w:val="17"/>
          <w:color w:val="auto"/>
        </w:rPr>
        <w:t>List each Assignor, as appropriate.</w:t>
      </w:r>
    </w:p>
    <w:p>
      <w:pPr>
        <w:spacing w:after="0" w:line="192"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22"/>
        </w:numPr>
        <w:rPr>
          <w:rFonts w:ascii="Arial" w:cs="Arial" w:eastAsia="Arial" w:hAnsi="Arial"/>
          <w:sz w:val="23"/>
          <w:szCs w:val="23"/>
          <w:color w:val="auto"/>
          <w:vertAlign w:val="superscript"/>
        </w:rPr>
      </w:pPr>
      <w:r>
        <w:rPr>
          <w:rFonts w:ascii="Arial" w:cs="Arial" w:eastAsia="Arial" w:hAnsi="Arial"/>
          <w:sz w:val="17"/>
          <w:szCs w:val="17"/>
          <w:color w:val="auto"/>
        </w:rPr>
        <w:t>List each Assignee, as appropriate.</w:t>
      </w:r>
    </w:p>
    <w:p>
      <w:pPr>
        <w:spacing w:after="0" w:line="227" w:lineRule="exact"/>
        <w:rPr>
          <w:rFonts w:ascii="Arial" w:cs="Arial" w:eastAsia="Arial" w:hAnsi="Arial"/>
          <w:sz w:val="23"/>
          <w:szCs w:val="23"/>
          <w:color w:val="auto"/>
          <w:vertAlign w:val="superscript"/>
        </w:rPr>
      </w:pPr>
    </w:p>
    <w:p>
      <w:pPr>
        <w:ind w:left="652" w:hanging="652"/>
        <w:spacing w:after="0" w:line="232" w:lineRule="auto"/>
        <w:tabs>
          <w:tab w:leader="none" w:pos="177" w:val="left"/>
        </w:tabs>
        <w:numPr>
          <w:ilvl w:val="0"/>
          <w:numId w:val="122"/>
        </w:numPr>
        <w:rPr>
          <w:rFonts w:ascii="Arial" w:cs="Arial" w:eastAsia="Arial" w:hAnsi="Arial"/>
          <w:sz w:val="23"/>
          <w:szCs w:val="23"/>
          <w:color w:val="auto"/>
          <w:vertAlign w:val="superscript"/>
        </w:rPr>
      </w:pPr>
      <w:r>
        <w:rPr>
          <w:rFonts w:ascii="Arial" w:cs="Arial" w:eastAsia="Arial" w:hAnsi="Arial"/>
          <w:sz w:val="17"/>
          <w:szCs w:val="17"/>
          <w:color w:val="auto"/>
        </w:rPr>
        <w:t>Fill in the appropriate terminology for the types of facilities under the Credit Agreement that are being assigned under this Assignment (e.g., “Revolving Credit Commitment,” “Term Loan Commitment,” etc.)</w:t>
      </w:r>
    </w:p>
    <w:p>
      <w:pPr>
        <w:spacing w:after="0" w:line="204"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22"/>
        </w:numPr>
        <w:rPr>
          <w:rFonts w:ascii="Arial" w:cs="Arial" w:eastAsia="Arial" w:hAnsi="Arial"/>
          <w:sz w:val="22"/>
          <w:szCs w:val="22"/>
          <w:color w:val="auto"/>
          <w:vertAlign w:val="superscript"/>
        </w:rPr>
      </w:pPr>
      <w:r>
        <w:rPr>
          <w:rFonts w:ascii="Arial" w:cs="Arial" w:eastAsia="Arial" w:hAnsi="Arial"/>
          <w:sz w:val="16"/>
          <w:szCs w:val="16"/>
          <w:color w:val="auto"/>
        </w:rPr>
        <w:t>Amount to be adjusted by the counterparties to take into account any payments or prepayments made between the Trade Date and the Effective Date.</w:t>
      </w:r>
    </w:p>
    <w:p>
      <w:pPr>
        <w:spacing w:after="0" w:line="192" w:lineRule="exact"/>
        <w:rPr>
          <w:rFonts w:ascii="Arial" w:cs="Arial" w:eastAsia="Arial" w:hAnsi="Arial"/>
          <w:sz w:val="22"/>
          <w:szCs w:val="22"/>
          <w:color w:val="auto"/>
          <w:vertAlign w:val="superscript"/>
        </w:rPr>
      </w:pPr>
    </w:p>
    <w:p>
      <w:pPr>
        <w:ind w:left="172" w:hanging="172"/>
        <w:spacing w:after="0"/>
        <w:tabs>
          <w:tab w:leader="none" w:pos="172" w:val="left"/>
        </w:tabs>
        <w:numPr>
          <w:ilvl w:val="0"/>
          <w:numId w:val="122"/>
        </w:numPr>
        <w:rPr>
          <w:rFonts w:ascii="Arial" w:cs="Arial" w:eastAsia="Arial" w:hAnsi="Arial"/>
          <w:sz w:val="23"/>
          <w:szCs w:val="23"/>
          <w:color w:val="auto"/>
          <w:vertAlign w:val="superscript"/>
        </w:rPr>
      </w:pPr>
      <w:r>
        <w:rPr>
          <w:rFonts w:ascii="Arial" w:cs="Arial" w:eastAsia="Arial" w:hAnsi="Arial"/>
          <w:sz w:val="17"/>
          <w:szCs w:val="17"/>
          <w:color w:val="auto"/>
        </w:rPr>
        <w:t>Set forth, to at least 9 decimals, as a percentage of the Commitment/Loans of all Lenders thereunder.</w:t>
      </w:r>
    </w:p>
    <w:p>
      <w:pPr>
        <w:spacing w:after="0" w:line="204" w:lineRule="exact"/>
        <w:rPr>
          <w:sz w:val="20"/>
          <w:szCs w:val="20"/>
          <w:color w:val="auto"/>
        </w:rPr>
      </w:pPr>
    </w:p>
    <w:p>
      <w:pPr>
        <w:ind w:left="812" w:hanging="167"/>
        <w:spacing w:after="0"/>
        <w:tabs>
          <w:tab w:leader="none" w:pos="812" w:val="left"/>
        </w:tabs>
        <w:numPr>
          <w:ilvl w:val="0"/>
          <w:numId w:val="123"/>
        </w:numPr>
        <w:rPr>
          <w:rFonts w:ascii="Arial" w:cs="Arial" w:eastAsia="Arial" w:hAnsi="Arial"/>
          <w:sz w:val="22"/>
          <w:szCs w:val="22"/>
          <w:color w:val="auto"/>
          <w:vertAlign w:val="superscript"/>
        </w:rPr>
      </w:pPr>
      <w:r>
        <w:rPr>
          <w:rFonts w:ascii="Arial" w:cs="Arial" w:eastAsia="Arial" w:hAnsi="Arial"/>
          <w:sz w:val="16"/>
          <w:szCs w:val="16"/>
          <w:color w:val="auto"/>
        </w:rPr>
        <w:t>To be completed if the Assignor(s) and the Assignee(s)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561340</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112"/>
          </w:cols>
          <w:pgMar w:left="248" w:top="586" w:right="539" w:bottom="1440" w:gutter="0" w:footer="0" w:header="0"/>
        </w:sectPr>
      </w:pPr>
    </w:p>
    <w:bookmarkStart w:id="79" w:name="page80"/>
    <w:bookmarkEnd w:id="79"/>
    <w:p>
      <w:pPr>
        <w:jc w:val="center"/>
        <w:ind w:righ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Effective Date:</w:t>
      </w:r>
      <w:r>
        <w:rPr>
          <w:sz w:val="20"/>
          <w:szCs w:val="20"/>
          <w:color w:val="auto"/>
        </w:rPr>
        <w:tab/>
      </w:r>
      <w:r>
        <w:rPr>
          <w:rFonts w:ascii="Arial" w:cs="Arial" w:eastAsia="Arial" w:hAnsi="Arial"/>
          <w:sz w:val="17"/>
          <w:szCs w:val="17"/>
          <w:color w:val="auto"/>
        </w:rPr>
        <w:t>_____________ ___, 20___ [TO BE INSERTED BY ADMINISTRATIVE AGENT AND WHICH SHALL BE THE EFFECTIVE DATE 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194" w:lineRule="exact"/>
        <w:rPr>
          <w:sz w:val="20"/>
          <w:szCs w:val="20"/>
          <w:color w:val="auto"/>
        </w:rPr>
      </w:pPr>
    </w:p>
    <w:p>
      <w:pPr>
        <w:ind w:left="4520"/>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ASSIGNOR[S]</w:t>
      </w:r>
      <w:hyperlink w:anchor="page80">
        <w:r>
          <w:rPr>
            <w:rFonts w:ascii="Arial" w:cs="Arial" w:eastAsia="Arial" w:hAnsi="Arial"/>
            <w:sz w:val="25"/>
            <w:szCs w:val="25"/>
            <w:u w:val="single" w:color="auto"/>
            <w:color w:val="0000EE"/>
            <w:vertAlign w:val="superscript"/>
          </w:rPr>
          <w:t>21</w:t>
        </w:r>
      </w:hyperlink>
    </w:p>
    <w:p>
      <w:pPr>
        <w:ind w:left="840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w:t>
      </w:r>
    </w:p>
    <w:p>
      <w:pPr>
        <w:spacing w:after="0" w:line="179" w:lineRule="exact"/>
        <w:rPr>
          <w:sz w:val="20"/>
          <w:szCs w:val="20"/>
          <w:color w:val="auto"/>
        </w:rPr>
      </w:pPr>
    </w:p>
    <w:p>
      <w:pPr>
        <w:ind w:left="4520"/>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ASSIGNEE[S]</w:t>
      </w:r>
      <w:hyperlink w:anchor="page80">
        <w:r>
          <w:rPr>
            <w:rFonts w:ascii="Arial" w:cs="Arial" w:eastAsia="Arial" w:hAnsi="Arial"/>
            <w:sz w:val="25"/>
            <w:szCs w:val="25"/>
            <w:u w:val="single" w:color="auto"/>
            <w:color w:val="0000EE"/>
            <w:vertAlign w:val="superscript"/>
          </w:rPr>
          <w:t>22</w:t>
        </w:r>
      </w:hyperlink>
    </w:p>
    <w:p>
      <w:pPr>
        <w:ind w:left="452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5"/>
          <w:szCs w:val="25"/>
          <w:u w:val="single" w:color="auto"/>
          <w:color w:val="0000EE"/>
          <w:vertAlign w:val="superscript"/>
        </w:rPr>
        <w:t>23</w:t>
      </w:r>
      <w:r>
        <w:rPr>
          <w:rFonts w:ascii="Arial" w:cs="Arial" w:eastAsia="Arial" w:hAnsi="Arial"/>
          <w:sz w:val="18"/>
          <w:szCs w:val="18"/>
          <w:color w:val="auto"/>
        </w:rPr>
        <w:t xml:space="preserve"> Accepted: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ADMINISTRATIVE AGENT], as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5"/>
          <w:szCs w:val="25"/>
          <w:u w:val="single" w:color="auto"/>
          <w:color w:val="0000EE"/>
          <w:vertAlign w:val="superscript"/>
        </w:rPr>
        <w:t>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RELEVANT PARTY]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hanging="167"/>
        <w:spacing w:after="0"/>
        <w:tabs>
          <w:tab w:leader="none" w:pos="820" w:val="left"/>
        </w:tabs>
        <w:numPr>
          <w:ilvl w:val="0"/>
          <w:numId w:val="124"/>
        </w:numPr>
        <w:rPr>
          <w:rFonts w:ascii="Arial" w:cs="Arial" w:eastAsia="Arial" w:hAnsi="Arial"/>
          <w:sz w:val="22"/>
          <w:szCs w:val="22"/>
          <w:color w:val="auto"/>
          <w:vertAlign w:val="superscript"/>
        </w:rPr>
      </w:pPr>
      <w:r>
        <w:rPr>
          <w:rFonts w:ascii="Arial" w:cs="Arial" w:eastAsia="Arial" w:hAnsi="Arial"/>
          <w:sz w:val="16"/>
          <w:szCs w:val="16"/>
          <w:color w:val="auto"/>
        </w:rPr>
        <w:t>Add additional signature blocks as needed. Include both Fund/Pension Plan and manager making the trade (if applicable).</w:t>
      </w:r>
    </w:p>
    <w:p>
      <w:pPr>
        <w:spacing w:after="0" w:line="200" w:lineRule="exact"/>
        <w:rPr>
          <w:rFonts w:ascii="Arial" w:cs="Arial" w:eastAsia="Arial" w:hAnsi="Arial"/>
          <w:sz w:val="22"/>
          <w:szCs w:val="22"/>
          <w:color w:val="auto"/>
          <w:vertAlign w:val="superscript"/>
        </w:rPr>
      </w:pPr>
    </w:p>
    <w:p>
      <w:pPr>
        <w:spacing w:after="0" w:line="246" w:lineRule="exact"/>
        <w:rPr>
          <w:rFonts w:ascii="Arial" w:cs="Arial" w:eastAsia="Arial" w:hAnsi="Arial"/>
          <w:sz w:val="22"/>
          <w:szCs w:val="22"/>
          <w:color w:val="auto"/>
          <w:vertAlign w:val="superscript"/>
        </w:rPr>
      </w:pPr>
    </w:p>
    <w:p>
      <w:pPr>
        <w:ind w:left="820" w:hanging="167"/>
        <w:spacing w:after="0"/>
        <w:tabs>
          <w:tab w:leader="none" w:pos="820" w:val="left"/>
        </w:tabs>
        <w:numPr>
          <w:ilvl w:val="0"/>
          <w:numId w:val="124"/>
        </w:numPr>
        <w:rPr>
          <w:rFonts w:ascii="Arial" w:cs="Arial" w:eastAsia="Arial" w:hAnsi="Arial"/>
          <w:sz w:val="22"/>
          <w:szCs w:val="22"/>
          <w:color w:val="auto"/>
          <w:vertAlign w:val="superscript"/>
        </w:rPr>
      </w:pPr>
      <w:r>
        <w:rPr>
          <w:rFonts w:ascii="Arial" w:cs="Arial" w:eastAsia="Arial" w:hAnsi="Arial"/>
          <w:sz w:val="16"/>
          <w:szCs w:val="16"/>
          <w:color w:val="auto"/>
        </w:rPr>
        <w:t>Add additional signature blocks as needed. Include both Fund/Pension Plan and manager making the trade (if applicable).</w:t>
      </w:r>
    </w:p>
    <w:p>
      <w:pPr>
        <w:spacing w:after="0" w:line="200" w:lineRule="exact"/>
        <w:rPr>
          <w:rFonts w:ascii="Arial" w:cs="Arial" w:eastAsia="Arial" w:hAnsi="Arial"/>
          <w:sz w:val="22"/>
          <w:szCs w:val="22"/>
          <w:color w:val="auto"/>
          <w:vertAlign w:val="superscript"/>
        </w:rPr>
      </w:pPr>
    </w:p>
    <w:p>
      <w:pPr>
        <w:spacing w:after="0" w:line="246" w:lineRule="exact"/>
        <w:rPr>
          <w:rFonts w:ascii="Arial" w:cs="Arial" w:eastAsia="Arial" w:hAnsi="Arial"/>
          <w:sz w:val="22"/>
          <w:szCs w:val="22"/>
          <w:color w:val="auto"/>
          <w:vertAlign w:val="superscript"/>
        </w:rPr>
      </w:pPr>
    </w:p>
    <w:p>
      <w:pPr>
        <w:ind w:left="820" w:hanging="167"/>
        <w:spacing w:after="0"/>
        <w:tabs>
          <w:tab w:leader="none" w:pos="820" w:val="left"/>
        </w:tabs>
        <w:numPr>
          <w:ilvl w:val="0"/>
          <w:numId w:val="124"/>
        </w:numPr>
        <w:rPr>
          <w:rFonts w:ascii="Arial" w:cs="Arial" w:eastAsia="Arial" w:hAnsi="Arial"/>
          <w:sz w:val="22"/>
          <w:szCs w:val="22"/>
          <w:color w:val="auto"/>
          <w:vertAlign w:val="superscript"/>
        </w:rPr>
      </w:pPr>
      <w:r>
        <w:rPr>
          <w:rFonts w:ascii="Arial" w:cs="Arial" w:eastAsia="Arial" w:hAnsi="Arial"/>
          <w:sz w:val="16"/>
          <w:szCs w:val="16"/>
          <w:color w:val="auto"/>
        </w:rPr>
        <w:t>To be added only if the consent of the Administrative Agent is required by the terms of the Credit Agreement.</w:t>
      </w:r>
    </w:p>
    <w:p>
      <w:pPr>
        <w:spacing w:after="0" w:line="200" w:lineRule="exact"/>
        <w:rPr>
          <w:rFonts w:ascii="Arial" w:cs="Arial" w:eastAsia="Arial" w:hAnsi="Arial"/>
          <w:sz w:val="22"/>
          <w:szCs w:val="22"/>
          <w:color w:val="auto"/>
          <w:vertAlign w:val="superscript"/>
        </w:rPr>
      </w:pPr>
    </w:p>
    <w:p>
      <w:pPr>
        <w:spacing w:after="0" w:line="246" w:lineRule="exact"/>
        <w:rPr>
          <w:rFonts w:ascii="Arial" w:cs="Arial" w:eastAsia="Arial" w:hAnsi="Arial"/>
          <w:sz w:val="22"/>
          <w:szCs w:val="22"/>
          <w:color w:val="auto"/>
          <w:vertAlign w:val="superscript"/>
        </w:rPr>
      </w:pPr>
    </w:p>
    <w:p>
      <w:pPr>
        <w:ind w:left="820" w:hanging="167"/>
        <w:spacing w:after="0"/>
        <w:tabs>
          <w:tab w:leader="none" w:pos="820" w:val="left"/>
        </w:tabs>
        <w:numPr>
          <w:ilvl w:val="0"/>
          <w:numId w:val="124"/>
        </w:numPr>
        <w:rPr>
          <w:rFonts w:ascii="Arial" w:cs="Arial" w:eastAsia="Arial" w:hAnsi="Arial"/>
          <w:sz w:val="22"/>
          <w:szCs w:val="22"/>
          <w:color w:val="auto"/>
          <w:vertAlign w:val="superscript"/>
        </w:rPr>
      </w:pPr>
      <w:r>
        <w:rPr>
          <w:rFonts w:ascii="Arial" w:cs="Arial" w:eastAsia="Arial" w:hAnsi="Arial"/>
          <w:sz w:val="16"/>
          <w:szCs w:val="16"/>
          <w:color w:val="auto"/>
        </w:rPr>
        <w:t>To be added only if the consent of the Borrower and/or other parties (e.g. Issuing Bank)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561340</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80"/>
          </w:cols>
          <w:pgMar w:left="240" w:top="273" w:right="179" w:bottom="607"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 Amended and Restated Five Year Credit Agreement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35" w:lineRule="exact"/>
        <w:rPr>
          <w:sz w:val="20"/>
          <w:szCs w:val="20"/>
          <w:color w:val="auto"/>
        </w:rPr>
      </w:pPr>
    </w:p>
    <w:p>
      <w:pPr>
        <w:ind w:left="1620" w:hanging="627"/>
        <w:spacing w:after="0"/>
        <w:tabs>
          <w:tab w:leader="none" w:pos="16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50" w:lineRule="exact"/>
        <w:rPr>
          <w:sz w:val="20"/>
          <w:szCs w:val="20"/>
          <w:color w:val="auto"/>
        </w:rPr>
      </w:pPr>
    </w:p>
    <w:p>
      <w:pPr>
        <w:jc w:val="both"/>
        <w:ind w:firstLine="1245"/>
        <w:spacing w:after="0" w:line="28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Assignor[s]</w:t>
      </w:r>
      <w:r>
        <w:rPr>
          <w:rFonts w:ascii="Arial" w:cs="Arial" w:eastAsia="Arial" w:hAnsi="Arial"/>
          <w:sz w:val="16"/>
          <w:szCs w:val="16"/>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w:t>
      </w:r>
    </w:p>
    <w:p>
      <w:pPr>
        <w:spacing w:after="0" w:line="1" w:lineRule="exact"/>
        <w:rPr>
          <w:sz w:val="20"/>
          <w:szCs w:val="20"/>
          <w:color w:val="auto"/>
        </w:rPr>
      </w:pPr>
    </w:p>
    <w:p>
      <w:pPr>
        <w:jc w:val="both"/>
        <w:ind w:firstLine="8"/>
        <w:spacing w:after="0" w:line="254" w:lineRule="auto"/>
        <w:tabs>
          <w:tab w:leader="none" w:pos="32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financial condition of the Borrower, any of its Subsidiaries or Affiliates or any other Person obligated in respect of the Credit Agreement, or (iv) the performance or observance by the Borrower, any of its Subsidiaries or Affiliates or any other Person of any of their respective obligations under the Credit Agreement.</w:t>
      </w:r>
    </w:p>
    <w:p>
      <w:pPr>
        <w:spacing w:after="0" w:line="215" w:lineRule="exact"/>
        <w:rPr>
          <w:sz w:val="20"/>
          <w:szCs w:val="20"/>
          <w:color w:val="auto"/>
        </w:rPr>
      </w:pPr>
    </w:p>
    <w:p>
      <w:pPr>
        <w:jc w:val="both"/>
        <w:ind w:firstLine="1245"/>
        <w:spacing w:after="0" w:line="28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Assignee[s]</w:t>
      </w:r>
      <w:r>
        <w:rPr>
          <w:rFonts w:ascii="Arial" w:cs="Arial" w:eastAsia="Arial" w:hAnsi="Arial"/>
          <w:sz w:val="16"/>
          <w:szCs w:val="16"/>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8.07(b)(iii), (v) and (vi) of the Credit Agreement (subject to such consents, if any, as may be required under Section 8.07(b)(iii)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5.01(h)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organized under the laws of a jurisdiction outside of the United States,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pacing w:after="0" w:line="197" w:lineRule="exact"/>
        <w:rPr>
          <w:sz w:val="20"/>
          <w:szCs w:val="20"/>
          <w:color w:val="auto"/>
        </w:rPr>
      </w:pPr>
    </w:p>
    <w:p>
      <w:pPr>
        <w:jc w:val="both"/>
        <w:ind w:firstLine="1163"/>
        <w:spacing w:after="0" w:line="295" w:lineRule="auto"/>
        <w:tabs>
          <w:tab w:leader="none" w:pos="1868"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From and after the Effective Date, the Administrative Agent shall make all payments in respect of [the][each] Assigned Interest (including payments of principal, interest, fees and other amounts) to [the][the relevant] Assignee whether such amounts have accrued prior to, on or after the Effective Date. The Assignor[s] and the Assignee[s] shall make all appropriate adjustments in payments by the Administrative Agent for periods prior to the Effective Date or with respect to the making of this assignment directly between themselves. Notwithstanding the foregoing, the Administrative Agent shall make all payments of interest, fees or other amounts paid or payable in kind from and after the Effective Date to [the][the relevant] Assignee.</w:t>
      </w:r>
    </w:p>
    <w:p>
      <w:pPr>
        <w:spacing w:after="0" w:line="186" w:lineRule="exact"/>
        <w:rPr>
          <w:rFonts w:ascii="Arial" w:cs="Arial" w:eastAsia="Arial" w:hAnsi="Arial"/>
          <w:sz w:val="16"/>
          <w:szCs w:val="16"/>
          <w:color w:val="auto"/>
        </w:rPr>
      </w:pPr>
    </w:p>
    <w:p>
      <w:pPr>
        <w:jc w:val="both"/>
        <w:ind w:firstLine="1118"/>
        <w:spacing w:after="0" w:line="255" w:lineRule="auto"/>
        <w:tabs>
          <w:tab w:leader="none" w:pos="1801"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401320</wp:posOffset>
            </wp:positionV>
            <wp:extent cx="725106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D - FORM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COUNSEL</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BORROWER</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[Effective Date]</w:t>
      </w:r>
    </w:p>
    <w:p>
      <w:pPr>
        <w:spacing w:after="0" w:line="25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Each of the parties to the Amended and Restated Five Year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Agreement dated as of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October 15, 2013 (the “Credit Agreement”)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and among ManpowerGroup Inc., the banks,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institutions and other institutional lenders</w:t>
      </w:r>
    </w:p>
    <w:p>
      <w:pPr>
        <w:spacing w:after="0" w:line="8" w:lineRule="exact"/>
        <w:rPr>
          <w:sz w:val="20"/>
          <w:szCs w:val="20"/>
          <w:color w:val="auto"/>
        </w:rPr>
      </w:pPr>
    </w:p>
    <w:p>
      <w:pPr>
        <w:ind w:left="660"/>
        <w:spacing w:after="0"/>
        <w:tabs>
          <w:tab w:leader="none" w:pos="4140" w:val="left"/>
        </w:tabs>
        <w:rPr>
          <w:sz w:val="20"/>
          <w:szCs w:val="20"/>
          <w:color w:val="auto"/>
        </w:rPr>
      </w:pPr>
      <w:r>
        <w:rPr>
          <w:rFonts w:ascii="Arial" w:cs="Arial" w:eastAsia="Arial" w:hAnsi="Arial"/>
          <w:sz w:val="18"/>
          <w:szCs w:val="18"/>
          <w:color w:val="auto"/>
        </w:rPr>
        <w:t>listed on the signature</w:t>
      </w:r>
      <w:r>
        <w:rPr>
          <w:sz w:val="20"/>
          <w:szCs w:val="20"/>
          <w:color w:val="auto"/>
        </w:rPr>
        <w:tab/>
      </w:r>
      <w:r>
        <w:rPr>
          <w:rFonts w:ascii="Arial" w:cs="Arial" w:eastAsia="Arial" w:hAnsi="Arial"/>
          <w:sz w:val="16"/>
          <w:szCs w:val="16"/>
          <w:color w:val="auto"/>
        </w:rPr>
        <w:t>pages thereof as lenders (the “Initial Lenders”),</w:t>
      </w:r>
    </w:p>
    <w:p>
      <w:pPr>
        <w:spacing w:after="0" w:line="8" w:lineRule="exact"/>
        <w:rPr>
          <w:sz w:val="20"/>
          <w:szCs w:val="20"/>
          <w:color w:val="auto"/>
        </w:rPr>
      </w:pPr>
    </w:p>
    <w:p>
      <w:pPr>
        <w:ind w:left="660" w:right="120"/>
        <w:spacing w:after="0" w:line="249" w:lineRule="auto"/>
        <w:rPr>
          <w:sz w:val="20"/>
          <w:szCs w:val="20"/>
          <w:color w:val="auto"/>
        </w:rPr>
      </w:pPr>
      <w:r>
        <w:rPr>
          <w:rFonts w:ascii="Arial" w:cs="Arial" w:eastAsia="Arial" w:hAnsi="Arial"/>
          <w:sz w:val="18"/>
          <w:szCs w:val="18"/>
          <w:color w:val="auto"/>
        </w:rPr>
        <w:t>the banks listed on the signature pages thereof as issuing banks (the “Initial Issuing Banks”, and together with the Initial Lenders, the “Initial Lender Parties”)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Citibank, N.A., as agent for the Lender Parties (the “Agent”).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50" w:lineRule="exact"/>
        <w:rPr>
          <w:sz w:val="20"/>
          <w:szCs w:val="20"/>
          <w:color w:val="auto"/>
        </w:rPr>
      </w:pPr>
    </w:p>
    <w:p>
      <w:pPr>
        <w:ind w:right="320" w:firstLine="645"/>
        <w:spacing w:after="0" w:line="275" w:lineRule="auto"/>
        <w:rPr>
          <w:sz w:val="20"/>
          <w:szCs w:val="20"/>
          <w:color w:val="auto"/>
        </w:rPr>
      </w:pPr>
      <w:r>
        <w:rPr>
          <w:rFonts w:ascii="Arial" w:cs="Arial" w:eastAsia="Arial" w:hAnsi="Arial"/>
          <w:sz w:val="18"/>
          <w:szCs w:val="18"/>
          <w:color w:val="auto"/>
        </w:rPr>
        <w:t>We have acted as counsel for ManpowerGroup Inc. (the “Borrower”) in connection with the execution and delivery by the Borrower of the Credit Agreement and the Notes dated October 15, 2013 executed by Borrower in favor of each Lender which has requested a Note.</w:t>
      </w:r>
    </w:p>
    <w:p>
      <w:pPr>
        <w:spacing w:after="0" w:line="198" w:lineRule="exact"/>
        <w:rPr>
          <w:sz w:val="20"/>
          <w:szCs w:val="20"/>
          <w:color w:val="auto"/>
        </w:rPr>
      </w:pPr>
    </w:p>
    <w:p>
      <w:pPr>
        <w:ind w:right="20" w:firstLine="645"/>
        <w:spacing w:after="0" w:line="262" w:lineRule="auto"/>
        <w:rPr>
          <w:sz w:val="20"/>
          <w:szCs w:val="20"/>
          <w:color w:val="auto"/>
        </w:rPr>
      </w:pPr>
      <w:r>
        <w:rPr>
          <w:rFonts w:ascii="Arial" w:cs="Arial" w:eastAsia="Arial" w:hAnsi="Arial"/>
          <w:sz w:val="18"/>
          <w:szCs w:val="18"/>
          <w:color w:val="auto"/>
        </w:rPr>
        <w:t>This opinion is provided to you at the request of the Borrower pursuant to Section 3.01(h)(iv) of the Credit Agreement. The Credit Agreement, together with the Notes, are sometimes referred to herein collectively as the “Transaction Documents.” Except as otherwise indicated herein, capitalized terms in this opinion are used as defined in the Credit Agreement.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counsel for the Borrower, we have examined:</w:t>
      </w:r>
    </w:p>
    <w:p>
      <w:pPr>
        <w:spacing w:after="0" w:line="250" w:lineRule="exact"/>
        <w:rPr>
          <w:sz w:val="20"/>
          <w:szCs w:val="20"/>
          <w:color w:val="auto"/>
        </w:rPr>
      </w:pPr>
    </w:p>
    <w:p>
      <w:pPr>
        <w:ind w:left="1300" w:hanging="300"/>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Transaction Documents.</w:t>
      </w:r>
    </w:p>
    <w:p>
      <w:pPr>
        <w:spacing w:after="0" w:line="250" w:lineRule="exact"/>
        <w:rPr>
          <w:rFonts w:ascii="Arial" w:cs="Arial" w:eastAsia="Arial" w:hAnsi="Arial"/>
          <w:sz w:val="18"/>
          <w:szCs w:val="18"/>
          <w:color w:val="auto"/>
        </w:rPr>
      </w:pPr>
    </w:p>
    <w:p>
      <w:pPr>
        <w:ind w:left="1300" w:hanging="300"/>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documents furnished by the Borrower pursuant to Article III of the Credit Agreement.</w:t>
      </w:r>
    </w:p>
    <w:p>
      <w:pPr>
        <w:spacing w:after="0" w:line="250" w:lineRule="exact"/>
        <w:rPr>
          <w:rFonts w:ascii="Arial" w:cs="Arial" w:eastAsia="Arial" w:hAnsi="Arial"/>
          <w:sz w:val="18"/>
          <w:szCs w:val="18"/>
          <w:color w:val="auto"/>
        </w:rPr>
      </w:pPr>
    </w:p>
    <w:p>
      <w:pPr>
        <w:ind w:left="1300" w:hanging="300"/>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Amended and Restated Articles of Incorporation of the Borrower and all amendments thereto.</w:t>
      </w:r>
    </w:p>
    <w:p>
      <w:pPr>
        <w:spacing w:after="0" w:line="250" w:lineRule="exact"/>
        <w:rPr>
          <w:rFonts w:ascii="Arial" w:cs="Arial" w:eastAsia="Arial" w:hAnsi="Arial"/>
          <w:sz w:val="18"/>
          <w:szCs w:val="18"/>
          <w:color w:val="auto"/>
        </w:rPr>
      </w:pPr>
    </w:p>
    <w:p>
      <w:pPr>
        <w:ind w:left="1300" w:hanging="300"/>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Amended and Restated By-Laws of the Borrower and all amendments thereto.</w:t>
      </w:r>
    </w:p>
    <w:p>
      <w:pPr>
        <w:spacing w:after="0" w:line="250" w:lineRule="exact"/>
        <w:rPr>
          <w:rFonts w:ascii="Arial" w:cs="Arial" w:eastAsia="Arial" w:hAnsi="Arial"/>
          <w:sz w:val="18"/>
          <w:szCs w:val="18"/>
          <w:color w:val="auto"/>
        </w:rPr>
      </w:pPr>
    </w:p>
    <w:p>
      <w:pPr>
        <w:ind w:left="1300" w:right="20" w:hanging="300"/>
        <w:spacing w:after="0" w:line="275"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certificate of existence from the Department of Financial Institutions of Wisconsin, dated October 11, 2013, attesting to the continued corporate existence and status of the Borrower in that state (the “Status Certificate”).</w:t>
      </w:r>
    </w:p>
    <w:p>
      <w:pPr>
        <w:spacing w:after="0" w:line="198" w:lineRule="exact"/>
        <w:rPr>
          <w:sz w:val="20"/>
          <w:szCs w:val="20"/>
          <w:color w:val="auto"/>
        </w:rPr>
      </w:pPr>
    </w:p>
    <w:p>
      <w:pPr>
        <w:ind w:right="160" w:firstLine="645"/>
        <w:spacing w:after="0" w:line="278" w:lineRule="auto"/>
        <w:rPr>
          <w:sz w:val="20"/>
          <w:szCs w:val="20"/>
          <w:color w:val="auto"/>
        </w:rPr>
      </w:pPr>
      <w:r>
        <w:rPr>
          <w:rFonts w:ascii="Arial" w:cs="Arial" w:eastAsia="Arial" w:hAnsi="Arial"/>
          <w:sz w:val="17"/>
          <w:szCs w:val="17"/>
          <w:color w:val="auto"/>
        </w:rPr>
        <w:t>We have also examined the originals, or copies certified to our satisfaction, of such other corporate records of the Borrower, and certificates of officers of the Borrower, as we have deemed necessary as a basis for the opinions hereinafter expressed. We have not undertaken independently to verify the information contained in any such materials, and we have assumed the authenticity of all materials submitted to us as originals and the conformity to authenticated original materials of all materials submitted to us as certified or conformed or as photocopies.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rendering of this opinion, we have, with your permission, assumed, without investigation, verification or inquiry:</w:t>
      </w:r>
    </w:p>
    <w:p>
      <w:pPr>
        <w:spacing w:after="0" w:line="250" w:lineRule="exact"/>
        <w:rPr>
          <w:sz w:val="20"/>
          <w:szCs w:val="20"/>
          <w:color w:val="auto"/>
        </w:rPr>
      </w:pPr>
    </w:p>
    <w:p>
      <w:pPr>
        <w:ind w:right="140" w:firstLine="653"/>
        <w:spacing w:after="0" w:line="340" w:lineRule="auto"/>
        <w:tabs>
          <w:tab w:leader="none" w:pos="125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That the Agent and the Lenders (the Agent and the Lenders are hereinafter collectively referred to as the “Banks”) are each a corporation or association duly incorporated or organized, validly existing and in good standing under the laws of its jurisdiction of incorporation or organization;</w:t>
      </w:r>
    </w:p>
    <w:p>
      <w:pPr>
        <w:spacing w:after="0" w:line="150" w:lineRule="exact"/>
        <w:rPr>
          <w:rFonts w:ascii="Arial" w:cs="Arial" w:eastAsia="Arial" w:hAnsi="Arial"/>
          <w:sz w:val="16"/>
          <w:szCs w:val="16"/>
          <w:color w:val="auto"/>
        </w:rPr>
      </w:pPr>
    </w:p>
    <w:p>
      <w:pPr>
        <w:ind w:right="100" w:firstLine="653"/>
        <w:spacing w:after="0" w:line="262" w:lineRule="auto"/>
        <w:tabs>
          <w:tab w:leader="none" w:pos="126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each of the Banks has the necessary power, authority and right to enter into, execute and deliver, and to perform, observe and be bound by its obligations under the Transaction Documents; that the transactions therein contemplated have been duly authorized by the Banks and that the Transaction Documents constitute the valid and binding obligations of the Banks;</w:t>
      </w:r>
    </w:p>
    <w:p>
      <w:pPr>
        <w:spacing w:after="0" w:line="209" w:lineRule="exact"/>
        <w:rPr>
          <w:rFonts w:ascii="Arial" w:cs="Arial" w:eastAsia="Arial" w:hAnsi="Arial"/>
          <w:sz w:val="18"/>
          <w:szCs w:val="18"/>
          <w:color w:val="auto"/>
        </w:rPr>
      </w:pPr>
    </w:p>
    <w:p>
      <w:pPr>
        <w:ind w:left="1260" w:hanging="607"/>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the Transaction Documents have been duly executed and delivered by the Banks;</w:t>
      </w:r>
    </w:p>
    <w:p>
      <w:pPr>
        <w:spacing w:after="0" w:line="250" w:lineRule="exact"/>
        <w:rPr>
          <w:rFonts w:ascii="Arial" w:cs="Arial" w:eastAsia="Arial" w:hAnsi="Arial"/>
          <w:sz w:val="18"/>
          <w:szCs w:val="18"/>
          <w:color w:val="auto"/>
        </w:rPr>
      </w:pPr>
    </w:p>
    <w:p>
      <w:pPr>
        <w:ind w:right="240" w:firstLine="653"/>
        <w:spacing w:after="0" w:line="255" w:lineRule="auto"/>
        <w:tabs>
          <w:tab w:leader="none" w:pos="126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there are no oral or written agreements or understandings or course of prior dealing among the parties that would limit, expand or otherwise modify the respective rights and obligations of the parties, as set forth in the Transaction Documents, or that would have an effect on the opinions expressed herein; all material terms and conditions of the relevant transaction and the relationship among the Borrower and the Banks for purposes of the relevant transaction are correctly and completely reflected in the Transaction Documents and there has been no waiver of any of the provisions of the Transaction Documents by actions or conduct of the parties or otherwise; and</w:t>
      </w:r>
    </w:p>
    <w:p>
      <w:pPr>
        <w:spacing w:after="0" w:line="217" w:lineRule="exact"/>
        <w:rPr>
          <w:rFonts w:ascii="Arial" w:cs="Arial" w:eastAsia="Arial" w:hAnsi="Arial"/>
          <w:sz w:val="18"/>
          <w:szCs w:val="18"/>
          <w:color w:val="auto"/>
        </w:rPr>
      </w:pPr>
    </w:p>
    <w:p>
      <w:pPr>
        <w:ind w:right="60" w:firstLine="653"/>
        <w:spacing w:after="0" w:line="262" w:lineRule="auto"/>
        <w:tabs>
          <w:tab w:leader="none" w:pos="125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all natural persons who are signatories to the Transaction Documents were legally competent at the time of execution; all signatures on the Transaction Documents and other documents reviewed by us are genuine, accurate and complete, each such document that is original is authentic and each such document that is a copy is accurate and complete and conforms to an authentic original.</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upon the foregoing, but subject to the assumptions, qualifications and limitations contained herein, we render to you our opinion as follows:</w:t>
      </w:r>
    </w:p>
    <w:p>
      <w:pPr>
        <w:spacing w:after="0" w:line="273" w:lineRule="exact"/>
        <w:rPr>
          <w:sz w:val="20"/>
          <w:szCs w:val="20"/>
          <w:color w:val="auto"/>
        </w:rPr>
      </w:pPr>
    </w:p>
    <w:p>
      <w:pPr>
        <w:ind w:right="440" w:firstLine="653"/>
        <w:spacing w:after="0" w:line="262" w:lineRule="auto"/>
        <w:tabs>
          <w:tab w:leader="none" w:pos="126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Borrower is a corporation validly existing under the laws of the State of Wisconsin and, based solely on the Status Certificate, is in active status, meaning that as of October 11, 2013, it has filed its most recent required annual report and has not filed Articles of Dissolution with the Department of Financial Institutions of the State of Wisconsin.</w:t>
      </w:r>
    </w:p>
    <w:p>
      <w:pPr>
        <w:sectPr>
          <w:pgSz w:w="11900" w:h="16838" w:orient="portrait"/>
          <w:cols w:equalWidth="0" w:num="1">
            <w:col w:w="11420"/>
          </w:cols>
          <w:pgMar w:left="240" w:top="273" w:right="239" w:bottom="0" w:gutter="0" w:footer="0" w:header="0"/>
        </w:sectPr>
      </w:pPr>
    </w:p>
    <w:bookmarkStart w:id="82" w:name="page83"/>
    <w:bookmarkEnd w:id="82"/>
    <w:p>
      <w:pPr>
        <w:ind w:right="180" w:firstLine="653"/>
        <w:spacing w:after="0" w:line="306" w:lineRule="auto"/>
        <w:tabs>
          <w:tab w:leader="none" w:pos="126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execution, delivery and performance by the Borrower of the Transaction Documents are within the Borrower’s corporate powers, have been duly authorized by all necessary corporate action by the Borrower and do not require any further approval of its shareholders or directors.</w:t>
      </w:r>
    </w:p>
    <w:p>
      <w:pPr>
        <w:spacing w:after="0" w:line="173" w:lineRule="exact"/>
        <w:rPr>
          <w:rFonts w:ascii="Arial" w:cs="Arial" w:eastAsia="Arial" w:hAnsi="Arial"/>
          <w:sz w:val="17"/>
          <w:szCs w:val="17"/>
          <w:color w:val="auto"/>
        </w:rPr>
      </w:pPr>
    </w:p>
    <w:p>
      <w:pPr>
        <w:ind w:left="1280" w:hanging="627"/>
        <w:spacing w:after="0"/>
        <w:tabs>
          <w:tab w:leader="none" w:pos="12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Transaction Documents are the legal, valid and binding obligations of the Borrower, enforceable against it in accordance with their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respective terms.</w:t>
      </w:r>
    </w:p>
    <w:p>
      <w:pPr>
        <w:spacing w:after="0" w:line="235" w:lineRule="exact"/>
        <w:rPr>
          <w:rFonts w:ascii="Arial" w:cs="Arial" w:eastAsia="Arial" w:hAnsi="Arial"/>
          <w:sz w:val="17"/>
          <w:szCs w:val="17"/>
          <w:color w:val="auto"/>
        </w:rPr>
      </w:pPr>
    </w:p>
    <w:p>
      <w:pPr>
        <w:ind w:right="60" w:firstLine="653"/>
        <w:spacing w:after="0" w:line="271" w:lineRule="auto"/>
        <w:tabs>
          <w:tab w:leader="none" w:pos="126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execution and delivery of, and performance by the Borrower of its obligations under the Transaction Documents do not: (a) constitute a breach or violation of the Amended and Restated Articles of Incorporation or Amended and Restated By-Laws of the Borrower or any amendments thereto which are effective as of the date of this opinion; (b) as to payment obligations (including those arising upon acceleration) only, result in a violation of any applicable law, statute or regulation of the United States or the State of Wisconsin; (c) result in a violation of any judgment, order, writ, injunction, decree, determination or award of which we have knowledge; (d) constitute an event of default under or result in a breach or violation of any instrument to which the Borrower is a party that is listed as a material agreement in the Officer’s Certificate attached hereto (a “Material Contract”), or (e) result in the creation of any lien, charge or encumbrance on any property or assets of the Borrower pursuant to a Material Contract.</w:t>
      </w:r>
    </w:p>
    <w:p>
      <w:pPr>
        <w:spacing w:after="0" w:line="202" w:lineRule="exact"/>
        <w:rPr>
          <w:rFonts w:ascii="Arial" w:cs="Arial" w:eastAsia="Arial" w:hAnsi="Arial"/>
          <w:sz w:val="17"/>
          <w:szCs w:val="17"/>
          <w:color w:val="auto"/>
        </w:rPr>
      </w:pPr>
    </w:p>
    <w:p>
      <w:pPr>
        <w:ind w:right="320" w:firstLine="653"/>
        <w:spacing w:after="0" w:line="300" w:lineRule="auto"/>
        <w:tabs>
          <w:tab w:leader="none" w:pos="127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 authorization, consent, approval or other action by, and no notice to or filing with any governmental authority or regulatory body is required to be obtained or made by the Borrower to authorize, or is required in connection with the execution and delivery or performance of its respective payment obligations under the Transaction Documents, except (a) such as have been duly obtained or made and are in full force and effect; and (b) such as may be required by orders, decrees, and the like that are specifically applicable to the Borrower and of which we have no knowledge.</w:t>
      </w:r>
    </w:p>
    <w:p>
      <w:pPr>
        <w:spacing w:after="0" w:line="182" w:lineRule="exact"/>
        <w:rPr>
          <w:rFonts w:ascii="Arial" w:cs="Arial" w:eastAsia="Arial" w:hAnsi="Arial"/>
          <w:sz w:val="16"/>
          <w:szCs w:val="16"/>
          <w:color w:val="auto"/>
        </w:rPr>
      </w:pPr>
    </w:p>
    <w:p>
      <w:pPr>
        <w:ind w:right="480" w:firstLine="653"/>
        <w:spacing w:after="0" w:line="275" w:lineRule="auto"/>
        <w:tabs>
          <w:tab w:leader="none" w:pos="126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our knowledge, the Borrower is not a party to any litigation or administrative proceeding which relates to the execution, delivery or performance of the Transaction Documents.</w:t>
      </w:r>
    </w:p>
    <w:p>
      <w:pPr>
        <w:spacing w:after="0" w:line="197" w:lineRule="exact"/>
        <w:rPr>
          <w:rFonts w:ascii="Arial" w:cs="Arial" w:eastAsia="Arial" w:hAnsi="Arial"/>
          <w:sz w:val="18"/>
          <w:szCs w:val="18"/>
          <w:color w:val="auto"/>
        </w:rPr>
      </w:pPr>
    </w:p>
    <w:p>
      <w:pPr>
        <w:ind w:right="120" w:firstLine="653"/>
        <w:spacing w:after="0" w:line="255" w:lineRule="auto"/>
        <w:tabs>
          <w:tab w:leader="none" w:pos="12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Although there is no controlling precedent on point, assuming that (i) the State of New York has a substantial relationship to the parties and the transaction contemplated by the Transaction Documents, (ii) there is a reasonable basis for the parties' choice of law and (iii) the application of New York law would not be contrary to important public policies of the state whose law would be applicable if the parties' choice of law provision were disregarded, we believe the courts of the State of Wisconsin would enforce the provisions of the Transaction Documents stipulating that the validity, construction and enforceability thereof will be governed by the laws of the State of New York.</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foregoing opinions are, however, further subject to the following assumptions and qualifications.</w:t>
      </w:r>
    </w:p>
    <w:p>
      <w:pPr>
        <w:spacing w:after="0" w:line="250" w:lineRule="exact"/>
        <w:rPr>
          <w:sz w:val="20"/>
          <w:szCs w:val="20"/>
          <w:color w:val="auto"/>
        </w:rPr>
      </w:pPr>
    </w:p>
    <w:p>
      <w:pPr>
        <w:ind w:left="1960" w:hanging="662"/>
        <w:spacing w:after="0"/>
        <w:tabs>
          <w:tab w:leader="none" w:pos="19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Our enforceability opinion is limited by:</w:t>
      </w:r>
    </w:p>
    <w:p>
      <w:pPr>
        <w:spacing w:after="0" w:line="250" w:lineRule="exact"/>
        <w:rPr>
          <w:rFonts w:ascii="Arial" w:cs="Arial" w:eastAsia="Arial" w:hAnsi="Arial"/>
          <w:sz w:val="18"/>
          <w:szCs w:val="18"/>
          <w:color w:val="auto"/>
        </w:rPr>
      </w:pPr>
    </w:p>
    <w:p>
      <w:pPr>
        <w:ind w:left="1300" w:right="60" w:firstLine="643"/>
        <w:spacing w:after="0" w:line="262" w:lineRule="auto"/>
        <w:tabs>
          <w:tab w:leader="none" w:pos="2597" w:val="left"/>
        </w:tabs>
        <w:numPr>
          <w:ilvl w:val="2"/>
          <w:numId w:val="133"/>
        </w:numPr>
        <w:rPr>
          <w:rFonts w:ascii="Arial" w:cs="Arial" w:eastAsia="Arial" w:hAnsi="Arial"/>
          <w:sz w:val="18"/>
          <w:szCs w:val="18"/>
          <w:color w:val="auto"/>
        </w:rPr>
      </w:pPr>
      <w:r>
        <w:rPr>
          <w:rFonts w:ascii="Arial" w:cs="Arial" w:eastAsia="Arial" w:hAnsi="Arial"/>
          <w:sz w:val="18"/>
          <w:szCs w:val="18"/>
          <w:color w:val="auto"/>
        </w:rPr>
        <w:t>Applicable bankruptcy, receivership, reorganization, insolvency, moratorium, fraudulent conveyance or transfer, and other laws and judicially developed doctrines related thereto now or hereafter in effect relating to or affecting creditors’ rights and remedies generally;</w:t>
      </w:r>
    </w:p>
    <w:p>
      <w:pPr>
        <w:spacing w:after="0" w:line="209" w:lineRule="exact"/>
        <w:rPr>
          <w:rFonts w:ascii="Arial" w:cs="Arial" w:eastAsia="Arial" w:hAnsi="Arial"/>
          <w:sz w:val="18"/>
          <w:szCs w:val="18"/>
          <w:color w:val="auto"/>
        </w:rPr>
      </w:pPr>
    </w:p>
    <w:p>
      <w:pPr>
        <w:ind w:left="1300" w:firstLine="643"/>
        <w:spacing w:after="0" w:line="275" w:lineRule="auto"/>
        <w:tabs>
          <w:tab w:leader="none" w:pos="2657" w:val="left"/>
        </w:tabs>
        <w:numPr>
          <w:ilvl w:val="2"/>
          <w:numId w:val="133"/>
        </w:numPr>
        <w:rPr>
          <w:rFonts w:ascii="Arial" w:cs="Arial" w:eastAsia="Arial" w:hAnsi="Arial"/>
          <w:sz w:val="18"/>
          <w:szCs w:val="18"/>
          <w:color w:val="auto"/>
        </w:rPr>
      </w:pPr>
      <w:r>
        <w:rPr>
          <w:rFonts w:ascii="Arial" w:cs="Arial" w:eastAsia="Arial" w:hAnsi="Arial"/>
          <w:sz w:val="18"/>
          <w:szCs w:val="18"/>
          <w:color w:val="auto"/>
        </w:rPr>
        <w:t>General principles of equity, regardless of whether such enforcement is considered in a proceeding in equity or at law, and by the availability of specific performance, injunctive relief and other equitable remedies;</w:t>
      </w:r>
    </w:p>
    <w:p>
      <w:pPr>
        <w:spacing w:after="0" w:line="197" w:lineRule="exact"/>
        <w:rPr>
          <w:rFonts w:ascii="Arial" w:cs="Arial" w:eastAsia="Arial" w:hAnsi="Arial"/>
          <w:sz w:val="18"/>
          <w:szCs w:val="18"/>
          <w:color w:val="auto"/>
        </w:rPr>
      </w:pPr>
    </w:p>
    <w:p>
      <w:pPr>
        <w:ind w:left="1300" w:right="120" w:firstLine="643"/>
        <w:spacing w:after="0" w:line="295" w:lineRule="auto"/>
        <w:tabs>
          <w:tab w:leader="none" w:pos="2703" w:val="left"/>
        </w:tabs>
        <w:numPr>
          <w:ilvl w:val="2"/>
          <w:numId w:val="133"/>
        </w:numPr>
        <w:rPr>
          <w:rFonts w:ascii="Arial" w:cs="Arial" w:eastAsia="Arial" w:hAnsi="Arial"/>
          <w:sz w:val="16"/>
          <w:szCs w:val="16"/>
          <w:color w:val="auto"/>
        </w:rPr>
      </w:pPr>
      <w:r>
        <w:rPr>
          <w:rFonts w:ascii="Arial" w:cs="Arial" w:eastAsia="Arial" w:hAnsi="Arial"/>
          <w:sz w:val="16"/>
          <w:szCs w:val="16"/>
          <w:color w:val="auto"/>
        </w:rPr>
        <w:t>The possibility that certain rights, remedies, indemnities, exculpation provisions, waivers and other provisions of the Transaction Documents may not be enforceable; nevertheless, such unenforceability will not render the Transaction Documents invalid as a whole or preclude: (a) judicial enforcement of the obligation of the Borrower to repay the principal, together with interest thereon (to the extent not deemed a penalty), as provided in the Transaction Documents; or (b) acceleration of the obligation of Borrower to repay such principal, together with such interest, upon a material default in a material provision of the Transaction Documents; and</w:t>
      </w:r>
    </w:p>
    <w:p>
      <w:pPr>
        <w:spacing w:after="0" w:line="186" w:lineRule="exact"/>
        <w:rPr>
          <w:rFonts w:ascii="Arial" w:cs="Arial" w:eastAsia="Arial" w:hAnsi="Arial"/>
          <w:sz w:val="16"/>
          <w:szCs w:val="16"/>
          <w:color w:val="auto"/>
        </w:rPr>
      </w:pPr>
    </w:p>
    <w:p>
      <w:pPr>
        <w:ind w:left="1300" w:right="400" w:firstLine="643"/>
        <w:spacing w:after="0" w:line="275" w:lineRule="auto"/>
        <w:tabs>
          <w:tab w:leader="none" w:pos="2693"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requirement that the enforcing party act in a commercially reasonable manner and in good faith in exercising its rights under the Transaction Documents.</w:t>
      </w:r>
    </w:p>
    <w:p>
      <w:pPr>
        <w:spacing w:after="0" w:line="197" w:lineRule="exact"/>
        <w:rPr>
          <w:rFonts w:ascii="Arial" w:cs="Arial" w:eastAsia="Arial" w:hAnsi="Arial"/>
          <w:sz w:val="18"/>
          <w:szCs w:val="18"/>
          <w:color w:val="auto"/>
        </w:rPr>
      </w:pPr>
    </w:p>
    <w:p>
      <w:pPr>
        <w:ind w:left="1960" w:hanging="662"/>
        <w:spacing w:after="0"/>
        <w:tabs>
          <w:tab w:leader="none" w:pos="19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Wherever we indicate that our opinion is based on our knowledge or the like, our opinion is, with your permission, based solely on</w:t>
      </w:r>
    </w:p>
    <w:p>
      <w:pPr>
        <w:spacing w:after="0" w:line="45" w:lineRule="exact"/>
        <w:rPr>
          <w:rFonts w:ascii="Arial" w:cs="Arial" w:eastAsia="Arial" w:hAnsi="Arial"/>
          <w:sz w:val="16"/>
          <w:szCs w:val="16"/>
          <w:color w:val="auto"/>
        </w:rPr>
      </w:pPr>
    </w:p>
    <w:p>
      <w:pPr>
        <w:ind w:left="660" w:right="240" w:hanging="7"/>
        <w:spacing w:after="0" w:line="294" w:lineRule="auto"/>
        <w:tabs>
          <w:tab w:leader="none" w:pos="87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representations and warranties of the Borrower set forth in the Transaction Documents; (ii) the current conscious awareness of facts or other information of the attorneys currently with this firm who have represented the Borrower in connection with the transactions contemplated in the Transaction Documents and of any other attorneys presently in our firm whom we have determined are likely, in the course of representing the Borrower or its Subsidiaries, to have knowledge of the matters covered by this opinion; and (iii) the Officer’s Certificate attached hereto.</w:t>
      </w:r>
    </w:p>
    <w:p>
      <w:pPr>
        <w:spacing w:after="0" w:line="186" w:lineRule="exact"/>
        <w:rPr>
          <w:rFonts w:ascii="Arial" w:cs="Arial" w:eastAsia="Arial" w:hAnsi="Arial"/>
          <w:sz w:val="16"/>
          <w:szCs w:val="16"/>
          <w:color w:val="auto"/>
        </w:rPr>
      </w:pPr>
    </w:p>
    <w:p>
      <w:pPr>
        <w:ind w:left="660" w:right="100" w:firstLine="638"/>
        <w:spacing w:after="0" w:line="306" w:lineRule="auto"/>
        <w:tabs>
          <w:tab w:leader="none" w:pos="1959" w:val="left"/>
        </w:tabs>
        <w:numPr>
          <w:ilvl w:val="1"/>
          <w:numId w:val="134"/>
        </w:numPr>
        <w:rPr>
          <w:rFonts w:ascii="Arial" w:cs="Arial" w:eastAsia="Arial" w:hAnsi="Arial"/>
          <w:sz w:val="17"/>
          <w:szCs w:val="17"/>
          <w:color w:val="auto"/>
        </w:rPr>
      </w:pPr>
      <w:r>
        <w:rPr>
          <w:rFonts w:ascii="Arial" w:cs="Arial" w:eastAsia="Arial" w:hAnsi="Arial"/>
          <w:sz w:val="17"/>
          <w:szCs w:val="17"/>
          <w:color w:val="auto"/>
        </w:rPr>
        <w:t>We have not examined the records of the Banks or the Borrower, or any court or any public, quasi-public, private or other office in any jurisdiction, or the files of our firm, and our opinion is subject to matters that an examination of such records would reveal.</w:t>
      </w:r>
    </w:p>
    <w:p>
      <w:pPr>
        <w:spacing w:after="0" w:line="174" w:lineRule="exact"/>
        <w:rPr>
          <w:sz w:val="20"/>
          <w:szCs w:val="20"/>
          <w:color w:val="auto"/>
        </w:rPr>
      </w:pPr>
    </w:p>
    <w:p>
      <w:pPr>
        <w:ind w:right="20" w:firstLine="645"/>
        <w:spacing w:after="0" w:line="272" w:lineRule="auto"/>
        <w:rPr>
          <w:sz w:val="20"/>
          <w:szCs w:val="20"/>
          <w:color w:val="auto"/>
        </w:rPr>
      </w:pPr>
      <w:r>
        <w:rPr>
          <w:rFonts w:ascii="Arial" w:cs="Arial" w:eastAsia="Arial" w:hAnsi="Arial"/>
          <w:sz w:val="17"/>
          <w:szCs w:val="17"/>
          <w:color w:val="auto"/>
        </w:rPr>
        <w:t>Our opinion is limited to the laws of the United States and the laws of the State of Wisconsin in effect on the date hereof as they presently apply, and we express no opinion herein as to the laws of any other jurisdiction. The Credit Agreement provides that it is to be governed by and construed in accordance with the laws of the State of New York. We do not purport to be experts on, or generally familiar with or qualified to express legal conclusions based upon the laws of New York, and we express no opinion as to the laws thereof. In giving this opinion, we have assumed that the provisions of the Transaction Documents comply with New York law. Assuming that the Transaction Documents were governed by the internal laws of Wisconsin (without regard to choice of law principles thereunder), our opinion is as set forth herein.</w:t>
      </w:r>
    </w:p>
    <w:p>
      <w:pPr>
        <w:spacing w:after="0" w:line="203" w:lineRule="exact"/>
        <w:rPr>
          <w:sz w:val="20"/>
          <w:szCs w:val="20"/>
          <w:color w:val="auto"/>
        </w:rPr>
      </w:pPr>
    </w:p>
    <w:p>
      <w:pPr>
        <w:ind w:right="120" w:firstLine="645"/>
        <w:spacing w:after="0" w:line="258" w:lineRule="auto"/>
        <w:rPr>
          <w:sz w:val="20"/>
          <w:szCs w:val="20"/>
          <w:color w:val="auto"/>
        </w:rPr>
      </w:pPr>
      <w:r>
        <w:rPr>
          <w:rFonts w:ascii="Arial" w:cs="Arial" w:eastAsia="Arial" w:hAnsi="Arial"/>
          <w:sz w:val="18"/>
          <w:szCs w:val="18"/>
          <w:color w:val="auto"/>
        </w:rPr>
        <w:t>We express no opinion as to (i) Section 2.16 of the Credit Agreement insofar as it provides that any Lender purchasing a participation from another Lender pursuant thereto may exercise set-off or similar rights with respect to such participation, and (ii) the effect of the law of any jurisdiction other than the State of Wisconsin wherein any Lender may be located or wherein enforcement of the Credit Agreement or the Notes may be sought that limits the rate of interest legally chargeable or collectible.</w:t>
      </w:r>
    </w:p>
    <w:p>
      <w:pPr>
        <w:spacing w:after="0" w:line="212" w:lineRule="exact"/>
        <w:rPr>
          <w:sz w:val="20"/>
          <w:szCs w:val="20"/>
          <w:color w:val="auto"/>
        </w:rPr>
      </w:pPr>
    </w:p>
    <w:p>
      <w:pPr>
        <w:ind w:right="240" w:firstLine="645"/>
        <w:spacing w:after="0" w:line="258" w:lineRule="auto"/>
        <w:rPr>
          <w:sz w:val="20"/>
          <w:szCs w:val="20"/>
          <w:color w:val="auto"/>
        </w:rPr>
      </w:pPr>
      <w:r>
        <w:rPr>
          <w:rFonts w:ascii="Arial" w:cs="Arial" w:eastAsia="Arial" w:hAnsi="Arial"/>
          <w:sz w:val="18"/>
          <w:szCs w:val="18"/>
          <w:color w:val="auto"/>
        </w:rPr>
        <w:t>This opinion is given as of the date hereof, it is intended to apply only to those facts and circumstances which exist as of the date hereof, and we assume no obligation or responsibility to update or supplement this opinion to reflect any facts or circumstances which may hereafter come to our attention, any changes in laws which may hereafter occur, or to inform the addressees of any change in circumstances occurring after the date of this opinion which would alter the opinion rendered herein.</w:t>
      </w:r>
    </w:p>
    <w:p>
      <w:pPr>
        <w:sectPr>
          <w:pgSz w:w="11900" w:h="16838" w:orient="portrait"/>
          <w:cols w:equalWidth="0" w:num="1">
            <w:col w:w="11420"/>
          </w:cols>
          <w:pgMar w:left="240" w:top="125" w:right="239" w:bottom="0" w:gutter="0" w:footer="0" w:header="0"/>
        </w:sectPr>
      </w:pPr>
    </w:p>
    <w:bookmarkStart w:id="83" w:name="page84"/>
    <w:bookmarkEnd w:id="83"/>
    <w:p>
      <w:pPr>
        <w:ind w:firstLine="645"/>
        <w:spacing w:after="0" w:line="270" w:lineRule="auto"/>
        <w:rPr>
          <w:sz w:val="20"/>
          <w:szCs w:val="20"/>
          <w:color w:val="auto"/>
        </w:rPr>
      </w:pPr>
      <w:r>
        <w:rPr>
          <w:rFonts w:ascii="Arial" w:cs="Arial" w:eastAsia="Arial" w:hAnsi="Arial"/>
          <w:sz w:val="17"/>
          <w:szCs w:val="17"/>
          <w:color w:val="auto"/>
        </w:rPr>
        <w:t>This opinion is limited to the matters set forth herein, and no opinion may be inferred or is implied beyond the matters expressly contained herein. This opinion is solely for the purposes of providing information and assistance to you in connection with the Transaction Documents. It is not intended to be quoted or otherwise referred to, nor is it to be filed with or furnished to or relied upon, by any other person, firm or corporation for any purpose without our prior written consent, provided that a copy of this opinion may be furnished or quoted (i) to your independent auditors, (ii) to regulatory authorities having jurisdiction over you, (iii) as otherwise compelled by legal process, and (iv) to any Person that becomes a Lender in accordance with the provisions of the Credit Agreement. Any such Lender may rely on the opinion expressed above as if this opinion letter were addressed and delivered to such Lender on the date hereof. Accordingly, any Lender relying on this opinion letter at any time other than the date hereof should seek advice of its counsel as to the proper application of this opinion letter at such time.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GODFREY &amp; KAHN, S.C.</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ManpowerGroup Five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4" w:name="page85"/>
    <w:bookmarkEnd w:id="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12.1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1"/>
              </w:rPr>
              <w:t>9 Months</w:t>
            </w:r>
          </w:p>
        </w:tc>
      </w:tr>
      <w:tr>
        <w:trPr>
          <w:trHeight w:val="233"/>
        </w:trPr>
        <w:tc>
          <w:tcPr>
            <w:tcW w:w="6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jc w:val="center"/>
              <w:ind w:right="3540"/>
              <w:spacing w:after="0"/>
              <w:rPr>
                <w:sz w:val="20"/>
                <w:szCs w:val="20"/>
                <w:color w:val="auto"/>
              </w:rPr>
            </w:pPr>
            <w:r>
              <w:rPr>
                <w:rFonts w:ascii="Arial" w:cs="Arial" w:eastAsia="Arial" w:hAnsi="Arial"/>
                <w:sz w:val="18"/>
                <w:szCs w:val="18"/>
                <w:b w:val="1"/>
                <w:bCs w:val="1"/>
                <w:color w:val="auto"/>
                <w:w w:val="90"/>
              </w:rPr>
              <w:t>Ended</w:t>
            </w:r>
          </w:p>
        </w:tc>
      </w:tr>
      <w:tr>
        <w:trPr>
          <w:trHeight w:val="197"/>
        </w:trPr>
        <w:tc>
          <w:tcPr>
            <w:tcW w:w="6880" w:type="dxa"/>
            <w:vAlign w:val="bottom"/>
          </w:tcPr>
          <w:p>
            <w:pPr>
              <w:spacing w:after="0"/>
              <w:rPr>
                <w:sz w:val="17"/>
                <w:szCs w:val="17"/>
                <w:color w:val="auto"/>
              </w:rPr>
            </w:pPr>
          </w:p>
        </w:tc>
        <w:tc>
          <w:tcPr>
            <w:tcW w:w="4540" w:type="dxa"/>
            <w:vAlign w:val="bottom"/>
            <w:gridSpan w:val="3"/>
          </w:tcPr>
          <w:p>
            <w:pPr>
              <w:ind w:left="20"/>
              <w:spacing w:after="0" w:line="197" w:lineRule="exact"/>
              <w:rPr>
                <w:sz w:val="20"/>
                <w:szCs w:val="20"/>
                <w:color w:val="auto"/>
              </w:rPr>
            </w:pPr>
            <w:r>
              <w:rPr>
                <w:rFonts w:ascii="Arial" w:cs="Arial" w:eastAsia="Arial" w:hAnsi="Arial"/>
                <w:sz w:val="18"/>
                <w:szCs w:val="18"/>
                <w:b w:val="1"/>
                <w:bCs w:val="1"/>
                <w:color w:val="auto"/>
              </w:rPr>
              <w:t>September 30,</w:t>
            </w:r>
          </w:p>
        </w:tc>
      </w:tr>
      <w:tr>
        <w:trPr>
          <w:trHeight w:val="240"/>
        </w:trPr>
        <w:tc>
          <w:tcPr>
            <w:tcW w:w="6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3420" w:type="dxa"/>
            <w:vAlign w:val="bottom"/>
          </w:tcPr>
          <w:p>
            <w:pPr>
              <w:spacing w:after="0"/>
              <w:rPr>
                <w:sz w:val="20"/>
                <w:szCs w:val="20"/>
                <w:color w:val="auto"/>
              </w:rPr>
            </w:pPr>
          </w:p>
        </w:tc>
      </w:tr>
      <w:tr>
        <w:trPr>
          <w:trHeight w:val="215"/>
        </w:trPr>
        <w:tc>
          <w:tcPr>
            <w:tcW w:w="6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5"/>
        </w:trPr>
        <w:tc>
          <w:tcPr>
            <w:tcW w:w="688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688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317.7</w:t>
            </w:r>
          </w:p>
        </w:tc>
      </w:tr>
      <w:tr>
        <w:trPr>
          <w:trHeight w:val="215"/>
        </w:trPr>
        <w:tc>
          <w:tcPr>
            <w:tcW w:w="688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18"/>
                <w:szCs w:val="18"/>
                <w:color w:val="auto"/>
              </w:rPr>
            </w:pP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118.0</w:t>
            </w:r>
          </w:p>
        </w:tc>
      </w:tr>
      <w:tr>
        <w:trPr>
          <w:trHeight w:val="27"/>
        </w:trPr>
        <w:tc>
          <w:tcPr>
            <w:tcW w:w="6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5"/>
        </w:trPr>
        <w:tc>
          <w:tcPr>
            <w:tcW w:w="6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435.7</w:t>
            </w:r>
          </w:p>
        </w:tc>
      </w:tr>
      <w:tr>
        <w:trPr>
          <w:trHeight w:val="209"/>
        </w:trPr>
        <w:tc>
          <w:tcPr>
            <w:tcW w:w="68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5"/>
        </w:trPr>
        <w:tc>
          <w:tcPr>
            <w:tcW w:w="688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5"/>
        </w:trPr>
        <w:tc>
          <w:tcPr>
            <w:tcW w:w="688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29.7</w:t>
            </w:r>
          </w:p>
        </w:tc>
      </w:tr>
      <w:tr>
        <w:trPr>
          <w:trHeight w:val="215"/>
        </w:trPr>
        <w:tc>
          <w:tcPr>
            <w:tcW w:w="6880" w:type="dxa"/>
            <w:vAlign w:val="bottom"/>
            <w:shd w:val="clear" w:color="auto" w:fill="CCEEFF"/>
          </w:tcPr>
          <w:p>
            <w:pPr>
              <w:ind w:left="3620"/>
              <w:spacing w:after="0"/>
              <w:rPr>
                <w:sz w:val="20"/>
                <w:szCs w:val="20"/>
                <w:color w:val="auto"/>
              </w:rPr>
            </w:pPr>
            <w:r>
              <w:rPr>
                <w:rFonts w:ascii="Arial" w:cs="Arial" w:eastAsia="Arial" w:hAnsi="Arial"/>
                <w:sz w:val="18"/>
                <w:szCs w:val="18"/>
                <w:color w:val="auto"/>
                <w:w w:val="97"/>
              </w:rPr>
              <w:t>Estimated interest portion of rent expense</w:t>
            </w:r>
          </w:p>
        </w:tc>
        <w:tc>
          <w:tcPr>
            <w:tcW w:w="14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88.3</w:t>
            </w:r>
          </w:p>
        </w:tc>
      </w:tr>
      <w:tr>
        <w:trPr>
          <w:trHeight w:val="27"/>
        </w:trPr>
        <w:tc>
          <w:tcPr>
            <w:tcW w:w="6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5"/>
        </w:trPr>
        <w:tc>
          <w:tcPr>
            <w:tcW w:w="68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118.0</w:t>
            </w:r>
          </w:p>
        </w:tc>
      </w:tr>
      <w:tr>
        <w:trPr>
          <w:trHeight w:val="20"/>
        </w:trPr>
        <w:tc>
          <w:tcPr>
            <w:tcW w:w="6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5"/>
        </w:trPr>
        <w:tc>
          <w:tcPr>
            <w:tcW w:w="6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5"/>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688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3.7</w:t>
            </w: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5"/>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3960" w:type="dxa"/>
            <w:vAlign w:val="bottom"/>
          </w:tcPr>
          <w:p>
            <w:pPr>
              <w:ind w:left="240"/>
              <w:spacing w:after="0"/>
              <w:rPr>
                <w:sz w:val="20"/>
                <w:szCs w:val="20"/>
                <w:color w:val="auto"/>
              </w:rPr>
            </w:pPr>
            <w:r>
              <w:rPr>
                <w:rFonts w:ascii="Arial" w:cs="Arial" w:eastAsia="Arial" w:hAnsi="Arial"/>
                <w:sz w:val="18"/>
                <w:szCs w:val="18"/>
                <w:color w:val="auto"/>
              </w:rPr>
              <w:t>Earnings before income taxes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368.4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479.9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(165.2)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r>
      <w:tr>
        <w:trPr>
          <w:trHeight w:val="215"/>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charges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r>
      <w:tr>
        <w:trPr>
          <w:trHeight w:val="27"/>
        </w:trPr>
        <w:tc>
          <w:tcPr>
            <w:tcW w:w="39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39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533.5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650.1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r>
      <w:tr>
        <w:trPr>
          <w:trHeight w:val="20"/>
        </w:trPr>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3960" w:type="dxa"/>
            <w:vAlign w:val="bottom"/>
          </w:tcPr>
          <w:p>
            <w:pPr>
              <w:ind w:left="240"/>
              <w:spacing w:after="0"/>
              <w:rPr>
                <w:sz w:val="20"/>
                <w:szCs w:val="20"/>
                <w:color w:val="auto"/>
              </w:rPr>
            </w:pPr>
            <w:r>
              <w:rPr>
                <w:rFonts w:ascii="Arial" w:cs="Arial" w:eastAsia="Arial" w:hAnsi="Arial"/>
                <w:sz w:val="18"/>
                <w:szCs w:val="18"/>
                <w:color w:val="auto"/>
              </w:rPr>
              <w:t>Interest (expensed or capitalized)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r>
      <w:tr>
        <w:trPr>
          <w:trHeight w:val="215"/>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Estimated interest portion of rent expense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r>
      <w:tr>
        <w:trPr>
          <w:trHeight w:val="27"/>
        </w:trPr>
        <w:tc>
          <w:tcPr>
            <w:tcW w:w="39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39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165.1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170.2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161.9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r>
      <w:tr>
        <w:trPr>
          <w:trHeight w:val="20"/>
        </w:trPr>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bl>
    <w:p>
      <w:pPr>
        <w:spacing w:after="0" w:line="224" w:lineRule="exact"/>
        <w:rPr>
          <w:sz w:val="20"/>
          <w:szCs w:val="20"/>
          <w:color w:val="auto"/>
        </w:rPr>
      </w:pPr>
    </w:p>
    <w:p>
      <w:pPr>
        <w:ind w:left="620" w:right="600" w:hanging="619"/>
        <w:spacing w:after="0" w:line="260"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ManpowerGroup Inc., certify that:</w:t>
      </w:r>
    </w:p>
    <w:p>
      <w:pPr>
        <w:spacing w:after="0" w:line="196" w:lineRule="exact"/>
        <w:rPr>
          <w:sz w:val="20"/>
          <w:szCs w:val="20"/>
          <w:color w:val="auto"/>
        </w:rPr>
      </w:pPr>
    </w:p>
    <w:p>
      <w:pPr>
        <w:ind w:left="920" w:hanging="482"/>
        <w:spacing w:after="0"/>
        <w:tabs>
          <w:tab w:leader="none" w:pos="9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96" w:lineRule="exact"/>
        <w:rPr>
          <w:rFonts w:ascii="Arial" w:cs="Arial" w:eastAsia="Arial" w:hAnsi="Arial"/>
          <w:sz w:val="18"/>
          <w:szCs w:val="18"/>
          <w:color w:val="auto"/>
        </w:rPr>
      </w:pPr>
    </w:p>
    <w:p>
      <w:pPr>
        <w:jc w:val="both"/>
        <w:ind w:left="920" w:right="80" w:hanging="482"/>
        <w:spacing w:after="0" w:line="246" w:lineRule="auto"/>
        <w:tabs>
          <w:tab w:leader="none" w:pos="9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920" w:right="40" w:hanging="482"/>
        <w:spacing w:after="0" w:line="289" w:lineRule="auto"/>
        <w:tabs>
          <w:tab w:leader="none" w:pos="9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7"/>
          <w:szCs w:val="17"/>
          <w:color w:val="auto"/>
        </w:rPr>
      </w:pPr>
    </w:p>
    <w:p>
      <w:pPr>
        <w:jc w:val="both"/>
        <w:ind w:left="920" w:right="80" w:hanging="482"/>
        <w:spacing w:after="0" w:line="246" w:lineRule="auto"/>
        <w:tabs>
          <w:tab w:leader="none" w:pos="9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1920" w:right="160" w:hanging="488"/>
        <w:spacing w:after="0" w:line="268" w:lineRule="auto"/>
        <w:tabs>
          <w:tab w:leader="none" w:pos="192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7"/>
          <w:szCs w:val="17"/>
          <w:color w:val="auto"/>
        </w:rPr>
      </w:pPr>
    </w:p>
    <w:p>
      <w:pPr>
        <w:ind w:left="1920" w:right="20" w:hanging="488"/>
        <w:spacing w:after="0" w:line="246" w:lineRule="auto"/>
        <w:tabs>
          <w:tab w:leader="none" w:pos="19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1920" w:right="100" w:hanging="488"/>
        <w:spacing w:after="0" w:line="246" w:lineRule="auto"/>
        <w:tabs>
          <w:tab w:leader="none" w:pos="19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920" w:right="220" w:hanging="488"/>
        <w:spacing w:after="0" w:line="268" w:lineRule="auto"/>
        <w:tabs>
          <w:tab w:leader="none" w:pos="192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7"/>
          <w:szCs w:val="17"/>
          <w:color w:val="auto"/>
        </w:rPr>
      </w:pPr>
    </w:p>
    <w:p>
      <w:pPr>
        <w:ind w:left="920" w:right="40" w:hanging="482"/>
        <w:spacing w:after="0" w:line="322" w:lineRule="auto"/>
        <w:tabs>
          <w:tab w:leader="none" w:pos="9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6"/>
          <w:szCs w:val="16"/>
          <w:color w:val="auto"/>
        </w:rPr>
      </w:pPr>
    </w:p>
    <w:p>
      <w:pPr>
        <w:ind w:left="1920" w:right="60" w:hanging="488"/>
        <w:spacing w:after="0" w:line="322" w:lineRule="auto"/>
        <w:tabs>
          <w:tab w:leader="none" w:pos="192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6"/>
          <w:szCs w:val="16"/>
          <w:color w:val="auto"/>
        </w:rPr>
      </w:pPr>
    </w:p>
    <w:p>
      <w:pPr>
        <w:ind w:left="1920" w:right="340" w:hanging="488"/>
        <w:spacing w:after="0" w:line="260" w:lineRule="auto"/>
        <w:tabs>
          <w:tab w:leader="none" w:pos="19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5963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9639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Chairman and Chief Executive Officer</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ManpowerGroup Inc., certify that:</w:t>
      </w:r>
    </w:p>
    <w:p>
      <w:pPr>
        <w:spacing w:after="0" w:line="250" w:lineRule="exact"/>
        <w:rPr>
          <w:sz w:val="20"/>
          <w:szCs w:val="20"/>
          <w:color w:val="auto"/>
        </w:rPr>
      </w:pPr>
    </w:p>
    <w:p>
      <w:pPr>
        <w:ind w:left="700" w:hanging="343"/>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50" w:lineRule="exact"/>
        <w:rPr>
          <w:rFonts w:ascii="Arial" w:cs="Arial" w:eastAsia="Arial" w:hAnsi="Arial"/>
          <w:sz w:val="18"/>
          <w:szCs w:val="18"/>
          <w:color w:val="auto"/>
        </w:rPr>
      </w:pPr>
    </w:p>
    <w:p>
      <w:pPr>
        <w:jc w:val="both"/>
        <w:ind w:left="700" w:right="300" w:hanging="343"/>
        <w:spacing w:after="0" w:line="262" w:lineRule="auto"/>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700" w:right="260" w:hanging="343"/>
        <w:spacing w:after="0" w:line="306" w:lineRule="auto"/>
        <w:tabs>
          <w:tab w:leader="none" w:pos="7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00" w:right="300" w:hanging="343"/>
        <w:spacing w:after="0" w:line="262" w:lineRule="auto"/>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ind w:left="1500" w:right="140" w:hanging="457"/>
        <w:spacing w:after="0" w:line="262" w:lineRule="auto"/>
        <w:tabs>
          <w:tab w:leader="none" w:pos="15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ind w:left="1500" w:right="60" w:hanging="457"/>
        <w:spacing w:after="0" w:line="262" w:lineRule="auto"/>
        <w:tabs>
          <w:tab w:leader="none" w:pos="15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jc w:val="both"/>
        <w:ind w:left="1500" w:right="240" w:hanging="457"/>
        <w:spacing w:after="0" w:line="340" w:lineRule="auto"/>
        <w:tabs>
          <w:tab w:leader="none" w:pos="150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500" w:right="240" w:hanging="457"/>
        <w:spacing w:after="0" w:line="262" w:lineRule="auto"/>
        <w:tabs>
          <w:tab w:leader="none" w:pos="15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700" w:hanging="343"/>
        <w:spacing w:after="0" w:line="306" w:lineRule="auto"/>
        <w:tabs>
          <w:tab w:leader="none" w:pos="7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500" w:right="480" w:hanging="457"/>
        <w:spacing w:after="0" w:line="340" w:lineRule="auto"/>
        <w:tabs>
          <w:tab w:leader="none" w:pos="150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500" w:right="160" w:hanging="457"/>
        <w:spacing w:after="0" w:line="275" w:lineRule="auto"/>
        <w:tabs>
          <w:tab w:leader="none" w:pos="15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2013</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4935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9352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98" w:lineRule="exact"/>
        <w:rPr>
          <w:sz w:val="20"/>
          <w:szCs w:val="20"/>
          <w:color w:val="auto"/>
        </w:rPr>
      </w:pPr>
    </w:p>
    <w:p>
      <w:pPr>
        <w:ind w:left="820" w:right="100" w:hanging="584"/>
        <w:spacing w:after="0" w:line="275" w:lineRule="auto"/>
        <w:tabs>
          <w:tab w:leader="none" w:pos="8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2013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584"/>
        <w:spacing w:after="0"/>
        <w:tabs>
          <w:tab w:leader="none" w:pos="8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2013</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830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8303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7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98" w:lineRule="exact"/>
        <w:rPr>
          <w:sz w:val="20"/>
          <w:szCs w:val="20"/>
          <w:color w:val="auto"/>
        </w:rPr>
      </w:pPr>
    </w:p>
    <w:p>
      <w:pPr>
        <w:ind w:left="820" w:right="100" w:hanging="463"/>
        <w:spacing w:after="0" w:line="275" w:lineRule="auto"/>
        <w:tabs>
          <w:tab w:leader="none" w:pos="8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2013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463"/>
        <w:spacing w:after="0"/>
        <w:tabs>
          <w:tab w:leader="none" w:pos="8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2013</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673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73225"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77" w:lineRule="exact"/>
        <w:rPr>
          <w:sz w:val="20"/>
          <w:szCs w:val="20"/>
          <w:color w:val="auto"/>
        </w:rPr>
      </w:pPr>
    </w:p>
    <w:p>
      <w:pPr>
        <w:ind w:right="120"/>
        <w:spacing w:after="0" w:line="232" w:lineRule="exact"/>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x"/>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decimal"/>
      <w:start w:val="1"/>
    </w:lvl>
  </w:abstractNum>
  <w:abstractNum w:abstractNumId="3">
    <w:nsid w:val="799D0247"/>
    <w:multiLevelType w:val="hybridMultilevel"/>
    <w:lvl w:ilvl="0">
      <w:lvlJc w:val="left"/>
      <w:lvlText w:val="(%1)"/>
      <w:numFmt w:val="decimal"/>
      <w:start w:val="2"/>
    </w:lvl>
  </w:abstractNum>
  <w:abstractNum w:abstractNumId="4">
    <w:nsid w:val="6B94764"/>
    <w:multiLevelType w:val="hybridMultilevel"/>
    <w:lvl w:ilvl="0">
      <w:lvlJc w:val="left"/>
      <w:lvlText w:val="(%1)"/>
      <w:numFmt w:val="decimal"/>
      <w:start w:val="3"/>
    </w:lvl>
  </w:abstractNum>
  <w:abstractNum w:abstractNumId="5">
    <w:nsid w:val="42C296BD"/>
    <w:multiLevelType w:val="hybridMultilevel"/>
    <w:lvl w:ilvl="0">
      <w:lvlJc w:val="left"/>
      <w:lvlText w:val="(%1)"/>
      <w:numFmt w:val="decimal"/>
      <w:start w:val="4"/>
    </w:lvl>
  </w:abstractNum>
  <w:abstractNum w:abstractNumId="6">
    <w:nsid w:val="168E121F"/>
    <w:multiLevelType w:val="hybridMultilevel"/>
    <w:lvl w:ilvl="0">
      <w:lvlJc w:val="left"/>
      <w:lvlText w:val="(%1)"/>
      <w:numFmt w:val="decimal"/>
      <w:start w:val="5"/>
    </w:lvl>
  </w:abstractNum>
  <w:abstractNum w:abstractNumId="7">
    <w:nsid w:val="1EBA5D23"/>
    <w:multiLevelType w:val="hybridMultilevel"/>
    <w:lvl w:ilvl="0">
      <w:lvlJc w:val="left"/>
      <w:lvlText w:val="(%1)"/>
      <w:numFmt w:val="decimal"/>
      <w:start w:val="1"/>
    </w:lvl>
  </w:abstractNum>
  <w:abstractNum w:abstractNumId="8">
    <w:nsid w:val="661E3F1E"/>
    <w:multiLevelType w:val="hybridMultilevel"/>
    <w:lvl w:ilvl="0">
      <w:lvlJc w:val="left"/>
      <w:lvlText w:val="(%1)"/>
      <w:numFmt w:val="decimal"/>
      <w:start w:val="6"/>
    </w:lvl>
  </w:abstractNum>
  <w:abstractNum w:abstractNumId="9">
    <w:nsid w:val="5DC79EA8"/>
    <w:multiLevelType w:val="hybridMultilevel"/>
    <w:lvl w:ilvl="0">
      <w:lvlJc w:val="left"/>
      <w:lvlText w:val="(%1)"/>
      <w:numFmt w:val="decimal"/>
      <w:start w:val="7"/>
    </w:lvl>
  </w:abstractNum>
  <w:abstractNum w:abstractNumId="10">
    <w:nsid w:val="540A471C"/>
    <w:multiLevelType w:val="hybridMultilevel"/>
    <w:lvl w:ilvl="0">
      <w:lvlJc w:val="left"/>
      <w:lvlText w:val="(%1)"/>
      <w:numFmt w:val="decimal"/>
      <w:start w:val="8"/>
    </w:lvl>
  </w:abstractNum>
  <w:abstractNum w:abstractNumId="11">
    <w:nsid w:val="7BD3EE7B"/>
    <w:multiLevelType w:val="hybridMultilevel"/>
    <w:lvl w:ilvl="0">
      <w:lvlJc w:val="left"/>
      <w:lvlText w:val="(%1)"/>
      <w:numFmt w:val="decimal"/>
      <w:start w:val="1"/>
    </w:lvl>
  </w:abstractNum>
  <w:abstractNum w:abstractNumId="12">
    <w:nsid w:val="51D9C564"/>
    <w:multiLevelType w:val="hybridMultilevel"/>
    <w:lvl w:ilvl="0">
      <w:lvlJc w:val="left"/>
      <w:lvlText w:val="(%1)"/>
      <w:numFmt w:val="decimal"/>
      <w:start w:val="1"/>
    </w:lvl>
  </w:abstractNum>
  <w:abstractNum w:abstractNumId="13">
    <w:nsid w:val="613EFDC5"/>
    <w:multiLevelType w:val="hybridMultilevel"/>
    <w:lvl w:ilvl="0">
      <w:lvlJc w:val="left"/>
      <w:lvlText w:val="(%1)"/>
      <w:numFmt w:val="decimal"/>
      <w:start w:val="12"/>
    </w:lvl>
  </w:abstractNum>
  <w:abstractNum w:abstractNumId="14">
    <w:nsid w:val="BF72B14"/>
    <w:multiLevelType w:val="hybridMultilevel"/>
    <w:lvl w:ilvl="0">
      <w:lvlJc w:val="left"/>
      <w:lvlText w:val="(%1)"/>
      <w:numFmt w:val="decimal"/>
      <w:start w:val="13"/>
    </w:lvl>
  </w:abstractNum>
  <w:abstractNum w:abstractNumId="15">
    <w:nsid w:val="11447B73"/>
    <w:multiLevelType w:val="hybridMultilevel"/>
    <w:lvl w:ilvl="0">
      <w:lvlJc w:val="left"/>
      <w:lvlText w:val="(%1)"/>
      <w:numFmt w:val="lowerLetter"/>
      <w:start w:val="1"/>
    </w:lvl>
  </w:abstractNum>
  <w:abstractNum w:abstractNumId="16">
    <w:nsid w:val="42963E5A"/>
    <w:multiLevelType w:val="hybridMultilevel"/>
    <w:lvl w:ilvl="0">
      <w:lvlJc w:val="left"/>
      <w:lvlText w:val="(%1)"/>
      <w:numFmt w:val="lowerLetter"/>
      <w:start w:val="3"/>
    </w:lvl>
  </w:abstractNum>
  <w:abstractNum w:abstractNumId="17">
    <w:nsid w:val="A0382C5"/>
    <w:multiLevelType w:val="hybridMultilevel"/>
    <w:lvl w:ilvl="0">
      <w:lvlJc w:val="left"/>
      <w:lvlText w:val="(%1)"/>
      <w:numFmt w:val="decimal"/>
      <w:start w:val="14"/>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1)"/>
      <w:numFmt w:val="lowerLetter"/>
      <w:start w:val="1"/>
    </w:lvl>
  </w:abstractNum>
  <w:abstractNum w:abstractNumId="26">
    <w:nsid w:val="7FFFCA11"/>
    <w:multiLevelType w:val="hybridMultilevel"/>
    <w:lvl w:ilvl="0">
      <w:lvlJc w:val="left"/>
      <w:lvlText w:val="%1"/>
      <w:numFmt w:val="decimal"/>
      <w:start w:val="101"/>
    </w:lvl>
  </w:abstractNum>
  <w:abstractNum w:abstractNumId="27">
    <w:nsid w:val="1A27709E"/>
    <w:multiLevelType w:val="hybridMultilevel"/>
    <w:lvl w:ilvl="0">
      <w:lvlJc w:val="left"/>
      <w:lvlText w:val="%1"/>
      <w:numFmt w:val="decimal"/>
      <w:start w:val="10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1)"/>
      <w:numFmt w:val="lowerLetter"/>
      <w:start w:val="2"/>
    </w:lvl>
  </w:abstractNum>
  <w:abstractNum w:abstractNumId="30">
    <w:nsid w:val="7FB7E0AA"/>
    <w:multiLevelType w:val="hybridMultilevel"/>
    <w:lvl w:ilvl="0">
      <w:lvlJc w:val="left"/>
      <w:lvlText w:val="(%1)"/>
      <w:numFmt w:val="lowerLetter"/>
      <w:start w:val="1"/>
    </w:lvl>
  </w:abstractNum>
  <w:abstractNum w:abstractNumId="31">
    <w:nsid w:val="6EB5BD4"/>
    <w:multiLevelType w:val="hybridMultilevel"/>
    <w:lvl w:ilvl="0">
      <w:lvlJc w:val="left"/>
      <w:lvlText w:val="(%1)"/>
      <w:numFmt w:val="lowerRoman"/>
      <w:start w:val="3"/>
    </w:lvl>
  </w:abstractNum>
  <w:abstractNum w:abstractNumId="32">
    <w:nsid w:val="6F6DD9AC"/>
    <w:multiLevelType w:val="hybridMultilevel"/>
    <w:lvl w:ilvl="0">
      <w:lvlJc w:val="left"/>
      <w:lvlText w:val="(%1)"/>
      <w:numFmt w:val="lowerLetter"/>
      <w:start w:val="1"/>
    </w:lvl>
  </w:abstractNum>
  <w:abstractNum w:abstractNumId="33">
    <w:nsid w:val="94211F2"/>
    <w:multiLevelType w:val="hybridMultilevel"/>
    <w:lvl w:ilvl="0">
      <w:lvlJc w:val="left"/>
      <w:lvlText w:val="(%1)"/>
      <w:numFmt w:val="lowerLetter"/>
      <w:start w:val="1"/>
    </w:lvl>
  </w:abstractNum>
  <w:abstractNum w:abstractNumId="34">
    <w:nsid w:val="885E1B"/>
    <w:multiLevelType w:val="hybridMultilevel"/>
    <w:lvl w:ilvl="0">
      <w:lvlJc w:val="left"/>
      <w:lvlText w:val="(%1)"/>
      <w:numFmt w:val="lowerLetter"/>
      <w:start w:val="4"/>
    </w:lvl>
  </w:abstractNum>
  <w:abstractNum w:abstractNumId="35">
    <w:nsid w:val="76272110"/>
    <w:multiLevelType w:val="hybridMultilevel"/>
    <w:lvl w:ilvl="0">
      <w:lvlJc w:val="left"/>
      <w:lvlText w:val="(%1)"/>
      <w:numFmt w:val="lowerLetter"/>
      <w:start w:val="2"/>
    </w:lvl>
  </w:abstractNum>
  <w:abstractNum w:abstractNumId="36">
    <w:nsid w:val="4C04A8AF"/>
    <w:multiLevelType w:val="hybridMultilevel"/>
    <w:lvl w:ilvl="0">
      <w:lvlJc w:val="left"/>
      <w:lvlText w:val="(%1)"/>
      <w:numFmt w:val="lowerLetter"/>
      <w:start w:val="2"/>
    </w:lvl>
  </w:abstractNum>
  <w:abstractNum w:abstractNumId="37">
    <w:nsid w:val="1716703B"/>
    <w:multiLevelType w:val="hybridMultilevel"/>
    <w:lvl w:ilvl="0">
      <w:lvlJc w:val="left"/>
      <w:lvlText w:val="(%1)"/>
      <w:numFmt w:val="lowerLetter"/>
      <w:start w:val="2"/>
    </w:lvl>
  </w:abstractNum>
  <w:abstractNum w:abstractNumId="38">
    <w:nsid w:val="14E17E33"/>
    <w:multiLevelType w:val="hybridMultilevel"/>
    <w:lvl w:ilvl="0">
      <w:lvlJc w:val="left"/>
      <w:lvlText w:val="(%1)"/>
      <w:numFmt w:val="lowerLetter"/>
      <w:start w:val="1"/>
    </w:lvl>
  </w:abstractNum>
  <w:abstractNum w:abstractNumId="39">
    <w:nsid w:val="3222E7CD"/>
    <w:multiLevelType w:val="hybridMultilevel"/>
    <w:lvl w:ilvl="0">
      <w:lvlJc w:val="left"/>
      <w:lvlText w:val="(%1)"/>
      <w:numFmt w:val="lowerLetter"/>
      <w:start w:val="2"/>
    </w:lvl>
  </w:abstractNum>
  <w:abstractNum w:abstractNumId="40">
    <w:nsid w:val="74DE0EE3"/>
    <w:multiLevelType w:val="hybridMultilevel"/>
    <w:lvl w:ilvl="0">
      <w:lvlJc w:val="left"/>
      <w:lvlText w:val="(%1)"/>
      <w:numFmt w:val="lowerRoman"/>
      <w:start w:val="2"/>
    </w:lvl>
  </w:abstractNum>
  <w:abstractNum w:abstractNumId="41">
    <w:nsid w:val="68EBC550"/>
    <w:multiLevelType w:val="hybridMultilevel"/>
    <w:lvl w:ilvl="0">
      <w:lvlJc w:val="left"/>
      <w:lvlText w:val="(%1)"/>
      <w:numFmt w:val="lowerLetter"/>
      <w:start w:val="3"/>
    </w:lvl>
  </w:abstractNum>
  <w:abstractNum w:abstractNumId="42">
    <w:nsid w:val="2DF6D648"/>
    <w:multiLevelType w:val="hybridMultilevel"/>
    <w:lvl w:ilvl="0">
      <w:lvlJc w:val="left"/>
      <w:lvlText w:val="(%1)"/>
      <w:numFmt w:val="lowerLetter"/>
      <w:start w:val="2"/>
    </w:lvl>
  </w:abstractNum>
  <w:abstractNum w:abstractNumId="43">
    <w:nsid w:val="46B7D447"/>
    <w:multiLevelType w:val="hybridMultilevel"/>
    <w:lvl w:ilvl="0">
      <w:lvlJc w:val="left"/>
      <w:lvlText w:val="(%1)"/>
      <w:numFmt w:val="lowerRoman"/>
      <w:start w:val="2"/>
    </w:lvl>
  </w:abstractNum>
  <w:abstractNum w:abstractNumId="44">
    <w:nsid w:val="4A2AC315"/>
    <w:multiLevelType w:val="hybridMultilevel"/>
    <w:lvl w:ilvl="0">
      <w:lvlJc w:val="left"/>
      <w:lvlText w:val="(%1)"/>
      <w:numFmt w:val="upperLetter"/>
      <w:start w:val="1"/>
    </w:lvl>
  </w:abstractNum>
  <w:abstractNum w:abstractNumId="45">
    <w:nsid w:val="39EE015C"/>
    <w:multiLevelType w:val="hybridMultilevel"/>
    <w:lvl w:ilvl="0">
      <w:lvlJc w:val="left"/>
      <w:lvlText w:val="(%1)"/>
      <w:numFmt w:val="lowerRoman"/>
      <w:start w:val="1"/>
    </w:lvl>
  </w:abstractNum>
  <w:abstractNum w:abstractNumId="46">
    <w:nsid w:val="57FC4FBB"/>
    <w:multiLevelType w:val="hybridMultilevel"/>
    <w:lvl w:ilvl="0">
      <w:lvlJc w:val="left"/>
      <w:lvlText w:val="(%1)"/>
      <w:numFmt w:val="lowerLetter"/>
      <w:start w:val="2"/>
    </w:lvl>
  </w:abstractNum>
  <w:abstractNum w:abstractNumId="47">
    <w:nsid w:val="CC1016F"/>
    <w:multiLevelType w:val="hybridMultilevel"/>
    <w:lvl w:ilvl="0">
      <w:lvlJc w:val="left"/>
      <w:lvlText w:val="%1"/>
      <w:numFmt w:val="lowerLetter"/>
      <w:start w:val="1"/>
    </w:lvl>
    <w:lvl w:ilvl="1">
      <w:lvlJc w:val="left"/>
      <w:lvlText w:val="(%2)"/>
      <w:numFmt w:val="lowerLetter"/>
      <w:start w:val="2"/>
    </w:lvl>
  </w:abstractNum>
  <w:abstractNum w:abstractNumId="48">
    <w:nsid w:val="43F18422"/>
    <w:multiLevelType w:val="hybridMultilevel"/>
    <w:lvl w:ilvl="0">
      <w:lvlJc w:val="left"/>
      <w:lvlText w:val="(%1)"/>
      <w:numFmt w:val="lowerLetter"/>
      <w:start w:val="24"/>
    </w:lvl>
    <w:lvl w:ilvl="1">
      <w:lvlJc w:val="left"/>
      <w:lvlText w:val="(%2)"/>
      <w:numFmt w:val="lowerLetter"/>
      <w:start w:val="3"/>
    </w:lvl>
  </w:abstractNum>
  <w:abstractNum w:abstractNumId="49">
    <w:nsid w:val="60EF0119"/>
    <w:multiLevelType w:val="hybridMultilevel"/>
    <w:lvl w:ilvl="0">
      <w:lvlJc w:val="left"/>
      <w:lvlText w:val="(%1)"/>
      <w:numFmt w:val="lowerRoman"/>
      <w:start w:val="1"/>
    </w:lvl>
  </w:abstractNum>
  <w:abstractNum w:abstractNumId="50">
    <w:nsid w:val="26F324BA"/>
    <w:multiLevelType w:val="hybridMultilevel"/>
    <w:lvl w:ilvl="0">
      <w:lvlJc w:val="left"/>
      <w:lvlText w:val="(%1)"/>
      <w:numFmt w:val="lowerLetter"/>
      <w:start w:val="2"/>
    </w:lvl>
  </w:abstractNum>
  <w:abstractNum w:abstractNumId="51">
    <w:nsid w:val="7F01579B"/>
    <w:multiLevelType w:val="hybridMultilevel"/>
    <w:lvl w:ilvl="0">
      <w:lvlJc w:val="left"/>
      <w:lvlText w:val="(%1)"/>
      <w:numFmt w:val="lowerRoman"/>
      <w:start w:val="2"/>
    </w:lvl>
  </w:abstractNum>
  <w:abstractNum w:abstractNumId="52">
    <w:nsid w:val="49DA307D"/>
    <w:multiLevelType w:val="hybridMultilevel"/>
    <w:lvl w:ilvl="0">
      <w:lvlJc w:val="left"/>
      <w:lvlText w:val="(%1)"/>
      <w:numFmt w:val="lowerLetter"/>
      <w:start w:val="2"/>
    </w:lvl>
  </w:abstractNum>
  <w:abstractNum w:abstractNumId="53">
    <w:nsid w:val="7055A5F5"/>
    <w:multiLevelType w:val="hybridMultilevel"/>
    <w:lvl w:ilvl="0">
      <w:lvlJc w:val="left"/>
      <w:lvlText w:val="(%1)"/>
      <w:numFmt w:val="lowerLetter"/>
      <w:start w:val="2"/>
    </w:lvl>
  </w:abstractNum>
  <w:abstractNum w:abstractNumId="54">
    <w:nsid w:val="5FB8370B"/>
    <w:multiLevelType w:val="hybridMultilevel"/>
    <w:lvl w:ilvl="0">
      <w:lvlJc w:val="left"/>
      <w:lvlText w:val="(%1)"/>
      <w:numFmt w:val="lowerLetter"/>
      <w:start w:val="2"/>
    </w:lvl>
  </w:abstractNum>
  <w:abstractNum w:abstractNumId="55">
    <w:nsid w:val="50801EE1"/>
    <w:multiLevelType w:val="hybridMultilevel"/>
    <w:lvl w:ilvl="0">
      <w:lvlJc w:val="left"/>
      <w:lvlText w:val="(%1)"/>
      <w:numFmt w:val="lowerLetter"/>
      <w:start w:val="4"/>
    </w:lvl>
    <w:lvl w:ilvl="1">
      <w:lvlJc w:val="left"/>
      <w:lvlText w:val="(%2)"/>
      <w:numFmt w:val="lowerLetter"/>
      <w:start w:val="5"/>
    </w:lvl>
  </w:abstractNum>
  <w:abstractNum w:abstractNumId="56">
    <w:nsid w:val="488AC1A"/>
    <w:multiLevelType w:val="hybridMultilevel"/>
    <w:lvl w:ilvl="0">
      <w:lvlJc w:val="left"/>
      <w:lvlText w:val="(%1)"/>
      <w:numFmt w:val="lowerRoman"/>
      <w:start w:val="2"/>
    </w:lvl>
  </w:abstractNum>
  <w:abstractNum w:abstractNumId="57">
    <w:nsid w:val="5FB8011C"/>
    <w:multiLevelType w:val="hybridMultilevel"/>
    <w:lvl w:ilvl="0">
      <w:lvlJc w:val="left"/>
      <w:lvlText w:val="(%1)"/>
      <w:numFmt w:val="lowerLetter"/>
      <w:start w:val="6"/>
    </w:lvl>
  </w:abstractNum>
  <w:abstractNum w:abstractNumId="58">
    <w:nsid w:val="6AA78F7F"/>
    <w:multiLevelType w:val="hybridMultilevel"/>
    <w:lvl w:ilvl="0">
      <w:lvlJc w:val="left"/>
      <w:lvlText w:val="(%1)"/>
      <w:numFmt w:val="lowerRoman"/>
      <w:start w:val="1"/>
    </w:lvl>
  </w:abstractNum>
  <w:abstractNum w:abstractNumId="59">
    <w:nsid w:val="7672BD23"/>
    <w:multiLevelType w:val="hybridMultilevel"/>
    <w:lvl w:ilvl="0">
      <w:lvlJc w:val="left"/>
      <w:lvlText w:val="(%1)"/>
      <w:numFmt w:val="lowerLetter"/>
      <w:start w:val="2"/>
    </w:lvl>
  </w:abstractNum>
  <w:abstractNum w:abstractNumId="60">
    <w:nsid w:val="6FC75AF8"/>
    <w:multiLevelType w:val="hybridMultilevel"/>
    <w:lvl w:ilvl="0">
      <w:lvlJc w:val="left"/>
      <w:lvlText w:val="(%1)"/>
      <w:numFmt w:val="lowerLetter"/>
      <w:start w:val="2"/>
    </w:lvl>
  </w:abstractNum>
  <w:abstractNum w:abstractNumId="61">
    <w:nsid w:val="6A5F7029"/>
    <w:multiLevelType w:val="hybridMultilevel"/>
    <w:lvl w:ilvl="0">
      <w:lvlJc w:val="left"/>
      <w:lvlText w:val="(%1)"/>
      <w:numFmt w:val="lowerRoman"/>
      <w:start w:val="1"/>
    </w:lvl>
  </w:abstractNum>
  <w:abstractNum w:abstractNumId="62">
    <w:nsid w:val="7D5E18F8"/>
    <w:multiLevelType w:val="hybridMultilevel"/>
    <w:lvl w:ilvl="0">
      <w:lvlJc w:val="left"/>
      <w:lvlText w:val="(%1)"/>
      <w:numFmt w:val="lowerRoman"/>
      <w:start w:val="1"/>
    </w:lvl>
  </w:abstractNum>
  <w:abstractNum w:abstractNumId="63">
    <w:nsid w:val="5F3534A4"/>
    <w:multiLevelType w:val="hybridMultilevel"/>
    <w:lvl w:ilvl="0">
      <w:lvlJc w:val="left"/>
      <w:lvlText w:val="(%1)"/>
      <w:numFmt w:val="lowerRoman"/>
      <w:start w:val="2"/>
    </w:lvl>
  </w:abstractNum>
  <w:abstractNum w:abstractNumId="64">
    <w:nsid w:val="73A1821B"/>
    <w:multiLevelType w:val="hybridMultilevel"/>
    <w:lvl w:ilvl="0">
      <w:lvlJc w:val="left"/>
      <w:lvlText w:val="(%1)"/>
      <w:numFmt w:val="lowerLetter"/>
      <w:start w:val="2"/>
    </w:lvl>
  </w:abstractNum>
  <w:abstractNum w:abstractNumId="65">
    <w:nsid w:val="7DE67713"/>
    <w:multiLevelType w:val="hybridMultilevel"/>
    <w:lvl w:ilvl="0">
      <w:lvlJc w:val="left"/>
      <w:lvlText w:val="(%1)"/>
      <w:numFmt w:val="lowerLetter"/>
      <w:start w:val="1"/>
    </w:lvl>
  </w:abstractNum>
  <w:abstractNum w:abstractNumId="66">
    <w:nsid w:val="555C55B5"/>
    <w:multiLevelType w:val="hybridMultilevel"/>
    <w:lvl w:ilvl="0">
      <w:lvlJc w:val="left"/>
      <w:lvlText w:val="(%1)"/>
      <w:numFmt w:val="lowerLetter"/>
      <w:start w:val="1"/>
    </w:lvl>
  </w:abstractNum>
  <w:abstractNum w:abstractNumId="67">
    <w:nsid w:val="3FA62ACA"/>
    <w:multiLevelType w:val="hybridMultilevel"/>
    <w:lvl w:ilvl="0">
      <w:lvlJc w:val="left"/>
      <w:lvlText w:val="(%1)"/>
      <w:numFmt w:val="lowerLetter"/>
      <w:start w:val="24"/>
    </w:lvl>
  </w:abstractNum>
  <w:abstractNum w:abstractNumId="68">
    <w:nsid w:val="14FCE74E"/>
    <w:multiLevelType w:val="hybridMultilevel"/>
    <w:lvl w:ilvl="0">
      <w:lvlJc w:val="left"/>
      <w:lvlText w:val="(%1)"/>
      <w:numFmt w:val="lowerLetter"/>
      <w:start w:val="1"/>
    </w:lvl>
    <w:lvl w:ilvl="1">
      <w:lvlJc w:val="left"/>
      <w:lvlText w:val="(%2)"/>
      <w:numFmt w:val="lowerLetter"/>
      <w:start w:val="9"/>
    </w:lvl>
  </w:abstractNum>
  <w:abstractNum w:abstractNumId="69">
    <w:nsid w:val="6A3DD3E8"/>
    <w:multiLevelType w:val="hybridMultilevel"/>
    <w:lvl w:ilvl="0">
      <w:lvlJc w:val="left"/>
      <w:lvlText w:val="%1"/>
      <w:numFmt w:val="lowerLetter"/>
      <w:start w:val="1"/>
    </w:lvl>
    <w:lvl w:ilvl="1">
      <w:lvlJc w:val="left"/>
      <w:lvlText w:val="(%2)"/>
      <w:numFmt w:val="lowerLetter"/>
      <w:start w:val="35"/>
    </w:lvl>
  </w:abstractNum>
  <w:abstractNum w:abstractNumId="70">
    <w:nsid w:val="71C91298"/>
    <w:multiLevelType w:val="hybridMultilevel"/>
    <w:lvl w:ilvl="0">
      <w:lvlJc w:val="left"/>
      <w:lvlText w:val="(%1)"/>
      <w:numFmt w:val="lowerLetter"/>
      <w:start w:val="8"/>
    </w:lvl>
    <w:lvl w:ilvl="1">
      <w:lvlJc w:val="left"/>
      <w:lvlText w:val="(%2)"/>
      <w:numFmt w:val="lowerLetter"/>
      <w:start w:val="9"/>
    </w:lvl>
  </w:abstractNum>
  <w:abstractNum w:abstractNumId="71">
    <w:nsid w:val="9DAF632"/>
    <w:multiLevelType w:val="hybridMultilevel"/>
    <w:lvl w:ilvl="0">
      <w:lvlJc w:val="left"/>
      <w:lvlText w:val="(%1)"/>
      <w:numFmt w:val="lowerRoman"/>
      <w:start w:val="2"/>
    </w:lvl>
  </w:abstractNum>
  <w:abstractNum w:abstractNumId="72">
    <w:nsid w:val="53299938"/>
    <w:multiLevelType w:val="hybridMultilevel"/>
    <w:lvl w:ilvl="0">
      <w:lvlJc w:val="left"/>
      <w:lvlText w:val="(%1)"/>
      <w:numFmt w:val="lowerRoman"/>
      <w:start w:val="1"/>
    </w:lvl>
  </w:abstractNum>
  <w:abstractNum w:abstractNumId="73">
    <w:nsid w:val="1FBFE8E0"/>
    <w:multiLevelType w:val="hybridMultilevel"/>
    <w:lvl w:ilvl="0">
      <w:lvlJc w:val="left"/>
      <w:lvlText w:val="(%1)"/>
      <w:numFmt w:val="lowerLetter"/>
      <w:start w:val="1"/>
    </w:lvl>
  </w:abstractNum>
  <w:abstractNum w:abstractNumId="74">
    <w:nsid w:val="5092CA79"/>
    <w:multiLevelType w:val="hybridMultilevel"/>
    <w:lvl w:ilvl="0">
      <w:lvlJc w:val="left"/>
      <w:lvlText w:val="(%1)"/>
      <w:numFmt w:val="lowerLetter"/>
      <w:start w:val="6"/>
    </w:lvl>
  </w:abstractNum>
  <w:abstractNum w:abstractNumId="75">
    <w:nsid w:val="1D545C4D"/>
    <w:multiLevelType w:val="hybridMultilevel"/>
    <w:lvl w:ilvl="0">
      <w:lvlJc w:val="left"/>
      <w:lvlText w:val="(%1)"/>
      <w:numFmt w:val="lowerLetter"/>
      <w:start w:val="1"/>
    </w:lvl>
  </w:abstractNum>
  <w:abstractNum w:abstractNumId="76">
    <w:nsid w:val="59ADEA3D"/>
    <w:multiLevelType w:val="hybridMultilevel"/>
    <w:lvl w:ilvl="0">
      <w:lvlJc w:val="left"/>
      <w:lvlText w:val="(%1)"/>
      <w:numFmt w:val="lowerLetter"/>
      <w:start w:val="5"/>
    </w:lvl>
    <w:lvl w:ilvl="1">
      <w:lvlJc w:val="left"/>
      <w:lvlText w:val="(%2)"/>
      <w:numFmt w:val="lowerRoman"/>
      <w:start w:val="1"/>
    </w:lvl>
  </w:abstractNum>
  <w:abstractNum w:abstractNumId="77">
    <w:nsid w:val="288F1A34"/>
    <w:multiLevelType w:val="hybridMultilevel"/>
    <w:lvl w:ilvl="0">
      <w:lvlJc w:val="left"/>
      <w:lvlText w:val="(%1)"/>
      <w:numFmt w:val="lowerLetter"/>
      <w:start w:val="1"/>
    </w:lvl>
    <w:lvl w:ilvl="1">
      <w:lvlJc w:val="left"/>
      <w:lvlText w:val="(%2)"/>
      <w:numFmt w:val="lowerRoman"/>
      <w:start w:val="1"/>
    </w:lvl>
  </w:abstractNum>
  <w:abstractNum w:abstractNumId="78">
    <w:nsid w:val="2A155DBC"/>
    <w:multiLevelType w:val="hybridMultilevel"/>
    <w:lvl w:ilvl="0">
      <w:lvlJc w:val="left"/>
      <w:lvlText w:val="%1"/>
      <w:numFmt w:val="lowerLetter"/>
      <w:start w:val="1"/>
    </w:lvl>
    <w:lvl w:ilvl="1">
      <w:lvlJc w:val="left"/>
      <w:lvlText w:val="(%2)"/>
      <w:numFmt w:val="lowerRoman"/>
      <w:start w:val="3"/>
    </w:lvl>
  </w:abstractNum>
  <w:abstractNum w:abstractNumId="79">
    <w:nsid w:val="1D9F6E5F"/>
    <w:multiLevelType w:val="hybridMultilevel"/>
    <w:lvl w:ilvl="0">
      <w:lvlJc w:val="left"/>
      <w:lvlText w:val="(%1)"/>
      <w:numFmt w:val="lowerLetter"/>
      <w:start w:val="2"/>
    </w:lvl>
    <w:lvl w:ilvl="1">
      <w:lvlJc w:val="left"/>
      <w:lvlText w:val="(%2)"/>
      <w:numFmt w:val="lowerRoman"/>
      <w:start w:val="1"/>
    </w:lvl>
  </w:abstractNum>
  <w:abstractNum w:abstractNumId="80">
    <w:nsid w:val="97E1B4E"/>
    <w:multiLevelType w:val="hybridMultilevel"/>
    <w:lvl w:ilvl="0">
      <w:lvlJc w:val="left"/>
      <w:lvlText w:val="(%1)"/>
      <w:numFmt w:val="lowerRoman"/>
      <w:start w:val="3"/>
    </w:lvl>
  </w:abstractNum>
  <w:abstractNum w:abstractNumId="81">
    <w:nsid w:val="51088277"/>
    <w:multiLevelType w:val="hybridMultilevel"/>
    <w:lvl w:ilvl="0">
      <w:lvlJc w:val="left"/>
      <w:lvlText w:val="%1"/>
      <w:numFmt w:val="lowerLetter"/>
      <w:start w:val="1"/>
    </w:lvl>
    <w:lvl w:ilvl="1">
      <w:lvlJc w:val="left"/>
      <w:lvlText w:val="(%2)"/>
      <w:numFmt w:val="lowerRoman"/>
      <w:start w:val="4"/>
    </w:lvl>
  </w:abstractNum>
  <w:abstractNum w:abstractNumId="82">
    <w:nsid w:val="1CA0C5FA"/>
    <w:multiLevelType w:val="hybridMultilevel"/>
    <w:lvl w:ilvl="0">
      <w:lvlJc w:val="left"/>
      <w:lvlText w:val="(%1)"/>
      <w:numFmt w:val="lowerLetter"/>
      <w:start w:val="7"/>
    </w:lvl>
    <w:lvl w:ilvl="1">
      <w:lvlJc w:val="left"/>
      <w:lvlText w:val="%2"/>
      <w:numFmt w:val="lowerRoman"/>
      <w:start w:val="1"/>
    </w:lvl>
  </w:abstractNum>
  <w:abstractNum w:abstractNumId="83">
    <w:nsid w:val="53584BCB"/>
    <w:multiLevelType w:val="hybridMultilevel"/>
    <w:lvl w:ilvl="0">
      <w:lvlJc w:val="left"/>
      <w:lvlText w:val="(%1)"/>
      <w:numFmt w:val="lowerLetter"/>
      <w:start w:val="1"/>
    </w:lvl>
  </w:abstractNum>
  <w:abstractNum w:abstractNumId="84">
    <w:nsid w:val="415E286C"/>
    <w:multiLevelType w:val="hybridMultilevel"/>
    <w:lvl w:ilvl="0">
      <w:lvlJc w:val="left"/>
      <w:lvlText w:val="(%1)"/>
      <w:numFmt w:val="lowerLetter"/>
      <w:start w:val="1"/>
    </w:lvl>
  </w:abstractNum>
  <w:abstractNum w:abstractNumId="85">
    <w:nsid w:val="7C58FD05"/>
    <w:multiLevelType w:val="hybridMultilevel"/>
    <w:lvl w:ilvl="0">
      <w:lvlJc w:val="left"/>
      <w:lvlText w:val="%1"/>
      <w:numFmt w:val="lowerLetter"/>
      <w:start w:val="1"/>
    </w:lvl>
    <w:lvl w:ilvl="1">
      <w:lvlJc w:val="left"/>
      <w:lvlText w:val="(%2)"/>
      <w:numFmt w:val="lowerLetter"/>
      <w:start w:val="8"/>
    </w:lvl>
  </w:abstractNum>
  <w:abstractNum w:abstractNumId="86">
    <w:nsid w:val="23D86AAC"/>
    <w:multiLevelType w:val="hybridMultilevel"/>
    <w:lvl w:ilvl="0">
      <w:lvlJc w:val="left"/>
      <w:lvlText w:val="(%1)"/>
      <w:numFmt w:val="lowerLetter"/>
      <w:start w:val="35"/>
    </w:lvl>
    <w:lvl w:ilvl="1">
      <w:lvlJc w:val="left"/>
      <w:lvlText w:val="(%2)"/>
      <w:numFmt w:val="lowerLetter"/>
      <w:start w:val="9"/>
    </w:lvl>
  </w:abstractNum>
  <w:abstractNum w:abstractNumId="87">
    <w:nsid w:val="45E6D486"/>
    <w:multiLevelType w:val="hybridMultilevel"/>
    <w:lvl w:ilvl="0">
      <w:lvlJc w:val="left"/>
      <w:lvlText w:val="(%1)"/>
      <w:numFmt w:val="lowerRoman"/>
      <w:start w:val="1"/>
    </w:lvl>
  </w:abstractNum>
  <w:abstractNum w:abstractNumId="88">
    <w:nsid w:val="5C10FE21"/>
    <w:multiLevelType w:val="hybridMultilevel"/>
    <w:lvl w:ilvl="0">
      <w:lvlJc w:val="left"/>
      <w:lvlText w:val="%1"/>
      <w:numFmt w:val="lowerLetter"/>
      <w:start w:val="1"/>
    </w:lvl>
    <w:lvl w:ilvl="1">
      <w:lvlJc w:val="left"/>
      <w:lvlText w:val="(%2)"/>
      <w:numFmt w:val="lowerLetter"/>
      <w:start w:val="2"/>
    </w:lvl>
  </w:abstractNum>
  <w:abstractNum w:abstractNumId="89">
    <w:nsid w:val="E7FFA2B"/>
    <w:multiLevelType w:val="hybridMultilevel"/>
    <w:lvl w:ilvl="0">
      <w:lvlJc w:val="left"/>
      <w:lvlText w:val="(%1)"/>
      <w:numFmt w:val="lowerLetter"/>
      <w:start w:val="22"/>
    </w:lvl>
    <w:lvl w:ilvl="1">
      <w:lvlJc w:val="left"/>
      <w:lvlText w:val="%2"/>
      <w:numFmt w:val="lowerLetter"/>
      <w:start w:val="1"/>
    </w:lvl>
  </w:abstractNum>
  <w:abstractNum w:abstractNumId="90">
    <w:nsid w:val="3C5991AA"/>
    <w:multiLevelType w:val="hybridMultilevel"/>
    <w:lvl w:ilvl="0">
      <w:lvlJc w:val="left"/>
      <w:lvlText w:val="(%1)"/>
      <w:numFmt w:val="lowerLetter"/>
      <w:start w:val="2"/>
    </w:lvl>
  </w:abstractNum>
  <w:abstractNum w:abstractNumId="91">
    <w:nsid w:val="4BD8591A"/>
    <w:multiLevelType w:val="hybridMultilevel"/>
    <w:lvl w:ilvl="0">
      <w:lvlJc w:val="left"/>
      <w:lvlText w:val="(%1)"/>
      <w:numFmt w:val="lowerLetter"/>
      <w:start w:val="2"/>
    </w:lvl>
  </w:abstractNum>
  <w:abstractNum w:abstractNumId="92">
    <w:nsid w:val="78DF6A55"/>
    <w:multiLevelType w:val="hybridMultilevel"/>
    <w:lvl w:ilvl="0">
      <w:lvlJc w:val="left"/>
      <w:lvlText w:val="(%1)"/>
      <w:numFmt w:val="lowerLetter"/>
      <w:start w:val="3"/>
    </w:lvl>
  </w:abstractNum>
  <w:abstractNum w:abstractNumId="93">
    <w:nsid w:val="39B7AAA2"/>
    <w:multiLevelType w:val="hybridMultilevel"/>
    <w:lvl w:ilvl="0">
      <w:lvlJc w:val="left"/>
      <w:lvlText w:val="(%1)"/>
      <w:numFmt w:val="lowerRoman"/>
      <w:start w:val="1"/>
    </w:lvl>
  </w:abstractNum>
  <w:abstractNum w:abstractNumId="94">
    <w:nsid w:val="2B0D8DBE"/>
    <w:multiLevelType w:val="hybridMultilevel"/>
    <w:lvl w:ilvl="0">
      <w:lvlJc w:val="left"/>
      <w:lvlText w:val="(%1)"/>
      <w:numFmt w:val="lowerLetter"/>
      <w:start w:val="2"/>
    </w:lvl>
  </w:abstractNum>
  <w:abstractNum w:abstractNumId="95">
    <w:nsid w:val="6C80EC70"/>
    <w:multiLevelType w:val="hybridMultilevel"/>
    <w:lvl w:ilvl="0">
      <w:lvlJc w:val="left"/>
      <w:lvlText w:val="(%1)"/>
      <w:numFmt w:val="lowerLetter"/>
      <w:start w:val="3"/>
    </w:lvl>
    <w:lvl w:ilvl="1">
      <w:lvlJc w:val="left"/>
      <w:lvlText w:val="(%2)"/>
      <w:numFmt w:val="lowerRoman"/>
      <w:start w:val="1"/>
    </w:lvl>
  </w:abstractNum>
  <w:abstractNum w:abstractNumId="96">
    <w:nsid w:val="379E21B5"/>
    <w:multiLevelType w:val="hybridMultilevel"/>
    <w:lvl w:ilvl="0">
      <w:lvlJc w:val="left"/>
      <w:lvlText w:val="(%1)"/>
      <w:numFmt w:val="lowerLetter"/>
      <w:start w:val="2"/>
    </w:lvl>
  </w:abstractNum>
  <w:abstractNum w:abstractNumId="97">
    <w:nsid w:val="69E373"/>
    <w:multiLevelType w:val="hybridMultilevel"/>
    <w:lvl w:ilvl="0">
      <w:lvlJc w:val="left"/>
      <w:lvlText w:val="(%1)"/>
      <w:numFmt w:val="lowerLetter"/>
      <w:start w:val="4"/>
    </w:lvl>
  </w:abstractNum>
  <w:abstractNum w:abstractNumId="98">
    <w:nsid w:val="2C27173B"/>
    <w:multiLevelType w:val="hybridMultilevel"/>
    <w:lvl w:ilvl="0">
      <w:lvlJc w:val="left"/>
      <w:lvlText w:val="(%1)"/>
      <w:numFmt w:val="lowerLetter"/>
      <w:start w:val="2"/>
    </w:lvl>
  </w:abstractNum>
  <w:abstractNum w:abstractNumId="99">
    <w:nsid w:val="4C9B0904"/>
    <w:multiLevelType w:val="hybridMultilevel"/>
    <w:lvl w:ilvl="0">
      <w:lvlJc w:val="left"/>
      <w:lvlText w:val="(%1)"/>
      <w:numFmt w:val="lowerRoman"/>
      <w:start w:val="1"/>
    </w:lvl>
    <w:lvl w:ilvl="1">
      <w:lvlJc w:val="left"/>
      <w:lvlText w:val="(%2)"/>
      <w:numFmt w:val="upperLetter"/>
      <w:start w:val="1"/>
    </w:lvl>
  </w:abstractNum>
  <w:abstractNum w:abstractNumId="100">
    <w:nsid w:val="6AA7B75C"/>
    <w:multiLevelType w:val="hybridMultilevel"/>
    <w:lvl w:ilvl="0">
      <w:lvlJc w:val="left"/>
      <w:lvlText w:val="(%1)"/>
      <w:numFmt w:val="lowerRoman"/>
      <w:start w:val="5"/>
    </w:lvl>
  </w:abstractNum>
  <w:abstractNum w:abstractNumId="101">
    <w:nsid w:val="1DF029D3"/>
    <w:multiLevelType w:val="hybridMultilevel"/>
    <w:lvl w:ilvl="0">
      <w:lvlJc w:val="left"/>
      <w:lvlText w:val="(%1)"/>
      <w:numFmt w:val="lowerLetter"/>
      <w:start w:val="3"/>
    </w:lvl>
  </w:abstractNum>
  <w:abstractNum w:abstractNumId="102">
    <w:nsid w:val="5675FF36"/>
    <w:multiLevelType w:val="hybridMultilevel"/>
    <w:lvl w:ilvl="0">
      <w:lvlJc w:val="left"/>
      <w:lvlText w:val="(%1)"/>
      <w:numFmt w:val="lowerLetter"/>
      <w:start w:val="1"/>
    </w:lvl>
    <w:lvl w:ilvl="1">
      <w:lvlJc w:val="left"/>
      <w:lvlText w:val="(%2)"/>
      <w:numFmt w:val="lowerLetter"/>
      <w:start w:val="5"/>
    </w:lvl>
  </w:abstractNum>
  <w:abstractNum w:abstractNumId="103">
    <w:nsid w:val="3DD15094"/>
    <w:multiLevelType w:val="hybridMultilevel"/>
    <w:lvl w:ilvl="0">
      <w:lvlJc w:val="left"/>
      <w:lvlText w:val="(%1)"/>
      <w:numFmt w:val="lowerLetter"/>
      <w:start w:val="10"/>
    </w:lvl>
  </w:abstractNum>
  <w:abstractNum w:abstractNumId="104">
    <w:nsid w:val="3DB012B3"/>
    <w:multiLevelType w:val="hybridMultilevel"/>
    <w:lvl w:ilvl="0">
      <w:lvlJc w:val="left"/>
      <w:lvlText w:val="(%1)"/>
      <w:numFmt w:val="lowerLetter"/>
      <w:start w:val="2"/>
    </w:lvl>
  </w:abstractNum>
  <w:abstractNum w:abstractNumId="105">
    <w:nsid w:val="2708C9AF"/>
    <w:multiLevelType w:val="hybridMultilevel"/>
    <w:lvl w:ilvl="0">
      <w:lvlJc w:val="left"/>
      <w:lvlText w:val="(%1)"/>
      <w:numFmt w:val="lowerLetter"/>
      <w:start w:val="2"/>
    </w:lvl>
  </w:abstractNum>
  <w:abstractNum w:abstractNumId="106">
    <w:nsid w:val="5B25ACE2"/>
    <w:multiLevelType w:val="hybridMultilevel"/>
    <w:lvl w:ilvl="0">
      <w:lvlJc w:val="left"/>
      <w:lvlText w:val="-"/>
      <w:numFmt w:val="bullet"/>
      <w:start w:val="1"/>
    </w:lvl>
  </w:abstractNum>
  <w:abstractNum w:abstractNumId="107">
    <w:nsid w:val="175DFCF0"/>
    <w:multiLevelType w:val="hybridMultilevel"/>
    <w:lvl w:ilvl="0">
      <w:lvlJc w:val="left"/>
      <w:lvlText w:val="-"/>
      <w:numFmt w:val="bullet"/>
      <w:start w:val="1"/>
    </w:lvl>
  </w:abstractNum>
  <w:abstractNum w:abstractNumId="108">
    <w:nsid w:val="4F97E3E4"/>
    <w:multiLevelType w:val="hybridMultilevel"/>
    <w:lvl w:ilvl="0">
      <w:lvlJc w:val="left"/>
      <w:lvlText w:val="-"/>
      <w:numFmt w:val="bullet"/>
      <w:start w:val="1"/>
    </w:lvl>
  </w:abstractNum>
  <w:abstractNum w:abstractNumId="109">
    <w:nsid w:val="53B0A9E"/>
    <w:multiLevelType w:val="hybridMultilevel"/>
    <w:lvl w:ilvl="0">
      <w:lvlJc w:val="left"/>
      <w:lvlText w:val="-"/>
      <w:numFmt w:val="bullet"/>
      <w:start w:val="1"/>
    </w:lvl>
  </w:abstractNum>
  <w:abstractNum w:abstractNumId="110">
    <w:nsid w:val="34FD6B4F"/>
    <w:multiLevelType w:val="hybridMultilevel"/>
    <w:lvl w:ilvl="0">
      <w:lvlJc w:val="left"/>
      <w:lvlText w:val="-"/>
      <w:numFmt w:val="bullet"/>
      <w:start w:val="1"/>
    </w:lvl>
  </w:abstractNum>
  <w:abstractNum w:abstractNumId="111">
    <w:nsid w:val="5915FF32"/>
    <w:multiLevelType w:val="hybridMultilevel"/>
    <w:lvl w:ilvl="0">
      <w:lvlJc w:val="left"/>
      <w:lvlText w:val="-"/>
      <w:numFmt w:val="bullet"/>
      <w:start w:val="1"/>
    </w:lvl>
  </w:abstractNum>
  <w:abstractNum w:abstractNumId="112">
    <w:nsid w:val="56438D15"/>
    <w:multiLevelType w:val="hybridMultilevel"/>
    <w:lvl w:ilvl="0">
      <w:lvlJc w:val="left"/>
      <w:lvlText w:val="`"/>
      <w:numFmt w:val="bullet"/>
      <w:start w:val="1"/>
    </w:lvl>
  </w:abstractNum>
  <w:abstractNum w:abstractNumId="113">
    <w:nsid w:val="519E3149"/>
    <w:multiLevelType w:val="hybridMultilevel"/>
    <w:lvl w:ilvl="0">
      <w:lvlJc w:val="left"/>
      <w:lvlText w:val="-"/>
      <w:numFmt w:val="bullet"/>
      <w:start w:val="1"/>
    </w:lvl>
  </w:abstractNum>
  <w:abstractNum w:abstractNumId="114">
    <w:nsid w:val="2C6E4AFD"/>
    <w:multiLevelType w:val="hybridMultilevel"/>
    <w:lvl w:ilvl="0">
      <w:lvlJc w:val="left"/>
      <w:lvlText w:val="(%1)"/>
      <w:numFmt w:val="lowerRoman"/>
      <w:start w:val="1"/>
    </w:lvl>
  </w:abstractNum>
  <w:abstractNum w:abstractNumId="115">
    <w:nsid w:val="17A1B582"/>
    <w:multiLevelType w:val="hybridMultilevel"/>
    <w:lvl w:ilvl="0">
      <w:lvlJc w:val="left"/>
      <w:lvlText w:val="-"/>
      <w:numFmt w:val="bullet"/>
      <w:start w:val="1"/>
    </w:lvl>
    <w:lvl w:ilvl="1">
      <w:lvlJc w:val="left"/>
      <w:lvlText w:val="(%2)"/>
      <w:numFmt w:val="upperLetter"/>
      <w:start w:val="1"/>
    </w:lvl>
  </w:abstractNum>
  <w:abstractNum w:abstractNumId="116">
    <w:nsid w:val="4DF72E4E"/>
    <w:multiLevelType w:val="hybridMultilevel"/>
    <w:lvl w:ilvl="0">
      <w:lvlJc w:val="left"/>
      <w:lvlText w:val="(%1)"/>
      <w:numFmt w:val="upperLetter"/>
      <w:start w:val="2"/>
    </w:lvl>
  </w:abstractNum>
  <w:abstractNum w:abstractNumId="117">
    <w:nsid w:val="5046B5A9"/>
    <w:multiLevelType w:val="hybridMultilevel"/>
    <w:lvl w:ilvl="0">
      <w:lvlJc w:val="left"/>
      <w:lvlText w:val="-"/>
      <w:numFmt w:val="bullet"/>
      <w:start w:val="1"/>
    </w:lvl>
  </w:abstractNum>
  <w:abstractNum w:abstractNumId="118">
    <w:nsid w:val="5D888A08"/>
    <w:multiLevelType w:val="hybridMultilevel"/>
    <w:lvl w:ilvl="0">
      <w:lvlJc w:val="left"/>
      <w:lvlText w:val="%1."/>
      <w:numFmt w:val="decimal"/>
      <w:start w:val="5"/>
    </w:lvl>
  </w:abstractNum>
  <w:abstractNum w:abstractNumId="119">
    <w:nsid w:val="2A082C70"/>
    <w:multiLevelType w:val="hybridMultilevel"/>
    <w:lvl w:ilvl="0">
      <w:lvlJc w:val="left"/>
      <w:lvlText w:val="%1"/>
      <w:numFmt w:val="decimal"/>
      <w:start w:val="11"/>
    </w:lvl>
  </w:abstractNum>
  <w:abstractNum w:abstractNumId="120">
    <w:nsid w:val="5EC6AFD4"/>
    <w:multiLevelType w:val="hybridMultilevel"/>
    <w:lvl w:ilvl="0">
      <w:lvlJc w:val="left"/>
      <w:lvlText w:val="%1"/>
      <w:numFmt w:val="decimal"/>
      <w:start w:val="13"/>
    </w:lvl>
  </w:abstractNum>
  <w:abstractNum w:abstractNumId="121">
    <w:nsid w:val="19E21BB2"/>
    <w:multiLevelType w:val="hybridMultilevel"/>
    <w:lvl w:ilvl="0">
      <w:lvlJc w:val="left"/>
      <w:lvlText w:val="%1"/>
      <w:numFmt w:val="decimal"/>
      <w:start w:val="15"/>
    </w:lvl>
  </w:abstractNum>
  <w:abstractNum w:abstractNumId="122">
    <w:nsid w:val="75E0858A"/>
    <w:multiLevelType w:val="hybridMultilevel"/>
    <w:lvl w:ilvl="0">
      <w:lvlJc w:val="left"/>
      <w:lvlText w:val="%1"/>
      <w:numFmt w:val="decimal"/>
      <w:start w:val="20"/>
    </w:lvl>
  </w:abstractNum>
  <w:abstractNum w:abstractNumId="123">
    <w:nsid w:val="57A61A29"/>
    <w:multiLevelType w:val="hybridMultilevel"/>
    <w:lvl w:ilvl="0">
      <w:lvlJc w:val="left"/>
      <w:lvlText w:val="%1"/>
      <w:numFmt w:val="decimal"/>
      <w:start w:val="21"/>
    </w:lvl>
  </w:abstractNum>
  <w:abstractNum w:abstractNumId="124">
    <w:nsid w:val="5399C654"/>
    <w:multiLevelType w:val="hybridMultilevel"/>
    <w:lvl w:ilvl="0">
      <w:lvlJc w:val="left"/>
      <w:lvlText w:val="%1."/>
      <w:numFmt w:val="decimal"/>
      <w:start w:val="1"/>
    </w:lvl>
  </w:abstractNum>
  <w:abstractNum w:abstractNumId="125">
    <w:nsid w:val="20EE1348"/>
    <w:multiLevelType w:val="hybridMultilevel"/>
    <w:lvl w:ilvl="0">
      <w:lvlJc w:val="left"/>
      <w:lvlText w:val="(%1)"/>
      <w:numFmt w:val="lowerRoman"/>
      <w:start w:val="3"/>
    </w:lvl>
  </w:abstractNum>
  <w:abstractNum w:abstractNumId="126">
    <w:nsid w:val="4427069A"/>
    <w:multiLevelType w:val="hybridMultilevel"/>
    <w:lvl w:ilvl="0">
      <w:lvlJc w:val="left"/>
      <w:lvlText w:val="%1"/>
      <w:numFmt w:val="decimal"/>
      <w:start w:val="1"/>
    </w:lvl>
    <w:lvl w:ilvl="1">
      <w:lvlJc w:val="left"/>
      <w:lvlText w:val="%2."/>
      <w:numFmt w:val="decimal"/>
      <w:start w:val="2"/>
    </w:lvl>
  </w:abstractNum>
  <w:abstractNum w:abstractNumId="127">
    <w:nsid w:val="B37E80A"/>
    <w:multiLevelType w:val="hybridMultilevel"/>
    <w:lvl w:ilvl="0">
      <w:lvlJc w:val="left"/>
      <w:lvlText w:val="%1."/>
      <w:numFmt w:val="decimal"/>
      <w:start w:val="3"/>
    </w:lvl>
    <w:lvl w:ilvl="1">
      <w:lvlJc w:val="left"/>
      <w:lvlText w:val="%2"/>
      <w:numFmt w:val="decimal"/>
      <w:start w:val="1"/>
    </w:lvl>
  </w:abstractNum>
  <w:abstractNum w:abstractNumId="128">
    <w:nsid w:val="2157F6BC"/>
    <w:multiLevelType w:val="hybridMultilevel"/>
    <w:lvl w:ilvl="0">
      <w:lvlJc w:val="left"/>
      <w:lvlText w:val="(%1)"/>
      <w:numFmt w:val="decimal"/>
      <w:start w:val="1"/>
    </w:lvl>
  </w:abstractNum>
  <w:abstractNum w:abstractNumId="129">
    <w:nsid w:val="704E1DD5"/>
    <w:multiLevelType w:val="hybridMultilevel"/>
    <w:lvl w:ilvl="0">
      <w:lvlJc w:val="left"/>
      <w:lvlText w:val="%1."/>
      <w:numFmt w:val="lowerLetter"/>
      <w:start w:val="1"/>
    </w:lvl>
  </w:abstractNum>
  <w:abstractNum w:abstractNumId="130">
    <w:nsid w:val="57D2F10E"/>
    <w:multiLevelType w:val="hybridMultilevel"/>
    <w:lvl w:ilvl="0">
      <w:lvlJc w:val="left"/>
      <w:lvlText w:val="%1."/>
      <w:numFmt w:val="decimal"/>
      <w:start w:val="1"/>
    </w:lvl>
  </w:abstractNum>
  <w:abstractNum w:abstractNumId="131">
    <w:nsid w:val="BFFAE18"/>
    <w:multiLevelType w:val="hybridMultilevel"/>
    <w:lvl w:ilvl="0">
      <w:lvlJc w:val="left"/>
      <w:lvlText w:val="%1."/>
      <w:numFmt w:val="decimal"/>
      <w:start w:val="2"/>
    </w:lvl>
  </w:abstractNum>
  <w:abstractNum w:abstractNumId="132">
    <w:nsid w:val="E3E47A8"/>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33">
    <w:nsid w:val="2E48F044"/>
    <w:multiLevelType w:val="hybridMultilevel"/>
    <w:lvl w:ilvl="0">
      <w:lvlJc w:val="left"/>
      <w:lvlText w:val="(%1)"/>
      <w:numFmt w:val="lowerRoman"/>
      <w:start w:val="1"/>
    </w:lvl>
    <w:lvl w:ilvl="1">
      <w:lvlJc w:val="left"/>
      <w:lvlText w:val="%2."/>
      <w:numFmt w:val="upperLetter"/>
      <w:start w:val="3"/>
    </w:lvl>
    <w:lvl w:ilvl="2">
      <w:lvlJc w:val="left"/>
      <w:lvlText w:val="%3"/>
      <w:numFmt w:val="lowerRoman"/>
      <w:start w:val="1"/>
    </w:lvl>
  </w:abstractNum>
  <w:abstractNum w:abstractNumId="134">
    <w:nsid w:val="49D0FEAC"/>
    <w:multiLevelType w:val="hybridMultilevel"/>
    <w:lvl w:ilvl="0">
      <w:lvlJc w:val="left"/>
      <w:lvlText w:val="%1."/>
      <w:numFmt w:val="decimal"/>
      <w:start w:val="1"/>
    </w:lvl>
    <w:lvl w:ilvl="1">
      <w:lvlJc w:val="left"/>
      <w:lvlText w:val="(%2)"/>
      <w:numFmt w:val="lowerLetter"/>
      <w:start w:val="1"/>
    </w:lvl>
  </w:abstractNum>
  <w:abstractNum w:abstractNumId="135">
    <w:nsid w:val="4BEE5A5B"/>
    <w:multiLevelType w:val="hybridMultilevel"/>
    <w:lvl w:ilvl="0">
      <w:lvlJc w:val="left"/>
      <w:lvlText w:val="%1."/>
      <w:numFmt w:val="decimal"/>
      <w:start w:val="1"/>
    </w:lvl>
    <w:lvl w:ilvl="1">
      <w:lvlJc w:val="left"/>
      <w:lvlText w:val="(%2)"/>
      <w:numFmt w:val="lowerLetter"/>
      <w:start w:val="1"/>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2019-12-06T05:27:39Z</dcterms:created>
  <dcterms:modified xsi:type="dcterms:W3CDTF">2019-12-06T05:27:39Z</dcterms:modified>
</cp:coreProperties>
</file>