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________________</w:t>
      </w:r>
    </w:p>
    <w:p>
      <w:pPr>
        <w:spacing w:after="0" w:line="18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SCHEDULE 13D</w:t>
      </w:r>
    </w:p>
    <w:p>
      <w:pPr>
        <w:spacing w:after="0" w:line="212"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Right Management Consultants,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Common Stock</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Par Value $0.01 per Share</w:t>
      </w:r>
    </w:p>
    <w:p>
      <w:pPr>
        <w:jc w:val="center"/>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766573109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Michael J. Van Handel</w:t>
      </w:r>
    </w:p>
    <w:p>
      <w:pPr>
        <w:jc w:val="center"/>
        <w:spacing w:after="0" w:line="238" w:lineRule="auto"/>
        <w:rPr>
          <w:sz w:val="20"/>
          <w:szCs w:val="20"/>
          <w:color w:val="auto"/>
        </w:rPr>
      </w:pPr>
      <w:r>
        <w:rPr>
          <w:rFonts w:ascii="Arial" w:cs="Arial" w:eastAsia="Arial" w:hAnsi="Arial"/>
          <w:sz w:val="22"/>
          <w:szCs w:val="22"/>
          <w:color w:val="auto"/>
        </w:rPr>
        <w:t>Manpower Inc.</w:t>
      </w:r>
    </w:p>
    <w:p>
      <w:pPr>
        <w:jc w:val="center"/>
        <w:spacing w:after="0" w:line="230" w:lineRule="auto"/>
        <w:rPr>
          <w:sz w:val="20"/>
          <w:szCs w:val="20"/>
          <w:color w:val="auto"/>
        </w:rPr>
      </w:pPr>
      <w:r>
        <w:rPr>
          <w:rFonts w:ascii="Arial" w:cs="Arial" w:eastAsia="Arial" w:hAnsi="Arial"/>
          <w:sz w:val="22"/>
          <w:szCs w:val="22"/>
          <w:color w:val="auto"/>
        </w:rPr>
        <w:t>5301 North Ironwood Road</w:t>
      </w:r>
    </w:p>
    <w:p>
      <w:pPr>
        <w:jc w:val="center"/>
        <w:spacing w:after="0" w:line="231" w:lineRule="auto"/>
        <w:rPr>
          <w:sz w:val="20"/>
          <w:szCs w:val="20"/>
          <w:color w:val="auto"/>
        </w:rPr>
      </w:pPr>
      <w:r>
        <w:rPr>
          <w:rFonts w:ascii="Arial" w:cs="Arial" w:eastAsia="Arial" w:hAnsi="Arial"/>
          <w:sz w:val="22"/>
          <w:szCs w:val="22"/>
          <w:color w:val="auto"/>
        </w:rPr>
        <w:t>Milwaukee, Wisconsin 53217</w:t>
      </w:r>
    </w:p>
    <w:p>
      <w:pPr>
        <w:jc w:val="center"/>
        <w:spacing w:after="0"/>
        <w:rPr>
          <w:sz w:val="20"/>
          <w:szCs w:val="20"/>
          <w:color w:val="auto"/>
        </w:rPr>
      </w:pPr>
      <w:r>
        <w:rPr>
          <w:rFonts w:ascii="Arial" w:cs="Arial" w:eastAsia="Arial" w:hAnsi="Arial"/>
          <w:sz w:val="22"/>
          <w:szCs w:val="22"/>
          <w:u w:val="single" w:color="auto"/>
          <w:color w:val="auto"/>
        </w:rPr>
        <w:t>(414) 961-1000</w:t>
      </w: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January 21, 2004</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both"/>
        <w:ind w:left="1460" w:right="999"/>
        <w:spacing w:after="0" w:line="306" w:lineRule="auto"/>
        <w:rPr>
          <w:sz w:val="20"/>
          <w:szCs w:val="20"/>
          <w:color w:val="auto"/>
        </w:rPr>
      </w:pPr>
      <w:r>
        <w:rPr>
          <w:rFonts w:ascii="Arial" w:cs="Arial" w:eastAsia="Arial" w:hAnsi="Arial"/>
          <w:sz w:val="16"/>
          <w:szCs w:val="16"/>
          <w:color w:val="auto"/>
        </w:rPr>
        <w:t>If the filing person has previously filed a statement on Schedule 13G to report the acquisition that is the subject of this Schedule 13D, and is filing this schedule because of Rule 240.13d-1(e), Rule 240.13d-1(f) or Rule 240.13d-1(g), check the following box [ ].</w:t>
      </w:r>
    </w:p>
    <w:p>
      <w:pPr>
        <w:spacing w:after="0" w:line="242" w:lineRule="exact"/>
        <w:rPr>
          <w:sz w:val="24"/>
          <w:szCs w:val="24"/>
          <w:color w:val="auto"/>
        </w:rPr>
      </w:pPr>
    </w:p>
    <w:p>
      <w:pPr>
        <w:ind w:left="1460" w:right="919"/>
        <w:spacing w:after="0" w:line="259"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275" w:lineRule="exact"/>
        <w:rPr>
          <w:sz w:val="24"/>
          <w:szCs w:val="24"/>
          <w:color w:val="auto"/>
        </w:rPr>
      </w:pPr>
    </w:p>
    <w:p>
      <w:pPr>
        <w:ind w:left="1460" w:right="899" w:hanging="586"/>
        <w:spacing w:after="0" w:line="306" w:lineRule="auto"/>
        <w:tabs>
          <w:tab w:leader="none" w:pos="1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41" w:lineRule="exact"/>
        <w:rPr>
          <w:rFonts w:ascii="Arial" w:cs="Arial" w:eastAsia="Arial" w:hAnsi="Arial"/>
          <w:sz w:val="16"/>
          <w:szCs w:val="16"/>
          <w:color w:val="auto"/>
        </w:rPr>
      </w:pPr>
    </w:p>
    <w:p>
      <w:pPr>
        <w:ind w:left="1460" w:right="899"/>
        <w:spacing w:after="0" w:line="256" w:lineRule="auto"/>
        <w:rPr>
          <w:rFonts w:ascii="Arial" w:cs="Arial" w:eastAsia="Arial" w:hAnsi="Arial"/>
          <w:sz w:val="16"/>
          <w:szCs w:val="16"/>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175895</wp:posOffset>
            </wp:positionH>
            <wp:positionV relativeFrom="paragraph">
              <wp:posOffset>428625</wp:posOffset>
            </wp:positionV>
            <wp:extent cx="5389880" cy="2799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9880" cy="2799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NAME OF REPORTING PERSON</w:t>
      </w:r>
    </w:p>
    <w:p>
      <w:pPr>
        <w:ind w:left="1200"/>
        <w:spacing w:after="0" w:line="214" w:lineRule="auto"/>
        <w:rPr>
          <w:sz w:val="20"/>
          <w:szCs w:val="20"/>
          <w:color w:val="auto"/>
        </w:rPr>
      </w:pPr>
      <w:r>
        <w:rPr>
          <w:rFonts w:ascii="Arial" w:cs="Arial" w:eastAsia="Arial" w:hAnsi="Arial"/>
          <w:sz w:val="14"/>
          <w:szCs w:val="14"/>
          <w:color w:val="auto"/>
        </w:rPr>
        <w:t>I.R.S. IDENTIFICATION NO. OF ABOVE PERSON (Entities Only)</w:t>
      </w:r>
    </w:p>
    <w:p>
      <w:pPr>
        <w:ind w:left="1200"/>
        <w:spacing w:after="0" w:line="230" w:lineRule="auto"/>
        <w:rPr>
          <w:sz w:val="20"/>
          <w:szCs w:val="20"/>
          <w:color w:val="auto"/>
        </w:rPr>
      </w:pPr>
      <w:r>
        <w:rPr>
          <w:rFonts w:ascii="Arial" w:cs="Arial" w:eastAsia="Arial" w:hAnsi="Arial"/>
          <w:sz w:val="22"/>
          <w:szCs w:val="22"/>
          <w:color w:val="auto"/>
        </w:rPr>
        <w:t>Manpower Inc.</w:t>
      </w:r>
    </w:p>
    <w:p>
      <w:pPr>
        <w:spacing w:after="0" w:line="1" w:lineRule="exact"/>
        <w:rPr>
          <w:sz w:val="24"/>
          <w:szCs w:val="24"/>
          <w:color w:val="auto"/>
        </w:rPr>
      </w:pPr>
    </w:p>
    <w:p>
      <w:pPr>
        <w:ind w:left="1200" w:hanging="873"/>
        <w:spacing w:after="0"/>
        <w:tabs>
          <w:tab w:leader="none" w:pos="1200" w:val="left"/>
        </w:tabs>
        <w:numPr>
          <w:ilvl w:val="0"/>
          <w:numId w:val="2"/>
        </w:numPr>
        <w:rPr>
          <w:rFonts w:ascii="Arial" w:cs="Arial" w:eastAsia="Arial" w:hAnsi="Arial"/>
          <w:sz w:val="22"/>
          <w:szCs w:val="22"/>
          <w:color w:val="auto"/>
        </w:rPr>
      </w:pPr>
      <w:r>
        <w:rPr>
          <w:rFonts w:ascii="Arial" w:cs="Arial" w:eastAsia="Arial" w:hAnsi="Arial"/>
          <w:sz w:val="22"/>
          <w:szCs w:val="22"/>
          <w:color w:val="auto"/>
        </w:rPr>
        <w:t>39-1672779</w:t>
      </w:r>
    </w:p>
    <w:p>
      <w:pPr>
        <w:spacing w:after="0" w:line="212"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CHECK THE APPROPRIATE BOX IF A MEMBER OF A GROUP</w:t>
      </w:r>
    </w:p>
    <w:p>
      <w:pPr>
        <w:ind w:left="1200"/>
        <w:spacing w:after="0" w:line="213" w:lineRule="auto"/>
        <w:rPr>
          <w:sz w:val="20"/>
          <w:szCs w:val="20"/>
          <w:color w:val="auto"/>
        </w:rPr>
      </w:pPr>
      <w:r>
        <w:rPr>
          <w:rFonts w:ascii="Arial" w:cs="Arial" w:eastAsia="Arial" w:hAnsi="Arial"/>
          <w:sz w:val="18"/>
          <w:szCs w:val="18"/>
          <w:color w:val="auto"/>
        </w:rPr>
        <w:t>(a) [ ]</w:t>
      </w:r>
    </w:p>
    <w:p>
      <w:pPr>
        <w:ind w:left="1200" w:hanging="873"/>
        <w:spacing w:after="0" w:line="232" w:lineRule="auto"/>
        <w:tabs>
          <w:tab w:leader="none" w:pos="1200" w:val="left"/>
        </w:tabs>
        <w:numPr>
          <w:ilvl w:val="0"/>
          <w:numId w:val="3"/>
        </w:numPr>
        <w:rPr>
          <w:rFonts w:ascii="Arial" w:cs="Arial" w:eastAsia="Arial" w:hAnsi="Arial"/>
          <w:sz w:val="22"/>
          <w:szCs w:val="22"/>
          <w:color w:val="auto"/>
        </w:rPr>
      </w:pPr>
      <w:r>
        <w:rPr>
          <w:rFonts w:ascii="Arial" w:cs="Arial" w:eastAsia="Arial" w:hAnsi="Arial"/>
          <w:sz w:val="18"/>
          <w:szCs w:val="18"/>
          <w:color w:val="auto"/>
        </w:rPr>
        <w:t>(b) [ ]</w:t>
      </w:r>
    </w:p>
    <w:p>
      <w:pPr>
        <w:spacing w:after="0" w:line="208"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SEC USE ONLY</w:t>
      </w:r>
    </w:p>
    <w:p>
      <w:pPr>
        <w:spacing w:after="0" w:line="166" w:lineRule="exact"/>
        <w:rPr>
          <w:sz w:val="24"/>
          <w:szCs w:val="24"/>
          <w:color w:val="auto"/>
        </w:rPr>
      </w:pPr>
    </w:p>
    <w:p>
      <w:pPr>
        <w:ind w:left="320"/>
        <w:spacing w:after="0"/>
        <w:rPr>
          <w:sz w:val="20"/>
          <w:szCs w:val="20"/>
          <w:color w:val="auto"/>
        </w:rPr>
      </w:pPr>
      <w:r>
        <w:rPr>
          <w:rFonts w:ascii="Arial" w:cs="Arial" w:eastAsia="Arial" w:hAnsi="Arial"/>
          <w:sz w:val="22"/>
          <w:szCs w:val="22"/>
          <w:color w:val="auto"/>
        </w:rPr>
        <w:t>3</w:t>
      </w:r>
    </w:p>
    <w:p>
      <w:pPr>
        <w:spacing w:after="0" w:line="311" w:lineRule="exact"/>
        <w:rPr>
          <w:sz w:val="24"/>
          <w:szCs w:val="24"/>
          <w:color w:val="auto"/>
        </w:rPr>
      </w:pPr>
    </w:p>
    <w:p>
      <w:pPr>
        <w:ind w:left="1200"/>
        <w:spacing w:after="0"/>
        <w:rPr>
          <w:sz w:val="20"/>
          <w:szCs w:val="20"/>
          <w:color w:val="auto"/>
        </w:rPr>
      </w:pPr>
      <w:r>
        <w:rPr>
          <w:rFonts w:ascii="Arial" w:cs="Arial" w:eastAsia="Arial" w:hAnsi="Arial"/>
          <w:sz w:val="14"/>
          <w:szCs w:val="14"/>
          <w:color w:val="auto"/>
        </w:rPr>
        <w:t>SOURCE OF FUNDS (See Instructions)</w:t>
      </w:r>
    </w:p>
    <w:p>
      <w:pPr>
        <w:ind w:left="1200" w:hanging="873"/>
        <w:spacing w:after="0" w:line="194" w:lineRule="auto"/>
        <w:tabs>
          <w:tab w:leader="none" w:pos="1200" w:val="left"/>
        </w:tabs>
        <w:numPr>
          <w:ilvl w:val="0"/>
          <w:numId w:val="4"/>
        </w:numPr>
        <w:rPr>
          <w:rFonts w:ascii="Arial" w:cs="Arial" w:eastAsia="Arial" w:hAnsi="Arial"/>
          <w:sz w:val="43"/>
          <w:szCs w:val="43"/>
          <w:color w:val="auto"/>
          <w:vertAlign w:val="superscript"/>
        </w:rPr>
      </w:pPr>
      <w:r>
        <w:rPr>
          <w:rFonts w:ascii="Arial" w:cs="Arial" w:eastAsia="Arial" w:hAnsi="Arial"/>
          <w:sz w:val="22"/>
          <w:szCs w:val="22"/>
          <w:color w:val="auto"/>
        </w:rPr>
        <w:t>OO</w:t>
      </w:r>
    </w:p>
    <w:p>
      <w:pPr>
        <w:spacing w:after="0" w:line="208" w:lineRule="exact"/>
        <w:rPr>
          <w:sz w:val="24"/>
          <w:szCs w:val="24"/>
          <w:color w:val="auto"/>
        </w:rPr>
      </w:pPr>
    </w:p>
    <w:p>
      <w:pPr>
        <w:ind w:left="1200"/>
        <w:spacing w:after="0"/>
        <w:rPr>
          <w:sz w:val="20"/>
          <w:szCs w:val="20"/>
          <w:color w:val="auto"/>
        </w:rPr>
      </w:pPr>
      <w:r>
        <w:rPr>
          <w:rFonts w:ascii="Arial" w:cs="Arial" w:eastAsia="Arial" w:hAnsi="Arial"/>
          <w:sz w:val="12"/>
          <w:szCs w:val="12"/>
          <w:color w:val="auto"/>
        </w:rPr>
        <w:t>CHECK BOX IF DISCLOSURE OF LEGAL PROCEEDINGS IS REQUIRED PURSUANT TO ITEMS 2(d) OR 2(e)</w:t>
      </w:r>
    </w:p>
    <w:p>
      <w:pPr>
        <w:ind w:left="1200" w:hanging="873"/>
        <w:spacing w:after="0" w:line="180" w:lineRule="auto"/>
        <w:tabs>
          <w:tab w:leader="none" w:pos="1200" w:val="left"/>
        </w:tabs>
        <w:numPr>
          <w:ilvl w:val="0"/>
          <w:numId w:val="5"/>
        </w:numPr>
        <w:rPr>
          <w:rFonts w:ascii="Arial" w:cs="Arial" w:eastAsia="Arial" w:hAnsi="Arial"/>
          <w:sz w:val="43"/>
          <w:szCs w:val="43"/>
          <w:color w:val="auto"/>
          <w:vertAlign w:val="subscript"/>
        </w:rPr>
      </w:pPr>
      <w:r>
        <w:rPr>
          <w:rFonts w:ascii="Arial" w:cs="Arial" w:eastAsia="Arial" w:hAnsi="Arial"/>
          <w:sz w:val="18"/>
          <w:szCs w:val="18"/>
          <w:color w:val="auto"/>
        </w:rPr>
        <w:t>[ ]</w:t>
      </w:r>
    </w:p>
    <w:p>
      <w:pPr>
        <w:sectPr>
          <w:pgSz w:w="11900" w:h="16838" w:orient="portrait"/>
          <w:cols w:equalWidth="0" w:num="1">
            <w:col w:w="9019"/>
          </w:cols>
          <w:pgMar w:left="1440" w:top="220" w:right="1440" w:bottom="0" w:gutter="0" w:footer="0" w:header="0"/>
        </w:sectPr>
      </w:pPr>
    </w:p>
    <w:bookmarkStart w:id="1" w:name="page2"/>
    <w:bookmarkEnd w:id="1"/>
    <w:tbl>
      <w:tblPr>
        <w:tblLayout w:type="fixed"/>
        <w:tblInd w:w="152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3120" w:type="dxa"/>
            <w:vAlign w:val="bottom"/>
          </w:tcPr>
          <w:p>
            <w:pPr>
              <w:ind w:left="380"/>
              <w:spacing w:after="0"/>
              <w:rPr>
                <w:sz w:val="20"/>
                <w:szCs w:val="20"/>
                <w:color w:val="auto"/>
              </w:rPr>
            </w:pPr>
            <w:r>
              <w:rPr>
                <w:rFonts w:ascii="Arial" w:cs="Arial" w:eastAsia="Arial" w:hAnsi="Arial"/>
                <w:sz w:val="14"/>
                <w:szCs w:val="14"/>
                <w:color w:val="auto"/>
                <w:w w:val="91"/>
              </w:rPr>
              <w:t>CITIZENSHIP OR PLACE OF ORGANIZATION</w:t>
            </w:r>
          </w:p>
        </w:tc>
        <w:tc>
          <w:tcPr>
            <w:tcW w:w="0" w:type="dxa"/>
            <w:vAlign w:val="bottom"/>
          </w:tcPr>
          <w:p>
            <w:pPr>
              <w:spacing w:after="0"/>
              <w:rPr>
                <w:sz w:val="1"/>
                <w:szCs w:val="1"/>
                <w:color w:val="auto"/>
              </w:rPr>
            </w:pPr>
          </w:p>
        </w:tc>
      </w:tr>
      <w:tr>
        <w:trPr>
          <w:trHeight w:val="389"/>
        </w:trPr>
        <w:tc>
          <w:tcPr>
            <w:tcW w:w="500" w:type="dxa"/>
            <w:vAlign w:val="bottom"/>
            <w:vMerge w:val="restart"/>
          </w:tcPr>
          <w:p>
            <w:pPr>
              <w:jc w:val="right"/>
              <w:ind w:right="272"/>
              <w:spacing w:after="0"/>
              <w:rPr>
                <w:sz w:val="20"/>
                <w:szCs w:val="20"/>
                <w:color w:val="auto"/>
              </w:rPr>
            </w:pPr>
            <w:r>
              <w:rPr>
                <w:rFonts w:ascii="Arial" w:cs="Arial" w:eastAsia="Arial" w:hAnsi="Arial"/>
                <w:sz w:val="22"/>
                <w:szCs w:val="22"/>
                <w:color w:val="auto"/>
                <w:w w:val="81"/>
              </w:rPr>
              <w:t>6</w:t>
            </w:r>
          </w:p>
        </w:tc>
        <w:tc>
          <w:tcPr>
            <w:tcW w:w="3120" w:type="dxa"/>
            <w:vAlign w:val="bottom"/>
          </w:tcPr>
          <w:p>
            <w:pPr>
              <w:ind w:left="380"/>
              <w:spacing w:after="0"/>
              <w:rPr>
                <w:sz w:val="20"/>
                <w:szCs w:val="20"/>
                <w:color w:val="auto"/>
              </w:rPr>
            </w:pPr>
            <w:r>
              <w:rPr>
                <w:rFonts w:ascii="Arial" w:cs="Arial" w:eastAsia="Arial" w:hAnsi="Arial"/>
                <w:sz w:val="22"/>
                <w:szCs w:val="22"/>
                <w:color w:val="auto"/>
              </w:rPr>
              <w:t>Wisconsin</w:t>
            </w:r>
          </w:p>
        </w:tc>
        <w:tc>
          <w:tcPr>
            <w:tcW w:w="0" w:type="dxa"/>
            <w:vAlign w:val="bottom"/>
          </w:tcPr>
          <w:p>
            <w:pPr>
              <w:spacing w:after="0"/>
              <w:rPr>
                <w:sz w:val="1"/>
                <w:szCs w:val="1"/>
                <w:color w:val="auto"/>
              </w:rPr>
            </w:pPr>
          </w:p>
        </w:tc>
      </w:tr>
      <w:tr>
        <w:trPr>
          <w:trHeight w:val="149"/>
        </w:trPr>
        <w:tc>
          <w:tcPr>
            <w:tcW w:w="50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1090295</wp:posOffset>
            </wp:positionH>
            <wp:positionV relativeFrom="page">
              <wp:posOffset>88900</wp:posOffset>
            </wp:positionV>
            <wp:extent cx="5389880" cy="391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9880" cy="3912870"/>
                    </a:xfrm>
                    <a:prstGeom prst="rect">
                      <a:avLst/>
                    </a:prstGeom>
                    <a:noFill/>
                  </pic:spPr>
                </pic:pic>
              </a:graphicData>
            </a:graphic>
          </wp:anchor>
        </w:drawing>
      </w:r>
    </w:p>
    <w:tbl>
      <w:tblPr>
        <w:tblLayout w:type="fixed"/>
        <w:tblInd w:w="1510" w:type="dxa"/>
        <w:tblCellMar>
          <w:top w:w="0" w:type="dxa"/>
          <w:left w:w="0" w:type="dxa"/>
          <w:bottom w:w="0" w:type="dxa"/>
          <w:right w:w="0" w:type="dxa"/>
        </w:tblCellMar>
      </w:tblPr>
      <w:tr>
        <w:trPr>
          <w:trHeight w:val="238"/>
        </w:trPr>
        <w:tc>
          <w:tcPr>
            <w:tcW w:w="21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Number of</w:t>
            </w:r>
          </w:p>
        </w:tc>
        <w:tc>
          <w:tcPr>
            <w:tcW w:w="40" w:type="dxa"/>
            <w:vAlign w:val="bottom"/>
            <w:tcBorders>
              <w:right w:val="single" w:sz="8" w:color="auto"/>
            </w:tcBorders>
          </w:tcPr>
          <w:p>
            <w:pPr>
              <w:spacing w:after="0"/>
              <w:rPr>
                <w:sz w:val="20"/>
                <w:szCs w:val="20"/>
                <w:color w:val="auto"/>
              </w:rPr>
            </w:pPr>
          </w:p>
        </w:tc>
        <w:tc>
          <w:tcPr>
            <w:tcW w:w="740" w:type="dxa"/>
            <w:vAlign w:val="bottom"/>
            <w:tcBorders>
              <w:top w:val="single" w:sz="8" w:color="auto"/>
              <w:right w:val="single" w:sz="8" w:color="auto"/>
            </w:tcBorders>
          </w:tcPr>
          <w:p>
            <w:pPr>
              <w:spacing w:after="0"/>
              <w:rPr>
                <w:sz w:val="20"/>
                <w:szCs w:val="20"/>
                <w:color w:val="auto"/>
              </w:rPr>
            </w:pPr>
          </w:p>
        </w:tc>
        <w:tc>
          <w:tcPr>
            <w:tcW w:w="54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SLE VOTING POWER</w:t>
            </w:r>
          </w:p>
        </w:tc>
        <w:tc>
          <w:tcPr>
            <w:tcW w:w="0" w:type="dxa"/>
            <w:vAlign w:val="bottom"/>
          </w:tcPr>
          <w:p>
            <w:pPr>
              <w:spacing w:after="0"/>
              <w:rPr>
                <w:sz w:val="1"/>
                <w:szCs w:val="1"/>
                <w:color w:val="auto"/>
              </w:rPr>
            </w:pPr>
          </w:p>
        </w:tc>
      </w:tr>
      <w:tr>
        <w:trPr>
          <w:trHeight w:val="170"/>
        </w:trPr>
        <w:tc>
          <w:tcPr>
            <w:tcW w:w="2180" w:type="dxa"/>
            <w:vAlign w:val="bottom"/>
            <w:tcBorders>
              <w:left w:val="single" w:sz="8" w:color="auto"/>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Shares Beneficially</w:t>
            </w:r>
          </w:p>
        </w:tc>
        <w:tc>
          <w:tcPr>
            <w:tcW w:w="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54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Owned by Each</w:t>
            </w:r>
          </w:p>
        </w:tc>
        <w:tc>
          <w:tcPr>
            <w:tcW w:w="4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20,933,692</w:t>
            </w:r>
          </w:p>
        </w:tc>
        <w:tc>
          <w:tcPr>
            <w:tcW w:w="0" w:type="dxa"/>
            <w:vAlign w:val="bottom"/>
          </w:tcPr>
          <w:p>
            <w:pPr>
              <w:spacing w:after="0"/>
              <w:rPr>
                <w:sz w:val="1"/>
                <w:szCs w:val="1"/>
                <w:color w:val="auto"/>
              </w:rPr>
            </w:pPr>
          </w:p>
        </w:tc>
      </w:tr>
      <w:tr>
        <w:trPr>
          <w:trHeight w:val="91"/>
        </w:trPr>
        <w:tc>
          <w:tcPr>
            <w:tcW w:w="2180" w:type="dxa"/>
            <w:vAlign w:val="bottom"/>
            <w:tcBorders>
              <w:left w:val="single" w:sz="8" w:color="auto"/>
              <w:right w:val="single" w:sz="8" w:color="auto"/>
            </w:tcBorders>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5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18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Reporting Person</w:t>
            </w:r>
          </w:p>
        </w:tc>
        <w:tc>
          <w:tcPr>
            <w:tcW w:w="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SHARED VOTING POWER</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6"/>
                <w:szCs w:val="16"/>
                <w:color w:val="auto"/>
              </w:rPr>
              <w:t>With</w:t>
            </w: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8</w:t>
            </w:r>
          </w:p>
        </w:tc>
        <w:tc>
          <w:tcPr>
            <w:tcW w:w="5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180" w:type="dxa"/>
            <w:vAlign w:val="bottom"/>
            <w:tcBorders>
              <w:left w:val="single" w:sz="8" w:color="auto"/>
              <w:right w:val="single" w:sz="8" w:color="auto"/>
            </w:tcBorders>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740" w:type="dxa"/>
            <w:vAlign w:val="bottom"/>
            <w:tcBorders>
              <w:bottom w:val="single" w:sz="8" w:color="auto"/>
              <w:right w:val="single" w:sz="8" w:color="auto"/>
            </w:tcBorders>
            <w:vMerge w:val="continue"/>
          </w:tcPr>
          <w:p>
            <w:pPr>
              <w:spacing w:after="0"/>
              <w:rPr>
                <w:sz w:val="22"/>
                <w:szCs w:val="22"/>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2180" w:type="dxa"/>
            <w:vAlign w:val="bottom"/>
            <w:tcBorders>
              <w:left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9</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SOLE DISPOSITIVE POWER</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20,933,692</w:t>
            </w:r>
          </w:p>
        </w:tc>
        <w:tc>
          <w:tcPr>
            <w:tcW w:w="0" w:type="dxa"/>
            <w:vAlign w:val="bottom"/>
          </w:tcPr>
          <w:p>
            <w:pPr>
              <w:spacing w:after="0"/>
              <w:rPr>
                <w:sz w:val="1"/>
                <w:szCs w:val="1"/>
                <w:color w:val="auto"/>
              </w:rPr>
            </w:pPr>
          </w:p>
        </w:tc>
      </w:tr>
      <w:tr>
        <w:trPr>
          <w:trHeight w:val="120"/>
        </w:trPr>
        <w:tc>
          <w:tcPr>
            <w:tcW w:w="2180" w:type="dxa"/>
            <w:vAlign w:val="bottom"/>
            <w:tcBorders>
              <w:left w:val="single" w:sz="8" w:color="auto"/>
              <w:right w:val="single" w:sz="8" w:color="auto"/>
            </w:tcBorders>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54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2180" w:type="dxa"/>
            <w:vAlign w:val="bottom"/>
            <w:tcBorders>
              <w:left w:val="single" w:sz="8" w:color="auto"/>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SHARED DISPOSITIVE POWER</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5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218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54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AGGREGATE AMOUNT BENEFICIALLY OWNED BY EACH REPORTING PERSON</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20,933,692</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CHECK IF THE AGGREGATE AMOUNT IN ROW (11) EXCLUDES CERTAIN SHARES (See Instructions)</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[X]</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PERCENT OF CLASS REPRESENTED BY AMOUNT IN ROW (11)</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91.7%</w:t>
      </w:r>
    </w:p>
    <w:p>
      <w:pPr>
        <w:spacing w:after="0" w:line="236" w:lineRule="exact"/>
        <w:rPr>
          <w:sz w:val="20"/>
          <w:szCs w:val="20"/>
          <w:color w:val="auto"/>
        </w:rPr>
      </w:pPr>
    </w:p>
    <w:p>
      <w:pPr>
        <w:ind w:left="2400"/>
        <w:spacing w:after="0"/>
        <w:rPr>
          <w:sz w:val="20"/>
          <w:szCs w:val="20"/>
          <w:color w:val="auto"/>
        </w:rPr>
      </w:pPr>
      <w:r>
        <w:rPr>
          <w:rFonts w:ascii="Arial" w:cs="Arial" w:eastAsia="Arial" w:hAnsi="Arial"/>
          <w:sz w:val="14"/>
          <w:szCs w:val="14"/>
          <w:color w:val="auto"/>
        </w:rPr>
        <w:t>TYPE OF REPORTING PERSON</w:t>
      </w:r>
    </w:p>
    <w:p>
      <w:pPr>
        <w:spacing w:after="0" w:line="125" w:lineRule="exact"/>
        <w:rPr>
          <w:sz w:val="20"/>
          <w:szCs w:val="20"/>
          <w:color w:val="auto"/>
        </w:rPr>
      </w:pPr>
    </w:p>
    <w:p>
      <w:pPr>
        <w:ind w:left="1520"/>
        <w:spacing w:after="0"/>
        <w:tabs>
          <w:tab w:leader="none" w:pos="2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w:t>
      </w:r>
    </w:p>
    <w:p>
      <w:pPr>
        <w:spacing w:after="0" w:line="293" w:lineRule="exact"/>
        <w:rPr>
          <w:sz w:val="20"/>
          <w:szCs w:val="20"/>
          <w:color w:val="auto"/>
        </w:rPr>
      </w:pPr>
    </w:p>
    <w:p>
      <w:pPr>
        <w:ind w:right="260" w:firstLine="611"/>
        <w:spacing w:after="0" w:line="268" w:lineRule="auto"/>
        <w:rPr>
          <w:sz w:val="20"/>
          <w:szCs w:val="20"/>
          <w:color w:val="auto"/>
        </w:rPr>
      </w:pPr>
      <w:r>
        <w:rPr>
          <w:rFonts w:ascii="Arial" w:cs="Arial" w:eastAsia="Arial" w:hAnsi="Arial"/>
          <w:sz w:val="18"/>
          <w:szCs w:val="18"/>
          <w:color w:val="auto"/>
        </w:rPr>
        <w:t>This Amendment No. 1 amends and supplements the Schedule 13D (the "Schedule 13D") originally filed on December 22, 2004 by Manpower Inc., a Wisconsin corporation.</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Capitalized terms used and not defined herein shall have the meanings set forth in the Schedule 13D.</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items of the Schedule 13D set forth below are hereby amended and supplemented as follows:</w:t>
      </w:r>
    </w:p>
    <w:p>
      <w:pPr>
        <w:spacing w:after="0" w:line="200" w:lineRule="exact"/>
        <w:rPr>
          <w:sz w:val="20"/>
          <w:szCs w:val="20"/>
          <w:color w:val="auto"/>
        </w:rPr>
      </w:pPr>
    </w:p>
    <w:p>
      <w:pPr>
        <w:spacing w:after="0" w:line="37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Item 5 is amended by amending and restating subsection (a)-(b) in their entirety as follows:</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(a)-(b) Manpower has acquired beneficial ownership (as defined in Exchange Act Rule 13d-3) of 91.7% of the total number of shares of Right Common Stock outstanding on January 21, 2004. To Manpower's knowledge, none of the persons listed on Schedule I was the beneficial owner of any shares of Right Common Stock. Except as described in this Schedule 13D, neither Manpower nor, to Manpower's knowledge, any of the persons listed in Schedule I, beneficially owns any shares of Right Common Stock.</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Item 5 is amended by adding the following paragraphs to subsection (c) thereof:</w:t>
      </w:r>
    </w:p>
    <w:p>
      <w:pPr>
        <w:spacing w:after="0" w:line="185" w:lineRule="exact"/>
        <w:rPr>
          <w:sz w:val="20"/>
          <w:szCs w:val="20"/>
          <w:color w:val="auto"/>
        </w:rPr>
      </w:pPr>
    </w:p>
    <w:p>
      <w:pPr>
        <w:jc w:val="both"/>
        <w:ind w:firstLine="8"/>
        <w:spacing w:after="0" w:line="259" w:lineRule="auto"/>
        <w:tabs>
          <w:tab w:leader="none" w:pos="5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Offer expired at 12:00 midnight, New York time, on January 21, 2004, at which time Manpower, through Hoosier, accepted for exchange and thereby acquired 20,933,692 shares of Right Common Stock (including shares tendered through notice of guaranteed delivery), equaling approximately 91.7% of the total number of shares of Right Common Stock outstanding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tabs>
          <w:tab w:leader="none" w:pos="4860" w:val="left"/>
        </w:tabs>
        <w:rPr>
          <w:sz w:val="20"/>
          <w:szCs w:val="20"/>
          <w:color w:val="auto"/>
        </w:rPr>
      </w:pPr>
      <w:r>
        <w:rPr>
          <w:rFonts w:ascii="Arial" w:cs="Arial" w:eastAsia="Arial" w:hAnsi="Arial"/>
          <w:sz w:val="18"/>
          <w:szCs w:val="18"/>
          <w:color w:val="auto"/>
        </w:rPr>
        <w:t>Dated: January 22, 2004</w:t>
      </w:r>
      <w:r>
        <w:rPr>
          <w:sz w:val="20"/>
          <w:szCs w:val="20"/>
          <w:color w:val="auto"/>
        </w:rPr>
        <w:tab/>
      </w:r>
      <w:r>
        <w:rPr>
          <w:rFonts w:ascii="Arial" w:cs="Arial" w:eastAsia="Arial" w:hAnsi="Arial"/>
          <w:sz w:val="15"/>
          <w:szCs w:val="15"/>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-13970</wp:posOffset>
            </wp:positionV>
            <wp:extent cx="2207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Michael J. Van Handel</w:t>
      </w:r>
    </w:p>
    <w:p>
      <w:pPr>
        <w:spacing w:after="0" w:line="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 Vice President, Chief Financial Officer and</w:t>
      </w:r>
    </w:p>
    <w:p>
      <w:pPr>
        <w:spacing w:after="0" w:line="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20"/>
      </w:cols>
      <w:pgMar w:left="240" w:top="1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4"/>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2019-12-16T07:50:07Z</dcterms:created>
  <dcterms:modified xsi:type="dcterms:W3CDTF">2019-12-16T07:50:07Z</dcterms:modified>
</cp:coreProperties>
</file>