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8-K</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CURRENT REPORT</w:t>
      </w:r>
    </w:p>
    <w:p>
      <w:pPr>
        <w:spacing w:after="0" w:line="182"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Date of Report (Date of earliest event reported): January 29, 2003</w:t>
      </w:r>
    </w:p>
    <w:p>
      <w:pPr>
        <w:spacing w:after="0" w:line="182"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412" w:right="1440" w:bottom="1440" w:gutter="0" w:footer="0" w:header="0"/>
        </w:sectPr>
      </w:pPr>
    </w:p>
    <w:p>
      <w:pPr>
        <w:spacing w:after="0" w:line="200" w:lineRule="exact"/>
        <w:rPr>
          <w:sz w:val="24"/>
          <w:szCs w:val="24"/>
          <w:color w:val="auto"/>
        </w:rPr>
      </w:pPr>
    </w:p>
    <w:p>
      <w:pPr>
        <w:spacing w:after="0" w:line="335"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WISCONSIN</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1-10686</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39-1672779</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3">
            <w:col w:w="2560" w:space="280"/>
            <w:col w:w="2200" w:space="540"/>
            <w:col w:w="4639"/>
          </w:cols>
          <w:pgMar w:left="240" w:top="412" w:right="1440" w:bottom="1440" w:gutter="0" w:footer="0" w:header="0"/>
          <w:type w:val="continuous"/>
        </w:sectPr>
      </w:pPr>
    </w:p>
    <w:p>
      <w:pPr>
        <w:spacing w:after="0" w:line="1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5301 North Ironwood Road</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Milwaukee, Wisconsin 53217</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0" w:lineRule="exact"/>
        <w:rPr>
          <w:sz w:val="24"/>
          <w:szCs w:val="24"/>
          <w:color w:val="auto"/>
        </w:rPr>
      </w:pPr>
    </w:p>
    <w:p>
      <w:pPr>
        <w:spacing w:after="0" w:line="335"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Registrant's telephone number, including area code: (414) 961-1000</w:t>
      </w:r>
    </w:p>
    <w:p>
      <w:pPr>
        <w:sectPr>
          <w:pgSz w:w="11900" w:h="16838" w:orient="portrait"/>
          <w:cols w:equalWidth="0" w:num="1">
            <w:col w:w="10219"/>
          </w:cols>
          <w:pgMar w:left="240" w:top="41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ITEM 5. OTHER EVENTS.</w:t>
      </w:r>
    </w:p>
    <w:p>
      <w:pPr>
        <w:spacing w:after="0" w:line="35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On January 29, 2003, we issued a press release announcing our 2002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On January 29, 2003, we are also making available certain restated operating unit results for each quarter in the years ended December 31, 2002, 2001 and 2000. The operating unit results for each of these periods have been restated to more closely align with how we manage our foreign operations. Our operations in Europe, the Middle East and Africa (excluding France) will now be reported as one segment, referred to as EMEA, which represents the combination of operations historically included in segments referred to as United Kingdom and Other Europe. In addition, central costs for EMEA, which historically have been included in corporate expense are now included in the determination of operating unit profit.</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press release and the restated operating unit results are attached hereto as exhibits and are incorporated herein by reference, except for the references to our website and the information contained therein.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EXHIBITS.</w:t>
      </w:r>
    </w:p>
    <w:p>
      <w:pPr>
        <w:spacing w:after="0" w:line="1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Press Release dated January 29, 2003.</w:t>
      </w:r>
    </w:p>
    <w:p>
      <w:pPr>
        <w:spacing w:after="0" w:line="182" w:lineRule="exact"/>
        <w:rPr>
          <w:sz w:val="20"/>
          <w:szCs w:val="20"/>
          <w:color w:val="auto"/>
        </w:rPr>
      </w:pPr>
    </w:p>
    <w:p>
      <w:pPr>
        <w:ind w:left="1280" w:right="2899" w:hanging="1282"/>
        <w:spacing w:after="0" w:line="250" w:lineRule="auto"/>
        <w:tabs>
          <w:tab w:leader="none" w:pos="126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Restated Operating Unit Results for years ended December 31, 2002, December 31, 2001 and December 31, 2000.</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99" w:right="1440" w:bottom="1440" w:gutter="0" w:footer="0" w:header="0"/>
        </w:sectPr>
      </w:pPr>
    </w:p>
    <w:bookmarkStart w:id="2" w:name="page3"/>
    <w:bookmarkEnd w:id="2"/>
    <w:p>
      <w:pPr>
        <w:ind w:left="3300"/>
        <w:spacing w:after="0"/>
        <w:rPr>
          <w:sz w:val="20"/>
          <w:szCs w:val="20"/>
          <w:color w:val="auto"/>
        </w:rPr>
      </w:pPr>
      <w:r>
        <w:rPr>
          <w:rFonts w:ascii="Courier New" w:cs="Courier New" w:eastAsia="Courier New" w:hAnsi="Courier New"/>
          <w:sz w:val="15"/>
          <w:szCs w:val="15"/>
          <w:color w:val="auto"/>
        </w:rPr>
        <w:t>SIGNATURE</w:t>
      </w:r>
    </w:p>
    <w:p>
      <w:pPr>
        <w:spacing w:after="0" w:line="359" w:lineRule="exact"/>
        <w:rPr>
          <w:sz w:val="20"/>
          <w:szCs w:val="20"/>
          <w:color w:val="auto"/>
        </w:rPr>
      </w:pPr>
    </w:p>
    <w:p>
      <w:pPr>
        <w:jc w:val="both"/>
        <w:ind w:right="3179"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MANPOWER INC.</w:t>
      </w:r>
    </w:p>
    <w:p>
      <w:pPr>
        <w:sectPr>
          <w:pgSz w:w="11900" w:h="16838" w:orient="portrait"/>
          <w:cols w:equalWidth="0" w:num="1">
            <w:col w:w="10219"/>
          </w:cols>
          <w:pgMar w:left="240" w:top="823"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29, 2003</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Van Handel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Chief Financial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Secretary</w:t>
      </w:r>
    </w:p>
    <w:p>
      <w:pPr>
        <w:spacing w:after="0" w:line="200" w:lineRule="exact"/>
        <w:rPr>
          <w:sz w:val="20"/>
          <w:szCs w:val="20"/>
          <w:color w:val="auto"/>
        </w:rPr>
      </w:pPr>
    </w:p>
    <w:p>
      <w:pPr>
        <w:sectPr>
          <w:pgSz w:w="11900" w:h="16838" w:orient="portrait"/>
          <w:cols w:equalWidth="0" w:num="3">
            <w:col w:w="460" w:space="180"/>
            <w:col w:w="2200" w:space="720"/>
            <w:col w:w="6659"/>
          </w:cols>
          <w:pgMar w:left="240" w:top="823" w:right="1440" w:bottom="1440" w:gutter="0" w:footer="0" w:header="0"/>
          <w:type w:val="continuous"/>
        </w:sectPr>
      </w:pPr>
    </w:p>
    <w:p>
      <w:pPr>
        <w:spacing w:after="0" w:line="33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23" w:right="1440" w:bottom="1440" w:gutter="0" w:footer="0" w:header="0"/>
          <w:type w:val="continuous"/>
        </w:sectPr>
      </w:pPr>
    </w:p>
    <w:bookmarkStart w:id="3" w:name="page4"/>
    <w:bookmarkEnd w:id="3"/>
    <w:p>
      <w:pPr>
        <w:ind w:left="3100"/>
        <w:spacing w:after="0"/>
        <w:rPr>
          <w:sz w:val="20"/>
          <w:szCs w:val="20"/>
          <w:color w:val="auto"/>
        </w:rPr>
      </w:pPr>
      <w:r>
        <w:rPr>
          <w:rFonts w:ascii="Courier New" w:cs="Courier New" w:eastAsia="Courier New" w:hAnsi="Courier New"/>
          <w:sz w:val="15"/>
          <w:szCs w:val="15"/>
          <w:color w:val="auto"/>
        </w:rPr>
        <w:t>EXHIBIT INDEX</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5"/>
          <w:szCs w:val="15"/>
          <w:color w:val="auto"/>
        </w:rPr>
        <w:t>Description</w:t>
      </w:r>
    </w:p>
    <w:p>
      <w:pPr>
        <w:spacing w:after="0" w:line="182" w:lineRule="exact"/>
        <w:rPr>
          <w:sz w:val="20"/>
          <w:szCs w:val="20"/>
          <w:color w:val="auto"/>
        </w:rPr>
      </w:pPr>
    </w:p>
    <w:p>
      <w:pPr>
        <w:ind w:left="260"/>
        <w:spacing w:after="0"/>
        <w:tabs>
          <w:tab w:leader="none" w:pos="134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Press Release dated January 29, 2003.</w:t>
      </w:r>
    </w:p>
    <w:p>
      <w:pPr>
        <w:spacing w:after="0" w:line="182" w:lineRule="exact"/>
        <w:rPr>
          <w:sz w:val="20"/>
          <w:szCs w:val="20"/>
          <w:color w:val="auto"/>
        </w:rPr>
      </w:pPr>
    </w:p>
    <w:p>
      <w:pPr>
        <w:ind w:left="260"/>
        <w:spacing w:after="0"/>
        <w:tabs>
          <w:tab w:leader="none" w:pos="134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Restated Operating Unit Results for years ended December 31,</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2002, December 31, 2001 and December 31, 2000.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23" w:right="1440" w:bottom="1440" w:gutter="0" w:footer="0" w:header="0"/>
        </w:sectPr>
      </w:pPr>
    </w:p>
    <w:bookmarkStart w:id="4" w:name="page5"/>
    <w:bookmarkEnd w:id="4"/>
    <w:p>
      <w:pPr>
        <w:jc w:val="right"/>
        <w:ind w:right="2899"/>
        <w:spacing w:after="0"/>
        <w:rPr>
          <w:sz w:val="20"/>
          <w:szCs w:val="20"/>
          <w:color w:val="auto"/>
        </w:rPr>
      </w:pPr>
      <w:r>
        <w:rPr>
          <w:rFonts w:ascii="Courier New" w:cs="Courier New" w:eastAsia="Courier New" w:hAnsi="Courier New"/>
          <w:sz w:val="15"/>
          <w:szCs w:val="15"/>
          <w:color w:val="auto"/>
        </w:rPr>
        <w:t>EXHIBIT 99.1</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LOGO]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PRESS RELEASE</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FOR FURTHER INFORMATION</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CONTACT:</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Mike Van Handel</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Chief Financial Officer</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(414) 906-6305</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200" w:lineRule="exact"/>
        <w:rPr>
          <w:sz w:val="20"/>
          <w:szCs w:val="20"/>
          <w:color w:val="auto"/>
        </w:rPr>
      </w:pPr>
    </w:p>
    <w:p>
      <w:pPr>
        <w:spacing w:after="0" w:line="33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MANPOWER REPORTS 4TH QUARTER AND FULL-YEAR 2002 RESULTS</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MILWAUKEE, WI, USA, January 29, 2003 -- Manpower Inc. (NYSE: MAN) today reported that net income for the three months ended December 31, 2002 increased 54.9 percent to $40.1 million, or 52 cents per diluted share, from $26.0 million, or 34 cents per diluted share, a year earlier. Included in 2001 net income is $4.3 million (net of income taxes) or 5 cents per diluted share of amortization of intangible assets which are no longer amortized, as required by the new accounting rules effective January 1, 2002.</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Revenues for the fourth quarter totaled $2.8 billion, an increase of 11.9 percent from the year-earlier period. Systemwide sales were $3.1 billion. Results for the fourth quarter were positively affected by relatively stronger foreign currencies compared to the prior year period. On a constant currency basis, earnings per diluted share for the quarter were 44 cents on a 4.5 percent revenue increase.</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Jeffrey A. Joerres, Manpower Chairman and Chief Executive Officer said, "We performed well in the fourth quarter. We continued to gain traction throughout all of our major operations. France, our largest operation, performed extraordinarily well, given the economic conditions and, once again, our geographical diversification benefited our earnings.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the difficult economic environment of 2002, we improved our cash flow and strengthened our balance sheet. Equally important, we strengthened our position 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-MORE-</w:t>
      </w:r>
    </w:p>
    <w:p>
      <w:pPr>
        <w:sectPr>
          <w:pgSz w:w="11900" w:h="16838" w:orient="portrait"/>
          <w:cols w:equalWidth="0" w:num="1">
            <w:col w:w="10219"/>
          </w:cols>
          <w:pgMar w:left="240" w:top="31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MANPOWER REPORTS 4TH QUARTER AND FULL-YEAR 2002/PAGE 2</w:t>
      </w:r>
    </w:p>
    <w:p>
      <w:pPr>
        <w:spacing w:after="0" w:line="359"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the marketplace through expansion of offices in the specialty service areas, launching new services and better execution of our strategies.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"This is an exciting time for Manpower, as we are well positioned to capitalize when the economies improve. Our accomplishments in 2002 are a credit to the diligent work of the Manpower team worldwide.</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"Despite our optimism regarding 2003, we are still confronted with uncertainty in the majority of the markets where we operate. The acceleration that we experienced at the end of the third quarter and the beginning of the fourth quarter has slowed somewhat, which necessitates that we approach the first quarter of 2003, and potentially more of the year, with caution. We anticipate earnings per share for the first quarter of 2003 in the range of 16 to 20 cents. This includes an estimated favorable currency impact of 5 cents," Joerres said.</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Net income for the year ended December 31, 2002 totaled $113.2 million or $1.46 per diluted share, down 9.1 percent from $124.5 million, or $1.62 per diluted share in 2001. Included in 2001 net income is $14.8 million (net of income taxes) or 19 cents per diluted share of amortization of intangible assets. Revenues for the year were $10.6 billion, an increase of 1.2% from the prior year. Systemwide sales were $11.8 billion. On a constant currency basis, earnings per diluted share for the year were $1.29 on a revenue decline of 2.0%.</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conjunction with its fourth quarter earnings release, Manpower will broadcast its conference call live over the Internet on January 29 at 8:00 a.m. CDT (9:00 a.m. EDT). Interested parties are invited to listen by logging on to http://investor.manpower.com.</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Manpower Inc. is a world leader in the staffing industry, providing workforce management services and solutions to customers through 3,900 offices in 63 countries. The firm annually provides employment to 2 million people worldwide and is an industry leader in employee assessment and training. Manpower also provides a range of staffing solutions, and engagement and consulting services worldwide under the subsidiary brands of Brook Street, Elan, The Empower Group and Jefferson Wells. More information on Manpower Inc. can be found at the Company's Web site, www.manpower.com, which includes a comprehensive Investor Relations section.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w:t>
      </w:r>
    </w:p>
    <w:p>
      <w:pPr>
        <w:sectPr>
          <w:pgSz w:w="11900" w:h="16838" w:orient="portrait"/>
          <w:cols w:equalWidth="0" w:num="1">
            <w:col w:w="10219"/>
          </w:cols>
          <w:pgMar w:left="240" w:top="47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MANPOWER REPORTS 4TH QUARTER AND FULL-YEAR 2002/PAGE 3</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Factors that may cause the Company's actual results to differ materially from those contained in the forward-looking statement can be found in the Company's reports filed with the SEC, including its Annual Report on Form 10-K for the year ended December 31, 2001, which information is incorporated herein by reference.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19"/>
          </w:cols>
          <w:pgMar w:left="240" w:top="647" w:right="1440" w:bottom="1440" w:gutter="0" w:footer="0" w:header="0"/>
        </w:sectPr>
      </w:pPr>
    </w:p>
    <w:bookmarkStart w:id="7" w:name="page8"/>
    <w:bookmarkEnd w:id="7"/>
    <w:p>
      <w:pPr>
        <w:ind w:left="3106"/>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Results of Operations</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ENDED</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rPr>
              <w:t>YEAR ENDED</w:t>
            </w:r>
          </w:p>
        </w:tc>
        <w:tc>
          <w:tcPr>
            <w:tcW w:w="1100" w:type="dxa"/>
            <w:vAlign w:val="bottom"/>
          </w:tcPr>
          <w:p>
            <w:pPr>
              <w:spacing w:after="0"/>
              <w:rPr>
                <w:sz w:val="14"/>
                <w:szCs w:val="14"/>
                <w:color w:val="auto"/>
              </w:rPr>
            </w:pPr>
          </w:p>
        </w:tc>
      </w:tr>
      <w:tr>
        <w:trPr>
          <w:trHeight w:val="176"/>
        </w:trPr>
        <w:tc>
          <w:tcPr>
            <w:tcW w:w="3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5"/>
                <w:szCs w:val="15"/>
                <w:color w:val="auto"/>
              </w:rPr>
            </w:pPr>
          </w:p>
        </w:tc>
      </w:tr>
      <w:tr>
        <w:trPr>
          <w:trHeight w:val="176"/>
        </w:trPr>
        <w:tc>
          <w:tcPr>
            <w:tcW w:w="342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60" w:type="dxa"/>
            <w:vAlign w:val="bottom"/>
            <w:gridSpan w:val="3"/>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7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50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VARIANCE</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2002</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2001</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VARIANCE</w:t>
            </w:r>
          </w:p>
        </w:tc>
      </w:tr>
      <w:tr>
        <w:trPr>
          <w:trHeight w:val="176"/>
        </w:trPr>
        <w:tc>
          <w:tcPr>
            <w:tcW w:w="342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60" w:type="dxa"/>
            <w:vAlign w:val="bottom"/>
            <w:gridSpan w:val="3"/>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Systemwide sales (unaudited) (a)</w:t>
            </w:r>
          </w:p>
        </w:tc>
        <w:tc>
          <w:tcPr>
            <w:tcW w:w="17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$ 3,149.3</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$ 2,823.7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$ 11,764.9</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$ 11,779.1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 from services</w:t>
            </w:r>
          </w:p>
        </w:tc>
        <w:tc>
          <w:tcPr>
            <w:tcW w:w="840" w:type="dxa"/>
            <w:vAlign w:val="bottom"/>
          </w:tcPr>
          <w:p>
            <w:pPr>
              <w:spacing w:after="0"/>
              <w:rPr>
                <w:sz w:val="14"/>
                <w:szCs w:val="1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2,838.1</w:t>
            </w:r>
          </w:p>
        </w:tc>
        <w:tc>
          <w:tcPr>
            <w:tcW w:w="320" w:type="dxa"/>
            <w:vAlign w:val="bottom"/>
          </w:tcPr>
          <w:p>
            <w:pPr>
              <w:spacing w:after="0"/>
              <w:rPr>
                <w:sz w:val="14"/>
                <w:szCs w:val="1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2,536.4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w:t>
            </w:r>
          </w:p>
        </w:tc>
        <w:tc>
          <w:tcPr>
            <w:tcW w:w="600" w:type="dxa"/>
            <w:vAlign w:val="bottom"/>
          </w:tcPr>
          <w:p>
            <w:pPr>
              <w:spacing w:after="0"/>
              <w:rPr>
                <w:sz w:val="14"/>
                <w:szCs w:val="1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10,610.9</w:t>
            </w:r>
          </w:p>
        </w:tc>
        <w:tc>
          <w:tcPr>
            <w:tcW w:w="320" w:type="dxa"/>
            <w:vAlign w:val="bottom"/>
          </w:tcPr>
          <w:p>
            <w:pPr>
              <w:spacing w:after="0"/>
              <w:rPr>
                <w:sz w:val="14"/>
                <w:szCs w:val="1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10,483.8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8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2,322.4</w:t>
            </w:r>
          </w:p>
        </w:tc>
        <w:tc>
          <w:tcPr>
            <w:tcW w:w="320" w:type="dxa"/>
            <w:vAlign w:val="bottom"/>
          </w:tcPr>
          <w:p>
            <w:pPr>
              <w:spacing w:after="0"/>
              <w:rPr>
                <w:sz w:val="15"/>
                <w:szCs w:val="15"/>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2,057.5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w:t>
            </w:r>
          </w:p>
        </w:tc>
        <w:tc>
          <w:tcPr>
            <w:tcW w:w="60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8,700.5</w:t>
            </w:r>
          </w:p>
        </w:tc>
        <w:tc>
          <w:tcPr>
            <w:tcW w:w="32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8,527.3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6"/>
        </w:trPr>
        <w:tc>
          <w:tcPr>
            <w:tcW w:w="3560" w:type="dxa"/>
            <w:vAlign w:val="bottom"/>
          </w:tcPr>
          <w:p>
            <w:pPr>
              <w:spacing w:after="0"/>
              <w:rPr>
                <w:sz w:val="15"/>
                <w:szCs w:val="15"/>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3"/>
              </w:rPr>
              <w: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515.7</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478.9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1,910.4</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1,956.5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428.6</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424.6</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1,675.6</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1,718.9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3560" w:type="dxa"/>
            <w:vAlign w:val="bottom"/>
          </w:tcPr>
          <w:p>
            <w:pPr>
              <w:spacing w:after="0"/>
              <w:rPr>
                <w:sz w:val="15"/>
                <w:szCs w:val="15"/>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3"/>
              </w:rPr>
              <w: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Operating profit</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87.1</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54.3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59.8%</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234.8</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237.6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46.8</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6"/>
        </w:trPr>
        <w:tc>
          <w:tcPr>
            <w:tcW w:w="3560" w:type="dxa"/>
            <w:vAlign w:val="bottom"/>
          </w:tcPr>
          <w:p>
            <w:pPr>
              <w:spacing w:after="0"/>
              <w:rPr>
                <w:sz w:val="15"/>
                <w:szCs w:val="15"/>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3"/>
              </w:rPr>
              <w: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Earnings before income taxes</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69.2</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43.9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57.8%</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188.0</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197.9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29.1</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17.9</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74.8</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6"/>
        </w:trPr>
        <w:tc>
          <w:tcPr>
            <w:tcW w:w="3560" w:type="dxa"/>
            <w:vAlign w:val="bottom"/>
          </w:tcPr>
          <w:p>
            <w:pPr>
              <w:spacing w:after="0"/>
              <w:rPr>
                <w:sz w:val="15"/>
                <w:szCs w:val="15"/>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3"/>
              </w:rPr>
              <w:t>--------------------------</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Net earnings</w:t>
            </w:r>
          </w:p>
        </w:tc>
        <w:tc>
          <w:tcPr>
            <w:tcW w:w="8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26.0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124.5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6"/>
        </w:trPr>
        <w:tc>
          <w:tcPr>
            <w:tcW w:w="3560" w:type="dxa"/>
            <w:vAlign w:val="bottom"/>
          </w:tcPr>
          <w:p>
            <w:pPr>
              <w:spacing w:after="0"/>
              <w:rPr>
                <w:sz w:val="15"/>
                <w:szCs w:val="15"/>
                <w:color w:val="auto"/>
              </w:rPr>
            </w:pPr>
          </w:p>
        </w:tc>
        <w:tc>
          <w:tcPr>
            <w:tcW w:w="304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705"/>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earnings per share - basic</w:t>
            </w:r>
          </w:p>
        </w:tc>
        <w:tc>
          <w:tcPr>
            <w:tcW w:w="8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0.34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6"/>
        </w:trPr>
        <w:tc>
          <w:tcPr>
            <w:tcW w:w="3560" w:type="dxa"/>
            <w:vAlign w:val="bottom"/>
          </w:tcPr>
          <w:p>
            <w:pPr>
              <w:spacing w:after="0"/>
              <w:rPr>
                <w:sz w:val="15"/>
                <w:szCs w:val="15"/>
                <w:color w:val="auto"/>
              </w:rPr>
            </w:pPr>
          </w:p>
        </w:tc>
        <w:tc>
          <w:tcPr>
            <w:tcW w:w="304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8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0.34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6"/>
        </w:trPr>
        <w:tc>
          <w:tcPr>
            <w:tcW w:w="3560" w:type="dxa"/>
            <w:vAlign w:val="bottom"/>
          </w:tcPr>
          <w:p>
            <w:pPr>
              <w:spacing w:after="0"/>
              <w:rPr>
                <w:sz w:val="15"/>
                <w:szCs w:val="15"/>
                <w:color w:val="auto"/>
              </w:rPr>
            </w:pPr>
          </w:p>
        </w:tc>
        <w:tc>
          <w:tcPr>
            <w:tcW w:w="304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529"/>
        </w:trPr>
        <w:tc>
          <w:tcPr>
            <w:tcW w:w="3560" w:type="dxa"/>
            <w:vAlign w:val="bottom"/>
          </w:tcPr>
          <w:p>
            <w:pPr>
              <w:spacing w:after="0"/>
              <w:rPr>
                <w:sz w:val="20"/>
                <w:szCs w:val="20"/>
                <w:color w:val="auto"/>
              </w:rPr>
            </w:pPr>
            <w:r>
              <w:rPr>
                <w:rFonts w:ascii="Courier New" w:cs="Courier New" w:eastAsia="Courier New" w:hAnsi="Courier New"/>
                <w:sz w:val="15"/>
                <w:szCs w:val="15"/>
                <w:color w:val="auto"/>
              </w:rPr>
              <w:t>Weighted average shares - basic</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76.9</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76.0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76.4</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75.9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76"/>
        </w:trPr>
        <w:tc>
          <w:tcPr>
            <w:tcW w:w="3560" w:type="dxa"/>
            <w:vAlign w:val="bottom"/>
          </w:tcPr>
          <w:p>
            <w:pPr>
              <w:spacing w:after="0"/>
              <w:rPr>
                <w:sz w:val="15"/>
                <w:szCs w:val="15"/>
                <w:color w:val="auto"/>
              </w:rPr>
            </w:pPr>
          </w:p>
        </w:tc>
        <w:tc>
          <w:tcPr>
            <w:tcW w:w="304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Weighted average shares - diluted</w:t>
            </w:r>
          </w:p>
        </w:tc>
        <w:tc>
          <w:tcPr>
            <w:tcW w:w="84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77.6</w:t>
            </w:r>
          </w:p>
        </w:tc>
        <w:tc>
          <w:tcPr>
            <w:tcW w:w="320" w:type="dxa"/>
            <w:vAlign w:val="bottom"/>
          </w:tcPr>
          <w:p>
            <w:pPr>
              <w:spacing w:after="0"/>
              <w:rPr>
                <w:sz w:val="24"/>
                <w:szCs w:val="24"/>
                <w:color w:val="auto"/>
              </w:rPr>
            </w:pP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77.0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c>
          <w:tcPr>
            <w:tcW w:w="600" w:type="dxa"/>
            <w:vAlign w:val="bottom"/>
          </w:tcPr>
          <w:p>
            <w:pPr>
              <w:spacing w:after="0"/>
              <w:rPr>
                <w:sz w:val="24"/>
                <w:szCs w:val="2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77.7</w:t>
            </w:r>
          </w:p>
        </w:tc>
        <w:tc>
          <w:tcPr>
            <w:tcW w:w="320" w:type="dxa"/>
            <w:vAlign w:val="bottom"/>
          </w:tcPr>
          <w:p>
            <w:pPr>
              <w:spacing w:after="0"/>
              <w:rPr>
                <w:sz w:val="24"/>
                <w:szCs w:val="24"/>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r>
      <w:tr>
        <w:trPr>
          <w:trHeight w:val="176"/>
        </w:trPr>
        <w:tc>
          <w:tcPr>
            <w:tcW w:w="3560" w:type="dxa"/>
            <w:vAlign w:val="bottom"/>
          </w:tcPr>
          <w:p>
            <w:pPr>
              <w:spacing w:after="0"/>
              <w:rPr>
                <w:sz w:val="15"/>
                <w:szCs w:val="15"/>
                <w:color w:val="auto"/>
              </w:rPr>
            </w:pPr>
          </w:p>
        </w:tc>
        <w:tc>
          <w:tcPr>
            <w:tcW w:w="304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3020" w:type="dxa"/>
            <w:vAlign w:val="bottom"/>
            <w:gridSpan w:val="4"/>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466" w:right="4200" w:hanging="466"/>
        <w:spacing w:after="0" w:line="250"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Systemwide sales includes sales of the Company-owned branch offices as well as its franchise offices.</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6"/>
          </w:cols>
          <w:pgMar w:left="234" w:top="470" w:right="139" w:bottom="1440" w:gutter="0" w:footer="0" w:header="0"/>
        </w:sectPr>
      </w:pPr>
    </w:p>
    <w:bookmarkStart w:id="8" w:name="page9"/>
    <w:bookmarkEnd w:id="8"/>
    <w:p>
      <w:pPr>
        <w:ind w:left="3106"/>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Operating Unit Results</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(In millions)</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81"/>
        </w:trPr>
        <w:tc>
          <w:tcPr>
            <w:tcW w:w="2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c>
          <w:tcPr>
            <w:tcW w:w="1180" w:type="dxa"/>
            <w:vAlign w:val="bottom"/>
          </w:tcPr>
          <w:p>
            <w:pPr>
              <w:spacing w:after="0"/>
              <w:rPr>
                <w:sz w:val="24"/>
                <w:szCs w:val="24"/>
                <w:color w:val="auto"/>
              </w:rPr>
            </w:pPr>
          </w:p>
        </w:tc>
      </w:tr>
      <w:tr>
        <w:trPr>
          <w:trHeight w:val="176"/>
        </w:trPr>
        <w:tc>
          <w:tcPr>
            <w:tcW w:w="2920" w:type="dxa"/>
            <w:vAlign w:val="bottom"/>
          </w:tcPr>
          <w:p>
            <w:pPr>
              <w:spacing w:after="0"/>
              <w:rPr>
                <w:sz w:val="15"/>
                <w:szCs w:val="15"/>
                <w:color w:val="auto"/>
              </w:rPr>
            </w:pPr>
          </w:p>
        </w:tc>
        <w:tc>
          <w:tcPr>
            <w:tcW w:w="6600" w:type="dxa"/>
            <w:vAlign w:val="bottom"/>
            <w:gridSpan w:val="6"/>
          </w:tcPr>
          <w:p>
            <w:pPr>
              <w:ind w:left="15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 VARIANCE</w:t>
            </w:r>
          </w:p>
        </w:tc>
      </w:tr>
      <w:tr>
        <w:trPr>
          <w:trHeight w:val="176"/>
        </w:trPr>
        <w:tc>
          <w:tcPr>
            <w:tcW w:w="2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CONSTANT</w:t>
            </w:r>
          </w:p>
        </w:tc>
      </w:tr>
      <w:tr>
        <w:trPr>
          <w:trHeight w:val="176"/>
        </w:trPr>
        <w:tc>
          <w:tcPr>
            <w:tcW w:w="2920" w:type="dxa"/>
            <w:vAlign w:val="bottom"/>
          </w:tcPr>
          <w:p>
            <w:pPr>
              <w:spacing w:after="0"/>
              <w:rPr>
                <w:sz w:val="15"/>
                <w:szCs w:val="15"/>
                <w:color w:val="auto"/>
              </w:rPr>
            </w:pPr>
          </w:p>
        </w:tc>
        <w:tc>
          <w:tcPr>
            <w:tcW w:w="3080" w:type="dxa"/>
            <w:vAlign w:val="bottom"/>
            <w:gridSpan w:val="2"/>
          </w:tcPr>
          <w:p>
            <w:pPr>
              <w:ind w:left="2020"/>
              <w:spacing w:after="0"/>
              <w:rPr>
                <w:sz w:val="20"/>
                <w:szCs w:val="20"/>
                <w:color w:val="auto"/>
              </w:rPr>
            </w:pPr>
            <w:r>
              <w:rPr>
                <w:rFonts w:ascii="Courier New" w:cs="Courier New" w:eastAsia="Courier New" w:hAnsi="Courier New"/>
                <w:sz w:val="15"/>
                <w:szCs w:val="15"/>
                <w:color w:val="auto"/>
              </w:rPr>
              <w:t>2002</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REPORTED</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CURRENCY</w:t>
            </w:r>
          </w:p>
        </w:tc>
      </w:tr>
      <w:tr>
        <w:trPr>
          <w:trHeight w:val="176"/>
        </w:trPr>
        <w:tc>
          <w:tcPr>
            <w:tcW w:w="2920" w:type="dxa"/>
            <w:vAlign w:val="bottom"/>
          </w:tcPr>
          <w:p>
            <w:pPr>
              <w:spacing w:after="0"/>
              <w:rPr>
                <w:sz w:val="15"/>
                <w:szCs w:val="15"/>
                <w:color w:val="auto"/>
              </w:rPr>
            </w:pPr>
          </w:p>
        </w:tc>
        <w:tc>
          <w:tcPr>
            <w:tcW w:w="6600" w:type="dxa"/>
            <w:vAlign w:val="bottom"/>
            <w:gridSpan w:val="6"/>
          </w:tcPr>
          <w:p>
            <w:pPr>
              <w:ind w:left="15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(Unaudited)</w:t>
            </w:r>
          </w:p>
        </w:tc>
      </w:tr>
      <w:tr>
        <w:trPr>
          <w:trHeight w:val="352"/>
        </w:trPr>
        <w:tc>
          <w:tcPr>
            <w:tcW w:w="292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States (a)</w:t>
            </w:r>
          </w:p>
        </w:tc>
        <w:tc>
          <w:tcPr>
            <w:tcW w:w="216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495.0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451.2</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1,034.5</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887.1</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373.3</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361.0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Europe</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560.7</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483.3</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374.6</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353.8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w:t>
            </w: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30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$ 2,838.1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2,536.4</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w:t>
            </w: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2"/>
        </w:trPr>
        <w:tc>
          <w:tcPr>
            <w:tcW w:w="292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216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2611.3%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2611.3%</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48.1</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Europe</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25.7</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46.1%</w:t>
            </w: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97.0</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69.2</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Operating profit</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87.1</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54.3</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Interest and other expense (b)</w:t>
            </w:r>
          </w:p>
        </w:tc>
        <w:tc>
          <w:tcPr>
            <w:tcW w:w="216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17.9</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taxes</w:t>
            </w:r>
          </w:p>
        </w:tc>
        <w:tc>
          <w:tcPr>
            <w:tcW w:w="2160" w:type="dxa"/>
            <w:vAlign w:val="bottom"/>
          </w:tcPr>
          <w:p>
            <w:pPr>
              <w:ind w:left="20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69.2</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43.9</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466" w:right="2979" w:hanging="466"/>
        <w:spacing w:after="0" w:line="249" w:lineRule="auto"/>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Systemwide sales (unaudited) in the United States, which includes sales of the Company-owned branch offices as well as its franchise offices were $743.4 and $694.6 for the three months ended December 31, 2002 and 2001, respectively.</w:t>
      </w:r>
    </w:p>
    <w:p>
      <w:pPr>
        <w:spacing w:after="0" w:line="175"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interest and other expense (income) were:</w:t>
      </w:r>
    </w:p>
    <w:p>
      <w:pPr>
        <w:spacing w:after="0" w:line="200" w:lineRule="exact"/>
        <w:rPr>
          <w:sz w:val="20"/>
          <w:szCs w:val="20"/>
          <w:color w:val="auto"/>
        </w:rPr>
      </w:pPr>
    </w:p>
    <w:p>
      <w:pPr>
        <w:spacing w:after="0" w:line="335"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$ 10.5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$ 10.9</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9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Foreign exchange (gains) losses</w:t>
            </w:r>
          </w:p>
        </w:tc>
        <w:tc>
          <w:tcPr>
            <w:tcW w:w="19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Loss on sale of accounts receivable</w:t>
            </w: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r>
      <w:tr>
        <w:trPr>
          <w:trHeight w:val="176"/>
        </w:trPr>
        <w:tc>
          <w:tcPr>
            <w:tcW w:w="3480" w:type="dxa"/>
            <w:vAlign w:val="bottom"/>
          </w:tcPr>
          <w:p>
            <w:pPr>
              <w:spacing w:after="0"/>
              <w:rPr>
                <w:sz w:val="15"/>
                <w:szCs w:val="15"/>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$ 17.9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$ 10.4</w:t>
            </w:r>
          </w:p>
        </w:tc>
      </w:tr>
      <w:tr>
        <w:trPr>
          <w:trHeight w:val="176"/>
        </w:trPr>
        <w:tc>
          <w:tcPr>
            <w:tcW w:w="3480" w:type="dxa"/>
            <w:vAlign w:val="bottom"/>
          </w:tcPr>
          <w:p>
            <w:pPr>
              <w:spacing w:after="0"/>
              <w:rPr>
                <w:sz w:val="15"/>
                <w:szCs w:val="15"/>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3480" w:type="dxa"/>
            <w:vAlign w:val="bottom"/>
          </w:tcPr>
          <w:p>
            <w:pPr>
              <w:ind w:left="2840"/>
              <w:spacing w:after="0"/>
              <w:rPr>
                <w:sz w:val="20"/>
                <w:szCs w:val="20"/>
                <w:color w:val="auto"/>
              </w:rPr>
            </w:pPr>
            <w:r>
              <w:rPr>
                <w:rFonts w:ascii="Courier New" w:cs="Courier New" w:eastAsia="Courier New" w:hAnsi="Courier New"/>
                <w:sz w:val="15"/>
                <w:szCs w:val="15"/>
                <w:color w:val="auto"/>
              </w:rPr>
              <w:t>5</w:t>
            </w: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25"/>
          </w:cols>
          <w:pgMar w:left="234" w:top="823" w:right="1440" w:bottom="1440" w:gutter="0" w:footer="0" w:header="0"/>
        </w:sectPr>
      </w:pPr>
    </w:p>
    <w:bookmarkStart w:id="9" w:name="page10"/>
    <w:bookmarkEnd w:id="9"/>
    <w:p>
      <w:pPr>
        <w:ind w:left="3106"/>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Operating Unit Results</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(In millions)</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81"/>
        </w:trPr>
        <w:tc>
          <w:tcPr>
            <w:tcW w:w="2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80" w:type="dxa"/>
            <w:vAlign w:val="bottom"/>
            <w:gridSpan w:val="3"/>
          </w:tcPr>
          <w:p>
            <w:pPr>
              <w:jc w:val="right"/>
              <w:ind w:right="304"/>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spacing w:after="0"/>
              <w:rPr>
                <w:sz w:val="24"/>
                <w:szCs w:val="24"/>
                <w:color w:val="auto"/>
              </w:rPr>
            </w:pPr>
          </w:p>
        </w:tc>
      </w:tr>
      <w:tr>
        <w:trPr>
          <w:trHeight w:val="176"/>
        </w:trPr>
        <w:tc>
          <w:tcPr>
            <w:tcW w:w="2920" w:type="dxa"/>
            <w:vAlign w:val="bottom"/>
          </w:tcPr>
          <w:p>
            <w:pPr>
              <w:spacing w:after="0"/>
              <w:rPr>
                <w:sz w:val="15"/>
                <w:szCs w:val="15"/>
                <w:color w:val="auto"/>
              </w:rPr>
            </w:pPr>
          </w:p>
        </w:tc>
        <w:tc>
          <w:tcPr>
            <w:tcW w:w="6700" w:type="dxa"/>
            <w:vAlign w:val="bottom"/>
            <w:gridSpan w:val="6"/>
          </w:tcPr>
          <w:p>
            <w:pPr>
              <w:ind w:left="15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gridSpan w:val="2"/>
          </w:tcPr>
          <w:p>
            <w:pPr>
              <w:jc w:val="right"/>
              <w:ind w:right="764"/>
              <w:spacing w:after="0"/>
              <w:rPr>
                <w:sz w:val="20"/>
                <w:szCs w:val="20"/>
                <w:color w:val="auto"/>
              </w:rPr>
            </w:pPr>
            <w:r>
              <w:rPr>
                <w:rFonts w:ascii="Courier New" w:cs="Courier New" w:eastAsia="Courier New" w:hAnsi="Courier New"/>
                <w:sz w:val="15"/>
                <w:szCs w:val="15"/>
                <w:color w:val="auto"/>
              </w:rPr>
              <w:t>% VARIANCE</w:t>
            </w:r>
          </w:p>
        </w:tc>
      </w:tr>
      <w:tr>
        <w:trPr>
          <w:trHeight w:val="176"/>
        </w:trPr>
        <w:tc>
          <w:tcPr>
            <w:tcW w:w="2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CONSTANT</w:t>
            </w:r>
          </w:p>
        </w:tc>
      </w:tr>
      <w:tr>
        <w:trPr>
          <w:trHeight w:val="176"/>
        </w:trPr>
        <w:tc>
          <w:tcPr>
            <w:tcW w:w="2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2002</w:t>
            </w:r>
          </w:p>
        </w:tc>
        <w:tc>
          <w:tcPr>
            <w:tcW w:w="360" w:type="dxa"/>
            <w:vAlign w:val="bottom"/>
          </w:tcPr>
          <w:p>
            <w:pPr>
              <w:spacing w:after="0"/>
              <w:rPr>
                <w:sz w:val="15"/>
                <w:szCs w:val="15"/>
                <w:color w:val="auto"/>
              </w:rPr>
            </w:pP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REPORTED</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CURRENCY</w:t>
            </w:r>
          </w:p>
        </w:tc>
      </w:tr>
      <w:tr>
        <w:trPr>
          <w:trHeight w:val="176"/>
        </w:trPr>
        <w:tc>
          <w:tcPr>
            <w:tcW w:w="2920" w:type="dxa"/>
            <w:vAlign w:val="bottom"/>
          </w:tcPr>
          <w:p>
            <w:pPr>
              <w:spacing w:after="0"/>
              <w:rPr>
                <w:sz w:val="15"/>
                <w:szCs w:val="15"/>
                <w:color w:val="auto"/>
              </w:rPr>
            </w:pPr>
          </w:p>
        </w:tc>
        <w:tc>
          <w:tcPr>
            <w:tcW w:w="6700" w:type="dxa"/>
            <w:vAlign w:val="bottom"/>
            <w:gridSpan w:val="6"/>
          </w:tcPr>
          <w:p>
            <w:pPr>
              <w:ind w:left="15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92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States (a)</w:t>
            </w:r>
          </w:p>
        </w:tc>
        <w:tc>
          <w:tcPr>
            <w:tcW w:w="2020" w:type="dxa"/>
            <w:vAlign w:val="bottom"/>
          </w:tcPr>
          <w:p>
            <w:pPr>
              <w:ind w:left="19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2,003.4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3,848.2</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3,766.4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1,394.0</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1,489.3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Europe</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2,040.9</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1,939.4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1,416.4</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1,285.3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w:t>
            </w: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29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$ 10,610.9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10,483.8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2"/>
        </w:trPr>
        <w:tc>
          <w:tcPr>
            <w:tcW w:w="292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2020" w:type="dxa"/>
            <w:vAlign w:val="bottom"/>
          </w:tcPr>
          <w:p>
            <w:pPr>
              <w:ind w:left="19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143.6</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-55.9%</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Europe</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-33.7%</w:t>
            </w: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275.7</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294.5</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40.8</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Operating profit</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234.8</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Interest and other expense (b)</w:t>
            </w:r>
          </w:p>
        </w:tc>
        <w:tc>
          <w:tcPr>
            <w:tcW w:w="20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taxes</w:t>
            </w:r>
          </w:p>
        </w:tc>
        <w:tc>
          <w:tcPr>
            <w:tcW w:w="2020" w:type="dxa"/>
            <w:vAlign w:val="bottom"/>
          </w:tcPr>
          <w:p>
            <w:pPr>
              <w:ind w:left="19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197.9</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422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6" w:right="2979" w:hanging="466"/>
        <w:spacing w:after="0" w:line="249"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Systemwide sales (unaudited) in the United States, which includes sales of the Company-owned branch offices as well as its franchise offices were $2,905.5 and $3,114.8 for the year ended December 31, 2002 and 2001, respectively.</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interest and other expense (income) were:</w:t>
      </w:r>
    </w:p>
    <w:p>
      <w:pPr>
        <w:spacing w:after="0" w:line="200" w:lineRule="exact"/>
        <w:rPr>
          <w:sz w:val="20"/>
          <w:szCs w:val="20"/>
          <w:color w:val="auto"/>
        </w:rPr>
      </w:pPr>
    </w:p>
    <w:p>
      <w:pPr>
        <w:spacing w:after="0" w:line="335"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$ 42.4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$ 39.1</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9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Foreign exchange (gains) losses</w:t>
            </w:r>
          </w:p>
        </w:tc>
        <w:tc>
          <w:tcPr>
            <w:tcW w:w="19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Loss on sale of accounts receivable</w:t>
            </w: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14.8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w:t>
            </w:r>
          </w:p>
        </w:tc>
      </w:tr>
      <w:tr>
        <w:trPr>
          <w:trHeight w:val="176"/>
        </w:trPr>
        <w:tc>
          <w:tcPr>
            <w:tcW w:w="3480" w:type="dxa"/>
            <w:vAlign w:val="bottom"/>
          </w:tcPr>
          <w:p>
            <w:pPr>
              <w:spacing w:after="0"/>
              <w:rPr>
                <w:sz w:val="15"/>
                <w:szCs w:val="15"/>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9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$ 46.8</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$ 39.7</w:t>
            </w:r>
          </w:p>
        </w:tc>
      </w:tr>
      <w:tr>
        <w:trPr>
          <w:trHeight w:val="176"/>
        </w:trPr>
        <w:tc>
          <w:tcPr>
            <w:tcW w:w="3480" w:type="dxa"/>
            <w:vAlign w:val="bottom"/>
          </w:tcPr>
          <w:p>
            <w:pPr>
              <w:spacing w:after="0"/>
              <w:rPr>
                <w:sz w:val="15"/>
                <w:szCs w:val="15"/>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3480" w:type="dxa"/>
            <w:vAlign w:val="bottom"/>
          </w:tcPr>
          <w:p>
            <w:pPr>
              <w:ind w:left="2840"/>
              <w:spacing w:after="0"/>
              <w:rPr>
                <w:sz w:val="20"/>
                <w:szCs w:val="20"/>
                <w:color w:val="auto"/>
              </w:rPr>
            </w:pPr>
            <w:r>
              <w:rPr>
                <w:rFonts w:ascii="Courier New" w:cs="Courier New" w:eastAsia="Courier New" w:hAnsi="Courier New"/>
                <w:sz w:val="15"/>
                <w:szCs w:val="15"/>
                <w:color w:val="auto"/>
              </w:rPr>
              <w:t>6</w:t>
            </w: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25"/>
          </w:cols>
          <w:pgMar w:left="234" w:top="647" w:right="1440" w:bottom="1440" w:gutter="0" w:footer="0" w:header="0"/>
        </w:sectPr>
      </w:pPr>
    </w:p>
    <w:bookmarkStart w:id="10" w:name="page11"/>
    <w:bookmarkEnd w:id="10"/>
    <w:p>
      <w:pPr>
        <w:jc w:val="center"/>
        <w:ind w:right="2793"/>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Restated Operating Unit Results</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DECEMBER 31</w:t>
            </w:r>
          </w:p>
        </w:tc>
        <w:tc>
          <w:tcPr>
            <w:tcW w:w="118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6040" w:type="dxa"/>
            <w:vAlign w:val="bottom"/>
            <w:gridSpan w:val="6"/>
          </w:tcPr>
          <w:p>
            <w:pPr>
              <w:ind w:left="1000"/>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 VARIANCE</w:t>
            </w:r>
          </w:p>
        </w:tc>
      </w:tr>
      <w:tr>
        <w:trPr>
          <w:trHeight w:val="176"/>
        </w:trPr>
        <w:tc>
          <w:tcPr>
            <w:tcW w:w="3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CONSTANT</w:t>
            </w:r>
          </w:p>
        </w:tc>
      </w:tr>
      <w:tr>
        <w:trPr>
          <w:trHeight w:val="176"/>
        </w:trPr>
        <w:tc>
          <w:tcPr>
            <w:tcW w:w="3480" w:type="dxa"/>
            <w:vAlign w:val="bottom"/>
          </w:tcPr>
          <w:p>
            <w:pPr>
              <w:spacing w:after="0"/>
              <w:rPr>
                <w:sz w:val="15"/>
                <w:szCs w:val="15"/>
                <w:color w:val="auto"/>
              </w:rPr>
            </w:pPr>
          </w:p>
        </w:tc>
        <w:tc>
          <w:tcPr>
            <w:tcW w:w="2520" w:type="dxa"/>
            <w:vAlign w:val="bottom"/>
            <w:gridSpan w:val="2"/>
          </w:tcPr>
          <w:p>
            <w:pPr>
              <w:ind w:left="1460"/>
              <w:spacing w:after="0"/>
              <w:rPr>
                <w:sz w:val="20"/>
                <w:szCs w:val="20"/>
                <w:color w:val="auto"/>
              </w:rPr>
            </w:pPr>
            <w:r>
              <w:rPr>
                <w:rFonts w:ascii="Courier New" w:cs="Courier New" w:eastAsia="Courier New" w:hAnsi="Courier New"/>
                <w:sz w:val="15"/>
                <w:szCs w:val="15"/>
                <w:color w:val="auto"/>
              </w:rPr>
              <w:t>2002</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REPORTED</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CURRENCY</w:t>
            </w:r>
          </w:p>
        </w:tc>
      </w:tr>
      <w:tr>
        <w:trPr>
          <w:trHeight w:val="176"/>
        </w:trPr>
        <w:tc>
          <w:tcPr>
            <w:tcW w:w="3480" w:type="dxa"/>
            <w:vAlign w:val="bottom"/>
          </w:tcPr>
          <w:p>
            <w:pPr>
              <w:spacing w:after="0"/>
              <w:rPr>
                <w:sz w:val="15"/>
                <w:szCs w:val="15"/>
                <w:color w:val="auto"/>
              </w:rPr>
            </w:pPr>
          </w:p>
        </w:tc>
        <w:tc>
          <w:tcPr>
            <w:tcW w:w="6040" w:type="dxa"/>
            <w:vAlign w:val="bottom"/>
            <w:gridSpan w:val="6"/>
          </w:tcPr>
          <w:p>
            <w:pPr>
              <w:ind w:left="1000"/>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(Unaudited)</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160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495.0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451.2</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1,034.5</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887.1</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EMEA (a)</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934.0</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844.3</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374.6</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353.8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w:t>
            </w: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25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$ 2,838.1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2,536.4</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11.9%</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w:t>
            </w: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160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2611.3%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2611.3%</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48.1</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EMEA</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26.8</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7.2%</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35.7%</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46.1%</w:t>
            </w: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92.4</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65.3</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ind w:left="360"/>
              <w:spacing w:after="0"/>
              <w:rPr>
                <w:sz w:val="20"/>
                <w:szCs w:val="20"/>
                <w:color w:val="auto"/>
              </w:rPr>
            </w:pPr>
            <w:r>
              <w:rPr>
                <w:rFonts w:ascii="Courier New" w:cs="Courier New" w:eastAsia="Courier New" w:hAnsi="Courier New"/>
                <w:sz w:val="15"/>
                <w:szCs w:val="15"/>
                <w:color w:val="auto"/>
              </w:rPr>
              <w:t>Operating profit</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87.1</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54.3</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1600" w:type="dxa"/>
            <w:vAlign w:val="bottom"/>
          </w:tcPr>
          <w:p>
            <w:pPr>
              <w:spacing w:after="0"/>
              <w:rPr>
                <w:sz w:val="15"/>
                <w:szCs w:val="15"/>
                <w:color w:val="auto"/>
              </w:rPr>
            </w:pP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17.9</w:t>
            </w:r>
          </w:p>
        </w:tc>
        <w:tc>
          <w:tcPr>
            <w:tcW w:w="36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taxes</w:t>
            </w:r>
          </w:p>
        </w:tc>
        <w:tc>
          <w:tcPr>
            <w:tcW w:w="1600" w:type="dxa"/>
            <w:vAlign w:val="bottom"/>
          </w:tcPr>
          <w:p>
            <w:pPr>
              <w:ind w:left="14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69.2</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43.9</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6" w:right="2899" w:hanging="466"/>
        <w:spacing w:after="0" w:line="249" w:lineRule="auto"/>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operations in Europe, Middle East and Africa (excluding France), which is a combination of operations historically included in segments referred to as United Kingdom and Other Europe. In addition, central costs for EMEA, which historically have been included in corporate expense are now included in the determination of operating unit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823" w:right="1440" w:bottom="1440" w:gutter="0" w:footer="0" w:header="0"/>
        </w:sectPr>
      </w:pPr>
    </w:p>
    <w:bookmarkStart w:id="11" w:name="page12"/>
    <w:bookmarkEnd w:id="11"/>
    <w:p>
      <w:pPr>
        <w:jc w:val="center"/>
        <w:ind w:right="2793"/>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Restated Operating Unit Results</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6040" w:type="dxa"/>
            <w:vAlign w:val="bottom"/>
            <w:gridSpan w:val="6"/>
          </w:tcPr>
          <w:p>
            <w:pPr>
              <w:ind w:left="1000"/>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 VARIANCE</w:t>
            </w:r>
          </w:p>
        </w:tc>
      </w:tr>
      <w:tr>
        <w:trPr>
          <w:trHeight w:val="176"/>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CONSTANT</w:t>
            </w:r>
          </w:p>
        </w:tc>
      </w:tr>
      <w:tr>
        <w:trPr>
          <w:trHeight w:val="176"/>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2002</w:t>
            </w:r>
          </w:p>
        </w:tc>
        <w:tc>
          <w:tcPr>
            <w:tcW w:w="360" w:type="dxa"/>
            <w:vAlign w:val="bottom"/>
          </w:tcPr>
          <w:p>
            <w:pPr>
              <w:spacing w:after="0"/>
              <w:rPr>
                <w:sz w:val="15"/>
                <w:szCs w:val="15"/>
                <w:color w:val="auto"/>
              </w:rPr>
            </w:pPr>
          </w:p>
        </w:tc>
        <w:tc>
          <w:tcPr>
            <w:tcW w:w="92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2001</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REPORTED</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CURRENCY</w:t>
            </w:r>
          </w:p>
        </w:tc>
      </w:tr>
      <w:tr>
        <w:trPr>
          <w:trHeight w:val="176"/>
        </w:trPr>
        <w:tc>
          <w:tcPr>
            <w:tcW w:w="3480" w:type="dxa"/>
            <w:vAlign w:val="bottom"/>
          </w:tcPr>
          <w:p>
            <w:pPr>
              <w:spacing w:after="0"/>
              <w:rPr>
                <w:sz w:val="15"/>
                <w:szCs w:val="15"/>
                <w:color w:val="auto"/>
              </w:rPr>
            </w:pPr>
          </w:p>
        </w:tc>
        <w:tc>
          <w:tcPr>
            <w:tcW w:w="6040" w:type="dxa"/>
            <w:vAlign w:val="bottom"/>
            <w:gridSpan w:val="6"/>
          </w:tcPr>
          <w:p>
            <w:pPr>
              <w:ind w:left="1000"/>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1460" w:type="dxa"/>
            <w:vAlign w:val="bottom"/>
          </w:tcPr>
          <w:p>
            <w:pPr>
              <w:ind w:left="136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1,911.4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2,003.4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3,848.2</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3,766.4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EMEA (a)</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3,434.9</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3,428.7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1,416.4</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1,285.3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14.9%</w:t>
            </w: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2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$ 10,610.9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10,483.8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United States</w:t>
            </w:r>
          </w:p>
        </w:tc>
        <w:tc>
          <w:tcPr>
            <w:tcW w:w="1460" w:type="dxa"/>
            <w:vAlign w:val="bottom"/>
          </w:tcPr>
          <w:p>
            <w:pPr>
              <w:ind w:left="136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-0.8%</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France</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143.6</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EMEA</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83.0</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-21.6%</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-27.8%</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Other Operations</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-33.7%</w:t>
            </w: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262.4</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280.1</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ind w:left="360"/>
              <w:spacing w:after="0"/>
              <w:rPr>
                <w:sz w:val="20"/>
                <w:szCs w:val="20"/>
                <w:color w:val="auto"/>
              </w:rPr>
            </w:pPr>
            <w:r>
              <w:rPr>
                <w:rFonts w:ascii="Courier New" w:cs="Courier New" w:eastAsia="Courier New" w:hAnsi="Courier New"/>
                <w:sz w:val="15"/>
                <w:szCs w:val="15"/>
                <w:color w:val="auto"/>
              </w:rPr>
              <w:t>Operating profit</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234.8</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1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w:t>
            </w:r>
          </w:p>
        </w:tc>
        <w:tc>
          <w:tcPr>
            <w:tcW w:w="3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ind w:left="360"/>
              <w:spacing w:after="0"/>
              <w:rPr>
                <w:sz w:val="20"/>
                <w:szCs w:val="20"/>
                <w:color w:val="auto"/>
              </w:rPr>
            </w:pPr>
            <w:r>
              <w:rPr>
                <w:rFonts w:ascii="Courier New" w:cs="Courier New" w:eastAsia="Courier New" w:hAnsi="Courier New"/>
                <w:sz w:val="15"/>
                <w:szCs w:val="15"/>
                <w:color w:val="auto"/>
              </w:rPr>
              <w:t>Earnings before taxes</w:t>
            </w:r>
          </w:p>
        </w:tc>
        <w:tc>
          <w:tcPr>
            <w:tcW w:w="1460" w:type="dxa"/>
            <w:vAlign w:val="bottom"/>
          </w:tcPr>
          <w:p>
            <w:pPr>
              <w:ind w:left="136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197.9</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480" w:type="dxa"/>
            <w:vAlign w:val="bottom"/>
          </w:tcPr>
          <w:p>
            <w:pPr>
              <w:spacing w:after="0"/>
              <w:rPr>
                <w:sz w:val="15"/>
                <w:szCs w:val="15"/>
                <w:color w:val="auto"/>
              </w:rPr>
            </w:pPr>
          </w:p>
        </w:tc>
        <w:tc>
          <w:tcPr>
            <w:tcW w:w="366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ind w:left="466" w:right="2899" w:hanging="466"/>
        <w:spacing w:after="0" w:line="249" w:lineRule="auto"/>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operations in Europe, Middle East and Africa (excluding France), which is a combination of operations historically included in segments referred to as United Kingdom and Other Europe. In addition, central costs for EMEA, which historically have been included in corporate expense are now included in the determination of operating unit profit.</w:t>
      </w:r>
    </w:p>
    <w:p>
      <w:pPr>
        <w:spacing w:after="0" w:line="200" w:lineRule="exact"/>
        <w:rPr>
          <w:sz w:val="20"/>
          <w:szCs w:val="20"/>
          <w:color w:val="auto"/>
        </w:rPr>
      </w:pPr>
    </w:p>
    <w:p>
      <w:pPr>
        <w:spacing w:after="0" w:line="32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823" w:right="1440" w:bottom="1440" w:gutter="0" w:footer="0" w:header="0"/>
        </w:sectPr>
      </w:pPr>
    </w:p>
    <w:bookmarkStart w:id="12" w:name="page13"/>
    <w:bookmarkEnd w:id="12"/>
    <w:p>
      <w:pPr>
        <w:jc w:val="center"/>
        <w:ind w:right="2819"/>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DEC. 31</w:t>
            </w:r>
          </w:p>
        </w:tc>
        <w:tc>
          <w:tcPr>
            <w:tcW w:w="420" w:type="dxa"/>
            <w:vAlign w:val="bottom"/>
          </w:tcPr>
          <w:p>
            <w:pPr>
              <w:spacing w:after="0"/>
              <w:rPr>
                <w:sz w:val="14"/>
                <w:szCs w:val="14"/>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DEC. 31</w:t>
            </w:r>
          </w:p>
        </w:tc>
      </w:tr>
      <w:tr>
        <w:trPr>
          <w:trHeight w:val="176"/>
        </w:trPr>
        <w:tc>
          <w:tcPr>
            <w:tcW w:w="5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spacing w:after="0"/>
              <w:rPr>
                <w:sz w:val="15"/>
                <w:szCs w:val="15"/>
                <w:color w:val="auto"/>
              </w:rPr>
            </w:pPr>
          </w:p>
        </w:tc>
        <w:tc>
          <w:tcPr>
            <w:tcW w:w="8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284.0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245.8</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2,214.2</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1,917.8</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assets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76.0</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77.0</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Future income tax benefits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79.1</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73.8</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2,653.3</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2,314.4</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Intangible assets, net</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545.7</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480.8</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licensees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60.5</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44.7</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Other assets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253.4</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204.7</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 other assets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859.6</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730.2</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Land, buildings, leasehold improvements and equipment</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533.4</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465.4</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344.6</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271.4</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Net property and equipment</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188.8</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194.0</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720"/>
              <w:spacing w:after="0"/>
              <w:rPr>
                <w:sz w:val="20"/>
                <w:szCs w:val="20"/>
                <w:color w:val="auto"/>
              </w:rPr>
            </w:pPr>
            <w:r>
              <w:rPr>
                <w:rFonts w:ascii="Courier New" w:cs="Courier New" w:eastAsia="Courier New" w:hAnsi="Courier New"/>
                <w:sz w:val="15"/>
                <w:szCs w:val="15"/>
                <w:color w:val="auto"/>
              </w:rPr>
              <w:t>Total assets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3,701.7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3,238.6</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447.0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382.1</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Employee compensation payable</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96.2</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93.2</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295.7</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234.9</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Accrued payroll taxes and insurance</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391.6</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300.8</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Value added taxes payable</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309.0</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255.9</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Short-term borrowings and current</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maturities of long-term debt</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1,562.3</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1,290.6</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799.0</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811.1</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Other long-term liabilities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340.5</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322.6</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 other liabilities</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1,139.5</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1,133.7</w:t>
            </w:r>
          </w:p>
        </w:tc>
      </w:tr>
      <w:tr>
        <w:trPr>
          <w:trHeight w:val="352"/>
        </w:trPr>
        <w:tc>
          <w:tcPr>
            <w:tcW w:w="5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0.9</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Capital in excess of par value</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1,696.2</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1,644.9</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50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(289.7)</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(387.6)</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50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(123.7)</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(190.8)</w:t>
            </w:r>
          </w:p>
        </w:tc>
      </w:tr>
      <w:tr>
        <w:trPr>
          <w:trHeight w:val="176"/>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w:t>
            </w:r>
          </w:p>
        </w:tc>
        <w:tc>
          <w:tcPr>
            <w:tcW w:w="50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(283.8)</w:t>
            </w: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(253.1)</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540"/>
              <w:spacing w:after="0"/>
              <w:rPr>
                <w:sz w:val="20"/>
                <w:szCs w:val="20"/>
                <w:color w:val="auto"/>
              </w:rPr>
            </w:pPr>
            <w:r>
              <w:rPr>
                <w:rFonts w:ascii="Courier New" w:cs="Courier New" w:eastAsia="Courier New" w:hAnsi="Courier New"/>
                <w:sz w:val="15"/>
                <w:szCs w:val="15"/>
                <w:color w:val="auto"/>
              </w:rPr>
              <w:t>Total shareholders' equity</w:t>
            </w:r>
          </w:p>
        </w:tc>
        <w:tc>
          <w:tcPr>
            <w:tcW w:w="5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999.9</w:t>
            </w:r>
          </w:p>
        </w:tc>
        <w:tc>
          <w:tcPr>
            <w:tcW w:w="4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814.3</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ind w:left="7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3,701.7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3,238.6</w:t>
            </w:r>
          </w:p>
        </w:tc>
      </w:tr>
      <w:tr>
        <w:trPr>
          <w:trHeight w:val="176"/>
        </w:trPr>
        <w:tc>
          <w:tcPr>
            <w:tcW w:w="540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881"/>
        </w:trPr>
        <w:tc>
          <w:tcPr>
            <w:tcW w:w="5400" w:type="dxa"/>
            <w:vAlign w:val="bottom"/>
          </w:tcPr>
          <w:p>
            <w:pPr>
              <w:ind w:left="3560"/>
              <w:spacing w:after="0"/>
              <w:rPr>
                <w:sz w:val="20"/>
                <w:szCs w:val="20"/>
                <w:color w:val="auto"/>
              </w:rPr>
            </w:pPr>
            <w:r>
              <w:rPr>
                <w:rFonts w:ascii="Courier New" w:cs="Courier New" w:eastAsia="Courier New" w:hAnsi="Courier New"/>
                <w:sz w:val="15"/>
                <w:szCs w:val="15"/>
                <w:color w:val="auto"/>
              </w:rPr>
              <w:t>9</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13" w:name="page14"/>
    <w:bookmarkEnd w:id="13"/>
    <w:p>
      <w:pPr>
        <w:jc w:val="center"/>
        <w:ind w:right="2819"/>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9"/>
              </w:rPr>
              <w:t>YEAR ENDED</w:t>
            </w:r>
          </w:p>
        </w:tc>
        <w:tc>
          <w:tcPr>
            <w:tcW w:w="640" w:type="dxa"/>
            <w:vAlign w:val="bottom"/>
          </w:tcPr>
          <w:p>
            <w:pPr>
              <w:spacing w:after="0"/>
              <w:rPr>
                <w:sz w:val="14"/>
                <w:szCs w:val="14"/>
                <w:color w:val="auto"/>
              </w:rPr>
            </w:pPr>
          </w:p>
        </w:tc>
      </w:tr>
      <w:tr>
        <w:trPr>
          <w:trHeight w:val="176"/>
        </w:trPr>
        <w:tc>
          <w:tcPr>
            <w:tcW w:w="5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6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00" w:type="dxa"/>
            <w:vAlign w:val="bottom"/>
          </w:tcPr>
          <w:p>
            <w:pPr>
              <w:spacing w:after="0"/>
              <w:rPr>
                <w:sz w:val="15"/>
                <w:szCs w:val="15"/>
                <w:color w:val="auto"/>
              </w:rPr>
            </w:pPr>
          </w:p>
        </w:tc>
        <w:tc>
          <w:tcPr>
            <w:tcW w:w="25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5500" w:type="dxa"/>
            <w:vAlign w:val="bottom"/>
          </w:tcPr>
          <w:p>
            <w:pPr>
              <w:spacing w:after="0"/>
              <w:rPr>
                <w:sz w:val="15"/>
                <w:szCs w:val="15"/>
                <w:color w:val="auto"/>
              </w:rPr>
            </w:pPr>
          </w:p>
        </w:tc>
        <w:tc>
          <w:tcPr>
            <w:tcW w:w="25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Net earnings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113.2</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124.5</w:t>
            </w: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earnings to net</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cash provided by operating activities: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50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65.4</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80.2</w:t>
            </w:r>
          </w:p>
        </w:tc>
      </w:tr>
      <w:tr>
        <w:trPr>
          <w:trHeight w:val="176"/>
        </w:trPr>
        <w:tc>
          <w:tcPr>
            <w:tcW w:w="5500" w:type="dxa"/>
            <w:vAlign w:val="bottom"/>
          </w:tcPr>
          <w:p>
            <w:pPr>
              <w:ind w:left="540"/>
              <w:spacing w:after="0"/>
              <w:rPr>
                <w:sz w:val="20"/>
                <w:szCs w:val="20"/>
                <w:color w:val="auto"/>
              </w:rPr>
            </w:pPr>
            <w:r>
              <w:rPr>
                <w:rFonts w:ascii="Courier New" w:cs="Courier New" w:eastAsia="Courier New" w:hAnsi="Courier New"/>
                <w:sz w:val="15"/>
                <w:szCs w:val="15"/>
                <w:color w:val="auto"/>
              </w:rPr>
              <w:t>Amortization of discount on convertible debentures</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w:t>
            </w:r>
          </w:p>
        </w:tc>
      </w:tr>
      <w:tr>
        <w:trPr>
          <w:trHeight w:val="176"/>
        </w:trPr>
        <w:tc>
          <w:tcPr>
            <w:tcW w:w="5500" w:type="dxa"/>
            <w:vAlign w:val="bottom"/>
          </w:tcPr>
          <w:p>
            <w:pPr>
              <w:ind w:left="540"/>
              <w:spacing w:after="0"/>
              <w:rPr>
                <w:sz w:val="20"/>
                <w:szCs w:val="20"/>
                <w:color w:val="auto"/>
              </w:rPr>
            </w:pPr>
            <w:r>
              <w:rPr>
                <w:rFonts w:ascii="Courier New" w:cs="Courier New" w:eastAsia="Courier New" w:hAnsi="Courier New"/>
                <w:sz w:val="15"/>
                <w:szCs w:val="15"/>
                <w:color w:val="auto"/>
              </w:rPr>
              <w:t>Deferred income taxes</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6"/>
        </w:trPr>
        <w:tc>
          <w:tcPr>
            <w:tcW w:w="5500" w:type="dxa"/>
            <w:vAlign w:val="bottom"/>
          </w:tcPr>
          <w:p>
            <w:pPr>
              <w:ind w:left="540"/>
              <w:spacing w:after="0"/>
              <w:rPr>
                <w:sz w:val="20"/>
                <w:szCs w:val="20"/>
                <w:color w:val="auto"/>
              </w:rPr>
            </w:pPr>
            <w:r>
              <w:rPr>
                <w:rFonts w:ascii="Courier New" w:cs="Courier New" w:eastAsia="Courier New" w:hAnsi="Courier New"/>
                <w:sz w:val="15"/>
                <w:szCs w:val="15"/>
                <w:color w:val="auto"/>
              </w:rPr>
              <w:t>Provision for doubtful accounts</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18.2</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w:t>
            </w:r>
          </w:p>
        </w:tc>
      </w:tr>
      <w:tr>
        <w:trPr>
          <w:trHeight w:val="176"/>
        </w:trPr>
        <w:tc>
          <w:tcPr>
            <w:tcW w:w="5500" w:type="dxa"/>
            <w:vAlign w:val="bottom"/>
          </w:tcPr>
          <w:p>
            <w:pPr>
              <w:ind w:left="5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Amounts advanced under the Receivables Facility</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(145.0)</w:t>
            </w:r>
          </w:p>
        </w:tc>
      </w:tr>
      <w:tr>
        <w:trPr>
          <w:trHeight w:val="176"/>
        </w:trPr>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Accounts receivable</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(54.4)</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217.3</w:t>
            </w:r>
          </w:p>
        </w:tc>
      </w:tr>
      <w:tr>
        <w:trPr>
          <w:trHeight w:val="176"/>
        </w:trPr>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Other assets</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41.6</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r>
      <w:tr>
        <w:trPr>
          <w:trHeight w:val="176"/>
        </w:trPr>
        <w:tc>
          <w:tcPr>
            <w:tcW w:w="5500" w:type="dxa"/>
            <w:vAlign w:val="bottom"/>
          </w:tcPr>
          <w:p>
            <w:pPr>
              <w:ind w:left="720"/>
              <w:spacing w:after="0"/>
              <w:rPr>
                <w:sz w:val="20"/>
                <w:szCs w:val="20"/>
                <w:color w:val="auto"/>
              </w:rPr>
            </w:pPr>
            <w:r>
              <w:rPr>
                <w:rFonts w:ascii="Courier New" w:cs="Courier New" w:eastAsia="Courier New" w:hAnsi="Courier New"/>
                <w:sz w:val="15"/>
                <w:szCs w:val="15"/>
                <w:color w:val="auto"/>
              </w:rPr>
              <w:t>Other liabilities</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36.8</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(91.1)</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ind w:left="920"/>
              <w:spacing w:after="0"/>
              <w:rPr>
                <w:sz w:val="20"/>
                <w:szCs w:val="20"/>
                <w:color w:val="auto"/>
              </w:rPr>
            </w:pPr>
            <w:r>
              <w:rPr>
                <w:rFonts w:ascii="Courier New" w:cs="Courier New" w:eastAsia="Courier New" w:hAnsi="Courier New"/>
                <w:sz w:val="15"/>
                <w:szCs w:val="15"/>
                <w:color w:val="auto"/>
              </w:rPr>
              <w:t>Cash provided by operating activities</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227.9</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136.0</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(58.5)</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(87.3)</w:t>
            </w: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 net of cash acquired</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(33.5)</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(295.9)</w:t>
            </w: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16.1</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ind w:left="920"/>
              <w:spacing w:after="0"/>
              <w:rPr>
                <w:sz w:val="20"/>
                <w:szCs w:val="20"/>
                <w:color w:val="auto"/>
              </w:rPr>
            </w:pPr>
            <w:r>
              <w:rPr>
                <w:rFonts w:ascii="Courier New" w:cs="Courier New" w:eastAsia="Courier New" w:hAnsi="Courier New"/>
                <w:sz w:val="15"/>
                <w:szCs w:val="15"/>
                <w:color w:val="auto"/>
              </w:rPr>
              <w:t>Cash used by investing activities</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(86.7)</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(367.1)</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Net borrowings from short-term facilities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5500" w:type="dxa"/>
            <w:vAlign w:val="bottom"/>
          </w:tcPr>
          <w:p>
            <w:pPr>
              <w:ind w:left="360"/>
              <w:spacing w:after="0"/>
              <w:rPr>
                <w:sz w:val="20"/>
                <w:szCs w:val="20"/>
                <w:color w:val="auto"/>
              </w:rPr>
            </w:pPr>
            <w:r>
              <w:rPr>
                <w:rFonts w:ascii="Courier New" w:cs="Courier New" w:eastAsia="Courier New" w:hAnsi="Courier New"/>
                <w:sz w:val="15"/>
                <w:szCs w:val="15"/>
                <w:color w:val="auto"/>
              </w:rPr>
              <w:t>and long-term debt</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(115.0)</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313.0</w:t>
            </w: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stock option and purchase plans</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w:t>
            </w: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Repurchase of common stock</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(30.7)</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6"/>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ind w:left="920"/>
              <w:spacing w:after="0"/>
              <w:rPr>
                <w:sz w:val="20"/>
                <w:szCs w:val="20"/>
                <w:color w:val="auto"/>
              </w:rPr>
            </w:pPr>
            <w:r>
              <w:rPr>
                <w:rFonts w:ascii="Courier New" w:cs="Courier New" w:eastAsia="Courier New" w:hAnsi="Courier New"/>
                <w:sz w:val="15"/>
                <w:szCs w:val="15"/>
                <w:color w:val="auto"/>
              </w:rPr>
              <w:t>Cash (used) provided by financing activities</w:t>
            </w:r>
          </w:p>
        </w:tc>
        <w:tc>
          <w:tcPr>
            <w:tcW w:w="50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(131.6)</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308.1</w:t>
            </w:r>
          </w:p>
        </w:tc>
      </w:tr>
      <w:tr>
        <w:trPr>
          <w:trHeight w:val="352"/>
        </w:trPr>
        <w:tc>
          <w:tcPr>
            <w:tcW w:w="55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500" w:type="dxa"/>
            <w:vAlign w:val="bottom"/>
          </w:tcPr>
          <w:p>
            <w:pPr>
              <w:spacing w:after="0"/>
              <w:rPr>
                <w:sz w:val="24"/>
                <w:szCs w:val="24"/>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28.6</w:t>
            </w: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50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38.2</w:t>
            </w:r>
          </w:p>
        </w:tc>
        <w:tc>
          <w:tcPr>
            <w:tcW w:w="46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64.1</w:t>
            </w:r>
          </w:p>
        </w:tc>
      </w:tr>
      <w:tr>
        <w:trPr>
          <w:trHeight w:val="35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500" w:type="dxa"/>
            <w:vAlign w:val="bottom"/>
          </w:tcPr>
          <w:p>
            <w:pPr>
              <w:spacing w:after="0"/>
              <w:rPr>
                <w:sz w:val="24"/>
                <w:szCs w:val="24"/>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245.8</w:t>
            </w:r>
          </w:p>
        </w:tc>
        <w:tc>
          <w:tcPr>
            <w:tcW w:w="46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181.7</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284.0</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245.8</w:t>
            </w:r>
          </w:p>
        </w:tc>
      </w:tr>
      <w:tr>
        <w:trPr>
          <w:trHeight w:val="176"/>
        </w:trPr>
        <w:tc>
          <w:tcPr>
            <w:tcW w:w="5500" w:type="dxa"/>
            <w:vAlign w:val="bottom"/>
          </w:tcPr>
          <w:p>
            <w:pPr>
              <w:spacing w:after="0"/>
              <w:rPr>
                <w:sz w:val="15"/>
                <w:szCs w:val="15"/>
                <w:color w:val="auto"/>
              </w:rPr>
            </w:pPr>
          </w:p>
        </w:tc>
        <w:tc>
          <w:tcPr>
            <w:tcW w:w="14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881"/>
        </w:trPr>
        <w:tc>
          <w:tcPr>
            <w:tcW w:w="5500" w:type="dxa"/>
            <w:vAlign w:val="bottom"/>
          </w:tcPr>
          <w:p>
            <w:pPr>
              <w:ind w:left="3560"/>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14" w:name="page15"/>
    <w:bookmarkEnd w:id="14"/>
    <w:p>
      <w:pPr>
        <w:ind w:left="6140"/>
        <w:spacing w:after="0"/>
        <w:rPr>
          <w:sz w:val="20"/>
          <w:szCs w:val="20"/>
          <w:color w:val="auto"/>
        </w:rPr>
      </w:pPr>
      <w:r>
        <w:rPr>
          <w:rFonts w:ascii="Courier New" w:cs="Courier New" w:eastAsia="Courier New" w:hAnsi="Courier New"/>
          <w:sz w:val="15"/>
          <w:szCs w:val="15"/>
          <w:color w:val="auto"/>
        </w:rPr>
        <w:t>EXHIBIT 99.2</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Restated Operating Unit Results</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Year Ended December 31, 2002</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First</w:t>
            </w:r>
          </w:p>
        </w:tc>
        <w:tc>
          <w:tcPr>
            <w:tcW w:w="2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320" w:type="dxa"/>
            <w:vAlign w:val="bottom"/>
          </w:tcPr>
          <w:p>
            <w:pPr>
              <w:spacing w:after="0"/>
              <w:rPr>
                <w:sz w:val="14"/>
                <w:szCs w:val="14"/>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Third</w:t>
            </w: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Fourth</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6"/>
        </w:trPr>
        <w:tc>
          <w:tcPr>
            <w:tcW w:w="316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Quarter</w:t>
            </w:r>
          </w:p>
        </w:tc>
        <w:tc>
          <w:tcPr>
            <w:tcW w:w="2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Quarter</w:t>
            </w: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Quarter</w:t>
            </w:r>
          </w:p>
        </w:tc>
        <w:tc>
          <w:tcPr>
            <w:tcW w:w="26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160" w:type="dxa"/>
            <w:vAlign w:val="bottom"/>
          </w:tcPr>
          <w:p>
            <w:pPr>
              <w:spacing w:after="0"/>
              <w:rPr>
                <w:sz w:val="15"/>
                <w:szCs w:val="15"/>
                <w:color w:val="auto"/>
              </w:rPr>
            </w:pPr>
          </w:p>
        </w:tc>
        <w:tc>
          <w:tcPr>
            <w:tcW w:w="17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 from services: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United States</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428.7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474.9</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512.8</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1,911.4</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France</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767.1</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943.3</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1,103.3</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1,034.5</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3,848.2</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EMEA</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764.2</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830.1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906.6</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934.0</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3,434.9</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Other Operations</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324.0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354.6</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363.2</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374.6</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1,416.4</w:t>
            </w:r>
          </w:p>
        </w:tc>
      </w:tr>
      <w:tr>
        <w:trPr>
          <w:trHeight w:val="176"/>
        </w:trPr>
        <w:tc>
          <w:tcPr>
            <w:tcW w:w="3160" w:type="dxa"/>
            <w:vAlign w:val="bottom"/>
          </w:tcPr>
          <w:p>
            <w:pPr>
              <w:spacing w:after="0"/>
              <w:rPr>
                <w:sz w:val="15"/>
                <w:szCs w:val="15"/>
                <w:color w:val="auto"/>
              </w:rPr>
            </w:pPr>
          </w:p>
        </w:tc>
        <w:tc>
          <w:tcPr>
            <w:tcW w:w="63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15"/>
                <w:szCs w:val="15"/>
                <w:color w:val="auto"/>
              </w:rPr>
            </w:pPr>
          </w:p>
        </w:tc>
        <w:tc>
          <w:tcPr>
            <w:tcW w:w="17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$2,284.0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2,602.9</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2,885.9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2,838.1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10,610.9</w:t>
            </w:r>
          </w:p>
        </w:tc>
      </w:tr>
      <w:tr>
        <w:trPr>
          <w:trHeight w:val="176"/>
        </w:trPr>
        <w:tc>
          <w:tcPr>
            <w:tcW w:w="3160" w:type="dxa"/>
            <w:vAlign w:val="bottom"/>
          </w:tcPr>
          <w:p>
            <w:pPr>
              <w:spacing w:after="0"/>
              <w:rPr>
                <w:sz w:val="15"/>
                <w:szCs w:val="15"/>
                <w:color w:val="auto"/>
              </w:rPr>
            </w:pPr>
          </w:p>
        </w:tc>
        <w:tc>
          <w:tcPr>
            <w:tcW w:w="63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United States</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France</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22.2</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32.7</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40.6</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48.1</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143.6</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EMEA</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16.7</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28.5</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26.8</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83.0</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Other Operations</w:t>
            </w:r>
          </w:p>
        </w:tc>
        <w:tc>
          <w:tcPr>
            <w:tcW w:w="8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r>
      <w:tr>
        <w:trPr>
          <w:trHeight w:val="176"/>
        </w:trPr>
        <w:tc>
          <w:tcPr>
            <w:tcW w:w="3160" w:type="dxa"/>
            <w:vAlign w:val="bottom"/>
          </w:tcPr>
          <w:p>
            <w:pPr>
              <w:spacing w:after="0"/>
              <w:rPr>
                <w:sz w:val="15"/>
                <w:szCs w:val="15"/>
                <w:color w:val="auto"/>
              </w:rPr>
            </w:pPr>
          </w:p>
        </w:tc>
        <w:tc>
          <w:tcPr>
            <w:tcW w:w="63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59.3</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84.2</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92.4</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262.4</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r>
      <w:tr>
        <w:trPr>
          <w:trHeight w:val="176"/>
        </w:trPr>
        <w:tc>
          <w:tcPr>
            <w:tcW w:w="3160" w:type="dxa"/>
            <w:vAlign w:val="bottom"/>
          </w:tcPr>
          <w:p>
            <w:pPr>
              <w:spacing w:after="0"/>
              <w:rPr>
                <w:sz w:val="15"/>
                <w:szCs w:val="15"/>
                <w:color w:val="auto"/>
              </w:rPr>
            </w:pPr>
          </w:p>
        </w:tc>
        <w:tc>
          <w:tcPr>
            <w:tcW w:w="63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Operating profit</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51.8</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77.2</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87.1</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234.8</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8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w:t>
            </w:r>
          </w:p>
        </w:tc>
        <w:tc>
          <w:tcPr>
            <w:tcW w:w="2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46.8</w:t>
            </w:r>
          </w:p>
        </w:tc>
      </w:tr>
      <w:tr>
        <w:trPr>
          <w:trHeight w:val="176"/>
        </w:trPr>
        <w:tc>
          <w:tcPr>
            <w:tcW w:w="3160" w:type="dxa"/>
            <w:vAlign w:val="bottom"/>
          </w:tcPr>
          <w:p>
            <w:pPr>
              <w:spacing w:after="0"/>
              <w:rPr>
                <w:sz w:val="15"/>
                <w:szCs w:val="15"/>
                <w:color w:val="auto"/>
              </w:rPr>
            </w:pPr>
          </w:p>
        </w:tc>
        <w:tc>
          <w:tcPr>
            <w:tcW w:w="63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ind w:left="560"/>
              <w:spacing w:after="0"/>
              <w:rPr>
                <w:sz w:val="20"/>
                <w:szCs w:val="20"/>
                <w:color w:val="auto"/>
              </w:rPr>
            </w:pPr>
            <w:r>
              <w:rPr>
                <w:rFonts w:ascii="Courier New" w:cs="Courier New" w:eastAsia="Courier New" w:hAnsi="Courier New"/>
                <w:sz w:val="15"/>
                <w:szCs w:val="15"/>
                <w:color w:val="auto"/>
              </w:rPr>
              <w:t>Earnings before taxes</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42.2</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188.0</w:t>
            </w:r>
          </w:p>
        </w:tc>
      </w:tr>
      <w:tr>
        <w:trPr>
          <w:trHeight w:val="176"/>
        </w:trPr>
        <w:tc>
          <w:tcPr>
            <w:tcW w:w="3160" w:type="dxa"/>
            <w:vAlign w:val="bottom"/>
          </w:tcPr>
          <w:p>
            <w:pPr>
              <w:spacing w:after="0"/>
              <w:rPr>
                <w:sz w:val="15"/>
                <w:szCs w:val="15"/>
                <w:color w:val="auto"/>
              </w:rPr>
            </w:pPr>
          </w:p>
        </w:tc>
        <w:tc>
          <w:tcPr>
            <w:tcW w:w="63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139"/>
          </w:cols>
          <w:pgMar w:left="320" w:top="318" w:right="1440" w:bottom="1440" w:gutter="0" w:footer="0" w:header="0"/>
        </w:sectPr>
      </w:pPr>
    </w:p>
    <w:bookmarkStart w:id="15" w:name="page16"/>
    <w:bookmarkEnd w:id="15"/>
    <w:p>
      <w:pPr>
        <w:ind w:left="3020"/>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Restated Operating Unit Results</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Year Ended December 31, 2001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640" w:type="dxa"/>
            <w:vAlign w:val="bottom"/>
          </w:tcPr>
          <w:p>
            <w:pPr>
              <w:ind w:left="260"/>
              <w:spacing w:after="0"/>
              <w:rPr>
                <w:sz w:val="20"/>
                <w:szCs w:val="20"/>
                <w:color w:val="auto"/>
              </w:rPr>
            </w:pPr>
            <w:r>
              <w:rPr>
                <w:rFonts w:ascii="Courier New" w:cs="Courier New" w:eastAsia="Courier New" w:hAnsi="Courier New"/>
                <w:sz w:val="15"/>
                <w:szCs w:val="15"/>
                <w:color w:val="auto"/>
              </w:rPr>
              <w:t>(in millions)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81"/>
        </w:trPr>
        <w:tc>
          <w:tcPr>
            <w:tcW w:w="2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First</w:t>
            </w:r>
          </w:p>
        </w:tc>
        <w:tc>
          <w:tcPr>
            <w:tcW w:w="2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3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38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Fourth</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760" w:type="dxa"/>
            <w:vAlign w:val="bottom"/>
          </w:tcPr>
          <w:p>
            <w:pPr>
              <w:spacing w:after="0"/>
              <w:rPr>
                <w:sz w:val="15"/>
                <w:szCs w:val="15"/>
                <w:color w:val="auto"/>
              </w:rPr>
            </w:pPr>
          </w:p>
        </w:tc>
        <w:tc>
          <w:tcPr>
            <w:tcW w:w="24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2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Quarter</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760" w:type="dxa"/>
            <w:vAlign w:val="bottom"/>
          </w:tcPr>
          <w:p>
            <w:pPr>
              <w:spacing w:after="0"/>
              <w:rPr>
                <w:sz w:val="15"/>
                <w:szCs w:val="15"/>
                <w:color w:val="auto"/>
              </w:rPr>
            </w:pPr>
          </w:p>
        </w:tc>
        <w:tc>
          <w:tcPr>
            <w:tcW w:w="2460" w:type="dxa"/>
            <w:vAlign w:val="bottom"/>
            <w:gridSpan w:val="2"/>
          </w:tcPr>
          <w:p>
            <w:pPr>
              <w:ind w:left="15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 from services:</w:t>
            </w: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United States</w:t>
            </w:r>
          </w:p>
        </w:tc>
        <w:tc>
          <w:tcPr>
            <w:tcW w:w="1640" w:type="dxa"/>
            <w:vAlign w:val="bottom"/>
          </w:tcPr>
          <w:p>
            <w:pPr>
              <w:ind w:left="15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482.4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2,003.4</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France</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939.2</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948.6</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991.5</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887.1</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3,766.4</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EMEA</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880.4</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844.9</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859.1</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844.3</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3,428.7</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Other Operations</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286.0</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303.1</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342.4</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353.8</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1,285.3</w:t>
            </w:r>
          </w:p>
        </w:tc>
      </w:tr>
      <w:tr>
        <w:trPr>
          <w:trHeight w:val="176"/>
        </w:trPr>
        <w:tc>
          <w:tcPr>
            <w:tcW w:w="2760" w:type="dxa"/>
            <w:vAlign w:val="bottom"/>
          </w:tcPr>
          <w:p>
            <w:pPr>
              <w:spacing w:after="0"/>
              <w:rPr>
                <w:sz w:val="15"/>
                <w:szCs w:val="15"/>
                <w:color w:val="auto"/>
              </w:rPr>
            </w:pPr>
          </w:p>
        </w:tc>
        <w:tc>
          <w:tcPr>
            <w:tcW w:w="71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spacing w:after="0"/>
              <w:rPr>
                <w:sz w:val="15"/>
                <w:szCs w:val="15"/>
                <w:color w:val="auto"/>
              </w:rPr>
            </w:pPr>
          </w:p>
        </w:tc>
        <w:tc>
          <w:tcPr>
            <w:tcW w:w="2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$2,651.9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2,620.1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2,675.4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2,536.4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10,483.8</w:t>
            </w:r>
          </w:p>
        </w:tc>
      </w:tr>
      <w:tr>
        <w:trPr>
          <w:trHeight w:val="176"/>
        </w:trPr>
        <w:tc>
          <w:tcPr>
            <w:tcW w:w="2760" w:type="dxa"/>
            <w:vAlign w:val="bottom"/>
          </w:tcPr>
          <w:p>
            <w:pPr>
              <w:spacing w:after="0"/>
              <w:rPr>
                <w:sz w:val="15"/>
                <w:szCs w:val="15"/>
                <w:color w:val="auto"/>
              </w:rPr>
            </w:pPr>
          </w:p>
        </w:tc>
        <w:tc>
          <w:tcPr>
            <w:tcW w:w="71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1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United States</w:t>
            </w:r>
          </w:p>
        </w:tc>
        <w:tc>
          <w:tcPr>
            <w:tcW w:w="1640" w:type="dxa"/>
            <w:vAlign w:val="bottom"/>
          </w:tcPr>
          <w:p>
            <w:pPr>
              <w:ind w:left="15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France</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35.4</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37.2</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36.8</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135.7</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EMEA</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25.6</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24.3</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30.9</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106.0</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Other Operations</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3.0</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w:t>
            </w:r>
          </w:p>
        </w:tc>
      </w:tr>
      <w:tr>
        <w:trPr>
          <w:trHeight w:val="176"/>
        </w:trPr>
        <w:tc>
          <w:tcPr>
            <w:tcW w:w="2760" w:type="dxa"/>
            <w:vAlign w:val="bottom"/>
          </w:tcPr>
          <w:p>
            <w:pPr>
              <w:spacing w:after="0"/>
              <w:rPr>
                <w:sz w:val="15"/>
                <w:szCs w:val="15"/>
                <w:color w:val="auto"/>
              </w:rPr>
            </w:pPr>
          </w:p>
        </w:tc>
        <w:tc>
          <w:tcPr>
            <w:tcW w:w="71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73.0</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79.7</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280.1</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25.5</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w:t>
            </w:r>
          </w:p>
        </w:tc>
      </w:tr>
      <w:tr>
        <w:trPr>
          <w:trHeight w:val="176"/>
        </w:trPr>
        <w:tc>
          <w:tcPr>
            <w:tcW w:w="2760" w:type="dxa"/>
            <w:vAlign w:val="bottom"/>
          </w:tcPr>
          <w:p>
            <w:pPr>
              <w:spacing w:after="0"/>
              <w:rPr>
                <w:sz w:val="15"/>
                <w:szCs w:val="15"/>
                <w:color w:val="auto"/>
              </w:rPr>
            </w:pPr>
          </w:p>
        </w:tc>
        <w:tc>
          <w:tcPr>
            <w:tcW w:w="71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Operating profit</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52.2</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62.7</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68.4</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54.3</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237.6</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16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w:t>
            </w:r>
          </w:p>
        </w:tc>
        <w:tc>
          <w:tcPr>
            <w:tcW w:w="32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10.4</w:t>
            </w:r>
          </w:p>
        </w:tc>
        <w:tc>
          <w:tcPr>
            <w:tcW w:w="3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w:t>
            </w:r>
          </w:p>
        </w:tc>
      </w:tr>
      <w:tr>
        <w:trPr>
          <w:trHeight w:val="176"/>
        </w:trPr>
        <w:tc>
          <w:tcPr>
            <w:tcW w:w="2760" w:type="dxa"/>
            <w:vAlign w:val="bottom"/>
          </w:tcPr>
          <w:p>
            <w:pPr>
              <w:spacing w:after="0"/>
              <w:rPr>
                <w:sz w:val="15"/>
                <w:szCs w:val="15"/>
                <w:color w:val="auto"/>
              </w:rPr>
            </w:pPr>
          </w:p>
        </w:tc>
        <w:tc>
          <w:tcPr>
            <w:tcW w:w="71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Earnings before taxes</w:t>
            </w:r>
          </w:p>
        </w:tc>
        <w:tc>
          <w:tcPr>
            <w:tcW w:w="1640" w:type="dxa"/>
            <w:vAlign w:val="bottom"/>
          </w:tcPr>
          <w:p>
            <w:pPr>
              <w:ind w:left="15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58.0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197.9</w:t>
            </w:r>
          </w:p>
        </w:tc>
      </w:tr>
      <w:tr>
        <w:trPr>
          <w:trHeight w:val="176"/>
        </w:trPr>
        <w:tc>
          <w:tcPr>
            <w:tcW w:w="2760" w:type="dxa"/>
            <w:vAlign w:val="bottom"/>
          </w:tcPr>
          <w:p>
            <w:pPr>
              <w:spacing w:after="0"/>
              <w:rPr>
                <w:sz w:val="15"/>
                <w:szCs w:val="15"/>
                <w:color w:val="auto"/>
              </w:rPr>
            </w:pPr>
          </w:p>
        </w:tc>
        <w:tc>
          <w:tcPr>
            <w:tcW w:w="71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2760" w:type="dxa"/>
            <w:vAlign w:val="bottom"/>
          </w:tcPr>
          <w:p>
            <w:pPr>
              <w:spacing w:after="0"/>
              <w:rPr>
                <w:sz w:val="24"/>
                <w:szCs w:val="24"/>
                <w:color w:val="auto"/>
              </w:rPr>
            </w:pPr>
          </w:p>
        </w:tc>
        <w:tc>
          <w:tcPr>
            <w:tcW w:w="1640" w:type="dxa"/>
            <w:vAlign w:val="bottom"/>
          </w:tcPr>
          <w:p>
            <w:pPr>
              <w:ind w:left="720"/>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139"/>
          </w:cols>
          <w:pgMar w:left="320" w:top="823" w:right="1440" w:bottom="1440" w:gutter="0" w:footer="0" w:header="0"/>
        </w:sectPr>
      </w:pPr>
    </w:p>
    <w:bookmarkStart w:id="16" w:name="page17"/>
    <w:bookmarkEnd w:id="16"/>
    <w:p>
      <w:pPr>
        <w:ind w:left="3020"/>
        <w:spacing w:after="0"/>
        <w:rPr>
          <w:sz w:val="20"/>
          <w:szCs w:val="20"/>
          <w:color w:val="auto"/>
        </w:rPr>
      </w:pPr>
      <w:r>
        <w:rPr>
          <w:rFonts w:ascii="Courier New" w:cs="Courier New" w:eastAsia="Courier New" w:hAnsi="Courier New"/>
          <w:sz w:val="15"/>
          <w:szCs w:val="15"/>
          <w:color w:val="auto"/>
        </w:rPr>
        <w:t>Manpower Inc.</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Restated Operating Unit Results</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Year Ended December 31, 2000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millions)</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81"/>
        </w:trPr>
        <w:tc>
          <w:tcPr>
            <w:tcW w:w="2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First</w:t>
            </w:r>
          </w:p>
        </w:tc>
        <w:tc>
          <w:tcPr>
            <w:tcW w:w="320" w:type="dxa"/>
            <w:vAlign w:val="bottom"/>
          </w:tcPr>
          <w:p>
            <w:pPr>
              <w:spacing w:after="0"/>
              <w:rPr>
                <w:sz w:val="24"/>
                <w:szCs w:val="24"/>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6"/>
              </w:rPr>
              <w:t>Second</w:t>
            </w:r>
          </w:p>
        </w:tc>
        <w:tc>
          <w:tcPr>
            <w:tcW w:w="280" w:type="dxa"/>
            <w:vAlign w:val="bottom"/>
          </w:tcPr>
          <w:p>
            <w:pPr>
              <w:spacing w:after="0"/>
              <w:rPr>
                <w:sz w:val="24"/>
                <w:szCs w:val="24"/>
                <w:color w:val="auto"/>
              </w:rPr>
            </w:pP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Third</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Fourth</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2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Quarter</w:t>
            </w:r>
          </w:p>
        </w:tc>
        <w:tc>
          <w:tcPr>
            <w:tcW w:w="1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Quarter</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Quarter</w:t>
            </w:r>
          </w:p>
        </w:tc>
        <w:tc>
          <w:tcPr>
            <w:tcW w:w="3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5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 from services:</w:t>
            </w: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United States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563.9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638.1</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2,413.5</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France</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913.6</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1,021.0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1,036.4</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968.2</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3,939.2</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EMEA</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824.5</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807.0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848.6</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869.3</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3,349.4</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Other Operations</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266.3</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297.8</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300.1</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1,140.7</w:t>
            </w:r>
          </w:p>
        </w:tc>
      </w:tr>
      <w:tr>
        <w:trPr>
          <w:trHeight w:val="176"/>
        </w:trPr>
        <w:tc>
          <w:tcPr>
            <w:tcW w:w="2760" w:type="dxa"/>
            <w:vAlign w:val="bottom"/>
          </w:tcPr>
          <w:p>
            <w:pPr>
              <w:spacing w:after="0"/>
              <w:rPr>
                <w:sz w:val="15"/>
                <w:szCs w:val="15"/>
                <w:color w:val="auto"/>
              </w:rPr>
            </w:pPr>
          </w:p>
        </w:tc>
        <w:tc>
          <w:tcPr>
            <w:tcW w:w="72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spacing w:after="0"/>
              <w:rPr>
                <w:sz w:val="15"/>
                <w:szCs w:val="15"/>
                <w:color w:val="auto"/>
              </w:rPr>
            </w:pPr>
          </w:p>
        </w:tc>
        <w:tc>
          <w:tcPr>
            <w:tcW w:w="25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$ 2,568.3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2,714.1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2,820.9</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2,739.5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10,842.8</w:t>
            </w:r>
          </w:p>
        </w:tc>
      </w:tr>
      <w:tr>
        <w:trPr>
          <w:trHeight w:val="176"/>
        </w:trPr>
        <w:tc>
          <w:tcPr>
            <w:tcW w:w="2760" w:type="dxa"/>
            <w:vAlign w:val="bottom"/>
          </w:tcPr>
          <w:p>
            <w:pPr>
              <w:spacing w:after="0"/>
              <w:rPr>
                <w:sz w:val="15"/>
                <w:szCs w:val="15"/>
                <w:color w:val="auto"/>
              </w:rPr>
            </w:pPr>
          </w:p>
        </w:tc>
        <w:tc>
          <w:tcPr>
            <w:tcW w:w="72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United States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25.0</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84.6</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France</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20.8</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39.3</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130.6</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EMEA</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36.6</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41.6</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122.1</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Other Operations</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w:t>
            </w:r>
          </w:p>
        </w:tc>
      </w:tr>
      <w:tr>
        <w:trPr>
          <w:trHeight w:val="176"/>
        </w:trPr>
        <w:tc>
          <w:tcPr>
            <w:tcW w:w="2760" w:type="dxa"/>
            <w:vAlign w:val="bottom"/>
          </w:tcPr>
          <w:p>
            <w:pPr>
              <w:spacing w:after="0"/>
              <w:rPr>
                <w:sz w:val="15"/>
                <w:szCs w:val="15"/>
                <w:color w:val="auto"/>
              </w:rPr>
            </w:pPr>
          </w:p>
        </w:tc>
        <w:tc>
          <w:tcPr>
            <w:tcW w:w="72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59.6</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80.2</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105.3</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105.4</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350.5</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26.2</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2760" w:type="dxa"/>
            <w:vAlign w:val="bottom"/>
          </w:tcPr>
          <w:p>
            <w:pPr>
              <w:spacing w:after="0"/>
              <w:rPr>
                <w:sz w:val="15"/>
                <w:szCs w:val="15"/>
                <w:color w:val="auto"/>
              </w:rPr>
            </w:pPr>
          </w:p>
        </w:tc>
        <w:tc>
          <w:tcPr>
            <w:tcW w:w="72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Operating profit</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50.5</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69.7</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95.9</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94.9</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311.0</w:t>
            </w:r>
          </w:p>
        </w:tc>
      </w:tr>
      <w:tr>
        <w:trPr>
          <w:trHeight w:val="176"/>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Interest and other expenses</w:t>
            </w:r>
          </w:p>
        </w:tc>
        <w:tc>
          <w:tcPr>
            <w:tcW w:w="156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10.8</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12.1</w:t>
            </w:r>
          </w:p>
        </w:tc>
        <w:tc>
          <w:tcPr>
            <w:tcW w:w="3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12.2</w:t>
            </w:r>
          </w:p>
        </w:tc>
        <w:tc>
          <w:tcPr>
            <w:tcW w:w="3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45.8</w:t>
            </w:r>
          </w:p>
        </w:tc>
      </w:tr>
      <w:tr>
        <w:trPr>
          <w:trHeight w:val="176"/>
        </w:trPr>
        <w:tc>
          <w:tcPr>
            <w:tcW w:w="2760" w:type="dxa"/>
            <w:vAlign w:val="bottom"/>
          </w:tcPr>
          <w:p>
            <w:pPr>
              <w:spacing w:after="0"/>
              <w:rPr>
                <w:sz w:val="15"/>
                <w:szCs w:val="15"/>
                <w:color w:val="auto"/>
              </w:rPr>
            </w:pPr>
          </w:p>
        </w:tc>
        <w:tc>
          <w:tcPr>
            <w:tcW w:w="72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60" w:type="dxa"/>
            <w:vAlign w:val="bottom"/>
          </w:tcPr>
          <w:p>
            <w:pPr>
              <w:ind w:left="560"/>
              <w:spacing w:after="0"/>
              <w:rPr>
                <w:sz w:val="20"/>
                <w:szCs w:val="20"/>
                <w:color w:val="auto"/>
              </w:rPr>
            </w:pPr>
            <w:r>
              <w:rPr>
                <w:rFonts w:ascii="Courier New" w:cs="Courier New" w:eastAsia="Courier New" w:hAnsi="Courier New"/>
                <w:sz w:val="15"/>
                <w:szCs w:val="15"/>
                <w:color w:val="auto"/>
              </w:rPr>
              <w:t>Earnings before taxes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83.8</w:t>
            </w:r>
          </w:p>
        </w:tc>
        <w:tc>
          <w:tcPr>
            <w:tcW w:w="380" w:type="dxa"/>
            <w:vAlign w:val="bottom"/>
          </w:tcPr>
          <w:p>
            <w:pPr>
              <w:ind w:left="2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265.2</w:t>
            </w:r>
          </w:p>
        </w:tc>
      </w:tr>
      <w:tr>
        <w:trPr>
          <w:trHeight w:val="176"/>
        </w:trPr>
        <w:tc>
          <w:tcPr>
            <w:tcW w:w="2760" w:type="dxa"/>
            <w:vAlign w:val="bottom"/>
          </w:tcPr>
          <w:p>
            <w:pPr>
              <w:spacing w:after="0"/>
              <w:rPr>
                <w:sz w:val="15"/>
                <w:szCs w:val="15"/>
                <w:color w:val="auto"/>
              </w:rPr>
            </w:pPr>
          </w:p>
        </w:tc>
        <w:tc>
          <w:tcPr>
            <w:tcW w:w="72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2760" w:type="dxa"/>
            <w:vAlign w:val="bottom"/>
          </w:tcPr>
          <w:p>
            <w:pPr>
              <w:spacing w:after="0"/>
              <w:rPr>
                <w:sz w:val="24"/>
                <w:szCs w:val="24"/>
                <w:color w:val="auto"/>
              </w:rPr>
            </w:pPr>
          </w:p>
        </w:tc>
        <w:tc>
          <w:tcPr>
            <w:tcW w:w="15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139"/>
      </w:cols>
      <w:pgMar w:left="320" w:top="8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2019-12-20T04:40:59Z</dcterms:created>
  <dcterms:modified xsi:type="dcterms:W3CDTF">2019-12-20T04:40:59Z</dcterms:modified>
</cp:coreProperties>
</file>