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April 21, 2016</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MANPOWERGROUP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Wisconsin</w:t>
            </w:r>
          </w:p>
        </w:tc>
        <w:tc>
          <w:tcPr>
            <w:tcW w:w="2960" w:type="dxa"/>
            <w:vAlign w:val="bottom"/>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660" w:type="dxa"/>
            <w:vAlign w:val="bottom"/>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c>
          <w:tcPr>
            <w:tcW w:w="29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748"/>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w w:val="99"/>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4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ectPr>
          <w:pgSz w:w="11900" w:h="16838" w:orient="portrait"/>
          <w:cols w:equalWidth="0" w:num="1">
            <w:col w:w="11440"/>
          </w:cols>
          <w:pgMar w:left="240" w:top="1002"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5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6"/>
          <w:szCs w:val="16"/>
          <w:color w:val="auto"/>
        </w:rPr>
        <w:t>On April 21, 2016, we issued a press release announcing our results of operations for the three months ended March 31, 2016. A copy of the press release is attached hereto as Exhibit 99.1 and is incorporated herein by reference.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Exhibits</w:t>
            </w:r>
            <w:r>
              <w:rPr>
                <w:rFonts w:ascii="Times New Roman" w:cs="Times New Roman" w:eastAsia="Times New Roman" w:hAnsi="Times New Roman"/>
                <w:sz w:val="16"/>
                <w:szCs w:val="16"/>
                <w:color w:val="auto"/>
              </w:rPr>
              <w:t>.</w:t>
            </w:r>
          </w:p>
        </w:tc>
      </w:tr>
      <w:tr>
        <w:trPr>
          <w:trHeight w:val="531"/>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60" w:type="dxa"/>
            <w:vAlign w:val="bottom"/>
          </w:tcPr>
          <w:p>
            <w:pPr>
              <w:ind w:left="11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102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Press Release dated April 21, 2016</w:t>
            </w:r>
          </w:p>
        </w:tc>
      </w:tr>
      <w:tr>
        <w:trPr>
          <w:trHeight w:val="241"/>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102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Presentation materials for April 21, 2016 conference call</w:t>
            </w:r>
          </w:p>
        </w:tc>
      </w:tr>
    </w:tbl>
    <w:p>
      <w:pPr>
        <w:sectPr>
          <w:pgSz w:w="11900" w:h="16838" w:orient="portrait"/>
          <w:cols w:equalWidth="0" w:num="1">
            <w:col w:w="11440"/>
          </w:cols>
          <w:pgMar w:left="240" w:top="724" w:right="2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ind w:firstLine="579"/>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Times New Roman" w:cs="Times New Roman" w:eastAsia="Times New Roman" w:hAnsi="Times New Roman"/>
          <w:sz w:val="16"/>
          <w:szCs w:val="16"/>
          <w:color w:val="auto"/>
        </w:rPr>
        <w:t>Dated: April 21, 2016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31750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John T. McGinnis</w:t>
      </w:r>
    </w:p>
    <w:p>
      <w:pPr>
        <w:spacing w:after="0" w:line="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300"/>
          </w:cols>
          <w:pgMar w:left="240" w:top="91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1"/>
        </w:trPr>
        <w:tc>
          <w:tcPr>
            <w:tcW w:w="1560" w:type="dxa"/>
            <w:vAlign w:val="bottom"/>
          </w:tcPr>
          <w:p>
            <w:pPr>
              <w:spacing w:after="0"/>
              <w:rPr>
                <w:sz w:val="18"/>
                <w:szCs w:val="18"/>
                <w:color w:val="auto"/>
              </w:rPr>
            </w:pPr>
          </w:p>
        </w:tc>
        <w:tc>
          <w:tcPr>
            <w:tcW w:w="9880" w:type="dxa"/>
            <w:vAlign w:val="bottom"/>
          </w:tcPr>
          <w:p>
            <w:pPr>
              <w:ind w:left="35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531"/>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8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156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09"/>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98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Press Release dated April 21, 2016</w:t>
            </w:r>
          </w:p>
        </w:tc>
      </w:tr>
      <w:tr>
        <w:trPr>
          <w:trHeight w:val="241"/>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98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Presentation materials for April 21, 2016 conference call</w:t>
            </w:r>
          </w:p>
        </w:tc>
      </w:tr>
    </w:tbl>
    <w:p>
      <w:pPr>
        <w:sectPr>
          <w:pgSz w:w="11900" w:h="16838" w:orient="portrait"/>
          <w:cols w:equalWidth="0" w:num="1">
            <w:col w:w="11440"/>
          </w:cols>
          <w:pgMar w:left="240" w:top="917" w:right="2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057275"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7275"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83"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Mike Van Handel</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+1.414.906.6305</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michael.vanhandel@manpowergroup.com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Quarter 2016 Results</w:t>
      </w:r>
    </w:p>
    <w:p>
      <w:pPr>
        <w:spacing w:after="0" w:line="175"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b w:val="1"/>
          <w:bCs w:val="1"/>
          <w:color w:val="auto"/>
        </w:rPr>
        <w:t xml:space="preserve">MILWAUKEE, April 21, 2016 -- </w:t>
      </w:r>
      <w:r>
        <w:rPr>
          <w:rFonts w:ascii="Arial" w:cs="Arial" w:eastAsia="Arial" w:hAnsi="Arial"/>
          <w:sz w:val="18"/>
          <w:szCs w:val="18"/>
          <w:color w:val="auto"/>
        </w:rPr>
        <w:t>ManpowerGroup (NYSE: MAN) today reported that net earnings for the three months ended March 31, 2016 were</w:t>
      </w:r>
      <w:r>
        <w:rPr>
          <w:rFonts w:ascii="Arial" w:cs="Arial" w:eastAsia="Arial" w:hAnsi="Arial"/>
          <w:sz w:val="18"/>
          <w:szCs w:val="18"/>
          <w:b w:val="1"/>
          <w:bCs w:val="1"/>
          <w:color w:val="auto"/>
        </w:rPr>
        <w:t xml:space="preserve"> </w:t>
      </w:r>
      <w:r>
        <w:rPr>
          <w:rFonts w:ascii="Arial" w:cs="Arial" w:eastAsia="Arial" w:hAnsi="Arial"/>
          <w:sz w:val="18"/>
          <w:szCs w:val="18"/>
          <w:color w:val="auto"/>
        </w:rPr>
        <w:t>$71.7 million, or 98 cents per diluted share, compared to net earnings of $65.7 million, or 83 cents per diluted share, a year earlier. Revenues for the first quarter were $4.6 billion, an increase of 1% from the prior year period.</w:t>
      </w:r>
    </w:p>
    <w:p>
      <w:pPr>
        <w:spacing w:after="0" w:line="1" w:lineRule="exact"/>
        <w:rPr>
          <w:sz w:val="20"/>
          <w:szCs w:val="20"/>
          <w:color w:val="auto"/>
        </w:rPr>
      </w:pPr>
    </w:p>
    <w:p>
      <w:pPr>
        <w:ind w:right="280" w:firstLine="579"/>
        <w:spacing w:after="0" w:line="349" w:lineRule="auto"/>
        <w:rPr>
          <w:sz w:val="20"/>
          <w:szCs w:val="20"/>
          <w:color w:val="auto"/>
        </w:rPr>
      </w:pPr>
      <w:r>
        <w:rPr>
          <w:rFonts w:ascii="Arial" w:cs="Arial" w:eastAsia="Arial" w:hAnsi="Arial"/>
          <w:sz w:val="18"/>
          <w:szCs w:val="18"/>
          <w:color w:val="auto"/>
        </w:rPr>
        <w:t>Financial results in the quarter were impacted by the stronger US dollar relative to several foreign currencies compared to the prior year period. On a constant currency basis, revenues increased 5% and earnings per share increased 22%. Earnings per share in the quarter were negatively impacted 3 cents by changes in foreign currencies compared to the prior year.</w:t>
      </w:r>
    </w:p>
    <w:p>
      <w:pPr>
        <w:spacing w:after="0" w:line="2" w:lineRule="exact"/>
        <w:rPr>
          <w:sz w:val="20"/>
          <w:szCs w:val="20"/>
          <w:color w:val="auto"/>
        </w:rPr>
      </w:pPr>
    </w:p>
    <w:p>
      <w:pPr>
        <w:ind w:right="100" w:firstLine="579"/>
        <w:spacing w:after="0" w:line="349" w:lineRule="auto"/>
        <w:rPr>
          <w:sz w:val="20"/>
          <w:szCs w:val="20"/>
          <w:color w:val="auto"/>
        </w:rPr>
      </w:pPr>
      <w:r>
        <w:rPr>
          <w:rFonts w:ascii="Arial" w:cs="Arial" w:eastAsia="Arial" w:hAnsi="Arial"/>
          <w:sz w:val="18"/>
          <w:szCs w:val="18"/>
          <w:color w:val="auto"/>
        </w:rPr>
        <w:t>Jonas Prising, ManpowerGroup Chairman &amp; CEO, said, “We are pleased with our performance in the 1st quarter, starting the year on a positive note. The global environment continues to be uneven, with some countries continuing on their path of slow and steady growth and others struggling to gain traction.</w:t>
      </w:r>
    </w:p>
    <w:p>
      <w:pPr>
        <w:spacing w:after="0" w:line="2" w:lineRule="exact"/>
        <w:rPr>
          <w:sz w:val="20"/>
          <w:szCs w:val="20"/>
          <w:color w:val="auto"/>
        </w:rPr>
      </w:pPr>
    </w:p>
    <w:p>
      <w:pPr>
        <w:jc w:val="both"/>
        <w:ind w:right="20" w:firstLine="555"/>
        <w:spacing w:after="0" w:line="349" w:lineRule="auto"/>
        <w:rPr>
          <w:sz w:val="20"/>
          <w:szCs w:val="20"/>
          <w:color w:val="auto"/>
        </w:rPr>
      </w:pPr>
      <w:r>
        <w:rPr>
          <w:rFonts w:ascii="Arial" w:cs="Arial" w:eastAsia="Arial" w:hAnsi="Arial"/>
          <w:sz w:val="18"/>
          <w:szCs w:val="18"/>
          <w:color w:val="auto"/>
        </w:rPr>
        <w:t>“This is the kind of environment where our workforce solutions can be instrumental in helping companies execute their business strategies, and at the same time provide millions of job seekers with opportunities for quality employment. We are committed to delivering outstanding service quality to our clients and candidates, helping them succeed in an uncertain environment.</w:t>
      </w:r>
    </w:p>
    <w:p>
      <w:pPr>
        <w:spacing w:after="0" w:line="2" w:lineRule="exact"/>
        <w:rPr>
          <w:sz w:val="20"/>
          <w:szCs w:val="20"/>
          <w:color w:val="auto"/>
        </w:rPr>
      </w:pPr>
    </w:p>
    <w:p>
      <w:pPr>
        <w:ind w:right="280" w:firstLine="579"/>
        <w:spacing w:after="0" w:line="349" w:lineRule="auto"/>
        <w:rPr>
          <w:sz w:val="20"/>
          <w:szCs w:val="20"/>
          <w:color w:val="auto"/>
        </w:rPr>
      </w:pPr>
      <w:r>
        <w:rPr>
          <w:rFonts w:ascii="Arial" w:cs="Arial" w:eastAsia="Arial" w:hAnsi="Arial"/>
          <w:sz w:val="18"/>
          <w:szCs w:val="18"/>
          <w:color w:val="auto"/>
        </w:rPr>
        <w:t>“We anticipate second quarter earnings per share will range between $1.47 to $1.55, which includes an estimated unfavorable currency impact of 2 cents.”</w:t>
      </w:r>
    </w:p>
    <w:p>
      <w:pPr>
        <w:spacing w:after="0" w:line="1" w:lineRule="exact"/>
        <w:rPr>
          <w:sz w:val="20"/>
          <w:szCs w:val="20"/>
          <w:color w:val="auto"/>
        </w:rPr>
      </w:pPr>
    </w:p>
    <w:p>
      <w:pPr>
        <w:ind w:right="300" w:firstLine="579"/>
        <w:spacing w:after="0" w:line="349" w:lineRule="auto"/>
        <w:rPr>
          <w:sz w:val="20"/>
          <w:szCs w:val="20"/>
          <w:color w:val="auto"/>
        </w:rPr>
      </w:pPr>
      <w:r>
        <w:rPr>
          <w:rFonts w:ascii="Arial" w:cs="Arial" w:eastAsia="Arial" w:hAnsi="Arial"/>
          <w:sz w:val="18"/>
          <w:szCs w:val="18"/>
          <w:color w:val="auto"/>
        </w:rPr>
        <w:t xml:space="preserve">In conjunction with its first quarter earnings release, ManpowerGroup will broadcast its conference call live over the Internet on April 21, 2016 at 7:30 a.m. CDT (8:30 a.m. EDT). Interested parties are invited to listen to the webcast and view the presentation by logging on to </w:t>
      </w:r>
      <w:r>
        <w:rPr>
          <w:rFonts w:ascii="Arial" w:cs="Arial" w:eastAsia="Arial" w:hAnsi="Arial"/>
          <w:sz w:val="18"/>
          <w:szCs w:val="18"/>
          <w:u w:val="single" w:color="auto"/>
          <w:color w:val="0000FF"/>
        </w:rPr>
        <w:t>http://www.manpowergroup.com</w:t>
      </w:r>
      <w:r>
        <w:rPr>
          <w:rFonts w:ascii="Arial" w:cs="Arial" w:eastAsia="Arial" w:hAnsi="Arial"/>
          <w:sz w:val="18"/>
          <w:szCs w:val="18"/>
          <w:color w:val="0000FF"/>
        </w:rPr>
        <w:t xml:space="preserve"> </w:t>
      </w:r>
      <w:r>
        <w:rPr>
          <w:rFonts w:ascii="Arial" w:cs="Arial" w:eastAsia="Arial" w:hAnsi="Arial"/>
          <w:sz w:val="18"/>
          <w:szCs w:val="18"/>
          <w:color w:val="000000"/>
        </w:rPr>
        <w:t>in the section titled “Investor Relations.”</w:t>
      </w:r>
    </w:p>
    <w:p>
      <w:pPr>
        <w:spacing w:after="0" w:line="2" w:lineRule="exact"/>
        <w:rPr>
          <w:sz w:val="20"/>
          <w:szCs w:val="20"/>
          <w:color w:val="auto"/>
        </w:rPr>
      </w:pPr>
    </w:p>
    <w:p>
      <w:pPr>
        <w:ind w:right="200" w:firstLine="579"/>
        <w:spacing w:after="0" w:line="385" w:lineRule="auto"/>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http://www.manpowergroup.com</w:t>
      </w:r>
      <w:r>
        <w:rPr>
          <w:rFonts w:ascii="Arial" w:cs="Arial" w:eastAsia="Arial" w:hAnsi="Arial"/>
          <w:sz w:val="18"/>
          <w:szCs w:val="18"/>
          <w:color w:val="auto"/>
        </w:rPr>
        <w:t xml:space="preserve"> in the section titled “Investor Relations.”</w:t>
      </w:r>
    </w:p>
    <w:p>
      <w:pPr>
        <w:sectPr>
          <w:pgSz w:w="11900" w:h="16838" w:orient="portrait"/>
          <w:cols w:equalWidth="0" w:num="1">
            <w:col w:w="11440"/>
          </w:cols>
          <w:pgMar w:left="240" w:top="531"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0000FF"/>
        </w:rPr>
        <w:t>www.manpowergroup.com</w:t>
      </w: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4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2015, which information is incorporated herein by reference.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380"/>
          </w:cols>
          <w:pgMar w:left="240" w:top="720" w:right="2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7"/>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3"/>
          </w:tcPr>
          <w:p>
            <w:pPr>
              <w:jc w:val="right"/>
              <w:ind w:right="1400"/>
              <w:spacing w:after="0"/>
              <w:rPr>
                <w:sz w:val="20"/>
                <w:szCs w:val="20"/>
                <w:color w:val="auto"/>
              </w:rPr>
            </w:pPr>
            <w:r>
              <w:rPr>
                <w:rFonts w:ascii="Times New Roman" w:cs="Times New Roman" w:eastAsia="Times New Roman" w:hAnsi="Times New Roman"/>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4,587.7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4,542.2</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3,813.9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3,780.2</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0.9 %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762.0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642.1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639.2</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0.5 %</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122.8</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19.1 %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112.2</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6.1 %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46.5</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1.8 %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9.2 %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0.83</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18.1 %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18.1 %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78.7</w:t>
            </w:r>
          </w:p>
        </w:tc>
        <w:tc>
          <w:tcPr>
            <w:tcW w:w="2020" w:type="dxa"/>
            <w:vAlign w:val="bottom"/>
            <w:tcBorders>
              <w:bottom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-7.5 %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79.6</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-7.7 %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1" w:lineRule="exact"/>
        <w:rPr>
          <w:sz w:val="20"/>
          <w:szCs w:val="20"/>
          <w:color w:val="auto"/>
        </w:rPr>
      </w:pPr>
    </w:p>
    <w:p>
      <w:pPr>
        <w:ind w:left="20" w:right="120" w:firstLine="2"/>
        <w:spacing w:after="0" w:line="268" w:lineRule="auto"/>
        <w:tabs>
          <w:tab w:leader="none" w:pos="23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$5.2 million and $5.5 million for the three months ended March 31, 2016 and 2015, respectively. These fees are primarily based on revenues generated by the franchise offices, which were $227.8 million and $249.9 million for the three months ended March 31, 2016 and 2015, respectively.</w:t>
      </w:r>
    </w:p>
    <w:p>
      <w:pPr>
        <w:sectPr>
          <w:pgSz w:w="11900" w:h="16838" w:orient="portrait"/>
          <w:cols w:equalWidth="0" w:num="1">
            <w:col w:w="11260"/>
          </w:cols>
          <w:pgMar w:left="420" w:top="673" w:right="2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gridSpan w:val="3"/>
          </w:tcPr>
          <w:p>
            <w:pPr>
              <w:jc w:val="right"/>
              <w:ind w:right="1380"/>
              <w:spacing w:after="0"/>
              <w:rPr>
                <w:sz w:val="20"/>
                <w:szCs w:val="20"/>
                <w:color w:val="auto"/>
              </w:rPr>
            </w:pPr>
            <w:r>
              <w:rPr>
                <w:rFonts w:ascii="Times New Roman" w:cs="Times New Roman" w:eastAsia="Times New Roman" w:hAnsi="Times New Roman"/>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725.1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359.3</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-4.6 %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18.7 %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1,084.4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07"/>
        </w:trPr>
        <w:tc>
          <w:tcPr>
            <w:tcW w:w="5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1,040.8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7"/>
        </w:trPr>
        <w:tc>
          <w:tcPr>
            <w:tcW w:w="5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270.1</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-2.6 %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331.8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1,687.7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1,642.7</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2.7 %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1,217.7</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533.1</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8.1 %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4,587.7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4,542.2</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1.0 %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12.8</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-9.1 %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13.8 %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r>
      <w:tr>
        <w:trPr>
          <w:trHeight w:val="207"/>
        </w:trPr>
        <w:tc>
          <w:tcPr>
            <w:tcW w:w="5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7"/>
        </w:trPr>
        <w:tc>
          <w:tcPr>
            <w:tcW w:w="5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15.4 %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72.3</w:t>
            </w:r>
          </w:p>
        </w:tc>
        <w:tc>
          <w:tcPr>
            <w:tcW w:w="2000" w:type="dxa"/>
            <w:vAlign w:val="bottom"/>
            <w:tcBorders>
              <w:bottom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-0.7 %</w:t>
            </w:r>
          </w:p>
        </w:tc>
        <w:tc>
          <w:tcPr>
            <w:tcW w:w="106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r>
      <w:tr>
        <w:trPr>
          <w:trHeight w:val="217"/>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18.8</w:t>
            </w:r>
          </w:p>
        </w:tc>
        <w:tc>
          <w:tcPr>
            <w:tcW w:w="2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2.4 %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69.0 %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0" w:right="80" w:hanging="9"/>
        <w:spacing w:after="0" w:line="268" w:lineRule="auto"/>
        <w:tabs>
          <w:tab w:leader="none" w:pos="23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$3.4 million for both the three months ended March 31, 2016 and 2015. These fees are primarily based on revenues generated by the franchise offices, which were $160.8 million and $168.7 million for the three months ended March 31, 2016 and 2015, respectively.</w:t>
      </w:r>
    </w:p>
    <w:p>
      <w:pPr>
        <w:spacing w:after="0" w:line="131" w:lineRule="exact"/>
        <w:rPr>
          <w:rFonts w:ascii="Times New Roman" w:cs="Times New Roman" w:eastAsia="Times New Roman" w:hAnsi="Times New Roman"/>
          <w:sz w:val="16"/>
          <w:szCs w:val="16"/>
          <w:color w:val="auto"/>
        </w:rPr>
      </w:pPr>
    </w:p>
    <w:p>
      <w:pPr>
        <w:ind w:left="240" w:hanging="229"/>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were: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2015</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losses</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Miscellaneous expenses,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3"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730.5</w:t>
            </w:r>
          </w:p>
        </w:tc>
      </w:tr>
      <w:tr>
        <w:trPr>
          <w:trHeight w:val="217"/>
        </w:trPr>
        <w:tc>
          <w:tcPr>
            <w:tcW w:w="8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4,243.0</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119.0</w:t>
            </w:r>
          </w:p>
        </w:tc>
      </w:tr>
      <w:tr>
        <w:trPr>
          <w:trHeight w:val="217"/>
        </w:trPr>
        <w:tc>
          <w:tcPr>
            <w:tcW w:w="8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5,184.1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5,092.5</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1,275.6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1,257.4</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326.5</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612.6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694.0</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2,209.9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2,277.9</w:t>
            </w: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3" w:right="319" w:bottom="1440" w:gutter="0" w:footer="0" w:header="0"/>
        </w:sectPr>
      </w:pP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585.4</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438.3</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147.1</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7,548.1</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7940" w:space="720"/>
            <w:col w:w="2580"/>
          </w:cols>
          <w:pgMar w:left="340" w:top="673"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1,659.2</w:t>
            </w:r>
          </w:p>
        </w:tc>
      </w:tr>
      <w:tr>
        <w:trPr>
          <w:trHeight w:val="217"/>
        </w:trPr>
        <w:tc>
          <w:tcPr>
            <w:tcW w:w="8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211.4</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483.7</w:t>
            </w:r>
          </w:p>
        </w:tc>
      </w:tr>
      <w:tr>
        <w:trPr>
          <w:trHeight w:val="217"/>
        </w:trPr>
        <w:tc>
          <w:tcPr>
            <w:tcW w:w="8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613.8</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438.7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44.2</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3,451.0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3,451.0</w:t>
            </w: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810.9</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563.1</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1,374.0</w:t>
            </w:r>
          </w:p>
        </w:tc>
      </w:tr>
      <w:tr>
        <w:trPr>
          <w:trHeight w:val="21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3,195.9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3,186.7</w:t>
            </w:r>
          </w:p>
        </w:tc>
      </w:tr>
      <w:tr>
        <w:trPr>
          <w:trHeight w:val="217"/>
        </w:trPr>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1,966.0</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(2,243.2)</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2,624.7</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67.8</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2,692.5</w:t>
            </w:r>
          </w:p>
        </w:tc>
      </w:tr>
      <w:tr>
        <w:trPr>
          <w:trHeight w:val="235"/>
        </w:trPr>
        <w:tc>
          <w:tcPr>
            <w:tcW w:w="8660" w:type="dxa"/>
            <w:vAlign w:val="bottom"/>
          </w:tcPr>
          <w:p>
            <w:pPr>
              <w:jc w:val="right"/>
              <w:ind w:right="54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7,548.1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7,517.5</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3" w:right="3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3"/>
          <w:szCs w:val="23"/>
          <w:color w:val="auto"/>
        </w:rPr>
        <w:t>ManpowerGroup</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4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left="500"/>
              <w:spacing w:after="0"/>
              <w:rPr>
                <w:sz w:val="20"/>
                <w:szCs w:val="20"/>
                <w:color w:val="auto"/>
              </w:rPr>
            </w:pPr>
            <w:r>
              <w:rPr>
                <w:rFonts w:ascii="Times New Roman" w:cs="Times New Roman" w:eastAsia="Times New Roman" w:hAnsi="Times New Roman"/>
                <w:sz w:val="16"/>
                <w:szCs w:val="16"/>
                <w:color w:val="auto"/>
              </w:rPr>
              <w:t>(Unaudited)</w:t>
            </w: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earnings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18.7</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w:t>
            </w: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r>
      <w:tr>
        <w:trPr>
          <w:trHeight w:val="217"/>
        </w:trPr>
        <w:tc>
          <w:tcPr>
            <w:tcW w:w="8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Excess tax benefit on exercise of share-based awards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30.4</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r>
      <w:tr>
        <w:trPr>
          <w:trHeight w:val="20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7"/>
        </w:trPr>
        <w:tc>
          <w:tcPr>
            <w:tcW w:w="8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sales of investments,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share-based awards and other equity transactions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w:t>
            </w:r>
          </w:p>
        </w:tc>
      </w:tr>
      <w:tr>
        <w:trPr>
          <w:trHeight w:val="217"/>
        </w:trPr>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share-based award transactions,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1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699.2</w:t>
            </w:r>
          </w:p>
        </w:tc>
      </w:tr>
      <w:tr>
        <w:trPr>
          <w:trHeight w:val="235"/>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747.6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627.6</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3"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2019-12-05T23:41:31Z</dcterms:created>
  <dcterms:modified xsi:type="dcterms:W3CDTF">2019-12-05T23:41:31Z</dcterms:modified>
</cp:coreProperties>
</file>