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20" w:type="dxa"/>
            <w:vAlign w:val="bottom"/>
          </w:tcPr>
          <w:p>
            <w:pPr>
              <w:spacing w:after="0"/>
              <w:rPr>
                <w:sz w:val="19"/>
                <w:szCs w:val="19"/>
                <w:color w:val="auto"/>
              </w:rPr>
            </w:pPr>
          </w:p>
        </w:tc>
        <w:tc>
          <w:tcPr>
            <w:tcW w:w="3900" w:type="dxa"/>
            <w:vAlign w:val="bottom"/>
            <w:tcBorders>
              <w:bottom w:val="single" w:sz="8" w:color="auto"/>
            </w:tcBorders>
            <w:gridSpan w:val="2"/>
          </w:tcPr>
          <w:p>
            <w:pPr>
              <w:jc w:val="right"/>
              <w:ind w:right="2522"/>
              <w:spacing w:after="0"/>
              <w:rPr>
                <w:sz w:val="20"/>
                <w:szCs w:val="20"/>
                <w:color w:val="auto"/>
              </w:rPr>
            </w:pPr>
            <w:r>
              <w:rPr>
                <w:rFonts w:ascii="Arial" w:cs="Arial" w:eastAsia="Arial" w:hAnsi="Arial"/>
                <w:sz w:val="18"/>
                <w:szCs w:val="18"/>
                <w:b w:val="1"/>
                <w:bCs w:val="1"/>
                <w:color w:val="auto"/>
                <w:w w:val="95"/>
              </w:rPr>
              <w:t>October 8, 2004</w:t>
            </w:r>
          </w:p>
        </w:tc>
        <w:tc>
          <w:tcPr>
            <w:tcW w:w="3280" w:type="dxa"/>
            <w:vAlign w:val="bottom"/>
            <w:tcBorders>
              <w:bottom w:val="single" w:sz="8" w:color="auto"/>
            </w:tcBorders>
          </w:tcPr>
          <w:p>
            <w:pPr>
              <w:spacing w:after="0"/>
              <w:rPr>
                <w:sz w:val="19"/>
                <w:szCs w:val="19"/>
                <w:color w:val="auto"/>
              </w:rPr>
            </w:pPr>
          </w:p>
        </w:tc>
      </w:tr>
      <w:tr>
        <w:trPr>
          <w:trHeight w:val="574"/>
        </w:trPr>
        <w:tc>
          <w:tcPr>
            <w:tcW w:w="3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222"/>
              <w:spacing w:after="0"/>
              <w:rPr>
                <w:sz w:val="20"/>
                <w:szCs w:val="20"/>
                <w:color w:val="auto"/>
              </w:rPr>
            </w:pPr>
            <w:r>
              <w:rPr>
                <w:rFonts w:ascii="Arial" w:cs="Arial" w:eastAsia="Arial" w:hAnsi="Arial"/>
                <w:sz w:val="18"/>
                <w:szCs w:val="18"/>
                <w:b w:val="1"/>
                <w:bCs w:val="1"/>
                <w:color w:val="auto"/>
                <w:w w:val="99"/>
              </w:rPr>
              <w:t>MANPOWER INC.</w:t>
            </w:r>
          </w:p>
        </w:tc>
        <w:tc>
          <w:tcPr>
            <w:tcW w:w="3280" w:type="dxa"/>
            <w:vAlign w:val="bottom"/>
            <w:tcBorders>
              <w:bottom w:val="single" w:sz="8" w:color="auto"/>
            </w:tcBorders>
          </w:tcPr>
          <w:p>
            <w:pPr>
              <w:spacing w:after="0"/>
              <w:rPr>
                <w:sz w:val="24"/>
                <w:szCs w:val="24"/>
                <w:color w:val="auto"/>
              </w:rPr>
            </w:pPr>
          </w:p>
        </w:tc>
      </w:tr>
      <w:tr>
        <w:trPr>
          <w:trHeight w:val="169"/>
        </w:trPr>
        <w:tc>
          <w:tcPr>
            <w:tcW w:w="3920" w:type="dxa"/>
            <w:vAlign w:val="bottom"/>
          </w:tcPr>
          <w:p>
            <w:pPr>
              <w:spacing w:after="0"/>
              <w:rPr>
                <w:sz w:val="14"/>
                <w:szCs w:val="14"/>
                <w:color w:val="auto"/>
              </w:rPr>
            </w:pPr>
          </w:p>
        </w:tc>
        <w:tc>
          <w:tcPr>
            <w:tcW w:w="4220" w:type="dxa"/>
            <w:vAlign w:val="bottom"/>
            <w:gridSpan w:val="3"/>
          </w:tcPr>
          <w:p>
            <w:pPr>
              <w:jc w:val="center"/>
              <w:ind w:right="56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3280" w:type="dxa"/>
            <w:vAlign w:val="bottom"/>
          </w:tcPr>
          <w:p>
            <w:pPr>
              <w:spacing w:after="0"/>
              <w:rPr>
                <w:sz w:val="14"/>
                <w:szCs w:val="14"/>
                <w:color w:val="auto"/>
              </w:rPr>
            </w:pPr>
          </w:p>
        </w:tc>
      </w:tr>
      <w:tr>
        <w:trPr>
          <w:trHeight w:val="486"/>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4220" w:type="dxa"/>
            <w:vAlign w:val="bottom"/>
            <w:tcBorders>
              <w:bottom w:val="single" w:sz="8" w:color="auto"/>
            </w:tcBorders>
            <w:gridSpan w:val="3"/>
          </w:tcPr>
          <w:p>
            <w:pPr>
              <w:jc w:val="center"/>
              <w:ind w:right="302"/>
              <w:spacing w:after="0"/>
              <w:rPr>
                <w:sz w:val="20"/>
                <w:szCs w:val="20"/>
                <w:color w:val="auto"/>
              </w:rPr>
            </w:pPr>
            <w:r>
              <w:rPr>
                <w:rFonts w:ascii="Arial" w:cs="Arial" w:eastAsia="Arial" w:hAnsi="Arial"/>
                <w:sz w:val="18"/>
                <w:szCs w:val="18"/>
                <w:b w:val="1"/>
                <w:bCs w:val="1"/>
                <w:color w:val="auto"/>
                <w:w w:val="90"/>
              </w:rPr>
              <w:t>1-10686</w:t>
            </w:r>
          </w:p>
        </w:tc>
        <w:tc>
          <w:tcPr>
            <w:tcW w:w="3280" w:type="dxa"/>
            <w:vAlign w:val="bottom"/>
            <w:tcBorders>
              <w:bottom w:val="single" w:sz="8" w:color="auto"/>
            </w:tcBorders>
          </w:tcPr>
          <w:p>
            <w:pPr>
              <w:jc w:val="center"/>
              <w:ind w:right="284"/>
              <w:spacing w:after="0"/>
              <w:rPr>
                <w:sz w:val="20"/>
                <w:szCs w:val="20"/>
                <w:color w:val="auto"/>
              </w:rPr>
            </w:pPr>
            <w:r>
              <w:rPr>
                <w:rFonts w:ascii="Arial" w:cs="Arial" w:eastAsia="Arial" w:hAnsi="Arial"/>
                <w:sz w:val="18"/>
                <w:szCs w:val="18"/>
                <w:b w:val="1"/>
                <w:bCs w:val="1"/>
                <w:color w:val="auto"/>
                <w:w w:val="87"/>
              </w:rPr>
              <w:t>39-1672779</w:t>
            </w:r>
          </w:p>
        </w:tc>
      </w:tr>
      <w:tr>
        <w:trPr>
          <w:trHeight w:val="130"/>
        </w:trPr>
        <w:tc>
          <w:tcPr>
            <w:tcW w:w="39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(State or other jurisdiction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60" w:type="dxa"/>
            <w:vAlign w:val="bottom"/>
          </w:tcPr>
          <w:p>
            <w:pPr>
              <w:jc w:val="center"/>
              <w:ind w:right="962"/>
              <w:spacing w:after="0" w:line="131" w:lineRule="exact"/>
              <w:rPr>
                <w:sz w:val="20"/>
                <w:szCs w:val="20"/>
                <w:color w:val="auto"/>
              </w:rPr>
            </w:pPr>
            <w:r>
              <w:rPr>
                <w:rFonts w:ascii="Arial" w:cs="Arial" w:eastAsia="Arial" w:hAnsi="Arial"/>
                <w:sz w:val="14"/>
                <w:szCs w:val="14"/>
                <w:b w:val="1"/>
                <w:bCs w:val="1"/>
                <w:color w:val="auto"/>
                <w:w w:val="85"/>
              </w:rPr>
              <w:t>(Commission</w:t>
            </w:r>
          </w:p>
        </w:tc>
        <w:tc>
          <w:tcPr>
            <w:tcW w:w="3280" w:type="dxa"/>
            <w:vAlign w:val="bottom"/>
          </w:tcPr>
          <w:p>
            <w:pPr>
              <w:jc w:val="center"/>
              <w:ind w:right="284"/>
              <w:spacing w:after="0" w:line="131"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of incorporation)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60" w:type="dxa"/>
            <w:vAlign w:val="bottom"/>
          </w:tcPr>
          <w:p>
            <w:pPr>
              <w:jc w:val="center"/>
              <w:ind w:right="942"/>
              <w:spacing w:after="0"/>
              <w:rPr>
                <w:sz w:val="20"/>
                <w:szCs w:val="20"/>
                <w:color w:val="auto"/>
              </w:rPr>
            </w:pPr>
            <w:r>
              <w:rPr>
                <w:rFonts w:ascii="Arial" w:cs="Arial" w:eastAsia="Arial" w:hAnsi="Arial"/>
                <w:sz w:val="14"/>
                <w:szCs w:val="14"/>
                <w:b w:val="1"/>
                <w:bCs w:val="1"/>
                <w:color w:val="auto"/>
                <w:w w:val="91"/>
              </w:rPr>
              <w:t>File Number)</w:t>
            </w:r>
          </w:p>
        </w:tc>
        <w:tc>
          <w:tcPr>
            <w:tcW w:w="3280" w:type="dxa"/>
            <w:vAlign w:val="bottom"/>
          </w:tcPr>
          <w:p>
            <w:pPr>
              <w:jc w:val="center"/>
              <w:ind w:right="304"/>
              <w:spacing w:after="0"/>
              <w:rPr>
                <w:sz w:val="20"/>
                <w:szCs w:val="20"/>
                <w:color w:val="auto"/>
              </w:rPr>
            </w:pPr>
            <w:r>
              <w:rPr>
                <w:rFonts w:ascii="Arial" w:cs="Arial" w:eastAsia="Arial" w:hAnsi="Arial"/>
                <w:sz w:val="14"/>
                <w:szCs w:val="14"/>
                <w:b w:val="1"/>
                <w:bCs w:val="1"/>
                <w:color w:val="auto"/>
                <w:w w:val="89"/>
              </w:rPr>
              <w:t>Identification No.)</w:t>
            </w:r>
          </w:p>
        </w:tc>
      </w:tr>
      <w:tr>
        <w:trPr>
          <w:trHeight w:val="499"/>
        </w:trPr>
        <w:tc>
          <w:tcPr>
            <w:tcW w:w="8140" w:type="dxa"/>
            <w:vAlign w:val="bottom"/>
            <w:gridSpan w:val="4"/>
          </w:tcPr>
          <w:p>
            <w:pPr>
              <w:jc w:val="center"/>
              <w:ind w:right="522"/>
              <w:spacing w:after="0"/>
              <w:rPr>
                <w:sz w:val="20"/>
                <w:szCs w:val="20"/>
                <w:color w:val="auto"/>
              </w:rPr>
            </w:pPr>
            <w:r>
              <w:rPr>
                <w:rFonts w:ascii="Arial" w:cs="Arial" w:eastAsia="Arial" w:hAnsi="Arial"/>
                <w:sz w:val="18"/>
                <w:szCs w:val="18"/>
                <w:b w:val="1"/>
                <w:bCs w:val="1"/>
                <w:color w:val="auto"/>
                <w:w w:val="89"/>
              </w:rPr>
              <w:t>5301 North Ironwood Road</w:t>
            </w:r>
          </w:p>
        </w:tc>
        <w:tc>
          <w:tcPr>
            <w:tcW w:w="3280" w:type="dxa"/>
            <w:vAlign w:val="bottom"/>
          </w:tcPr>
          <w:p>
            <w:pPr>
              <w:spacing w:after="0"/>
              <w:rPr>
                <w:sz w:val="24"/>
                <w:szCs w:val="24"/>
                <w:color w:val="auto"/>
              </w:rPr>
            </w:pPr>
          </w:p>
        </w:tc>
      </w:tr>
      <w:tr>
        <w:trPr>
          <w:trHeight w:val="243"/>
        </w:trPr>
        <w:tc>
          <w:tcPr>
            <w:tcW w:w="8140" w:type="dxa"/>
            <w:vAlign w:val="bottom"/>
            <w:tcBorders>
              <w:bottom w:val="single" w:sz="8" w:color="auto"/>
            </w:tcBorders>
            <w:gridSpan w:val="4"/>
          </w:tcPr>
          <w:p>
            <w:pPr>
              <w:jc w:val="center"/>
              <w:ind w:right="502"/>
              <w:spacing w:after="0"/>
              <w:rPr>
                <w:sz w:val="20"/>
                <w:szCs w:val="20"/>
                <w:color w:val="auto"/>
              </w:rPr>
            </w:pPr>
            <w:r>
              <w:rPr>
                <w:rFonts w:ascii="Arial" w:cs="Arial" w:eastAsia="Arial" w:hAnsi="Arial"/>
                <w:sz w:val="18"/>
                <w:szCs w:val="18"/>
                <w:b w:val="1"/>
                <w:bCs w:val="1"/>
                <w:color w:val="auto"/>
                <w:w w:val="88"/>
              </w:rPr>
              <w:t>Milwaukee, Wisconsin</w:t>
            </w:r>
          </w:p>
        </w:tc>
        <w:tc>
          <w:tcPr>
            <w:tcW w:w="3280" w:type="dxa"/>
            <w:vAlign w:val="bottom"/>
            <w:tcBorders>
              <w:bottom w:val="single" w:sz="8" w:color="auto"/>
            </w:tcBorders>
          </w:tcPr>
          <w:p>
            <w:pPr>
              <w:jc w:val="right"/>
              <w:ind w:right="1584"/>
              <w:spacing w:after="0"/>
              <w:rPr>
                <w:sz w:val="20"/>
                <w:szCs w:val="20"/>
                <w:color w:val="auto"/>
              </w:rPr>
            </w:pPr>
            <w:r>
              <w:rPr>
                <w:rFonts w:ascii="Arial" w:cs="Arial" w:eastAsia="Arial" w:hAnsi="Arial"/>
                <w:sz w:val="18"/>
                <w:szCs w:val="18"/>
                <w:b w:val="1"/>
                <w:bCs w:val="1"/>
                <w:color w:val="auto"/>
              </w:rPr>
              <w:t>53217</w:t>
            </w:r>
          </w:p>
        </w:tc>
      </w:tr>
      <w:tr>
        <w:trPr>
          <w:trHeight w:val="169"/>
        </w:trPr>
        <w:tc>
          <w:tcPr>
            <w:tcW w:w="8140" w:type="dxa"/>
            <w:vAlign w:val="bottom"/>
            <w:gridSpan w:val="4"/>
          </w:tcPr>
          <w:p>
            <w:pPr>
              <w:jc w:val="center"/>
              <w:ind w:right="5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280" w:type="dxa"/>
            <w:vAlign w:val="bottom"/>
          </w:tcPr>
          <w:p>
            <w:pPr>
              <w:jc w:val="center"/>
              <w:ind w:right="404"/>
              <w:spacing w:after="0"/>
              <w:rPr>
                <w:sz w:val="20"/>
                <w:szCs w:val="20"/>
                <w:color w:val="auto"/>
              </w:rPr>
            </w:pPr>
            <w:r>
              <w:rPr>
                <w:rFonts w:ascii="Arial" w:cs="Arial" w:eastAsia="Arial" w:hAnsi="Arial"/>
                <w:sz w:val="14"/>
                <w:szCs w:val="14"/>
                <w:b w:val="1"/>
                <w:bCs w:val="1"/>
                <w:color w:val="auto"/>
                <w:w w:val="92"/>
              </w:rPr>
              <w:t>(Zip Code)</w:t>
            </w:r>
          </w:p>
        </w:tc>
      </w:tr>
      <w:tr>
        <w:trPr>
          <w:trHeight w:val="486"/>
        </w:trPr>
        <w:tc>
          <w:tcPr>
            <w:tcW w:w="3920" w:type="dxa"/>
            <w:vAlign w:val="bottom"/>
          </w:tcPr>
          <w:p>
            <w:pPr>
              <w:spacing w:after="0"/>
              <w:rPr>
                <w:sz w:val="20"/>
                <w:szCs w:val="20"/>
                <w:color w:val="auto"/>
              </w:rPr>
            </w:pPr>
            <w:r>
              <w:rPr>
                <w:rFonts w:ascii="Arial" w:cs="Arial" w:eastAsia="Arial" w:hAnsi="Arial"/>
                <w:sz w:val="18"/>
                <w:szCs w:val="18"/>
                <w:color w:val="auto"/>
                <w:w w:val="94"/>
              </w:rPr>
              <w:t>Registrant’s telephone number, including area code</w:t>
            </w:r>
          </w:p>
        </w:tc>
        <w:tc>
          <w:tcPr>
            <w:tcW w:w="660" w:type="dxa"/>
            <w:vAlign w:val="bottom"/>
            <w:gridSpan w:val="2"/>
          </w:tcPr>
          <w:p>
            <w:pPr>
              <w:spacing w:after="0"/>
              <w:rPr>
                <w:sz w:val="24"/>
                <w:szCs w:val="24"/>
                <w:color w:val="auto"/>
              </w:rPr>
            </w:pPr>
          </w:p>
        </w:tc>
        <w:tc>
          <w:tcPr>
            <w:tcW w:w="3560" w:type="dxa"/>
            <w:vAlign w:val="bottom"/>
            <w:tcBorders>
              <w:bottom w:val="single" w:sz="8" w:color="auto"/>
            </w:tcBorders>
          </w:tcPr>
          <w:p>
            <w:pPr>
              <w:jc w:val="right"/>
              <w:ind w:right="2262"/>
              <w:spacing w:after="0"/>
              <w:rPr>
                <w:sz w:val="20"/>
                <w:szCs w:val="20"/>
                <w:color w:val="auto"/>
              </w:rPr>
            </w:pPr>
            <w:r>
              <w:rPr>
                <w:rFonts w:ascii="Arial" w:cs="Arial" w:eastAsia="Arial" w:hAnsi="Arial"/>
                <w:sz w:val="18"/>
                <w:szCs w:val="18"/>
                <w:b w:val="1"/>
                <w:bCs w:val="1"/>
                <w:color w:val="auto"/>
                <w:w w:val="97"/>
              </w:rPr>
              <w:t>(414) 961-1000</w:t>
            </w:r>
          </w:p>
        </w:tc>
        <w:tc>
          <w:tcPr>
            <w:tcW w:w="32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89"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included pursuant to Item 2.03 is incorporated under this Item 1.01.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1.02. Termination of a Material Definitive Agreement</w:t>
      </w:r>
    </w:p>
    <w:p>
      <w:pPr>
        <w:spacing w:after="0" w:line="7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As of October 8, 2004, in connection with our entry into the new revolving credit agreement described in Item 2.03 hereof, we terminated our $450.0 million five-year revolving credit facility with the banks, financial institutions and other lenders signatory thereto and Citibank, N.A. The prior credit facility would have expired on December 3, 2006. The material terms and conditions of the prior credit facility were substantially similar to the material terms and conditions of the new revolving credit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2.03. Creation of a Direct Financial Obligation or an Obligation Under an Off-Balance Sheet Arrangement of a Registrant</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October 8, 2004, we entered into a new $625.0 million revolving credit agreement with a syndicate of commercial banks, including Citibank, N.A. as agent for the lenders, that expires in October 2009. This new agreement replaces our $450.0 million five-year revolving credit facility and $200.0 million 364-day revolving credit facility. Amounts borrowed under the $450.0 million five-year facility have been transferred to this new facility.</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new revolving credit agreement allows for borrowings in various currencies and up to $150.0 million may be used for the issuance of stand-by letters of credit.</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interest rate and facility fee on the new agreement, as well as the issuance fee paid for the issuance of letters of credit on the facility, vary based on our public debt ratings and borrowing level. The current interest rate is LIBOR plus .675% and the facility and issuance fees are .20% and .675%, respectively.</w:t>
      </w:r>
    </w:p>
    <w:p>
      <w:pPr>
        <w:spacing w:after="0" w:line="72"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new agreement contains customary restrictive covenants pertaining to our and our subsidiaries’ management and operations, including limitations on the amount of subsidiary debt that we may incur and limitations on our ability to pledge assets, as well as financial covenants, including covenants requiring, among other things, that we comply with a Debt-to-EBITDA ratio of less than 3.25 to 1 and a Fixed Charge Ratio of greater than 2.00 to 1. The new revolving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0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r>
      <w:tr>
        <w:trPr>
          <w:trHeight w:val="316"/>
        </w:trPr>
        <w:tc>
          <w:tcPr>
            <w:tcW w:w="880" w:type="dxa"/>
            <w:vAlign w:val="bottom"/>
          </w:tcPr>
          <w:p>
            <w:pPr>
              <w:jc w:val="right"/>
              <w:ind w:right="202"/>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87"/>
              </w:rPr>
              <w:t>Five-Year Credit Agreement Dated as of October 8, 2004</w:t>
            </w:r>
          </w:p>
        </w:tc>
      </w:tr>
    </w:tbl>
    <w:p>
      <w:pPr>
        <w:sectPr>
          <w:pgSz w:w="11900" w:h="16838" w:orient="portrait"/>
          <w:cols w:equalWidth="0" w:num="1">
            <w:col w:w="11400"/>
          </w:cols>
          <w:pgMar w:left="240" w:top="280" w:right="259" w:bottom="1440" w:gutter="0" w:footer="0" w:header="0"/>
        </w:sectPr>
      </w:pPr>
    </w:p>
    <w:bookmarkStart w:id="2" w:name="page3"/>
    <w:bookmarkEnd w:id="2"/>
    <w:p>
      <w:pPr>
        <w:jc w:val="center"/>
        <w:ind w:right="-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440"/>
        <w:spacing w:after="0"/>
        <w:tabs>
          <w:tab w:leader="none" w:pos="5940" w:val="left"/>
        </w:tabs>
        <w:rPr>
          <w:sz w:val="20"/>
          <w:szCs w:val="20"/>
          <w:color w:val="auto"/>
        </w:rPr>
      </w:pPr>
      <w:r>
        <w:rPr>
          <w:rFonts w:ascii="Arial" w:cs="Arial" w:eastAsia="Arial" w:hAnsi="Arial"/>
          <w:sz w:val="18"/>
          <w:szCs w:val="18"/>
          <w:color w:val="auto"/>
        </w:rPr>
        <w:t>Dated: October 14, 2004</w:t>
      </w:r>
      <w:r>
        <w:rPr>
          <w:sz w:val="20"/>
          <w:szCs w:val="20"/>
          <w:color w:val="auto"/>
        </w:rPr>
        <w:tab/>
      </w:r>
      <w:r>
        <w:rPr>
          <w:rFonts w:ascii="Arial" w:cs="Arial" w:eastAsia="Arial" w:hAnsi="Arial"/>
          <w:sz w:val="16"/>
          <w:szCs w:val="16"/>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80010</wp:posOffset>
            </wp:positionV>
            <wp:extent cx="3241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1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 and Secretary</w:t>
      </w:r>
    </w:p>
    <w:p>
      <w:pPr>
        <w:sectPr>
          <w:pgSz w:w="11900" w:h="16838" w:orient="portrait"/>
          <w:cols w:equalWidth="0" w:num="1">
            <w:col w:w="10600"/>
          </w:cols>
          <w:pgMar w:left="240" w:top="274"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2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w w:val="87"/>
              </w:rPr>
              <w:t>Exhibit No.</w:t>
            </w:r>
          </w:p>
        </w:tc>
        <w:tc>
          <w:tcPr>
            <w:tcW w:w="40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r>
      <w:tr>
        <w:trPr>
          <w:trHeight w:val="316"/>
        </w:trPr>
        <w:tc>
          <w:tcPr>
            <w:tcW w:w="880" w:type="dxa"/>
            <w:vAlign w:val="bottom"/>
          </w:tcPr>
          <w:p>
            <w:pPr>
              <w:jc w:val="right"/>
              <w:ind w:right="202"/>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Five-Year Credit Agreement Dated as of October 8, 2004</w:t>
            </w:r>
          </w:p>
        </w:tc>
      </w:tr>
    </w:tbl>
    <w:p>
      <w:pPr>
        <w:spacing w:after="0"/>
        <w:rPr>
          <w:sz w:val="20"/>
          <w:szCs w:val="20"/>
          <w:color w:val="auto"/>
        </w:rPr>
        <w:sectPr>
          <w:pgSz w:w="11900" w:h="16838" w:orient="portrait"/>
          <w:cols w:equalWidth="0" w:num="1">
            <w:col w:w="9759"/>
          </w:cols>
          <w:pgMar w:left="70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U.S. $625,000,000</w:t>
      </w:r>
    </w:p>
    <w:p>
      <w:pPr>
        <w:spacing w:after="0" w:line="15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FIVE YEAR CREDIT AGREEMENT</w:t>
      </w:r>
    </w:p>
    <w:p>
      <w:pPr>
        <w:spacing w:after="0" w:line="164"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Dated as of October 8, 2004</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Among</w:t>
      </w:r>
    </w:p>
    <w:p>
      <w:pPr>
        <w:spacing w:after="0" w:line="15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MANPOWER INC.</w:t>
      </w:r>
    </w:p>
    <w:p>
      <w:pPr>
        <w:spacing w:after="0" w:line="164"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as Borrower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THE INITIAL LENDERS NAMED HEREIN</w:t>
      </w:r>
    </w:p>
    <w:p>
      <w:pPr>
        <w:spacing w:after="0" w:line="164"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as Initial Lenders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CITIBANK, N.A.</w:t>
      </w:r>
    </w:p>
    <w:p>
      <w:pPr>
        <w:spacing w:after="0" w:line="164"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as Administrative Agent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WACHOVIA BANK, NATIONAL ASSOCIATION</w:t>
      </w:r>
    </w:p>
    <w:p>
      <w:pPr>
        <w:spacing w:after="0" w:line="164"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as Syndication Agent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BNP PARIBAS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ONE,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ROYAL BANK OF SCOTLAND PLC</w:t>
      </w:r>
    </w:p>
    <w:p>
      <w:pPr>
        <w:spacing w:after="0" w:line="151" w:lineRule="exact"/>
        <w:rPr>
          <w:sz w:val="20"/>
          <w:szCs w:val="20"/>
          <w:color w:val="auto"/>
        </w:rPr>
      </w:pPr>
    </w:p>
    <w:p>
      <w:pPr>
        <w:ind w:left="4800"/>
        <w:spacing w:after="0"/>
        <w:rPr>
          <w:sz w:val="20"/>
          <w:szCs w:val="20"/>
          <w:color w:val="auto"/>
        </w:rPr>
      </w:pPr>
      <w:r>
        <w:rPr>
          <w:rFonts w:ascii="Arial" w:cs="Arial" w:eastAsia="Arial" w:hAnsi="Arial"/>
          <w:sz w:val="18"/>
          <w:szCs w:val="18"/>
          <w:u w:val="single" w:color="auto"/>
          <w:color w:val="auto"/>
        </w:rPr>
        <w:t>as Documentation Agents</w:t>
      </w:r>
    </w:p>
    <w:p>
      <w:pPr>
        <w:spacing w:after="0" w:line="15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CITIGROUP GLOBAL MARKETS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WACHOVIA CAPITAL MARKETS,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Joint Lead Arrangers and Book Managers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Manpower Five Year Credit Agreement</w:t>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1114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1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vMerge w:val="restart"/>
          </w:tcPr>
          <w:p>
            <w:pPr>
              <w:ind w:left="4980"/>
              <w:spacing w:after="0"/>
              <w:rPr>
                <w:sz w:val="20"/>
                <w:szCs w:val="20"/>
                <w:color w:val="auto"/>
              </w:rPr>
            </w:pPr>
            <w:r>
              <w:rPr>
                <w:rFonts w:ascii="Arial" w:cs="Arial" w:eastAsia="Arial" w:hAnsi="Arial"/>
                <w:sz w:val="18"/>
                <w:szCs w:val="18"/>
                <w:color w:val="auto"/>
              </w:rPr>
              <w:t>ARTICLE I</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1.01. 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1.02. 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1.03. 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tcPr>
          <w:p>
            <w:pPr>
              <w:ind w:left="496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2.01. The Revolving Credit Advances and the 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2.02. Making the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2.03. The Competitive Bid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2.04. Issuance of and Drawings and Reimbursement Under 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2.05. Fees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2.06. Optional Termination or Reduction of the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2.07. Repayment of Revolving Credit Advances and 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2.08. Interest on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2.09. Interest Rate Determination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2.10. Optional Conversion of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2.11. Prepayments of Revolving Credit Advances and Letter of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2.12. 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2.13. 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2.14. Payments and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2.15. Taxes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2.16. Sharing of Payments,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2.17. 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2.18. 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2.19. Increase in the Aggregate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5"/>
        </w:trPr>
        <w:tc>
          <w:tcPr>
            <w:tcW w:w="11140" w:type="dxa"/>
            <w:vAlign w:val="bottom"/>
          </w:tcPr>
          <w:p>
            <w:pPr>
              <w:spacing w:after="0"/>
              <w:rPr>
                <w:sz w:val="20"/>
                <w:szCs w:val="20"/>
                <w:color w:val="auto"/>
              </w:rPr>
            </w:pPr>
            <w:r>
              <w:rPr>
                <w:rFonts w:ascii="Arial" w:cs="Arial" w:eastAsia="Arial" w:hAnsi="Arial"/>
                <w:sz w:val="18"/>
                <w:szCs w:val="18"/>
                <w:color w:val="auto"/>
              </w:rPr>
              <w:t>- Manpower Five Year Credit Agreement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22"/>
        </w:trPr>
        <w:tc>
          <w:tcPr>
            <w:tcW w:w="9680" w:type="dxa"/>
            <w:vAlign w:val="bottom"/>
          </w:tcPr>
          <w:p>
            <w:pPr>
              <w:jc w:val="center"/>
              <w:ind w:left="1152"/>
              <w:spacing w:after="0"/>
              <w:rPr>
                <w:sz w:val="20"/>
                <w:szCs w:val="20"/>
                <w:color w:val="auto"/>
              </w:rPr>
            </w:pPr>
            <w:r>
              <w:rPr>
                <w:rFonts w:ascii="Arial" w:cs="Arial" w:eastAsia="Arial" w:hAnsi="Arial"/>
                <w:sz w:val="18"/>
                <w:szCs w:val="18"/>
                <w:color w:val="auto"/>
                <w:w w:val="99"/>
              </w:rPr>
              <w:t>ARTICLE III</w:t>
            </w:r>
          </w:p>
        </w:tc>
        <w:tc>
          <w:tcPr>
            <w:tcW w:w="1740" w:type="dxa"/>
            <w:vAlign w:val="bottom"/>
          </w:tcPr>
          <w:p>
            <w:pPr>
              <w:spacing w:after="0"/>
              <w:rPr>
                <w:sz w:val="19"/>
                <w:szCs w:val="19"/>
                <w:color w:val="auto"/>
              </w:rPr>
            </w:pP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3.01. Conditions Precedent to Effectiveness of Sections 2.01 and 2.03</w:t>
            </w: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9680" w:type="dxa"/>
            <w:vAlign w:val="bottom"/>
          </w:tcPr>
          <w:p>
            <w:pPr>
              <w:spacing w:after="0"/>
              <w:rPr>
                <w:sz w:val="20"/>
                <w:szCs w:val="20"/>
                <w:color w:val="auto"/>
              </w:rPr>
            </w:pPr>
            <w:r>
              <w:rPr>
                <w:rFonts w:ascii="Arial" w:cs="Arial" w:eastAsia="Arial" w:hAnsi="Arial"/>
                <w:sz w:val="18"/>
                <w:szCs w:val="18"/>
                <w:color w:val="auto"/>
              </w:rPr>
              <w:t>SECTION 3.02. Conditions Precedent to Each Revolving Credit Borrowing, Each Issuance of Letters of Credit and</w:t>
            </w:r>
          </w:p>
        </w:tc>
        <w:tc>
          <w:tcPr>
            <w:tcW w:w="1740" w:type="dxa"/>
            <w:vAlign w:val="bottom"/>
          </w:tcPr>
          <w:p>
            <w:pPr>
              <w:spacing w:after="0"/>
              <w:rPr>
                <w:sz w:val="24"/>
                <w:szCs w:val="24"/>
                <w:color w:val="auto"/>
              </w:rPr>
            </w:pPr>
          </w:p>
        </w:tc>
      </w:tr>
      <w:tr>
        <w:trPr>
          <w:trHeight w:val="236"/>
        </w:trPr>
        <w:tc>
          <w:tcPr>
            <w:tcW w:w="9680" w:type="dxa"/>
            <w:vAlign w:val="bottom"/>
          </w:tcPr>
          <w:p>
            <w:pPr>
              <w:ind w:left="1420"/>
              <w:spacing w:after="0"/>
              <w:rPr>
                <w:sz w:val="20"/>
                <w:szCs w:val="20"/>
                <w:color w:val="auto"/>
              </w:rPr>
            </w:pPr>
            <w:r>
              <w:rPr>
                <w:rFonts w:ascii="Arial" w:cs="Arial" w:eastAsia="Arial" w:hAnsi="Arial"/>
                <w:sz w:val="18"/>
                <w:szCs w:val="18"/>
                <w:color w:val="auto"/>
              </w:rPr>
              <w:t>Commitment Increase.</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81"/>
        </w:trPr>
        <w:tc>
          <w:tcPr>
            <w:tcW w:w="9680" w:type="dxa"/>
            <w:vAlign w:val="bottom"/>
          </w:tcPr>
          <w:p>
            <w:pPr>
              <w:spacing w:after="0"/>
              <w:rPr>
                <w:sz w:val="20"/>
                <w:szCs w:val="20"/>
                <w:color w:val="auto"/>
              </w:rPr>
            </w:pPr>
            <w:r>
              <w:rPr>
                <w:rFonts w:ascii="Arial" w:cs="Arial" w:eastAsia="Arial" w:hAnsi="Arial"/>
                <w:sz w:val="18"/>
                <w:szCs w:val="18"/>
                <w:color w:val="auto"/>
              </w:rPr>
              <w:t>SECTION 3.03. Conditions Precedent to Each Competitive Bid Borrowing</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3.04. Determinations Under Section 3.01</w:t>
            </w:r>
          </w:p>
        </w:tc>
        <w:tc>
          <w:tcPr>
            <w:tcW w:w="1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680" w:type="dxa"/>
            <w:vAlign w:val="bottom"/>
          </w:tcPr>
          <w:p>
            <w:pPr>
              <w:jc w:val="center"/>
              <w:ind w:left="1152"/>
              <w:spacing w:after="0"/>
              <w:rPr>
                <w:sz w:val="20"/>
                <w:szCs w:val="20"/>
                <w:color w:val="auto"/>
              </w:rPr>
            </w:pPr>
            <w:r>
              <w:rPr>
                <w:rFonts w:ascii="Arial" w:cs="Arial" w:eastAsia="Arial" w:hAnsi="Arial"/>
                <w:sz w:val="18"/>
                <w:szCs w:val="18"/>
                <w:color w:val="auto"/>
                <w:w w:val="97"/>
              </w:rPr>
              <w:t>ARTICLE IV</w:t>
            </w:r>
          </w:p>
        </w:tc>
        <w:tc>
          <w:tcPr>
            <w:tcW w:w="1740" w:type="dxa"/>
            <w:vAlign w:val="bottom"/>
          </w:tcPr>
          <w:p>
            <w:pPr>
              <w:spacing w:after="0"/>
              <w:rPr>
                <w:sz w:val="24"/>
                <w:szCs w:val="24"/>
                <w:color w:val="auto"/>
              </w:rPr>
            </w:pP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4.01. Representations and Warranties of the Borrower</w:t>
            </w:r>
          </w:p>
        </w:tc>
        <w:tc>
          <w:tcPr>
            <w:tcW w:w="1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680" w:type="dxa"/>
            <w:vAlign w:val="bottom"/>
          </w:tcPr>
          <w:p>
            <w:pPr>
              <w:jc w:val="center"/>
              <w:ind w:left="1132"/>
              <w:spacing w:after="0"/>
              <w:rPr>
                <w:sz w:val="20"/>
                <w:szCs w:val="20"/>
                <w:color w:val="auto"/>
              </w:rPr>
            </w:pPr>
            <w:r>
              <w:rPr>
                <w:rFonts w:ascii="Arial" w:cs="Arial" w:eastAsia="Arial" w:hAnsi="Arial"/>
                <w:sz w:val="18"/>
                <w:szCs w:val="18"/>
                <w:color w:val="auto"/>
                <w:w w:val="96"/>
              </w:rPr>
              <w:t>ARTICLE V</w:t>
            </w:r>
          </w:p>
        </w:tc>
        <w:tc>
          <w:tcPr>
            <w:tcW w:w="1740" w:type="dxa"/>
            <w:vAlign w:val="bottom"/>
          </w:tcPr>
          <w:p>
            <w:pPr>
              <w:spacing w:after="0"/>
              <w:rPr>
                <w:sz w:val="24"/>
                <w:szCs w:val="24"/>
                <w:color w:val="auto"/>
              </w:rPr>
            </w:pP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5.01. Affirmative Covenants</w:t>
            </w: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5.02. Negative Covenants</w:t>
            </w: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5.03. Financial Covenants</w:t>
            </w: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680" w:type="dxa"/>
            <w:vAlign w:val="bottom"/>
          </w:tcPr>
          <w:p>
            <w:pPr>
              <w:jc w:val="center"/>
              <w:ind w:left="1152"/>
              <w:spacing w:after="0"/>
              <w:rPr>
                <w:sz w:val="20"/>
                <w:szCs w:val="20"/>
                <w:color w:val="auto"/>
              </w:rPr>
            </w:pPr>
            <w:r>
              <w:rPr>
                <w:rFonts w:ascii="Arial" w:cs="Arial" w:eastAsia="Arial" w:hAnsi="Arial"/>
                <w:sz w:val="18"/>
                <w:szCs w:val="18"/>
                <w:color w:val="auto"/>
                <w:w w:val="97"/>
              </w:rPr>
              <w:t>ARTICLE VI</w:t>
            </w:r>
          </w:p>
        </w:tc>
        <w:tc>
          <w:tcPr>
            <w:tcW w:w="1740" w:type="dxa"/>
            <w:vAlign w:val="bottom"/>
          </w:tcPr>
          <w:p>
            <w:pPr>
              <w:spacing w:after="0"/>
              <w:rPr>
                <w:sz w:val="24"/>
                <w:szCs w:val="24"/>
                <w:color w:val="auto"/>
              </w:rPr>
            </w:pP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6.02. Actions in Respect of the Letters of Credit upon Default</w:t>
            </w: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680" w:type="dxa"/>
            <w:vAlign w:val="bottom"/>
          </w:tcPr>
          <w:p>
            <w:pPr>
              <w:jc w:val="center"/>
              <w:ind w:left="1132"/>
              <w:spacing w:after="0"/>
              <w:rPr>
                <w:sz w:val="20"/>
                <w:szCs w:val="20"/>
                <w:color w:val="auto"/>
              </w:rPr>
            </w:pPr>
            <w:r>
              <w:rPr>
                <w:rFonts w:ascii="Arial" w:cs="Arial" w:eastAsia="Arial" w:hAnsi="Arial"/>
                <w:sz w:val="18"/>
                <w:szCs w:val="18"/>
                <w:color w:val="auto"/>
                <w:w w:val="98"/>
              </w:rPr>
              <w:t>ARTICLE VII</w:t>
            </w:r>
          </w:p>
        </w:tc>
        <w:tc>
          <w:tcPr>
            <w:tcW w:w="1740" w:type="dxa"/>
            <w:vAlign w:val="bottom"/>
          </w:tcPr>
          <w:p>
            <w:pPr>
              <w:spacing w:after="0"/>
              <w:rPr>
                <w:sz w:val="24"/>
                <w:szCs w:val="24"/>
                <w:color w:val="auto"/>
              </w:rPr>
            </w:pP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7.01. Authorization and Action</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7.02. Agent's Reliance, Etc.</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7.03. Citibank and Affiliates</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7.04. Lender Credit Decision</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7.05. Indemnification</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7.06. Successor Agent</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7.07. Other Agents.</w:t>
            </w: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680" w:type="dxa"/>
            <w:vAlign w:val="bottom"/>
          </w:tcPr>
          <w:p>
            <w:pPr>
              <w:jc w:val="center"/>
              <w:ind w:left="1152"/>
              <w:spacing w:after="0"/>
              <w:rPr>
                <w:sz w:val="20"/>
                <w:szCs w:val="20"/>
                <w:color w:val="auto"/>
              </w:rPr>
            </w:pPr>
            <w:r>
              <w:rPr>
                <w:rFonts w:ascii="Arial" w:cs="Arial" w:eastAsia="Arial" w:hAnsi="Arial"/>
                <w:sz w:val="18"/>
                <w:szCs w:val="18"/>
                <w:color w:val="auto"/>
                <w:w w:val="99"/>
              </w:rPr>
              <w:t>ARTICLE VIII</w:t>
            </w:r>
          </w:p>
        </w:tc>
        <w:tc>
          <w:tcPr>
            <w:tcW w:w="1740" w:type="dxa"/>
            <w:vAlign w:val="bottom"/>
          </w:tcPr>
          <w:p>
            <w:pPr>
              <w:spacing w:after="0"/>
              <w:rPr>
                <w:sz w:val="24"/>
                <w:szCs w:val="24"/>
                <w:color w:val="auto"/>
              </w:rPr>
            </w:pP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8.01. Amendments, Etc.</w:t>
            </w: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8.02. Notices, Etc.</w:t>
            </w: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8.03. No Waiver; Remedies</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680" w:type="dxa"/>
            <w:vAlign w:val="bottom"/>
          </w:tcPr>
          <w:p>
            <w:pPr>
              <w:spacing w:after="0"/>
              <w:rPr>
                <w:sz w:val="20"/>
                <w:szCs w:val="20"/>
                <w:color w:val="auto"/>
              </w:rPr>
            </w:pPr>
            <w:r>
              <w:rPr>
                <w:rFonts w:ascii="Arial" w:cs="Arial" w:eastAsia="Arial" w:hAnsi="Arial"/>
                <w:sz w:val="18"/>
                <w:szCs w:val="18"/>
                <w:color w:val="auto"/>
              </w:rPr>
              <w:t>SECTION 8.04. Costs and Expenses</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22"/>
        </w:trPr>
        <w:tc>
          <w:tcPr>
            <w:tcW w:w="8120" w:type="dxa"/>
            <w:vAlign w:val="bottom"/>
            <w:gridSpan w:val="5"/>
          </w:tcPr>
          <w:p>
            <w:pPr>
              <w:spacing w:after="0"/>
              <w:rPr>
                <w:sz w:val="20"/>
                <w:szCs w:val="20"/>
                <w:color w:val="auto"/>
              </w:rPr>
            </w:pPr>
            <w:r>
              <w:rPr>
                <w:rFonts w:ascii="Arial" w:cs="Arial" w:eastAsia="Arial" w:hAnsi="Arial"/>
                <w:sz w:val="18"/>
                <w:szCs w:val="18"/>
                <w:color w:val="auto"/>
              </w:rPr>
              <w:t>SECTION 8.05. Right of Set-off</w:t>
            </w:r>
          </w:p>
        </w:tc>
        <w:tc>
          <w:tcPr>
            <w:tcW w:w="3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8.06. Binding Effect</w:t>
            </w:r>
          </w:p>
        </w:tc>
        <w:tc>
          <w:tcPr>
            <w:tcW w:w="3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8.07. Assignments, Designations and Participations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8.08. Confidentiality</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8.09. Governing Law</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8.10. Execution in Counterparts</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8.11. Judgment</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8.12. Jurisdiction, Etc.</w:t>
            </w:r>
          </w:p>
        </w:tc>
        <w:tc>
          <w:tcPr>
            <w:tcW w:w="3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8.13. Substitution of Currency</w:t>
            </w:r>
          </w:p>
        </w:tc>
        <w:tc>
          <w:tcPr>
            <w:tcW w:w="3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8.14. No Liability of the Lenders as Letter of Credit Issuers</w:t>
            </w:r>
          </w:p>
        </w:tc>
        <w:tc>
          <w:tcPr>
            <w:tcW w:w="3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8.15. Patriot Act</w:t>
            </w:r>
          </w:p>
        </w:tc>
        <w:tc>
          <w:tcPr>
            <w:tcW w:w="3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120" w:type="dxa"/>
            <w:vAlign w:val="bottom"/>
            <w:gridSpan w:val="5"/>
          </w:tcPr>
          <w:p>
            <w:pPr>
              <w:spacing w:after="0"/>
              <w:rPr>
                <w:sz w:val="20"/>
                <w:szCs w:val="20"/>
                <w:color w:val="auto"/>
              </w:rPr>
            </w:pPr>
            <w:r>
              <w:rPr>
                <w:rFonts w:ascii="Arial" w:cs="Arial" w:eastAsia="Arial" w:hAnsi="Arial"/>
                <w:sz w:val="18"/>
                <w:szCs w:val="18"/>
                <w:color w:val="auto"/>
              </w:rPr>
              <w:t>SECTION 8.16. Waiver of Jury Trial</w:t>
            </w:r>
          </w:p>
        </w:tc>
        <w:tc>
          <w:tcPr>
            <w:tcW w:w="3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4"/>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3"/>
              </w:rPr>
              <w:t>Schedules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43"/>
        </w:trPr>
        <w:tc>
          <w:tcPr>
            <w:tcW w:w="1340" w:type="dxa"/>
            <w:vAlign w:val="bottom"/>
            <w:gridSpan w:val="3"/>
          </w:tcPr>
          <w:p>
            <w:pPr>
              <w:spacing w:after="0"/>
              <w:rPr>
                <w:sz w:val="20"/>
                <w:szCs w:val="20"/>
                <w:color w:val="auto"/>
              </w:rPr>
            </w:pPr>
            <w:r>
              <w:rPr>
                <w:rFonts w:ascii="Arial" w:cs="Arial" w:eastAsia="Arial" w:hAnsi="Arial"/>
                <w:sz w:val="18"/>
                <w:szCs w:val="18"/>
                <w:color w:val="auto"/>
              </w:rPr>
              <w:t>Schedule I</w:t>
            </w: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  List of Applicable Lending Offices</w:t>
            </w:r>
          </w:p>
        </w:tc>
        <w:tc>
          <w:tcPr>
            <w:tcW w:w="3300" w:type="dxa"/>
            <w:vAlign w:val="bottom"/>
          </w:tcPr>
          <w:p>
            <w:pPr>
              <w:spacing w:after="0"/>
              <w:rPr>
                <w:sz w:val="24"/>
                <w:szCs w:val="24"/>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Schedule 2.04</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654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3300" w:type="dxa"/>
            <w:vAlign w:val="bottom"/>
          </w:tcPr>
          <w:p>
            <w:pPr>
              <w:spacing w:after="0"/>
              <w:rPr>
                <w:sz w:val="24"/>
                <w:szCs w:val="24"/>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w w:val="96"/>
              </w:rPr>
              <w:t>Schedule 5.02(a)</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6540" w:type="dxa"/>
            <w:vAlign w:val="bottom"/>
          </w:tcPr>
          <w:p>
            <w:pPr>
              <w:ind w:left="60"/>
              <w:spacing w:after="0"/>
              <w:rPr>
                <w:sz w:val="20"/>
                <w:szCs w:val="20"/>
                <w:color w:val="auto"/>
              </w:rPr>
            </w:pPr>
            <w:r>
              <w:rPr>
                <w:rFonts w:ascii="Arial" w:cs="Arial" w:eastAsia="Arial" w:hAnsi="Arial"/>
                <w:sz w:val="18"/>
                <w:szCs w:val="18"/>
                <w:color w:val="auto"/>
              </w:rPr>
              <w:t>Existing Liens</w:t>
            </w:r>
          </w:p>
        </w:tc>
        <w:tc>
          <w:tcPr>
            <w:tcW w:w="3300" w:type="dxa"/>
            <w:vAlign w:val="bottom"/>
          </w:tcPr>
          <w:p>
            <w:pPr>
              <w:spacing w:after="0"/>
              <w:rPr>
                <w:sz w:val="24"/>
                <w:szCs w:val="24"/>
                <w:color w:val="auto"/>
              </w:rPr>
            </w:pPr>
          </w:p>
        </w:tc>
      </w:tr>
      <w:tr>
        <w:trPr>
          <w:trHeight w:val="394"/>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7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43"/>
        </w:trPr>
        <w:tc>
          <w:tcPr>
            <w:tcW w:w="1340" w:type="dxa"/>
            <w:vAlign w:val="bottom"/>
            <w:gridSpan w:val="3"/>
          </w:tcPr>
          <w:p>
            <w:pPr>
              <w:spacing w:after="0"/>
              <w:rPr>
                <w:sz w:val="20"/>
                <w:szCs w:val="20"/>
                <w:color w:val="auto"/>
              </w:rPr>
            </w:pPr>
            <w:r>
              <w:rPr>
                <w:rFonts w:ascii="Arial" w:cs="Arial" w:eastAsia="Arial" w:hAnsi="Arial"/>
                <w:sz w:val="18"/>
                <w:szCs w:val="18"/>
                <w:color w:val="auto"/>
              </w:rPr>
              <w:t>Exhibit A-1</w:t>
            </w: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  Form of Revolving Credit Note</w:t>
            </w:r>
          </w:p>
        </w:tc>
        <w:tc>
          <w:tcPr>
            <w:tcW w:w="3300" w:type="dxa"/>
            <w:vAlign w:val="bottom"/>
          </w:tcPr>
          <w:p>
            <w:pPr>
              <w:spacing w:after="0"/>
              <w:rPr>
                <w:sz w:val="24"/>
                <w:szCs w:val="24"/>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Exhibit A-2</w:t>
            </w: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  Form of Competitive Bid Note</w:t>
            </w:r>
          </w:p>
        </w:tc>
        <w:tc>
          <w:tcPr>
            <w:tcW w:w="3300" w:type="dxa"/>
            <w:vAlign w:val="bottom"/>
          </w:tcPr>
          <w:p>
            <w:pPr>
              <w:spacing w:after="0"/>
              <w:rPr>
                <w:sz w:val="24"/>
                <w:szCs w:val="24"/>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  Form of Notice of Revolving Credit Borrowing</w:t>
            </w:r>
          </w:p>
        </w:tc>
        <w:tc>
          <w:tcPr>
            <w:tcW w:w="3300" w:type="dxa"/>
            <w:vAlign w:val="bottom"/>
          </w:tcPr>
          <w:p>
            <w:pPr>
              <w:spacing w:after="0"/>
              <w:rPr>
                <w:sz w:val="24"/>
                <w:szCs w:val="24"/>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  Form of Notice of Competitive Bid Borrowing</w:t>
            </w:r>
          </w:p>
        </w:tc>
        <w:tc>
          <w:tcPr>
            <w:tcW w:w="3300" w:type="dxa"/>
            <w:vAlign w:val="bottom"/>
          </w:tcPr>
          <w:p>
            <w:pPr>
              <w:spacing w:after="0"/>
              <w:rPr>
                <w:sz w:val="24"/>
                <w:szCs w:val="24"/>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  Form of Assignment and Acceptance</w:t>
            </w:r>
          </w:p>
        </w:tc>
        <w:tc>
          <w:tcPr>
            <w:tcW w:w="3300" w:type="dxa"/>
            <w:vAlign w:val="bottom"/>
          </w:tcPr>
          <w:p>
            <w:pPr>
              <w:spacing w:after="0"/>
              <w:rPr>
                <w:sz w:val="24"/>
                <w:szCs w:val="24"/>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  Form of Designation Agreement</w:t>
            </w:r>
          </w:p>
        </w:tc>
        <w:tc>
          <w:tcPr>
            <w:tcW w:w="3300" w:type="dxa"/>
            <w:vAlign w:val="bottom"/>
          </w:tcPr>
          <w:p>
            <w:pPr>
              <w:spacing w:after="0"/>
              <w:rPr>
                <w:sz w:val="24"/>
                <w:szCs w:val="24"/>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6780" w:type="dxa"/>
            <w:vAlign w:val="bottom"/>
            <w:gridSpan w:val="2"/>
          </w:tcPr>
          <w:p>
            <w:pPr>
              <w:ind w:left="120"/>
              <w:spacing w:after="0"/>
              <w:rPr>
                <w:sz w:val="20"/>
                <w:szCs w:val="20"/>
                <w:color w:val="auto"/>
              </w:rPr>
            </w:pPr>
            <w:r>
              <w:rPr>
                <w:rFonts w:ascii="Arial" w:cs="Arial" w:eastAsia="Arial" w:hAnsi="Arial"/>
                <w:sz w:val="18"/>
                <w:szCs w:val="18"/>
                <w:color w:val="auto"/>
              </w:rPr>
              <w:t>-  Form of Opinion of Counsel for the Borrower</w:t>
            </w:r>
          </w:p>
        </w:tc>
        <w:tc>
          <w:tcPr>
            <w:tcW w:w="3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 w:name="page9"/>
    <w:bookmarkEnd w:id="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FIVE YEAR CREDIT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October 8, 2004</w:t>
      </w:r>
    </w:p>
    <w:p>
      <w:pPr>
        <w:spacing w:after="0" w:line="158"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MANPOWER INC., a Wisconsin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banks, financial institutions and other institutional lenders (the “</w:t>
      </w:r>
      <w:r>
        <w:rPr>
          <w:rFonts w:ascii="Arial" w:cs="Arial" w:eastAsia="Arial" w:hAnsi="Arial"/>
          <w:sz w:val="16"/>
          <w:szCs w:val="16"/>
          <w:u w:val="single" w:color="auto"/>
          <w:color w:val="auto"/>
        </w:rPr>
        <w:t>Initial Lenders</w:t>
      </w:r>
      <w:r>
        <w:rPr>
          <w:rFonts w:ascii="Arial" w:cs="Arial" w:eastAsia="Arial" w:hAnsi="Arial"/>
          <w:sz w:val="16"/>
          <w:szCs w:val="16"/>
          <w:color w:val="auto"/>
        </w:rPr>
        <w:t>”) listed on the signature pages hereof as lenders, CALYON NEW YORK BRANCH (the “</w:t>
      </w:r>
      <w:r>
        <w:rPr>
          <w:rFonts w:ascii="Arial" w:cs="Arial" w:eastAsia="Arial" w:hAnsi="Arial"/>
          <w:sz w:val="16"/>
          <w:szCs w:val="16"/>
          <w:u w:val="single" w:color="auto"/>
          <w:color w:val="auto"/>
        </w:rPr>
        <w:t>Initial Issuing Bank</w:t>
      </w:r>
      <w:r>
        <w:rPr>
          <w:rFonts w:ascii="Arial" w:cs="Arial" w:eastAsia="Arial" w:hAnsi="Arial"/>
          <w:sz w:val="16"/>
          <w:szCs w:val="16"/>
          <w:color w:val="auto"/>
        </w:rPr>
        <w:t>”, and together with the Initial Lenders,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 Parties</w:t>
      </w:r>
      <w:r>
        <w:rPr>
          <w:rFonts w:ascii="Arial" w:cs="Arial" w:eastAsia="Arial" w:hAnsi="Arial"/>
          <w:sz w:val="16"/>
          <w:szCs w:val="16"/>
          <w:color w:val="auto"/>
        </w:rPr>
        <w:t>”) and CITIBANK, N.A. (“</w:t>
      </w:r>
      <w:r>
        <w:rPr>
          <w:rFonts w:ascii="Arial" w:cs="Arial" w:eastAsia="Arial" w:hAnsi="Arial"/>
          <w:sz w:val="16"/>
          <w:szCs w:val="16"/>
          <w:u w:val="single" w:color="auto"/>
          <w:color w:val="auto"/>
        </w:rPr>
        <w:t>Citibank</w:t>
      </w:r>
      <w:r>
        <w:rPr>
          <w:rFonts w:ascii="Arial" w:cs="Arial" w:eastAsia="Arial" w:hAnsi="Arial"/>
          <w:sz w:val="16"/>
          <w:szCs w:val="16"/>
          <w:color w:val="auto"/>
        </w:rPr>
        <w:t>”), as agent (the “</w:t>
      </w:r>
      <w:r>
        <w:rPr>
          <w:rFonts w:ascii="Arial" w:cs="Arial" w:eastAsia="Arial" w:hAnsi="Arial"/>
          <w:sz w:val="16"/>
          <w:szCs w:val="16"/>
          <w:u w:val="single" w:color="auto"/>
          <w:color w:val="auto"/>
        </w:rPr>
        <w:t>Agent</w:t>
      </w:r>
      <w:r>
        <w:rPr>
          <w:rFonts w:ascii="Arial" w:cs="Arial" w:eastAsia="Arial" w:hAnsi="Arial"/>
          <w:sz w:val="16"/>
          <w:szCs w:val="16"/>
          <w:color w:val="auto"/>
        </w:rPr>
        <w:t>”) for the Lender Parties (as hereinafter defined), agree as follows: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ACCOUNTING TERMS</w:t>
      </w:r>
    </w:p>
    <w:p>
      <w:pPr>
        <w:spacing w:after="0" w:line="15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a Competitive Bid Advance or a Letter of Credit Advance.</w:t>
      </w:r>
    </w:p>
    <w:p>
      <w:pPr>
        <w:spacing w:after="0" w:line="77" w:lineRule="exact"/>
        <w:rPr>
          <w:sz w:val="20"/>
          <w:szCs w:val="20"/>
          <w:color w:val="auto"/>
        </w:rPr>
      </w:pPr>
    </w:p>
    <w:p>
      <w:pPr>
        <w:ind w:left="460" w:right="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18" w:lineRule="exact"/>
        <w:rPr>
          <w:sz w:val="20"/>
          <w:szCs w:val="20"/>
          <w:color w:val="auto"/>
        </w:rPr>
      </w:pPr>
    </w:p>
    <w:p>
      <w:pPr>
        <w:ind w:left="460"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Agent’s Account</w:t>
      </w:r>
      <w:r>
        <w:rPr>
          <w:rFonts w:ascii="Arial" w:cs="Arial" w:eastAsia="Arial" w:hAnsi="Arial"/>
          <w:sz w:val="16"/>
          <w:szCs w:val="16"/>
          <w:color w:val="auto"/>
        </w:rPr>
        <w:t>” means (a) in the case of Advances denominated in Dollars, the account of the Agent maintained by the Agent at Citibank at its office at 388 Greenwich Street, New York, New York 10013, Account No. 36852248, Attention: Bank Loan Syndications, or (b) any such other account of the Agent as is designated in writing from time to time by the Agent to the Borrower and the Lenders for such purpose.</w:t>
      </w:r>
    </w:p>
    <w:p>
      <w:pPr>
        <w:spacing w:after="0" w:line="12" w:lineRule="exact"/>
        <w:rPr>
          <w:sz w:val="20"/>
          <w:szCs w:val="20"/>
          <w:color w:val="auto"/>
        </w:rPr>
      </w:pPr>
    </w:p>
    <w:p>
      <w:pPr>
        <w:ind w:left="460" w:right="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means, with respect to each Lender, such Lender’s Domestic Lending Office in the case of a Base Rate Advance and such Lender’s Eurocurrency Lending Office in the case of a Eurocurrency Rate Advance and, in the case of a Competitive Bid Advance, the office of such Lender notified by such Lender to the Agent as its Applicable Lending Office with respect to such Competitive Bid Advance.</w:t>
      </w:r>
    </w:p>
    <w:p>
      <w:pPr>
        <w:spacing w:after="0" w:line="12"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for Base Rate Advances, 0% per annum and (b) for Eurocurrency Rate Advances, as of any date, a percentage per annum determined by reference to the Public Debt Rating in effect on such date as set forth below:</w:t>
      </w:r>
    </w:p>
    <w:p>
      <w:pPr>
        <w:spacing w:after="0" w:line="10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Applicable Margin for</w:t>
            </w:r>
          </w:p>
        </w:tc>
        <w:tc>
          <w:tcPr>
            <w:tcW w:w="0" w:type="dxa"/>
            <w:vAlign w:val="bottom"/>
          </w:tcPr>
          <w:p>
            <w:pPr>
              <w:spacing w:after="0"/>
              <w:rPr>
                <w:sz w:val="1"/>
                <w:szCs w:val="1"/>
                <w:color w:val="auto"/>
              </w:rPr>
            </w:pPr>
          </w:p>
        </w:tc>
      </w:tr>
      <w:tr>
        <w:trPr>
          <w:trHeight w:val="149"/>
        </w:trPr>
        <w:tc>
          <w:tcPr>
            <w:tcW w:w="53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Public Debt Rating</w:t>
            </w: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Eurocurrency Rate</w:t>
            </w:r>
          </w:p>
        </w:tc>
        <w:tc>
          <w:tcPr>
            <w:tcW w:w="0" w:type="dxa"/>
            <w:vAlign w:val="bottom"/>
          </w:tcPr>
          <w:p>
            <w:pPr>
              <w:spacing w:after="0"/>
              <w:rPr>
                <w:sz w:val="1"/>
                <w:szCs w:val="1"/>
                <w:color w:val="auto"/>
              </w:rPr>
            </w:pPr>
          </w:p>
        </w:tc>
      </w:tr>
      <w:tr>
        <w:trPr>
          <w:trHeight w:val="174"/>
        </w:trPr>
        <w:tc>
          <w:tcPr>
            <w:tcW w:w="5380" w:type="dxa"/>
            <w:vAlign w:val="bottom"/>
            <w:gridSpan w:val="5"/>
          </w:tcPr>
          <w:p>
            <w:pPr>
              <w:spacing w:after="0"/>
              <w:rPr>
                <w:sz w:val="20"/>
                <w:szCs w:val="20"/>
                <w:color w:val="auto"/>
              </w:rPr>
            </w:pPr>
            <w:r>
              <w:rPr>
                <w:rFonts w:ascii="Arial" w:cs="Arial" w:eastAsia="Arial" w:hAnsi="Arial"/>
                <w:sz w:val="14"/>
                <w:szCs w:val="14"/>
                <w:b w:val="1"/>
                <w:bCs w:val="1"/>
                <w:color w:val="auto"/>
              </w:rPr>
              <w:t>S&amp;P/Moody’s</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Advances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Level 1</w:t>
            </w:r>
          </w:p>
        </w:tc>
        <w:tc>
          <w:tcPr>
            <w:tcW w:w="4840" w:type="dxa"/>
            <w:vAlign w:val="bottom"/>
            <w:tcBorders>
              <w:bottom w:val="single" w:sz="8" w:color="CCEEFF"/>
            </w:tcBorders>
            <w:gridSpan w:val="2"/>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BBB+ or Baa1 or above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6"/>
              </w:rPr>
              <w:t>Level 2</w:t>
            </w:r>
          </w:p>
        </w:tc>
        <w:tc>
          <w:tcPr>
            <w:tcW w:w="4840" w:type="dxa"/>
            <w:vAlign w:val="bottom"/>
            <w:gridSpan w:val="2"/>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380" w:type="dxa"/>
            <w:vAlign w:val="bottom"/>
            <w:gridSpan w:val="5"/>
          </w:tcPr>
          <w:p>
            <w:pPr>
              <w:spacing w:after="0"/>
              <w:rPr>
                <w:sz w:val="20"/>
                <w:szCs w:val="20"/>
                <w:color w:val="auto"/>
              </w:rPr>
            </w:pPr>
            <w:r>
              <w:rPr>
                <w:rFonts w:ascii="Arial" w:cs="Arial" w:eastAsia="Arial" w:hAnsi="Arial"/>
                <w:sz w:val="18"/>
                <w:szCs w:val="18"/>
                <w:color w:val="auto"/>
              </w:rPr>
              <w:t>BBB or Baa2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0.475%</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w w:val="86"/>
              </w:rPr>
              <w:t>Level 3</w:t>
            </w:r>
          </w:p>
        </w:tc>
        <w:tc>
          <w:tcPr>
            <w:tcW w:w="4840" w:type="dxa"/>
            <w:vAlign w:val="bottom"/>
            <w:tcBorders>
              <w:bottom w:val="single" w:sz="8" w:color="CCEEFF"/>
            </w:tcBorders>
            <w:gridSpan w:val="2"/>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BBB - or Baa3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4"/>
          </w:tcPr>
          <w:p>
            <w:pPr>
              <w:spacing w:after="0" w:line="176" w:lineRule="exact"/>
              <w:rPr>
                <w:sz w:val="20"/>
                <w:szCs w:val="20"/>
                <w:color w:val="auto"/>
              </w:rPr>
            </w:pPr>
            <w:r>
              <w:rPr>
                <w:rFonts w:ascii="Arial" w:cs="Arial" w:eastAsia="Arial" w:hAnsi="Arial"/>
                <w:sz w:val="18"/>
                <w:szCs w:val="18"/>
                <w:color w:val="auto"/>
              </w:rPr>
              <w:t>Level 4</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80" w:type="dxa"/>
            <w:vAlign w:val="bottom"/>
            <w:gridSpan w:val="5"/>
          </w:tcPr>
          <w:p>
            <w:pPr>
              <w:spacing w:after="0"/>
              <w:rPr>
                <w:sz w:val="20"/>
                <w:szCs w:val="20"/>
                <w:color w:val="auto"/>
              </w:rPr>
            </w:pPr>
            <w:r>
              <w:rPr>
                <w:rFonts w:ascii="Arial" w:cs="Arial" w:eastAsia="Arial" w:hAnsi="Arial"/>
                <w:sz w:val="18"/>
                <w:szCs w:val="18"/>
                <w:color w:val="auto"/>
              </w:rPr>
              <w:t>BB+ or Ba1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0.700%</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w w:val="86"/>
              </w:rPr>
              <w:t>Level 5</w:t>
            </w:r>
          </w:p>
        </w:tc>
        <w:tc>
          <w:tcPr>
            <w:tcW w:w="4840" w:type="dxa"/>
            <w:vAlign w:val="bottom"/>
            <w:tcBorders>
              <w:bottom w:val="single" w:sz="8" w:color="CCEEFF"/>
            </w:tcBorders>
            <w:gridSpan w:val="2"/>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Lower than Level 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0.875%</w:t>
            </w: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9" w:name="page10"/>
    <w:bookmarkEnd w:id="9"/>
    <w:p>
      <w:pPr>
        <w:ind w:right="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Public Debt Rating in effect on such date as set forth below:</w:t>
      </w:r>
    </w:p>
    <w:p>
      <w:pPr>
        <w:spacing w:after="0" w:line="10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040" w:type="dxa"/>
            <w:vAlign w:val="bottom"/>
            <w:gridSpan w:val="5"/>
          </w:tcPr>
          <w:p>
            <w:pPr>
              <w:spacing w:after="0"/>
              <w:rPr>
                <w:sz w:val="20"/>
                <w:szCs w:val="20"/>
                <w:color w:val="auto"/>
              </w:rPr>
            </w:pPr>
            <w:r>
              <w:rPr>
                <w:rFonts w:ascii="Arial" w:cs="Arial" w:eastAsia="Arial" w:hAnsi="Arial"/>
                <w:sz w:val="14"/>
                <w:szCs w:val="14"/>
                <w:b w:val="1"/>
                <w:bCs w:val="1"/>
                <w:color w:val="auto"/>
              </w:rPr>
              <w:t>Public Debt Rating</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Applicable</w:t>
            </w:r>
          </w:p>
        </w:tc>
        <w:tc>
          <w:tcPr>
            <w:tcW w:w="0" w:type="dxa"/>
            <w:vAlign w:val="bottom"/>
          </w:tcPr>
          <w:p>
            <w:pPr>
              <w:spacing w:after="0"/>
              <w:rPr>
                <w:sz w:val="1"/>
                <w:szCs w:val="1"/>
                <w:color w:val="auto"/>
              </w:rPr>
            </w:pPr>
          </w:p>
        </w:tc>
      </w:tr>
      <w:tr>
        <w:trPr>
          <w:trHeight w:val="174"/>
        </w:trPr>
        <w:tc>
          <w:tcPr>
            <w:tcW w:w="6040" w:type="dxa"/>
            <w:vAlign w:val="bottom"/>
            <w:gridSpan w:val="5"/>
          </w:tcPr>
          <w:p>
            <w:pPr>
              <w:spacing w:after="0"/>
              <w:rPr>
                <w:sz w:val="20"/>
                <w:szCs w:val="20"/>
                <w:color w:val="auto"/>
              </w:rPr>
            </w:pPr>
            <w:r>
              <w:rPr>
                <w:rFonts w:ascii="Arial" w:cs="Arial" w:eastAsia="Arial" w:hAnsi="Arial"/>
                <w:sz w:val="14"/>
                <w:szCs w:val="14"/>
                <w:b w:val="1"/>
                <w:bCs w:val="1"/>
                <w:color w:val="auto"/>
              </w:rPr>
              <w:t>S&amp;P/Moody’s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Level 1</w:t>
            </w:r>
          </w:p>
        </w:tc>
        <w:tc>
          <w:tcPr>
            <w:tcW w:w="550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BBB+ or Baa1 or above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6"/>
              </w:rPr>
              <w:t>Level 2</w:t>
            </w:r>
          </w:p>
        </w:tc>
        <w:tc>
          <w:tcPr>
            <w:tcW w:w="55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40" w:type="dxa"/>
            <w:vAlign w:val="bottom"/>
            <w:gridSpan w:val="5"/>
          </w:tcPr>
          <w:p>
            <w:pPr>
              <w:spacing w:after="0"/>
              <w:rPr>
                <w:sz w:val="20"/>
                <w:szCs w:val="20"/>
                <w:color w:val="auto"/>
              </w:rPr>
            </w:pPr>
            <w:r>
              <w:rPr>
                <w:rFonts w:ascii="Arial" w:cs="Arial" w:eastAsia="Arial" w:hAnsi="Arial"/>
                <w:sz w:val="18"/>
                <w:szCs w:val="18"/>
                <w:color w:val="auto"/>
              </w:rPr>
              <w:t>BBB or Baa2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w w:val="86"/>
              </w:rPr>
              <w:t>Level 3</w:t>
            </w:r>
          </w:p>
        </w:tc>
        <w:tc>
          <w:tcPr>
            <w:tcW w:w="550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BBB - or Baa3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20" w:type="dxa"/>
            <w:vAlign w:val="bottom"/>
            <w:gridSpan w:val="4"/>
          </w:tcPr>
          <w:p>
            <w:pPr>
              <w:spacing w:after="0" w:line="176" w:lineRule="exact"/>
              <w:rPr>
                <w:sz w:val="20"/>
                <w:szCs w:val="20"/>
                <w:color w:val="auto"/>
              </w:rPr>
            </w:pPr>
            <w:r>
              <w:rPr>
                <w:rFonts w:ascii="Arial" w:cs="Arial" w:eastAsia="Arial" w:hAnsi="Arial"/>
                <w:sz w:val="18"/>
                <w:szCs w:val="18"/>
                <w:color w:val="auto"/>
              </w:rPr>
              <w:t>Level 4</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40" w:type="dxa"/>
            <w:vAlign w:val="bottom"/>
            <w:gridSpan w:val="5"/>
          </w:tcPr>
          <w:p>
            <w:pPr>
              <w:spacing w:after="0"/>
              <w:rPr>
                <w:sz w:val="20"/>
                <w:szCs w:val="20"/>
                <w:color w:val="auto"/>
              </w:rPr>
            </w:pPr>
            <w:r>
              <w:rPr>
                <w:rFonts w:ascii="Arial" w:cs="Arial" w:eastAsia="Arial" w:hAnsi="Arial"/>
                <w:sz w:val="18"/>
                <w:szCs w:val="18"/>
                <w:color w:val="auto"/>
              </w:rPr>
              <w:t>BB+ or Ba1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0.300%</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w w:val="86"/>
              </w:rPr>
              <w:t>Level 5</w:t>
            </w:r>
          </w:p>
        </w:tc>
        <w:tc>
          <w:tcPr>
            <w:tcW w:w="550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Lower than Level 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Utilization Fee</w:t>
      </w:r>
      <w:r>
        <w:rPr>
          <w:rFonts w:ascii="Arial" w:cs="Arial" w:eastAsia="Arial" w:hAnsi="Arial"/>
          <w:sz w:val="16"/>
          <w:szCs w:val="16"/>
          <w:color w:val="auto"/>
        </w:rPr>
        <w:t>” means, as of any calendar month following a calendar month (the “preceding month”) in which the average aggregate principal amount of Advances outstanding during such preceding month exceeds 50% of the aggregate Commitments during such preceding month, a percentage per annum determined by reference to the Public Debt Rating in effect on such date as set forth below:</w:t>
      </w:r>
    </w:p>
    <w:p>
      <w:pPr>
        <w:spacing w:after="0" w:line="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40" w:type="dxa"/>
            <w:vAlign w:val="bottom"/>
            <w:gridSpan w:val="5"/>
          </w:tcPr>
          <w:p>
            <w:pPr>
              <w:spacing w:after="0"/>
              <w:rPr>
                <w:sz w:val="20"/>
                <w:szCs w:val="20"/>
                <w:color w:val="auto"/>
              </w:rPr>
            </w:pPr>
            <w:r>
              <w:rPr>
                <w:rFonts w:ascii="Arial" w:cs="Arial" w:eastAsia="Arial" w:hAnsi="Arial"/>
                <w:sz w:val="14"/>
                <w:szCs w:val="14"/>
                <w:b w:val="1"/>
                <w:bCs w:val="1"/>
                <w:color w:val="auto"/>
              </w:rPr>
              <w:t>Public Debt Rating</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74"/>
        </w:trPr>
        <w:tc>
          <w:tcPr>
            <w:tcW w:w="5840" w:type="dxa"/>
            <w:vAlign w:val="bottom"/>
            <w:gridSpan w:val="5"/>
          </w:tcPr>
          <w:p>
            <w:pPr>
              <w:spacing w:after="0"/>
              <w:rPr>
                <w:sz w:val="20"/>
                <w:szCs w:val="20"/>
                <w:color w:val="auto"/>
              </w:rPr>
            </w:pPr>
            <w:r>
              <w:rPr>
                <w:rFonts w:ascii="Arial" w:cs="Arial" w:eastAsia="Arial" w:hAnsi="Arial"/>
                <w:sz w:val="14"/>
                <w:szCs w:val="14"/>
                <w:b w:val="1"/>
                <w:bCs w:val="1"/>
                <w:color w:val="auto"/>
              </w:rPr>
              <w:t>S&amp;P/Moody’s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Utilization Fee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Level 1</w:t>
            </w:r>
          </w:p>
        </w:tc>
        <w:tc>
          <w:tcPr>
            <w:tcW w:w="530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BBB+ or Baa1 or above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6"/>
              </w:rPr>
              <w:t>Level 2</w:t>
            </w:r>
          </w:p>
        </w:tc>
        <w:tc>
          <w:tcPr>
            <w:tcW w:w="530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840" w:type="dxa"/>
            <w:vAlign w:val="bottom"/>
            <w:gridSpan w:val="5"/>
          </w:tcPr>
          <w:p>
            <w:pPr>
              <w:spacing w:after="0"/>
              <w:rPr>
                <w:sz w:val="20"/>
                <w:szCs w:val="20"/>
                <w:color w:val="auto"/>
              </w:rPr>
            </w:pPr>
            <w:r>
              <w:rPr>
                <w:rFonts w:ascii="Arial" w:cs="Arial" w:eastAsia="Arial" w:hAnsi="Arial"/>
                <w:sz w:val="18"/>
                <w:szCs w:val="18"/>
                <w:color w:val="auto"/>
              </w:rPr>
              <w:t>BBB or Baa2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gridSpan w:val="4"/>
            <w:shd w:val="clear" w:color="auto" w:fill="CCEEFF"/>
          </w:tcPr>
          <w:p>
            <w:pPr>
              <w:spacing w:after="0" w:line="177" w:lineRule="exact"/>
              <w:rPr>
                <w:sz w:val="20"/>
                <w:szCs w:val="20"/>
                <w:color w:val="auto"/>
              </w:rPr>
            </w:pPr>
            <w:r>
              <w:rPr>
                <w:rFonts w:ascii="Arial" w:cs="Arial" w:eastAsia="Arial" w:hAnsi="Arial"/>
                <w:sz w:val="18"/>
                <w:szCs w:val="18"/>
                <w:color w:val="auto"/>
              </w:rPr>
              <w:t>Level 3</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320" w:type="dxa"/>
            <w:vAlign w:val="bottom"/>
            <w:gridSpan w:val="3"/>
            <w:shd w:val="clear" w:color="auto" w:fill="CCEEFF"/>
          </w:tcPr>
          <w:p>
            <w:pPr>
              <w:spacing w:after="0" w:line="20" w:lineRule="exact"/>
              <w:rPr>
                <w:sz w:val="1"/>
                <w:szCs w:val="1"/>
                <w:color w:val="auto"/>
              </w:rPr>
            </w:pPr>
          </w:p>
        </w:tc>
        <w:tc>
          <w:tcPr>
            <w:tcW w:w="10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BBB -  or Baa3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gridSpan w:val="4"/>
          </w:tcPr>
          <w:p>
            <w:pPr>
              <w:spacing w:after="0" w:line="176" w:lineRule="exact"/>
              <w:rPr>
                <w:sz w:val="20"/>
                <w:szCs w:val="20"/>
                <w:color w:val="auto"/>
              </w:rPr>
            </w:pPr>
            <w:r>
              <w:rPr>
                <w:rFonts w:ascii="Arial" w:cs="Arial" w:eastAsia="Arial" w:hAnsi="Arial"/>
                <w:sz w:val="18"/>
                <w:szCs w:val="18"/>
                <w:color w:val="auto"/>
              </w:rPr>
              <w:t>Level 4</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gridSpan w:val="5"/>
          </w:tcPr>
          <w:p>
            <w:pPr>
              <w:spacing w:after="0"/>
              <w:rPr>
                <w:sz w:val="20"/>
                <w:szCs w:val="20"/>
                <w:color w:val="auto"/>
              </w:rPr>
            </w:pPr>
            <w:r>
              <w:rPr>
                <w:rFonts w:ascii="Arial" w:cs="Arial" w:eastAsia="Arial" w:hAnsi="Arial"/>
                <w:sz w:val="18"/>
                <w:szCs w:val="18"/>
                <w:color w:val="auto"/>
              </w:rPr>
              <w:t>BB+ or Ba1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w w:val="86"/>
              </w:rPr>
              <w:t>Level 5</w:t>
            </w:r>
          </w:p>
        </w:tc>
        <w:tc>
          <w:tcPr>
            <w:tcW w:w="530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Lower than Level 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and accepted by the Agent, in substantially the form of Exhibit C hereto.</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has the meaning specified in Section 2.19(d).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has the meaning specified in Section 2.19(d)(ii).</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700" w:top="280" w:right="399" w:bottom="1440" w:gutter="0" w:footer="0" w:header="0"/>
        </w:sectPr>
      </w:pPr>
    </w:p>
    <w:bookmarkStart w:id="10" w:name="page11"/>
    <w:bookmarkEnd w:id="10"/>
    <w:p>
      <w:pPr>
        <w:ind w:right="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Available Amount</w:t>
      </w:r>
      <w:r>
        <w:rPr>
          <w:rFonts w:ascii="Arial" w:cs="Arial" w:eastAsia="Arial" w:hAnsi="Arial"/>
          <w:sz w:val="18"/>
          <w:szCs w:val="18"/>
          <w:color w:val="auto"/>
        </w:rPr>
        <w:t>” of any Letter of Credit means, at any time, the maximum amount available to be drawn under such Letter of Credit at such time as set forth in Section 2.01(b) (assuming compliance at such time with all conditions to drawing).</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w:t>
      </w:r>
      <w:r>
        <w:rPr>
          <w:rFonts w:ascii="Arial" w:cs="Arial" w:eastAsia="Arial" w:hAnsi="Arial"/>
          <w:sz w:val="15"/>
          <w:szCs w:val="15"/>
          <w:color w:val="auto"/>
        </w:rPr>
        <w:t>” means a fluctuating interest rate per annum in effect from time to time, which rate per annum shall at all times be equal to the highest of:</w:t>
      </w:r>
    </w:p>
    <w:p>
      <w:pPr>
        <w:spacing w:after="0" w:line="111" w:lineRule="exact"/>
        <w:rPr>
          <w:sz w:val="20"/>
          <w:szCs w:val="20"/>
          <w:color w:val="auto"/>
        </w:rPr>
      </w:pPr>
    </w:p>
    <w:p>
      <w:pPr>
        <w:ind w:left="1120" w:hanging="239"/>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of interest announced publicly by Citibank in New York, New York, from time to time, as Citibank’s base rate;</w:t>
      </w:r>
    </w:p>
    <w:p>
      <w:pPr>
        <w:spacing w:after="0" w:line="76" w:lineRule="exact"/>
        <w:rPr>
          <w:rFonts w:ascii="Arial" w:cs="Arial" w:eastAsia="Arial" w:hAnsi="Arial"/>
          <w:sz w:val="18"/>
          <w:szCs w:val="18"/>
          <w:color w:val="auto"/>
        </w:rPr>
      </w:pPr>
    </w:p>
    <w:p>
      <w:pPr>
        <w:ind w:left="460" w:firstLine="421"/>
        <w:spacing w:after="0" w:line="286" w:lineRule="auto"/>
        <w:tabs>
          <w:tab w:leader="none" w:pos="1128"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sum (adjusted to the nearest 1/16 of 1% or, if there is no nearest 1/16 of 1%, to the next higher 1/16 of 1%) of (i) 1/2 of 1%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rate obtained by dividing (A) the latest three-week moving average of secondary market morning offering rates in the United States for three-month certificates of deposit of major United States money market banks, such three-week moving average (adjusted to the basis of a year of 360 days) being determined weekly on each Monday (or, if such day is not a Business Day, on the next succeeding Business Day) for the three-week period ending on the previous Friday by Citibank on the basis of such rates reported by certificate of deposit dealers to and published by the Federal Reserve Bank of New York or, if such publication shall be suspended or terminated, on the basis of quotations for such rates received by Citibank from three New York certificate of deposit dealers of recognized standing selected by Citibank, by (B) a percentage equal to 100% minus the average of the daily percentages specified during such three-week period by the Board of Governors of the Federal Reserve System (or any successor) for determining the maximum reserve requirement (including, but not limited to, any emergency, supplemental or other marginal reserve requirement) for Citibank with respect to liabilities consisting of or including (among other liabilities) three-month U.S. dollar non-personal time deposits in the United States,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average during such three-week period of the annual assessment rates estimated by Citibank for determining the then current annual assessment payable by Citibank to the Federal Deposit Insurance Corporation (or any successor) for insuring U.S. dollar deposits of Citibank in the United States; and</w:t>
      </w:r>
    </w:p>
    <w:p>
      <w:pPr>
        <w:spacing w:after="0" w:line="26" w:lineRule="exact"/>
        <w:rPr>
          <w:rFonts w:ascii="Arial" w:cs="Arial" w:eastAsia="Arial" w:hAnsi="Arial"/>
          <w:sz w:val="16"/>
          <w:szCs w:val="16"/>
          <w:color w:val="auto"/>
        </w:rPr>
      </w:pPr>
    </w:p>
    <w:p>
      <w:pPr>
        <w:ind w:left="1120" w:hanging="239"/>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w:t>
      </w:r>
    </w:p>
    <w:p>
      <w:pPr>
        <w:spacing w:after="0" w:line="77"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or a Letter of Credit Advance denominated in Dollars that bears interest as provided in Section 2.08(a)(i).</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or a Competitive Bid Borrowing.</w:t>
      </w:r>
    </w:p>
    <w:p>
      <w:pPr>
        <w:spacing w:after="0" w:line="77" w:lineRule="exact"/>
        <w:rPr>
          <w:sz w:val="20"/>
          <w:szCs w:val="20"/>
          <w:color w:val="auto"/>
        </w:rPr>
      </w:pPr>
    </w:p>
    <w:p>
      <w:pPr>
        <w:ind w:right="12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of the year on which banks are not required or authorized by law to close in New York City and, if the applicable Business Day relates to any Eurocurrency Rate Advances or LIBO Rate Advances, on which dealings are carried on in the London interbank market and banks are open for business in London and in the country of issue of the currency of such Eurocurrency Rate Advance or LIBO Rate Advance (or, in the case of an Advance denominated in Euro, on which the Trans-European Automated Real-Time Gross Settlement Express Transfer (TARGET) System is open) and, if the applicable Business Day relates to any Local Rate Advances on which banks are open for business in the country of issue of the currency of such Local Rate Advance.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means any lease that is or should be capitalized on the balance sheet of the lessee in accordance with GAAP.</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Revolving Commitment or a Letter of Credit Commitment.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2.19(b)(iii).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2.19(a).</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1" w:name="page12"/>
    <w:bookmarkEnd w:id="11"/>
    <w:p>
      <w:pPr>
        <w:ind w:right="2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Committed Currencies</w:t>
      </w:r>
      <w:r>
        <w:rPr>
          <w:rFonts w:ascii="Arial" w:cs="Arial" w:eastAsia="Arial" w:hAnsi="Arial"/>
          <w:sz w:val="18"/>
          <w:szCs w:val="18"/>
          <w:color w:val="auto"/>
        </w:rPr>
        <w:t>” means lawful currency of the United Kingdom of Great Britain and Northern Ireland, lawful currency of Canada, lawful currency of Japan and Euros.</w:t>
      </w:r>
    </w:p>
    <w:p>
      <w:pPr>
        <w:spacing w:after="0" w:line="37" w:lineRule="exact"/>
        <w:rPr>
          <w:sz w:val="20"/>
          <w:szCs w:val="20"/>
          <w:color w:val="auto"/>
        </w:rPr>
      </w:pPr>
    </w:p>
    <w:p>
      <w:pPr>
        <w:ind w:right="16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Advance</w:t>
      </w:r>
      <w:r>
        <w:rPr>
          <w:rFonts w:ascii="Arial" w:cs="Arial" w:eastAsia="Arial" w:hAnsi="Arial"/>
          <w:sz w:val="16"/>
          <w:szCs w:val="16"/>
          <w:color w:val="auto"/>
        </w:rPr>
        <w:t>” means an advance by a Lender to the Borrower as part of a Competitive Bid Borrowing resulting from the competitive bidding procedure described in Section 2.03 and refers to a Fixed Rate Advance, a LIBO Rate Advance or a Local Rate Advance.</w:t>
      </w:r>
    </w:p>
    <w:p>
      <w:pPr>
        <w:spacing w:after="0" w:line="1" w:lineRule="exact"/>
        <w:rPr>
          <w:sz w:val="20"/>
          <w:szCs w:val="20"/>
          <w:color w:val="auto"/>
        </w:rPr>
      </w:pPr>
    </w:p>
    <w:p>
      <w:pPr>
        <w:jc w:val="both"/>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Borrowing</w:t>
      </w:r>
      <w:r>
        <w:rPr>
          <w:rFonts w:ascii="Arial" w:cs="Arial" w:eastAsia="Arial" w:hAnsi="Arial"/>
          <w:sz w:val="18"/>
          <w:szCs w:val="18"/>
          <w:color w:val="auto"/>
        </w:rPr>
        <w:t>”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46" w:lineRule="exact"/>
        <w:rPr>
          <w:sz w:val="20"/>
          <w:szCs w:val="20"/>
          <w:color w:val="auto"/>
        </w:rPr>
      </w:pPr>
    </w:p>
    <w:p>
      <w:pPr>
        <w:ind w:right="52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Note</w:t>
      </w:r>
      <w:r>
        <w:rPr>
          <w:rFonts w:ascii="Arial" w:cs="Arial" w:eastAsia="Arial" w:hAnsi="Arial"/>
          <w:sz w:val="16"/>
          <w:szCs w:val="16"/>
          <w:color w:val="auto"/>
        </w:rPr>
        <w:t>” means a promissory note of the Borrower payable to the order of any Lender, in substantially the form of Exhibit A-2 hereto, evidencing the indebtedness of the Borrower to such Lender resulting from a Competitive Bid Advance made by such Lender.</w:t>
      </w:r>
    </w:p>
    <w:p>
      <w:pPr>
        <w:spacing w:after="0" w:line="1" w:lineRule="exact"/>
        <w:rPr>
          <w:sz w:val="20"/>
          <w:szCs w:val="20"/>
          <w:color w:val="auto"/>
        </w:rPr>
      </w:pPr>
    </w:p>
    <w:p>
      <w:pPr>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77" w:lineRule="exact"/>
        <w:rPr>
          <w:sz w:val="20"/>
          <w:szCs w:val="20"/>
          <w:color w:val="auto"/>
        </w:rPr>
      </w:pPr>
    </w:p>
    <w:p>
      <w:pPr>
        <w:ind w:right="4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Debt</w:t>
      </w:r>
      <w:r>
        <w:rPr>
          <w:rFonts w:ascii="Arial" w:cs="Arial" w:eastAsia="Arial" w:hAnsi="Arial"/>
          <w:sz w:val="18"/>
          <w:szCs w:val="18"/>
          <w:color w:val="auto"/>
        </w:rPr>
        <w:t xml:space="preserve">” means the computation of (a) all Debt of the Borrower and its Consolidated Subsidiaries that, in accordance with GAAP, would be classified as indebtedness on a Consolidated balance sheet of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without duplication, the aggregate outstanding investment or claims held at any time by purchasers, assignees or other transferees of (or of interests in) Receivables under Receivables Purchase Agreements.</w:t>
      </w:r>
    </w:p>
    <w:p>
      <w:pPr>
        <w:spacing w:after="0" w:line="49"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the sum of the amounts for such period of (i) Consolidated Operating Profit of the Borrower and its Consolidated Subsidiaries for such period, determined in accordance with GAAP, plus (ii) the sum of the following amounts for such period, in each case to the extent the same shall have been deducted in the calculation of such Consolidated Operating Profit for such period: (A) amortization, (B) depreciation, and (C) any non-cash restructuring charge reported by the Borrower in respect of, or otherwise allocated to, such period, minus (iii) to the extent the same shall have been included in the calculation of Consolidated Operating Profit for such period, any extraordinary, or unusual and non-recurring gains (or plus any extraordinary, or unusual and non-recurring, losses) calculated pursuant to GAAP for such period.</w:t>
      </w:r>
    </w:p>
    <w:p>
      <w:pPr>
        <w:spacing w:after="0" w:line="26" w:lineRule="exact"/>
        <w:rPr>
          <w:sz w:val="20"/>
          <w:szCs w:val="20"/>
          <w:color w:val="auto"/>
        </w:rPr>
      </w:pPr>
    </w:p>
    <w:p>
      <w:pPr>
        <w:ind w:right="20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total interest expense, whether paid or accrued (including the interest component of Capitalized Leases), of the Borrower and its Consolidated Subsidiaries on a Consolidated basis, including, without limitation, all commissions, discounts and other fees and charges owed with respect to letters of credit and net costs under any agreements providing interest rate protection, but excluding however, amortization of discount, interest paid in property other than cash or any other interest expense not payable in cash, all as determined in conformity with GAAP.</w:t>
      </w:r>
    </w:p>
    <w:p>
      <w:pPr>
        <w:spacing w:after="0" w:line="48" w:lineRule="exact"/>
        <w:rPr>
          <w:sz w:val="20"/>
          <w:szCs w:val="20"/>
          <w:color w:val="auto"/>
        </w:rPr>
      </w:pPr>
    </w:p>
    <w:p>
      <w:pPr>
        <w:ind w:right="34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Operating Profit</w:t>
      </w:r>
      <w:r>
        <w:rPr>
          <w:rFonts w:ascii="Arial" w:cs="Arial" w:eastAsia="Arial" w:hAnsi="Arial"/>
          <w:sz w:val="16"/>
          <w:szCs w:val="16"/>
          <w:color w:val="auto"/>
        </w:rPr>
        <w:t>” means, for any period, revenue less the sum of (A) direct costs, and (b) selling and administrative expenses on a consolidated income statement of the Borrower and its Consolidated Subsidiaries for such period, all as determined in accordance with GAAP.</w:t>
      </w:r>
    </w:p>
    <w:p>
      <w:pPr>
        <w:spacing w:after="0" w:line="1" w:lineRule="exact"/>
        <w:rPr>
          <w:sz w:val="20"/>
          <w:szCs w:val="20"/>
          <w:color w:val="auto"/>
        </w:rPr>
      </w:pPr>
    </w:p>
    <w:p>
      <w:pPr>
        <w:ind w:right="8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Rental Expense</w:t>
      </w:r>
      <w:r>
        <w:rPr>
          <w:rFonts w:ascii="Arial" w:cs="Arial" w:eastAsia="Arial" w:hAnsi="Arial"/>
          <w:sz w:val="18"/>
          <w:szCs w:val="18"/>
          <w:color w:val="auto"/>
        </w:rPr>
        <w:t>” means, for any period, total rental expense, whether paid or accrued, of the Borrower and its Consolidated Subsidiaries on a Consolidated basis, all as determined in conformity with GAAP.</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2" w:name="page13"/>
    <w:bookmarkEnd w:id="12"/>
    <w:p>
      <w:pPr>
        <w:ind w:right="1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Consolidated Subsidiary</w:t>
      </w:r>
      <w:r>
        <w:rPr>
          <w:rFonts w:ascii="Arial" w:cs="Arial" w:eastAsia="Arial" w:hAnsi="Arial"/>
          <w:sz w:val="18"/>
          <w:szCs w:val="18"/>
          <w:color w:val="auto"/>
        </w:rPr>
        <w:t>” means, at any date with respect to any Person, any Subsidiary thereof the accounts of which would be consolidated with those of such Person in its consolidated financial statements at such date in accordance with GAAP.</w:t>
      </w:r>
    </w:p>
    <w:p>
      <w:pPr>
        <w:spacing w:after="0" w:line="37" w:lineRule="exact"/>
        <w:rPr>
          <w:sz w:val="20"/>
          <w:szCs w:val="20"/>
          <w:color w:val="auto"/>
        </w:rPr>
      </w:pPr>
    </w:p>
    <w:p>
      <w:pPr>
        <w:ind w:right="2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with respect to any Person at any time of determination, total assets of such Person and its Consolidated Subsidiaries as set forth on the balance sheets most recently delivered to the Lenders pursuant to Section 5.01(h), excluding all Intangible Assets of such Person and its Consolidated Subsidiaries.</w:t>
      </w:r>
    </w:p>
    <w:p>
      <w:pPr>
        <w:spacing w:after="0" w:line="46"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2.09 or 2.10.</w:t>
      </w:r>
    </w:p>
    <w:p>
      <w:pPr>
        <w:spacing w:after="0" w:line="37"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(except for the purposes of Section 6.01 (d), other than trade letters of credit, performance bonds (including, without limitation, bonds posted pursuant to governmental rules and regulations) or similar obligations of such parties) or similar extensions of credit, (g) all obligations of such Person in respect of Hedge Agreements, (h) all Debt of others referred to in clauses (a) through (g) above or clause (i) below and other payment obligations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27"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37" w:lineRule="exact"/>
        <w:rPr>
          <w:sz w:val="20"/>
          <w:szCs w:val="20"/>
          <w:color w:val="auto"/>
        </w:rPr>
      </w:pPr>
    </w:p>
    <w:p>
      <w:pPr>
        <w:ind w:right="1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Bidder</w:t>
      </w:r>
      <w:r>
        <w:rPr>
          <w:rFonts w:ascii="Arial" w:cs="Arial" w:eastAsia="Arial" w:hAnsi="Arial"/>
          <w:sz w:val="18"/>
          <w:szCs w:val="18"/>
          <w:color w:val="auto"/>
        </w:rPr>
        <w:t>” means (a) an Eligible Assignee or (b) a special purpose corporation that is engaged in making, purchasing or otherwise investing in commercial loans in the ordinary course of its business and that issues (or the parent of which issues) commercial paper rated at least “Prime-1” (or the then equivalent grade) by Moody’s or “A-1” (or the then equivalent grade) by S&amp;P that, in the case of either clause (a) or (b), (i) is organized under the laws of the United States or any State thereof, (ii) shall have become a party hereto pursuant to Section 8.07(d), (e) and (f) and (iii) is not otherwise a Lender.</w:t>
      </w:r>
    </w:p>
    <w:p>
      <w:pPr>
        <w:spacing w:after="0" w:line="48"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Agreement</w:t>
      </w:r>
      <w:r>
        <w:rPr>
          <w:rFonts w:ascii="Arial" w:cs="Arial" w:eastAsia="Arial" w:hAnsi="Arial"/>
          <w:sz w:val="18"/>
          <w:szCs w:val="18"/>
          <w:color w:val="auto"/>
        </w:rPr>
        <w:t xml:space="preserve"> “ means a designation agreement entered into by a Lender (other than a Designated Bidder) and a Designated Bidder, and accepted by the Agent, in substantially the form of Exhibit D hereto.</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w:t>
      </w:r>
      <w:r>
        <w:rPr>
          <w:rFonts w:ascii="Arial" w:cs="Arial" w:eastAsia="Arial" w:hAnsi="Arial"/>
          <w:sz w:val="18"/>
          <w:szCs w:val="18"/>
          <w:u w:val="single" w:color="auto"/>
          <w:color w:val="auto"/>
        </w:rPr>
        <w:t>$</w:t>
      </w:r>
      <w:r>
        <w:rPr>
          <w:rFonts w:ascii="Arial" w:cs="Arial" w:eastAsia="Arial" w:hAnsi="Arial"/>
          <w:sz w:val="18"/>
          <w:szCs w:val="18"/>
          <w:color w:val="auto"/>
        </w:rPr>
        <w:t>” sign each means lawful currency of the United States of America.</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3" w:name="page14"/>
    <w:bookmarkEnd w:id="13"/>
    <w:p>
      <w:pPr>
        <w:ind w:right="10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Lender, the office of such Lender specified as its “Domestic Lending Office” opposite its name on Schedule I hereto or in the Assumption Agreement or the Assignment and Acceptance pursuant to which it became a Lender, or such other office of such Lender as such Lender may from time to time specify to the Borrower and the Agent.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77" w:lineRule="exact"/>
        <w:rPr>
          <w:sz w:val="20"/>
          <w:szCs w:val="20"/>
          <w:color w:val="auto"/>
        </w:rPr>
      </w:pPr>
    </w:p>
    <w:p>
      <w:pPr>
        <w:ind w:right="2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(i) a Lender, (ii) an Affiliate of a Lender, and (iii) any other Person; provided, however, that such Assignee shall be approved by the Agent and, unless an Event of Default has occurred and is continuing at the time any assignment is effected in accordance with Section 8.07, the Borrower, such approval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Borrower nor an Affiliate of the Borrower shall qualify as an Eligible Assignee.</w:t>
      </w:r>
    </w:p>
    <w:p>
      <w:pPr>
        <w:spacing w:after="0" w:line="49" w:lineRule="exact"/>
        <w:rPr>
          <w:sz w:val="20"/>
          <w:szCs w:val="20"/>
          <w:color w:val="auto"/>
        </w:rPr>
      </w:pPr>
    </w:p>
    <w:p>
      <w:pPr>
        <w:ind w:right="2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21" w:lineRule="exact"/>
        <w:rPr>
          <w:sz w:val="20"/>
          <w:szCs w:val="20"/>
          <w:color w:val="auto"/>
        </w:rPr>
      </w:pPr>
    </w:p>
    <w:p>
      <w:pPr>
        <w:ind w:right="1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w:t>
      </w:r>
      <w:r>
        <w:rPr>
          <w:rFonts w:ascii="Arial" w:cs="Arial" w:eastAsia="Arial" w:hAnsi="Arial"/>
          <w:sz w:val="16"/>
          <w:szCs w:val="16"/>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100" w:lineRule="exact"/>
        <w:rPr>
          <w:sz w:val="20"/>
          <w:szCs w:val="20"/>
          <w:color w:val="auto"/>
        </w:rPr>
      </w:pPr>
    </w:p>
    <w:p>
      <w:pPr>
        <w:ind w:right="30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Equivalent</w:t>
      </w:r>
      <w:r>
        <w:rPr>
          <w:rFonts w:ascii="Arial" w:cs="Arial" w:eastAsia="Arial" w:hAnsi="Arial"/>
          <w:sz w:val="16"/>
          <w:szCs w:val="16"/>
          <w:color w:val="auto"/>
        </w:rPr>
        <w:t>” in Dollars of any Foreign Currency on any date means the equivalent in Dollars of such Foreign Currency determined by using the quoted spot rate at which the Agent’s principal office in London offers to exchange Dollars for such Foreign Currency in London prior to 4:00 P.M. (London time) (unless otherwise indicated by the terms of this Agreement) on such date as is required pursuant to the terms of this Agreement, and the “Equivalent” in any Foreign Currency of Dollars means the equivalent in such Foreign Currency of Dollars determined by using the quoted spot rate at which the Agent’s principal office in London offers to exchange such Foreign Currency for Dollars in London prior to 4:00 P.M. (London time) (unless otherwise indicated by the terms of this Agreement) on such date as is required pursuant to the terms of this Agreement.</w:t>
      </w:r>
    </w:p>
    <w:p>
      <w:pPr>
        <w:spacing w:after="0" w:line="26"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37"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the Borrower’s controlled group, or under common control with the Borrower, within the meaning of Section 414 of the Internal Revenue Code.</w:t>
      </w:r>
    </w:p>
    <w:p>
      <w:pPr>
        <w:spacing w:after="0" w:line="37"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4" w:name="page15"/>
    <w:bookmarkEnd w:id="14"/>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24"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 Rate</w:t>
      </w:r>
      <w:r>
        <w:rPr>
          <w:rFonts w:ascii="Arial" w:cs="Arial" w:eastAsia="Arial" w:hAnsi="Arial"/>
          <w:sz w:val="16"/>
          <w:szCs w:val="16"/>
          <w:color w:val="auto"/>
        </w:rPr>
        <w:t>” means the rate appearing on Page 248 of the Moneyline Telerate Service (or on any successor or substitute page of such Service, or any successor to or substitute for such Service, providing rate quotations comparable to those currently provided on such page of such Service, as determined by the Agent from time to time for purposes of providing quotations of interest rates applicable to deposits in Euro by reference to the Banking Federation of the European Union Settlement Rates for deposits in Euro) at approximately 10:00 a.m., London time, two Business Days prior to the commencement of such Interest Period, as the rate for deposits in Euro with a maturity comparable to such Interest Period or, if for any reason such rate is not available, the average (rounded upward to the nearest whole multiple of 1/100 of 1% per annum, if such average is not such a multiple) of the respective rates per annum at which deposits in Euros are offered by the principal office of each of the Reference Banks in London, England to prime banks in the London interbank market at 11:00 A.M. (London time) two Business Days before the first day of such Interest Period in an amount substantially equal (x) in the case of Revolving Credit Borrowings, to such Reference Bank’s Eurocurrency Rate Advance comprising part of such Revolving Credit Borrowing to be outstanding during such Interest Period and for a period equal to such Interest Period (subject, however, to the provisions of Section 2.09) or (y) in the case of Competitive Bid Borrowings, to the amount that would be the Reference Banks’ respective ratable shares of such Borrowing if such Borrowing were to be a Revolving Credit Borrowing to be outstanding during such Interest Period and for a period equal to such Interest Period (subject, however, to the provisions of Section 2.09.</w:t>
      </w:r>
    </w:p>
    <w:p>
      <w:pPr>
        <w:spacing w:after="0" w:line="26"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European Union as constituted by the Treaty of Rome which established the European Community, as such treaty may be amended from time to time and as referred to in the EMU legislation.</w:t>
      </w:r>
    </w:p>
    <w:p>
      <w:pPr>
        <w:spacing w:after="0" w:line="37"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Lending Office</w:t>
      </w:r>
      <w:r>
        <w:rPr>
          <w:rFonts w:ascii="Arial" w:cs="Arial" w:eastAsia="Arial" w:hAnsi="Arial"/>
          <w:sz w:val="18"/>
          <w:szCs w:val="18"/>
          <w:color w:val="auto"/>
        </w:rPr>
        <w:t>” means, with respect to any Lender, the office of such Lender specified as its “Eurocurrency Lending Office” opposite its name on Schedule I hereto or in the Assumption Agreement or the Assignment and Acceptance pursuant to which it became a Lender (or, if no such office is specified, its Domestic Lending Office), or such other office of such Lender as such Lender may from time to time specify to the Borrower and the Agent.</w:t>
      </w:r>
    </w:p>
    <w:p>
      <w:pPr>
        <w:spacing w:after="0" w:line="49"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37" w:lineRule="exact"/>
        <w:rPr>
          <w:sz w:val="20"/>
          <w:szCs w:val="20"/>
          <w:color w:val="auto"/>
        </w:rPr>
      </w:pPr>
    </w:p>
    <w:p>
      <w:pPr>
        <w:ind w:right="4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Rate</w:t>
      </w:r>
      <w:r>
        <w:rPr>
          <w:rFonts w:ascii="Arial" w:cs="Arial" w:eastAsia="Arial" w:hAnsi="Arial"/>
          <w:sz w:val="16"/>
          <w:szCs w:val="16"/>
          <w:color w:val="auto"/>
        </w:rPr>
        <w:t>” means, for any Interest Period for each Eurocurrency Rate Advance comprising part of the same Revolving Credit Borrowing, an interest rate per annum equal to the rate per annum obtained by dividing (a)(i) in the case of any Revolving Credit Advance denominated in Dollars or any Committed Currency other than Euro, the rate per annum (rounded upward to the nearest whole multiple of 1/100 of 1% per annum) appearing on Moneyline Telerate Markets Page 3750 (or any successor page) as the London interbank offered rate for deposits in Dollars or the applicable Committed Currency at approximately 11:00 A.M. (London time) two Business Days prior to the first day of such Interest Period for a term comparable to such Interest Period or, if for any reason such rate is not available, the average (rounded upward to the nearest whole multiple of 1/100 of 1% per annum, if such average is not such a multiple) of the rate per annum at which deposits in Dollars or the applicable Committed Currency is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5" w:name="page16"/>
    <w:bookmarkEnd w:id="1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offered by the principal office of each of the Reference Banks in London, England to prime banks in the London interbank market at 11:00 A.M. (London time) two Business Days before the first day of such Interest Period in an amount substantially equal to such Reference Bank’s Eurocurrency Rate Advance comprising part of such Revolving Credit Borrowing to be outstanding during such Interest Period and for a period equal to such Interest Period or, (ii) in the case of any Revolving Credit Advance denominated in Euros, the EURIBO Rate by (b) a percentage equal to 100% minus the Eurocurrency Rate Reserve Percentage for such Interest Period. If the Moneyline Telerate Markets Page 3750 (or any successor page) is unavailable, the Eurocurrency Rate for any Interest Period for each Eurocurrency Rate Advance comprising part of the same Revolving Credit Borrowing shall be determined by the Agent on the basis of applicable rates furnished to and received by the Agent from the Reference Banks two Business Days before the first day of such Interest Period, </w:t>
      </w:r>
      <w:r>
        <w:rPr>
          <w:rFonts w:ascii="Arial" w:cs="Arial" w:eastAsia="Arial" w:hAnsi="Arial"/>
          <w:sz w:val="16"/>
          <w:szCs w:val="16"/>
          <w:u w:val="single" w:color="auto"/>
          <w:color w:val="auto"/>
        </w:rPr>
        <w:t>subject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provisions of Section 2.09.</w:t>
      </w:r>
    </w:p>
    <w:p>
      <w:pPr>
        <w:spacing w:after="0" w:line="24"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Advance</w:t>
      </w:r>
      <w:r>
        <w:rPr>
          <w:rFonts w:ascii="Arial" w:cs="Arial" w:eastAsia="Arial" w:hAnsi="Arial"/>
          <w:sz w:val="18"/>
          <w:szCs w:val="18"/>
          <w:color w:val="auto"/>
        </w:rPr>
        <w:t>” means a Revolving Credit Advance denominated in Dollars or a Committed Currency that bears interest as provided in Section 2.08(a)(ii).</w:t>
      </w:r>
    </w:p>
    <w:p>
      <w:pPr>
        <w:spacing w:after="0" w:line="37" w:lineRule="exact"/>
        <w:rPr>
          <w:sz w:val="20"/>
          <w:szCs w:val="20"/>
          <w:color w:val="auto"/>
        </w:rPr>
      </w:pPr>
    </w:p>
    <w:p>
      <w:pPr>
        <w:ind w:firstLine="438"/>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Rate Reserve Percentage</w:t>
      </w:r>
      <w:r>
        <w:rPr>
          <w:rFonts w:ascii="Arial" w:cs="Arial" w:eastAsia="Arial" w:hAnsi="Arial"/>
          <w:sz w:val="15"/>
          <w:szCs w:val="15"/>
          <w:color w:val="auto"/>
        </w:rPr>
        <w:t>” for any Interest Period for all Eurocurrency Rate Advances or LIBO Rate Advances comprising part of the same Borrowing means the reserve percentage applicable two Business Days before the first day of such Interest Period under regulations issued from time to time by the Board of Governors 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Eurocurrency Rate Advances or LIBO Rate Advances is determined) having a term equal to such Interest Period.</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specified in Section 2.04(f).</w:t>
      </w:r>
    </w:p>
    <w:p>
      <w:pPr>
        <w:spacing w:after="0" w:line="77" w:lineRule="exact"/>
        <w:rPr>
          <w:sz w:val="20"/>
          <w:szCs w:val="20"/>
          <w:color w:val="auto"/>
        </w:rPr>
      </w:pPr>
    </w:p>
    <w:p>
      <w:pPr>
        <w:ind w:right="20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Rate Advances</w:t>
      </w:r>
      <w:r>
        <w:rPr>
          <w:rFonts w:ascii="Arial" w:cs="Arial" w:eastAsia="Arial" w:hAnsi="Arial"/>
          <w:sz w:val="16"/>
          <w:szCs w:val="16"/>
          <w:color w:val="auto"/>
        </w:rPr>
        <w:t>” has the meaning specified in Section 2.03(a)(i), which Advances shall be denominated in Dollars or in any Foreign Currency.</w:t>
      </w:r>
    </w:p>
    <w:p>
      <w:pPr>
        <w:spacing w:after="0" w:line="100" w:lineRule="exact"/>
        <w:rPr>
          <w:sz w:val="20"/>
          <w:szCs w:val="20"/>
          <w:color w:val="auto"/>
        </w:rPr>
      </w:pPr>
    </w:p>
    <w:p>
      <w:pPr>
        <w:jc w:val="both"/>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Committed Currency and any other lawful currency (other than Dollars) that is freely transferable or convertible into Dollars.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77" w:lineRule="exact"/>
        <w:rPr>
          <w:sz w:val="20"/>
          <w:szCs w:val="20"/>
          <w:color w:val="auto"/>
        </w:rPr>
      </w:pPr>
    </w:p>
    <w:p>
      <w:pPr>
        <w:jc w:val="both"/>
        <w:ind w:right="1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46"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means interest rate swap, cap or collar agreements, interest rate future or option contracts, currency swap agreements, currency future or option contracts and other similar agreements.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2.19(a).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2.19(b).</w:t>
      </w:r>
    </w:p>
    <w:p>
      <w:pPr>
        <w:spacing w:after="0" w:line="77"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Memorandum</w:t>
      </w:r>
      <w:r>
        <w:rPr>
          <w:rFonts w:ascii="Arial" w:cs="Arial" w:eastAsia="Arial" w:hAnsi="Arial"/>
          <w:sz w:val="18"/>
          <w:szCs w:val="18"/>
          <w:color w:val="auto"/>
        </w:rPr>
        <w:t>” means the information memorandum dated September 15, 2004 used by the Agent in connection with the syndication of the Commitments.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Issuing Bank</w:t>
      </w:r>
      <w:r>
        <w:rPr>
          <w:rFonts w:ascii="Arial" w:cs="Arial" w:eastAsia="Arial" w:hAnsi="Arial"/>
          <w:sz w:val="16"/>
          <w:szCs w:val="16"/>
          <w:color w:val="auto"/>
        </w:rPr>
        <w:t>”, “</w:t>
      </w:r>
      <w:r>
        <w:rPr>
          <w:rFonts w:ascii="Arial" w:cs="Arial" w:eastAsia="Arial" w:hAnsi="Arial"/>
          <w:sz w:val="16"/>
          <w:szCs w:val="16"/>
          <w:u w:val="single" w:color="auto"/>
          <w:color w:val="auto"/>
        </w:rPr>
        <w:t>Initial Lender Parties</w:t>
      </w:r>
      <w:r>
        <w:rPr>
          <w:rFonts w:ascii="Arial" w:cs="Arial" w:eastAsia="Arial" w:hAnsi="Arial"/>
          <w:sz w:val="16"/>
          <w:szCs w:val="16"/>
          <w:color w:val="auto"/>
        </w:rPr>
        <w:t>” and “</w:t>
      </w:r>
      <w:r>
        <w:rPr>
          <w:rFonts w:ascii="Arial" w:cs="Arial" w:eastAsia="Arial" w:hAnsi="Arial"/>
          <w:sz w:val="16"/>
          <w:szCs w:val="16"/>
          <w:u w:val="single" w:color="auto"/>
          <w:color w:val="auto"/>
        </w:rPr>
        <w:t>Initial Lenders</w:t>
      </w:r>
      <w:r>
        <w:rPr>
          <w:rFonts w:ascii="Arial" w:cs="Arial" w:eastAsia="Arial" w:hAnsi="Arial"/>
          <w:sz w:val="16"/>
          <w:szCs w:val="16"/>
          <w:color w:val="auto"/>
        </w:rPr>
        <w:t>” each has the meaning specified in the recital of parties to this Agreement.</w:t>
      </w:r>
    </w:p>
    <w:p>
      <w:pPr>
        <w:spacing w:after="0" w:line="100" w:lineRule="exact"/>
        <w:rPr>
          <w:sz w:val="20"/>
          <w:szCs w:val="20"/>
          <w:color w:val="auto"/>
        </w:rPr>
      </w:pPr>
    </w:p>
    <w:p>
      <w:pPr>
        <w:jc w:val="both"/>
        <w:ind w:firstLine="438"/>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Intangible Assets</w:t>
      </w:r>
      <w:r>
        <w:rPr>
          <w:rFonts w:ascii="Arial" w:cs="Arial" w:eastAsia="Arial" w:hAnsi="Arial"/>
          <w:sz w:val="15"/>
          <w:szCs w:val="15"/>
          <w:color w:val="auto"/>
        </w:rPr>
        <w:t>” means, with respect to any Person at any time of determination, (i) goodwill, organizational expenses, research and development expenses, trademarks, tradenames, copyrights, patents, patent applications, licenses and rights in any thereof, (ii) all reserves carried and not deducted from assets, (iii) treasury stock, (iv) securities which are not readily marketable, (v) cash held in a sinking or other analogous fund for the purpose of redemption, retirement or prepayment of capital stock or indebtedness, (vi) any write-up in the book value of any asset resulting from a reevaluation thereof subsequent to December 31, 2003, and (vii) any items not included in items (i)-(vi) above which are treated as intangibles in accordance with GAAP.</w:t>
      </w:r>
    </w:p>
    <w:p>
      <w:pPr>
        <w:spacing w:after="0" w:line="5" w:lineRule="exact"/>
        <w:rPr>
          <w:sz w:val="20"/>
          <w:szCs w:val="20"/>
          <w:color w:val="auto"/>
        </w:rPr>
      </w:pPr>
    </w:p>
    <w:p>
      <w:pPr>
        <w:ind w:right="4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Eurocurrency Rate Advance comprising part of the same Revolving Credit Borrowing and each LIBO Rate Advance comprising part of the same Competitive Bid Borrowing, the period commencing on the date of such Eurocurrency Rate Advance or LIBO Rate Advance or the date of the Conversion of any Base Rate Advance into such Eurocurrency Rate Advance and ending on the last day of the period selected by the Borrower pursuant to the provisions below and, thereafter, with respect to Eurocurrency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as the Borrower may, upon notice received by the Agent not later than 11:00 A.M. (New York City time) on the third Business Day prior to the first day of such Interest Period, select;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4" w:lineRule="exact"/>
        <w:rPr>
          <w:sz w:val="20"/>
          <w:szCs w:val="20"/>
          <w:color w:val="auto"/>
        </w:rPr>
      </w:pPr>
    </w:p>
    <w:p>
      <w:pPr>
        <w:ind w:left="1120" w:hanging="239"/>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Borrower may not select any Interest Period that ends after the Termination Date;</w:t>
      </w:r>
    </w:p>
    <w:p>
      <w:pPr>
        <w:spacing w:after="0" w:line="76" w:lineRule="exact"/>
        <w:rPr>
          <w:rFonts w:ascii="Arial" w:cs="Arial" w:eastAsia="Arial" w:hAnsi="Arial"/>
          <w:sz w:val="18"/>
          <w:szCs w:val="18"/>
          <w:color w:val="auto"/>
        </w:rPr>
      </w:pPr>
    </w:p>
    <w:p>
      <w:pPr>
        <w:ind w:left="460" w:right="140" w:firstLine="421"/>
        <w:spacing w:after="0" w:line="325" w:lineRule="auto"/>
        <w:tabs>
          <w:tab w:leader="none" w:pos="1128"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Interest Periods commencing on the same date for Eurocurrency Rate Advances comprising part of the same Revolving Credit Borrowing or for LIBO Rate Advances comprising part of the same Competitive Bid Borrowing shall be of the same duration;</w:t>
      </w:r>
    </w:p>
    <w:p>
      <w:pPr>
        <w:spacing w:after="0" w:line="1" w:lineRule="exact"/>
        <w:rPr>
          <w:rFonts w:ascii="Arial" w:cs="Arial" w:eastAsia="Arial" w:hAnsi="Arial"/>
          <w:sz w:val="16"/>
          <w:szCs w:val="16"/>
          <w:color w:val="auto"/>
        </w:rPr>
      </w:pPr>
    </w:p>
    <w:p>
      <w:pPr>
        <w:jc w:val="both"/>
        <w:ind w:left="460" w:right="100" w:firstLine="421"/>
        <w:spacing w:after="0" w:line="331" w:lineRule="auto"/>
        <w:tabs>
          <w:tab w:leader="none" w:pos="1119"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extension would cause the last day of such Interest Period to occur in the next following calendar month, the last day of such Interest Period shall occur on the next preceding Business Day; and</w:t>
      </w:r>
    </w:p>
    <w:p>
      <w:pPr>
        <w:spacing w:after="0" w:line="2" w:lineRule="exact"/>
        <w:rPr>
          <w:rFonts w:ascii="Arial" w:cs="Arial" w:eastAsia="Arial" w:hAnsi="Arial"/>
          <w:sz w:val="15"/>
          <w:szCs w:val="15"/>
          <w:color w:val="auto"/>
        </w:rPr>
      </w:pPr>
    </w:p>
    <w:p>
      <w:pPr>
        <w:ind w:left="460" w:right="80" w:firstLine="421"/>
        <w:spacing w:after="0" w:line="259" w:lineRule="auto"/>
        <w:tabs>
          <w:tab w:leader="none" w:pos="11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46"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7" w:name="page18"/>
    <w:bookmarkEnd w:id="1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the Initial Issuing Bank or any Eligible Assignee to which a portion of the Letter of Credit Commitment hereunder have been assigned pursuant to Section 8.07 so long as such Eligible Assignee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the Initial Issuing Bank or Eligible Assignee, as the case may be, shall have a Letter of Credit Commitment.</w:t>
      </w:r>
    </w:p>
    <w:p>
      <w:pPr>
        <w:spacing w:after="0" w:line="48"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Cash Collateral Account</w:t>
      </w:r>
      <w:r>
        <w:rPr>
          <w:rFonts w:ascii="Arial" w:cs="Arial" w:eastAsia="Arial" w:hAnsi="Arial"/>
          <w:sz w:val="18"/>
          <w:szCs w:val="18"/>
          <w:color w:val="auto"/>
        </w:rPr>
        <w:t>” means an interest bearing cash collateral account to be established and maintained by the Agent, over which the Agent shall have sole dominion and control, upon terms as may be satisfactory to the Agent.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Related Documents</w:t>
      </w:r>
      <w:r>
        <w:rPr>
          <w:rFonts w:ascii="Arial" w:cs="Arial" w:eastAsia="Arial" w:hAnsi="Arial"/>
          <w:sz w:val="18"/>
          <w:szCs w:val="18"/>
          <w:color w:val="auto"/>
        </w:rPr>
        <w:t>” has the meaning specified in Section 2.07(b)(ii)(A).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means any Lender or Issuing Bank.</w:t>
      </w:r>
    </w:p>
    <w:p>
      <w:pPr>
        <w:spacing w:after="0" w:line="77" w:lineRule="exact"/>
        <w:rPr>
          <w:sz w:val="20"/>
          <w:szCs w:val="20"/>
          <w:color w:val="auto"/>
        </w:rPr>
      </w:pPr>
    </w:p>
    <w:p>
      <w:pPr>
        <w:jc w:val="both"/>
        <w:ind w:right="3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Initial Lenders, each Assuming Lender that shall become a party hereto pursuant to Section 2.19 and each Person that shall become a party hereto pursuant to Section 8.07 (a), (b) and (c) and, except when used in reference to a Revolving Credit Advance, a Revolving Credit Borrowing, a Revolving Credit Note, a Commitment or a related term, each Designated Bidder.</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Advance</w:t>
      </w:r>
      <w:r>
        <w:rPr>
          <w:rFonts w:ascii="Arial" w:cs="Arial" w:eastAsia="Arial" w:hAnsi="Arial"/>
          <w:sz w:val="18"/>
          <w:szCs w:val="18"/>
          <w:color w:val="auto"/>
        </w:rPr>
        <w:t>” means an advance made by an Issuing Bank pursuant to Section 2.04(c).</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specified in Section 2.04(a).</w:t>
      </w:r>
    </w:p>
    <w:p>
      <w:pPr>
        <w:spacing w:after="0" w:line="77"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Commitment</w:t>
      </w:r>
      <w:r>
        <w:rPr>
          <w:rFonts w:ascii="Arial" w:cs="Arial" w:eastAsia="Arial" w:hAnsi="Arial"/>
          <w:sz w:val="16"/>
          <w:szCs w:val="16"/>
          <w:color w:val="auto"/>
        </w:rPr>
        <w:t>” means, with respect to the Initial Issuing Bank, the amount set forth opposite the Initial Issuing Bank’s name on the signature pages hereto under the caption “Letter of Credit Commitment” or, if the Initial Issuing Bank has entered into one or more Assignment and Acceptances, the amount set forth for such Issuing Bank in the Register maintained by the Agent pursuant to Section 8.07(d) as such Issuing Bank’s “Letter of Credit Commitment”, as such amount may be reduced at or prior to such time pursuant to Section 2.06.</w:t>
      </w:r>
    </w:p>
    <w:p>
      <w:pPr>
        <w:spacing w:after="0" w:line="18"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Facility</w:t>
      </w:r>
      <w:r>
        <w:rPr>
          <w:rFonts w:ascii="Arial" w:cs="Arial" w:eastAsia="Arial" w:hAnsi="Arial"/>
          <w:sz w:val="18"/>
          <w:szCs w:val="18"/>
          <w:color w:val="auto"/>
        </w:rPr>
        <w:t>” means, at any time, an amount equal to the lesser of (a) the amount of the Issuing Banks Letter of Credit Commitments at such time and (b) $150,000,000, as such amount may be reduced at or prior to such time pursuant to Section 2.06.</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has the meaning specified in Section 2.01(b).</w:t>
      </w:r>
    </w:p>
    <w:p>
      <w:pPr>
        <w:spacing w:after="0" w:line="7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for any Interest Period for all LIBO Rate Advances comprising part of the same Competitive Bid Borrowing, an interest rate per annum equal to the rate per annum obtained by dividing (a)(i) in the case of any Competitive Bid Borrowing denominated in Dollars or any Foreign Currency other than Euros, the rate per annum (rounded upward to the nearest whole multiple of 1/100 of 1% per annum) appearing on Moneyline Telerate Markets Page 3750 (or any successor page) as the London interbank offered rate for deposits in Dollars or the applicable Committed Currency at approximately 11:00 A.M. (London time) two Business Days prior to the first day of such Interest Period for a term comparable to such Interest Period or, if for any reason such rate is not available, the average (rounded upward to the nearest whole multiple of 1/100 of 1% per annum, if such average is not such a multiple) of the rate per annum at which deposits in Dollars or the applicable Foreign Currency is offered by the principal office of each of the Reference Banks in London, England to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or (ii) in the case of</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8" w:name="page19"/>
    <w:bookmarkEnd w:id="18"/>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Competitive Bid Borrowing denominated in Euros, the EURIBO Rate by (b) a percentage equal to 100% minus the Eurocurrency Rate Reserve Percentage for such Interest Period. If the Moneyline Telerate Markets Page 3750 (or any successor page) is unavailable,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provisions of Section 2.09.</w:t>
      </w:r>
    </w:p>
    <w:p>
      <w:pPr>
        <w:spacing w:after="0" w:line="48"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Advances</w:t>
      </w:r>
      <w:r>
        <w:rPr>
          <w:rFonts w:ascii="Arial" w:cs="Arial" w:eastAsia="Arial" w:hAnsi="Arial"/>
          <w:sz w:val="18"/>
          <w:szCs w:val="18"/>
          <w:color w:val="auto"/>
        </w:rPr>
        <w:t>” means a Competitive Bid Advance denominated in Dollars or in any Foreign Currency and bearing interest based on the LIBO Rate.</w:t>
      </w:r>
    </w:p>
    <w:p>
      <w:pPr>
        <w:spacing w:after="0" w:line="3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lien, security interest or other similar charge or encumbrance, including, without limitation, the lien or retained security title of a conditional vendor.</w:t>
      </w:r>
    </w:p>
    <w:p>
      <w:pPr>
        <w:spacing w:after="0" w:line="37"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Rate Advance</w:t>
      </w:r>
      <w:r>
        <w:rPr>
          <w:rFonts w:ascii="Arial" w:cs="Arial" w:eastAsia="Arial" w:hAnsi="Arial"/>
          <w:sz w:val="18"/>
          <w:szCs w:val="18"/>
          <w:color w:val="auto"/>
        </w:rPr>
        <w:t>” means a Competitive Bid Advance denominated in any Foreign Currency sourced from the jurisdiction of issuance of such Foreign Currency and bearing interest at a fixed rate.</w:t>
      </w:r>
    </w:p>
    <w:p>
      <w:pPr>
        <w:spacing w:after="0" w:line="37" w:lineRule="exact"/>
        <w:rPr>
          <w:sz w:val="20"/>
          <w:szCs w:val="20"/>
          <w:color w:val="auto"/>
        </w:rPr>
      </w:pPr>
    </w:p>
    <w:p>
      <w:pPr>
        <w:ind w:right="6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condition (financial or otherwise), operations, performance, properties or prospects of the Borrower and its Subsidiaries taken as a whole.</w:t>
      </w:r>
    </w:p>
    <w:p>
      <w:pPr>
        <w:spacing w:after="0" w:line="37" w:lineRule="exact"/>
        <w:rPr>
          <w:sz w:val="20"/>
          <w:szCs w:val="20"/>
          <w:color w:val="auto"/>
        </w:rPr>
      </w:pPr>
    </w:p>
    <w:p>
      <w:pPr>
        <w:ind w:right="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condition (financial or otherwise), operations, performance, properties or prospects of the Borrower and its Subsidiaries taken as a whole, (b) the rights and remedies of the Agent or any Lender under this Agreement or any Note or (c) the ability of the Borrower to perform its obligations under this Agreement or any Note.</w:t>
      </w:r>
    </w:p>
    <w:p>
      <w:pPr>
        <w:spacing w:after="0" w:line="12"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at any time, (i) any Subsidiary of the Borrower which shall have contributed in excess of 5% of the Consolidated Net Earnings during the fiscal year then most recently ended and (ii) in the case of any other Subsidiary created, restructured in any material respect or acquired since the end of such fiscal year, such Subsidiary if it is reasonably projected to contribute in excess of 5% of the Consolidated Net Earnings of the Borrower during the then current fiscal year.</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77" w:lineRule="exact"/>
        <w:rPr>
          <w:sz w:val="20"/>
          <w:szCs w:val="20"/>
          <w:color w:val="auto"/>
        </w:rPr>
      </w:pPr>
    </w:p>
    <w:p>
      <w:pPr>
        <w:ind w:right="3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46" w:lineRule="exact"/>
        <w:rPr>
          <w:sz w:val="20"/>
          <w:szCs w:val="20"/>
          <w:color w:val="auto"/>
        </w:rPr>
      </w:pPr>
    </w:p>
    <w:p>
      <w:pPr>
        <w:ind w:right="2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specified in Section 2.19(b).</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a Competitive Bid Note.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has the meaning specified in Section 2.03(a).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Issuance</w:t>
      </w:r>
      <w:r>
        <w:rPr>
          <w:rFonts w:ascii="Arial" w:cs="Arial" w:eastAsia="Arial" w:hAnsi="Arial"/>
          <w:sz w:val="18"/>
          <w:szCs w:val="18"/>
          <w:color w:val="auto"/>
        </w:rPr>
        <w:t>” has the meaning specified in Section 2.04(a).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Credit Borrowing</w:t>
      </w:r>
      <w:r>
        <w:rPr>
          <w:rFonts w:ascii="Arial" w:cs="Arial" w:eastAsia="Arial" w:hAnsi="Arial"/>
          <w:sz w:val="18"/>
          <w:szCs w:val="18"/>
          <w:color w:val="auto"/>
        </w:rPr>
        <w:t>” has the meaning specified in Section 2.02(a).</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9" w:name="page20"/>
    <w:bookmarkEnd w:id="19"/>
    <w:p>
      <w:pPr>
        <w:ind w:right="2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Payment Office</w:t>
      </w:r>
      <w:r>
        <w:rPr>
          <w:rFonts w:ascii="Arial" w:cs="Arial" w:eastAsia="Arial" w:hAnsi="Arial"/>
          <w:sz w:val="18"/>
          <w:szCs w:val="18"/>
          <w:color w:val="auto"/>
        </w:rPr>
        <w:t>” means, for any Foreign Currency, such office of Citibank as shall be from time to time selected by the Agent and notified by the Agent to the Borrower and the Lenders.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77" w:lineRule="exact"/>
        <w:rPr>
          <w:sz w:val="20"/>
          <w:szCs w:val="20"/>
          <w:color w:val="auto"/>
        </w:rPr>
      </w:pPr>
    </w:p>
    <w:p>
      <w:pPr>
        <w:ind w:right="100"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yet due or that are being contested in good faith by appropriate proceedings and with respect to which adequate reserves are being maintained; (c) pledges or deposits to secure obligations under workers’ compensation, unemployment insurance or other social security laws or similar legislation or to secure public or statutory obligations, the performance of tenders, surety and appeal bonds, bids, leases, government contracts, performance and return of money bonds (but not securing Debt) and similar obligations; and (d) easements, rights of way and other encumbrances on title to real property that do not render title to the property encumbered thereby unmarketable or materially adversely affect the use of such property for its present purposes.</w:t>
      </w:r>
    </w:p>
    <w:p>
      <w:pPr>
        <w:spacing w:after="0" w:line="25"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77" w:lineRule="exact"/>
        <w:rPr>
          <w:sz w:val="20"/>
          <w:szCs w:val="20"/>
          <w:color w:val="auto"/>
        </w:rPr>
      </w:pPr>
    </w:p>
    <w:p>
      <w:pPr>
        <w:ind w:right="14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of any amount means, with respect to any Lender at any time, the product of such amount </w:t>
      </w:r>
      <w:r>
        <w:rPr>
          <w:rFonts w:ascii="Arial" w:cs="Arial" w:eastAsia="Arial" w:hAnsi="Arial"/>
          <w:sz w:val="16"/>
          <w:szCs w:val="16"/>
          <w:i w:val="1"/>
          <w:iCs w:val="1"/>
          <w:color w:val="auto"/>
        </w:rPr>
        <w:t>times</w:t>
      </w:r>
      <w:r>
        <w:rPr>
          <w:rFonts w:ascii="Arial" w:cs="Arial" w:eastAsia="Arial" w:hAnsi="Arial"/>
          <w:sz w:val="16"/>
          <w:szCs w:val="16"/>
          <w:color w:val="auto"/>
        </w:rPr>
        <w:t xml:space="preserve"> a fraction the numerator of which is the amount of such Lender’s Revolving Commitment at such time (or, if the Revolving Commitments shall have been terminated pursuant to Section 2.06 or 6.01, such Lender’s Revolving Commitment as in effect immediately prior to such termination) and the denominator of which is the aggregate amount of all Revolving Commitments at such time (or, if the Revolving Commitments shall have been terminated pursuant to Section 2.06 or 6.01, the aggregate amount of all Revolving Commitments as in effect immediately prior to such termination).</w:t>
      </w:r>
    </w:p>
    <w:p>
      <w:pPr>
        <w:spacing w:after="0" w:line="21" w:lineRule="exact"/>
        <w:rPr>
          <w:sz w:val="20"/>
          <w:szCs w:val="20"/>
          <w:color w:val="auto"/>
        </w:rPr>
      </w:pPr>
    </w:p>
    <w:p>
      <w:pPr>
        <w:jc w:val="both"/>
        <w:ind w:right="4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Debt Rating</w:t>
      </w:r>
      <w:r>
        <w:rPr>
          <w:rFonts w:ascii="Arial" w:cs="Arial" w:eastAsia="Arial" w:hAnsi="Arial"/>
          <w:sz w:val="15"/>
          <w:szCs w:val="15"/>
          <w:color w:val="auto"/>
        </w:rPr>
        <w:t>” means, as of any date, the rating that has been most recently announced by either S&amp;P or Moody’s, as the case may be, for any class of non-credit enhanced long-term senior unsecured debt issued by the Borrower or, if either such rating agency shall have issued more than one such rating, the lowest such rating issued by such rating agency. For purposes of the foregoing, (a) if only one of S&amp;P and Moody’s shall have in effect a Public Debt Rating, the Applicable Margin, the Applicable Percentage and the Applicable Utilization Fee shall be determined by reference to the available rating;</w:t>
      </w:r>
    </w:p>
    <w:p>
      <w:pPr>
        <w:spacing w:after="0" w:line="3" w:lineRule="exact"/>
        <w:rPr>
          <w:sz w:val="20"/>
          <w:szCs w:val="20"/>
          <w:color w:val="auto"/>
        </w:rPr>
      </w:pPr>
    </w:p>
    <w:p>
      <w:pPr>
        <w:ind w:firstLine="4"/>
        <w:spacing w:after="0" w:line="287"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neither S&amp;P nor Moody’s shall have in effect a Public Debt Rating, the Applicable Margin, the Applicable Percentage and the Applicable Utilization Fee will be set in accordance with Level 4 under the definition of “</w:t>
      </w:r>
      <w:r>
        <w:rPr>
          <w:rFonts w:ascii="Arial" w:cs="Arial" w:eastAsia="Arial" w:hAnsi="Arial"/>
          <w:sz w:val="16"/>
          <w:szCs w:val="16"/>
          <w:u w:val="single" w:color="auto"/>
          <w:color w:val="auto"/>
        </w:rPr>
        <w:t>Applicable Margin</w:t>
      </w:r>
      <w:r>
        <w:rPr>
          <w:rFonts w:ascii="Arial" w:cs="Arial" w:eastAsia="Arial" w:hAnsi="Arial"/>
          <w:sz w:val="16"/>
          <w:szCs w:val="16"/>
          <w:color w:val="auto"/>
        </w:rPr>
        <w:t>”, “</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or “</w:t>
      </w:r>
      <w:r>
        <w:rPr>
          <w:rFonts w:ascii="Arial" w:cs="Arial" w:eastAsia="Arial" w:hAnsi="Arial"/>
          <w:sz w:val="16"/>
          <w:szCs w:val="16"/>
          <w:u w:val="single" w:color="auto"/>
          <w:color w:val="auto"/>
        </w:rPr>
        <w:t>Applicable Utilization Fee</w:t>
      </w:r>
      <w:r>
        <w:rPr>
          <w:rFonts w:ascii="Arial" w:cs="Arial" w:eastAsia="Arial" w:hAnsi="Arial"/>
          <w:sz w:val="16"/>
          <w:szCs w:val="16"/>
          <w:color w:val="auto"/>
        </w:rPr>
        <w:t>”, as the case may be; (c) if the ratings established by S&amp;P and Moody’s shall fall within different levels, the Applicable Margin, the Applicable Percentage and Applicable Utilization Fee shall be based upon the higher rating, unless the ratings shall fall within levels that are separated by two or more levels, in which case the Applicable Margin, the Applicable Percentage and Applicable Utilization Fee shall be based upon the rating that is one level above the lower rating;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Citibank, Wachovia Bank, National Association and BNP Paribas.</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8.07(g).</w:t>
      </w:r>
    </w:p>
    <w:p>
      <w:pPr>
        <w:spacing w:after="0" w:line="77" w:lineRule="exact"/>
        <w:rPr>
          <w:sz w:val="20"/>
          <w:szCs w:val="20"/>
          <w:color w:val="auto"/>
        </w:rPr>
      </w:pPr>
    </w:p>
    <w:p>
      <w:pPr>
        <w:ind w:right="1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owed more than 50% of (a) the then aggregate unpaid principal amount (based on the Equivalent in Dollars at such time) of the Revolving Credit Advances outstanding at such time, (b) the then aggregate unpaid principal amount (based on the Equivalent in Dollars at such time) of the Competitive Bid Advances outstanding at such time and (c) the aggregate unpaid principal amount of Letter of Credit Advances outstanding at such time, or, if no principal amount is outstanding from Competitive Bid Advances or Letter of Credit Advances at such time, Lenders having more than 50% of the Revolving Commitments.</w:t>
      </w:r>
    </w:p>
    <w:p>
      <w:pPr>
        <w:spacing w:after="0" w:line="48"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with respect to any Lender at any time, the amount set forth opposite such Lender’s name on the signature pages hereto under the caption “Revolving Commitment” or, if such Lender has entered into one or more Assignment and Acceptances, set forth for such Lender in the Register maintained by the Agent pursuant to Section 8.07(d) as such Lender’s “Revolving Commitment”, as such amount may be reduced at or prior to such time pursuant to Section 2.06.</w:t>
      </w:r>
    </w:p>
    <w:p>
      <w:pPr>
        <w:spacing w:after="0" w:line="49"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Revolving Credit Borrowing and refers to a Base Rate Advance or a Eurocurrency Rate Advance (each of which shall be a “</w:t>
      </w:r>
      <w:r>
        <w:rPr>
          <w:rFonts w:ascii="Arial" w:cs="Arial" w:eastAsia="Arial" w:hAnsi="Arial"/>
          <w:sz w:val="18"/>
          <w:szCs w:val="18"/>
          <w:u w:val="single" w:color="auto"/>
          <w:color w:val="auto"/>
        </w:rPr>
        <w:t>Type</w:t>
      </w:r>
      <w:r>
        <w:rPr>
          <w:rFonts w:ascii="Arial" w:cs="Arial" w:eastAsia="Arial" w:hAnsi="Arial"/>
          <w:sz w:val="18"/>
          <w:szCs w:val="18"/>
          <w:color w:val="auto"/>
        </w:rPr>
        <w:t>” of Revolving Credit Advance).</w:t>
      </w:r>
    </w:p>
    <w:p>
      <w:pPr>
        <w:spacing w:after="0" w:line="37"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means a borrowing consisting of simultaneous Revolving Credit Advances of the same Type made by each of the Lenders pursuant to Section 2.01.</w:t>
      </w:r>
    </w:p>
    <w:p>
      <w:pPr>
        <w:spacing w:after="0" w:line="37"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 Minimum</w:t>
      </w:r>
      <w:r>
        <w:rPr>
          <w:rFonts w:ascii="Arial" w:cs="Arial" w:eastAsia="Arial" w:hAnsi="Arial"/>
          <w:sz w:val="18"/>
          <w:szCs w:val="18"/>
          <w:color w:val="auto"/>
        </w:rPr>
        <w:t>” means, in respect of Revolving Credit Advances denominated in Dollars, $5,000,000, in respect of Revolving Credit Advances denominated in Sterling, £5,000,000, in respect of Revolving Credit Advances denominated in Yen, ¥100,000,000, in respect of Revolving Credit Advances denominated in Canadian dollars, CN$5,000,000 and, in respect of Revolving Credit Advances denominated in Euros, €10,000,000.</w:t>
      </w:r>
    </w:p>
    <w:p>
      <w:pPr>
        <w:spacing w:after="0" w:line="49" w:lineRule="exact"/>
        <w:rPr>
          <w:sz w:val="20"/>
          <w:szCs w:val="20"/>
          <w:color w:val="auto"/>
        </w:rPr>
      </w:pPr>
    </w:p>
    <w:p>
      <w:pPr>
        <w:ind w:right="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 Multiple</w:t>
      </w:r>
      <w:r>
        <w:rPr>
          <w:rFonts w:ascii="Arial" w:cs="Arial" w:eastAsia="Arial" w:hAnsi="Arial"/>
          <w:sz w:val="18"/>
          <w:szCs w:val="18"/>
          <w:color w:val="auto"/>
        </w:rPr>
        <w:t>” means, in respect of Revolving Credit Advances denominated in Dollars, $1,000,000, in respect of Revolving Credit Advances denominated in Sterling, £1,000,000, in respect of Revolving Credit Advances denominated in Yen, ¥10,000,000, in respect of Revolving Credit Advances denominated in Canadian dollars, CN$1,000,000 and, in respect of Revolving Credit Advances denominated in Euros, €1,000,000.</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of the Revolving Commitments at such time.</w:t>
      </w:r>
    </w:p>
    <w:p>
      <w:pPr>
        <w:spacing w:after="0" w:line="77"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means a promissory note of the Borrower payable to the order of any Lender, delivered pursuant to a request made under Section 2.17 in substantially the form of Exhibit A-1 hereto, evidencing the aggregate indebtedness of the Borrower to such Lender resulting from the Revolving Credit Advances or Letter of Credit Advances made by such Lender.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division of The McGraw-Hill Companies, Inc.</w:t>
      </w:r>
    </w:p>
    <w:p>
      <w:pPr>
        <w:spacing w:after="0" w:line="77" w:lineRule="exact"/>
        <w:rPr>
          <w:sz w:val="20"/>
          <w:szCs w:val="20"/>
          <w:color w:val="auto"/>
        </w:rPr>
      </w:pPr>
    </w:p>
    <w:p>
      <w:pPr>
        <w:ind w:right="3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2" w:lineRule="exact"/>
        <w:rPr>
          <w:sz w:val="20"/>
          <w:szCs w:val="20"/>
          <w:color w:val="auto"/>
        </w:rPr>
      </w:pPr>
    </w:p>
    <w:p>
      <w:pPr>
        <w:ind w:right="1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21" w:name="page22"/>
    <w:bookmarkEnd w:id="21"/>
    <w:p>
      <w:pPr>
        <w:ind w:left="460" w:right="18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49"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October 8, 2009, and (b) the date of termination in whole of the Revolving Commitments and Letter of Credit Commitments pursuant to Section 2.06 or 6.01.</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Unused Commitment</w:t>
      </w:r>
      <w:r>
        <w:rPr>
          <w:rFonts w:ascii="Arial" w:cs="Arial" w:eastAsia="Arial" w:hAnsi="Arial"/>
          <w:sz w:val="16"/>
          <w:szCs w:val="16"/>
          <w:color w:val="auto"/>
        </w:rPr>
        <w:t xml:space="preserve">” means, with respect to each Lender at any time, (a) such Lender’s Revolving Commitment at such time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w:t>
      </w:r>
    </w:p>
    <w:p>
      <w:pPr>
        <w:spacing w:after="0" w:line="38" w:lineRule="exact"/>
        <w:rPr>
          <w:sz w:val="20"/>
          <w:szCs w:val="20"/>
          <w:color w:val="auto"/>
        </w:rPr>
      </w:pPr>
    </w:p>
    <w:p>
      <w:pPr>
        <w:ind w:left="460" w:firstLine="4"/>
        <w:spacing w:after="0" w:line="281" w:lineRule="auto"/>
        <w:tabs>
          <w:tab w:leader="none" w:pos="67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all Revolving Credit Advances and Letter of Credit Advances made by such Lender (in its capacity as a Lender) and outstanding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such Lender’s Pro Rata Share of (A) the aggregate Available Amount of all the Letters of Credit outstanding at such time,</w:t>
      </w:r>
    </w:p>
    <w:p>
      <w:pPr>
        <w:spacing w:after="0" w:line="1" w:lineRule="exact"/>
        <w:rPr>
          <w:rFonts w:ascii="Arial" w:cs="Arial" w:eastAsia="Arial" w:hAnsi="Arial"/>
          <w:sz w:val="16"/>
          <w:szCs w:val="16"/>
          <w:color w:val="auto"/>
        </w:rPr>
      </w:pPr>
    </w:p>
    <w:p>
      <w:pPr>
        <w:ind w:left="460" w:right="220"/>
        <w:spacing w:after="0" w:line="261" w:lineRule="auto"/>
        <w:rPr>
          <w:rFonts w:ascii="Arial" w:cs="Arial" w:eastAsia="Arial" w:hAnsi="Arial"/>
          <w:sz w:val="16"/>
          <w:szCs w:val="16"/>
          <w:color w:val="auto"/>
        </w:rPr>
      </w:pPr>
      <w:r>
        <w:rPr>
          <w:rFonts w:ascii="Arial" w:cs="Arial" w:eastAsia="Arial" w:hAnsi="Arial"/>
          <w:sz w:val="18"/>
          <w:szCs w:val="18"/>
          <w:color w:val="auto"/>
        </w:rPr>
        <w:t>(B) the aggregate principal amount of all Letter of Credit Advances made by each Issuing Bank pursuant to Section 2.04(c) and outstanding at such time and (C) the aggregate principal amount of Competitive Bid Advances then outstanding.</w:t>
      </w:r>
    </w:p>
    <w:p>
      <w:pPr>
        <w:spacing w:after="0" w:line="43" w:lineRule="exact"/>
        <w:rPr>
          <w:sz w:val="20"/>
          <w:szCs w:val="20"/>
          <w:color w:val="auto"/>
        </w:rPr>
      </w:pPr>
    </w:p>
    <w:p>
      <w:pPr>
        <w:ind w:left="460" w:right="7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Usage</w:t>
      </w:r>
      <w:r>
        <w:rPr>
          <w:rFonts w:ascii="Arial" w:cs="Arial" w:eastAsia="Arial" w:hAnsi="Arial"/>
          <w:sz w:val="18"/>
          <w:szCs w:val="18"/>
          <w:color w:val="auto"/>
        </w:rPr>
        <w:t xml:space="preserve">” means, at any time the sum of the aggregate principal amount of the Advances then outstanding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Available Amount of the outstanding Letters of Credit.</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2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18"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All accounting terms not specifically defined herein shall be construed in accordance with generally accepted accounting principles in the United States of America consistent with those applied in the preparation of the financial statements referred to in Section 4.01(e)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AND TERMS OF THE ADVANCES</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The Revolving Credit Advances and the 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The Revolving Credit Advances</w:t>
      </w:r>
      <w:r>
        <w:rPr>
          <w:rFonts w:ascii="Arial" w:cs="Arial" w:eastAsia="Arial" w:hAnsi="Arial"/>
          <w:sz w:val="16"/>
          <w:szCs w:val="16"/>
          <w:color w:val="auto"/>
        </w:rPr>
        <w:t>. Each Lender severally agrees, on the terms and conditions hereinafter set forth, to make Revolving Credit Advances to the Borrower from time to time on any Business Day during the period from the Effective Date until the Termination Date in an amount (based in respect of any Revolving Credit Advances to be denominated in a Committed Currency by reference to the Equivalent thereof in Dollars determined on the date of delivery of the applicable Notice of Revolving Credit Borrowing) not to exceed at any time such Lender’s Unused Commitment at such time. Each Revolving Credit Borrowing shall be in an amount not less than the Revolving Credit Borrowing Minimum or the Revolving Credit Borrowing Multiple in excess thereof and shall consist of Revolving Credit Advances of the same Type and in the same currency made on the same day by the Lenders ratably according to their respective Revolving Commitments. Within the limits of this Section 2.01(a), the Borrower may borrow under this Section 2.01(a), prepay pursuant to Section 2.11 and reborrow under this Section 2.01(a).</w:t>
      </w:r>
    </w:p>
    <w:p>
      <w:pPr>
        <w:spacing w:after="0" w:line="105" w:lineRule="exact"/>
        <w:rPr>
          <w:sz w:val="20"/>
          <w:szCs w:val="20"/>
          <w:color w:val="auto"/>
        </w:rPr>
      </w:pPr>
    </w:p>
    <w:p>
      <w:pPr>
        <w:jc w:val="both"/>
        <w:ind w:firstLine="921"/>
        <w:spacing w:after="0" w:line="256" w:lineRule="auto"/>
        <w:tabs>
          <w:tab w:leader="none" w:pos="116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Each Issuing Bank agrees, on the terms and conditions hereinafter set forth, to issue letters of credit (each, a “</w:t>
      </w:r>
      <w:r>
        <w:rPr>
          <w:rFonts w:ascii="Arial" w:cs="Arial" w:eastAsia="Arial" w:hAnsi="Arial"/>
          <w:sz w:val="18"/>
          <w:szCs w:val="18"/>
          <w:u w:val="single" w:color="auto"/>
          <w:color w:val="auto"/>
        </w:rPr>
        <w:t>Letter of Credit</w:t>
      </w:r>
      <w:r>
        <w:rPr>
          <w:rFonts w:ascii="Arial" w:cs="Arial" w:eastAsia="Arial" w:hAnsi="Arial"/>
          <w:sz w:val="18"/>
          <w:szCs w:val="18"/>
          <w:color w:val="auto"/>
        </w:rPr>
        <w:t>”) for the account of the Borrower from time to time on any Business Day during the period from the Effective Date until 30 days before the Termination Date in an aggregate Available Amount (i) for all Letters of Credit issued by each Issuing Bank not to exceed at any time the lesser of (x) the Letter of Credit Facility at such time and (y) each Issuing Bank’s Letter of Credit Commitment at such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2" w:name="page23"/>
    <w:bookmarkEnd w:id="2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(ii) for each such Letter of Credit not to exceed an amount equal to the Unused Commitments of the Lenders at such time. No Letter of Credit shall have an expiration date (including all rights of the Borrower or the beneficiary to require renewal) later than 10 Business Days before the Termination Date. Within the limits referred to above, the Borrower may request the issuance of Letters of Credit under this Section 2.01(b), repay any Letter of Credit Advances resulting from drawings thereunder pursuant to Section 2.04(c) and request the issuance of additional Letters of Credit under this Section 2.01(b).</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Making the Revolving Credit Advances</w:t>
      </w:r>
      <w:r>
        <w:rPr>
          <w:rFonts w:ascii="Arial" w:cs="Arial" w:eastAsia="Arial" w:hAnsi="Arial"/>
          <w:sz w:val="16"/>
          <w:szCs w:val="16"/>
          <w:color w:val="auto"/>
        </w:rPr>
        <w:t>. (a) Each Revolving Credit Borrowing shall be made on notice, given not later than (x)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11:00 A.M. (New York City time) on the third Business Day prior to the date of the proposed Revolving Credit Borrowing in the case of a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 consisting of Eurocurrency Rate Advances denominated in Dollars, (y) 9:00 A.M. (New York City time) on the third Business Day prior to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proposed Revolving Credit Borrowing in the case of a Revolving Credit Borrowing consisting of Eurocurrency Rate Advances denominated in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Committed Currency, or (z) 11:00 A.M. (New York City time) on the date of the proposed Revolving Credit Borrowing in the case of a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 consisting of Base Rate Advances, by the Borrower to the Agent which shall give to each Lender prompt notice thereof by telecopier. Each such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Revolving Credit Borrowing (a “</w:t>
      </w:r>
      <w:r>
        <w:rPr>
          <w:rFonts w:ascii="Arial" w:cs="Arial" w:eastAsia="Arial" w:hAnsi="Arial"/>
          <w:sz w:val="16"/>
          <w:szCs w:val="16"/>
          <w:u w:val="single" w:color="auto"/>
          <w:color w:val="auto"/>
        </w:rPr>
        <w:t>Notice of Revolving Credit Borrowing</w:t>
      </w:r>
      <w:r>
        <w:rPr>
          <w:rFonts w:ascii="Arial" w:cs="Arial" w:eastAsia="Arial" w:hAnsi="Arial"/>
          <w:sz w:val="16"/>
          <w:szCs w:val="16"/>
          <w:color w:val="auto"/>
        </w:rPr>
        <w:t>”) shall be by telephone, confirmed immediately in writing, or telecopier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the form of Exhibit B-1 hereto, specifying therein the requested (i) date of such Revolving Credit Borrowing, (ii) Type of Advances comprising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Borrowing, (iii) aggregate amount of such Revolving Credit Borrowing, and (iv) in the case of a Revolving Credit Borrowing consisting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Eurocurrency Rate Advances, initial Interest Period and currency for each such Revolving Credit Advance. Each Lender shall, before 11:00 A.M. (New York City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on the date of such Revolving Credit Borrowing, in the case of a Revolving Credit Borrowing consisting of Advances denominated in Dollars, and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11:00 A.M. (London time) on the date of such Revolving Credit Borrowing, in the case of a Revolving Credit Borrowing consisting of Eurocurrency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Advances denominated in any Committed Currency, make available for the account of its Applicable Lending Office to the Agent at the applicable Agent’s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in same day funds, such Lender’s ratable portion of such Revolving Credit Borrowing in the denominated Committed Currency. After the Agent’s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receipt of such funds and upon fulfillment of the applicable conditions set forth in Article III, the Agent will make such funds available to the Borrower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Agent’s address referred to in Section 8.02;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Agent shall first make a portion of such funds equal to the aggregate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Letter of Credit Advances outstanding on the date of such Revolving Credit Borrowing,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accrued and unpaid thereon to and as of such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to the Lenders for repayment of such Letter of Credit Advances.</w:t>
      </w:r>
    </w:p>
    <w:p>
      <w:pPr>
        <w:spacing w:after="0" w:line="151" w:lineRule="exact"/>
        <w:rPr>
          <w:sz w:val="20"/>
          <w:szCs w:val="20"/>
          <w:color w:val="auto"/>
        </w:rPr>
      </w:pPr>
    </w:p>
    <w:p>
      <w:pPr>
        <w:jc w:val="both"/>
        <w:ind w:right="160" w:firstLine="921"/>
        <w:spacing w:after="0" w:line="259" w:lineRule="auto"/>
        <w:tabs>
          <w:tab w:leader="none" w:pos="116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the Borrower may not select Eurocurrency Rate Advances for any Revolving Credit Borrowing if the aggregate amount of such Revolving Credit Borrowing is less than the Revolving Credit Borrowing Minimum or if the obligation of the Lenders to make Eurocurrency Rate Advances shall then be suspended pursuant to Section 2.09 or 2.13.</w:t>
      </w:r>
    </w:p>
    <w:p>
      <w:pPr>
        <w:spacing w:after="0" w:line="126" w:lineRule="exact"/>
        <w:rPr>
          <w:rFonts w:ascii="Arial" w:cs="Arial" w:eastAsia="Arial" w:hAnsi="Arial"/>
          <w:sz w:val="18"/>
          <w:szCs w:val="18"/>
          <w:color w:val="auto"/>
        </w:rPr>
      </w:pPr>
    </w:p>
    <w:p>
      <w:pPr>
        <w:ind w:right="260" w:firstLine="921"/>
        <w:spacing w:after="0" w:line="290" w:lineRule="auto"/>
        <w:tabs>
          <w:tab w:leader="none" w:pos="1152"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Notice of Revolving Credit Borrowing shall be irrevocable and binding on the Borrower. In the case of any Revolving Credit Borrowing that the related Notice of Revolving Credit Borrowing specifies is to be comprised of Eurocurrency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(including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04" w:lineRule="exact"/>
        <w:rPr>
          <w:rFonts w:ascii="Arial" w:cs="Arial" w:eastAsia="Arial" w:hAnsi="Arial"/>
          <w:sz w:val="16"/>
          <w:szCs w:val="16"/>
          <w:color w:val="auto"/>
        </w:rPr>
      </w:pPr>
    </w:p>
    <w:p>
      <w:pPr>
        <w:ind w:right="40" w:firstLine="921"/>
        <w:spacing w:after="0" w:line="291" w:lineRule="auto"/>
        <w:tabs>
          <w:tab w:leader="none" w:pos="1162" w:val="left"/>
        </w:tabs>
        <w:numPr>
          <w:ilvl w:val="0"/>
          <w:numId w:val="7"/>
        </w:numPr>
        <w:rPr>
          <w:rFonts w:ascii="Arial" w:cs="Arial" w:eastAsia="Arial" w:hAnsi="Arial"/>
          <w:sz w:val="16"/>
          <w:szCs w:val="16"/>
          <w:color w:val="auto"/>
        </w:rPr>
      </w:pPr>
      <w:r>
        <w:rPr>
          <w:rFonts w:ascii="Arial" w:cs="Arial" w:eastAsia="Arial" w:hAnsi="Arial"/>
          <w:sz w:val="16"/>
          <w:szCs w:val="16"/>
          <w:color w:val="auto"/>
        </w:rPr>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3" w:name="page24"/>
    <w:bookmarkEnd w:id="23"/>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the date such amount is repaid to the Agent, at (i) in the case of the Borrower, the higher of (A) the interest rate applicable at the time to Revolving Credit Advances comprising such Revolving Credit Borrowing and (B) the cost of funds incurred by the Agent in respect of such amount and (ii) in the case of such Lender, (A) the Federal Funds Rate in the case of Advances denominated in Dollars or (B) the cost of funds incurred by the Agent in respect of such amount in the case of Advances denominated in Committed Currencies. If such Lender shall repay to the Agent such corresponding amount, such amount so repaid shall constitute such Lender’s Revolving Credit Advance as part of such Revolving Credit Borrowing for purposes of this Agreement.</w:t>
      </w:r>
    </w:p>
    <w:p>
      <w:pPr>
        <w:spacing w:after="0" w:line="102" w:lineRule="exact"/>
        <w:rPr>
          <w:sz w:val="20"/>
          <w:szCs w:val="20"/>
          <w:color w:val="auto"/>
        </w:rPr>
      </w:pPr>
    </w:p>
    <w:p>
      <w:pPr>
        <w:ind w:right="140" w:firstLine="921"/>
        <w:spacing w:after="0" w:line="256" w:lineRule="auto"/>
        <w:tabs>
          <w:tab w:leader="none" w:pos="11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any Lender to make the Revolving Credit Advance to be made by it as part of any Revolving Credit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13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The Competitive Bid Advances</w:t>
      </w:r>
      <w:r>
        <w:rPr>
          <w:rFonts w:ascii="Arial" w:cs="Arial" w:eastAsia="Arial" w:hAnsi="Arial"/>
          <w:sz w:val="18"/>
          <w:szCs w:val="18"/>
          <w:color w:val="auto"/>
        </w:rPr>
        <w:t xml:space="preserve">. (a) Each Lender severally agrees that the Borrower may make Competitive Bid Borrowings under this Section 2.03 from time to time on any Business Day during the period from the date hereof until the date occurring 30 days prior to the Termination Date in the manner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making of each Competitive Bid Borrowing, the Usage based in respect of any Advance denominated in a Foreign Currency on the Equivalent in Dollars at the time such Competitive Bid Borrowing is requested shall not exceed the aggregate amount of the Revolving Commitments of the Lenders.</w:t>
      </w:r>
    </w:p>
    <w:p>
      <w:pPr>
        <w:spacing w:after="0" w:line="48" w:lineRule="exact"/>
        <w:rPr>
          <w:sz w:val="20"/>
          <w:szCs w:val="20"/>
          <w:color w:val="auto"/>
        </w:rPr>
      </w:pPr>
    </w:p>
    <w:p>
      <w:pPr>
        <w:ind w:left="1120" w:hanging="217"/>
        <w:spacing w:after="0"/>
        <w:tabs>
          <w:tab w:leader="none" w:pos="11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Borrower may request a Competitive Bid Borrowing under this Section 2.03 by delivering to the Agent by telecopier, a notice of a</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Competitive Bid Borrowing (a “</w:t>
      </w:r>
      <w:r>
        <w:rPr>
          <w:rFonts w:ascii="Arial" w:cs="Arial" w:eastAsia="Arial" w:hAnsi="Arial"/>
          <w:sz w:val="16"/>
          <w:szCs w:val="16"/>
          <w:u w:val="single" w:color="auto"/>
          <w:color w:val="auto"/>
        </w:rPr>
        <w:t>Notice of Competitive Bid Borrowing</w:t>
      </w:r>
      <w:r>
        <w:rPr>
          <w:rFonts w:ascii="Arial" w:cs="Arial" w:eastAsia="Arial" w:hAnsi="Arial"/>
          <w:sz w:val="16"/>
          <w:szCs w:val="16"/>
          <w:color w:val="auto"/>
        </w:rPr>
        <w:t>”), in substantially the form of Exhibit B-2 hereto, specifying therein the requested</w:t>
      </w:r>
    </w:p>
    <w:p>
      <w:pPr>
        <w:spacing w:after="0" w:line="32" w:lineRule="exact"/>
        <w:rPr>
          <w:rFonts w:ascii="Arial" w:cs="Arial" w:eastAsia="Arial" w:hAnsi="Arial"/>
          <w:sz w:val="16"/>
          <w:szCs w:val="16"/>
          <w:color w:val="auto"/>
        </w:rPr>
      </w:pPr>
    </w:p>
    <w:p>
      <w:pPr>
        <w:ind w:left="460" w:right="20" w:firstLine="4"/>
        <w:spacing w:after="0" w:line="281" w:lineRule="auto"/>
        <w:tabs>
          <w:tab w:leader="none" w:pos="7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date of such proposed Competitive Bid Borrowing, (B) aggregate amount of such proposed Competitive Bid Borrowing, (C) interest rate basis and day count convention to be offered by the Lenders, (D) currency of such proposed Competitive Bid Borrowing, (E) in the case of a Competitive Bid Borrowing consisting of LIBO Rate Advances, Interest Period, or in the case of a Competitive Bid Borrowing consisting of Fixed Rate Advances or Local Rate Advances, maturity date for repayment of each Fixed Rate Advance or Local Rate Advance to be made as part of such Competitive Bid Borrowing (which maturity date may not be earlier than the date occurring seven days after the date of such Competitive Bid Borrowing or later than the earlier of (I) 180 days after the date of such Competitive Bid Borrowing and (II) the Termination Date), (F) interest payment date or dates relating thereto, (G) location of the Borrower’s account to which funds are to be advanced and (H) other terms (if any) to be applicable to such Competitive Bid Borrowing, not later than</w:t>
      </w:r>
    </w:p>
    <w:p>
      <w:pPr>
        <w:spacing w:after="0" w:line="4" w:lineRule="exact"/>
        <w:rPr>
          <w:rFonts w:ascii="Arial" w:cs="Arial" w:eastAsia="Arial" w:hAnsi="Arial"/>
          <w:sz w:val="16"/>
          <w:szCs w:val="16"/>
          <w:color w:val="auto"/>
        </w:rPr>
      </w:pPr>
    </w:p>
    <w:p>
      <w:pPr>
        <w:ind w:left="460"/>
        <w:spacing w:after="0" w:line="285" w:lineRule="auto"/>
        <w:rPr>
          <w:rFonts w:ascii="Arial" w:cs="Arial" w:eastAsia="Arial" w:hAnsi="Arial"/>
          <w:sz w:val="16"/>
          <w:szCs w:val="16"/>
          <w:color w:val="auto"/>
        </w:rPr>
      </w:pPr>
      <w:r>
        <w:rPr>
          <w:rFonts w:ascii="Arial" w:cs="Arial" w:eastAsia="Arial" w:hAnsi="Arial"/>
          <w:sz w:val="16"/>
          <w:szCs w:val="16"/>
          <w:color w:val="auto"/>
        </w:rPr>
        <w:t>(w) 10:00 A.M. (New York City time)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w:t>
      </w:r>
      <w:r>
        <w:rPr>
          <w:rFonts w:ascii="Arial" w:cs="Arial" w:eastAsia="Arial" w:hAnsi="Arial"/>
          <w:sz w:val="16"/>
          <w:szCs w:val="16"/>
          <w:u w:val="single" w:color="auto"/>
          <w:color w:val="auto"/>
        </w:rPr>
        <w:t>Fixed Rate Advances</w:t>
      </w:r>
      <w:r>
        <w:rPr>
          <w:rFonts w:ascii="Arial" w:cs="Arial" w:eastAsia="Arial" w:hAnsi="Arial"/>
          <w:sz w:val="16"/>
          <w:szCs w:val="16"/>
          <w:color w:val="auto"/>
        </w:rPr>
        <w:t>”) and that the Advances comprising such proposed Competitive Bid Borrowing shall be denominated in Dollars, (x) 10:00 A.M. (New York City time) at least four Business Days prior to the date of the proposed Competitive Bid Borrowing, if the Borrower shall specify in the Notice of Competitive Bid Borrowing that the Advances comprising such Competitive Bid Borrowing shall be LIBO Rate Advances denominated in Dollars, (y) 9:00 A.M. (New York City time) at least two Business Days prior to the date of the proposed Competitive Bid Borrowing, if the Borrower shall specify in the Notice of Competitive Bid Borrowing that the Advances comprising such proposed Competitive Bid Borrowing shall be either Fixed Rate Advances denominated in any Foreign Currency or Local Rate Advances denominated in any Foreign Currency and (z) 9:00 A.M. (New York City time) at least four Business Days prior to the date of the proposed Competitive Bid Borrowing, if the Borrower shall instead specify in the Notice of Competitive Bid Borrowing that the Advances comprising such Competitive Bid Borrowing shall be LIBO Rate Advances denominated in any Foreign Currency.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4" w:name="page25"/>
    <w:bookmarkEnd w:id="24"/>
    <w:p>
      <w:pPr>
        <w:ind w:right="20" w:firstLine="443"/>
        <w:spacing w:after="0" w:line="284" w:lineRule="auto"/>
        <w:tabs>
          <w:tab w:leader="none" w:pos="697"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(and the Agent shall give prompt notice thereof to the Borrower), (A) before 9:30 A.M. (New York City time) on the date of such proposed Competitive Bid Borrowing, in the case of a Competitive Bid Borrowing consisting of Fixed Rate Advances denominated in Dollars, (B) before 10:00 A.M. (New York City time) three Business Days before the date of such proposed Competitive Bid Borrowing, in the case of a Competitive Bid Borrowing consisting of LIBO Rate Advances, denominated in Dollars, (C) before 12:00 noon (London time) on the Business Day prior to the date of such proposed Competitive Bid Borrowing, in the case of a Competitive Bid Borrowing consisting of either Fixed Rate Advances denominated in any Foreign Currency or Local Rate Advances denominated in any Foreign Currency and (D) before 12:00 noon (London time) on the third Business Day prior to the date of such proposed Competitive Bid Borrowing, in the case of a Competitive Bid Borrowing consisting of LIBO Rate Advances denominated in any Foreign Currency, of the minimum amount and maximum amount of each Competitive Bid Advance which such Lender would be willing to make as part of Borrowing (which amounts or the Equivalent thereof in Dollars, as the case may be, of such proposed Competitive Bid may, subject to the proviso to the first sentence of this Section 2.03(a), exceed such Lender’s Revolving Commitment, if any), the rate or rates of interest therefor and such Lender’s Applicable Lending Office with respect to such Competitive Bid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any Lender to give such notice shall not cause such Lender to be obligated to make any Competitive Bid Advance as part of such proposed Competitive Bid Borrowing.</w:t>
      </w:r>
    </w:p>
    <w:p>
      <w:pPr>
        <w:spacing w:after="0" w:line="38" w:lineRule="exact"/>
        <w:rPr>
          <w:rFonts w:ascii="Arial" w:cs="Arial" w:eastAsia="Arial" w:hAnsi="Arial"/>
          <w:sz w:val="16"/>
          <w:szCs w:val="16"/>
          <w:color w:val="auto"/>
        </w:rPr>
      </w:pPr>
    </w:p>
    <w:p>
      <w:pPr>
        <w:ind w:right="120" w:firstLine="443"/>
        <w:spacing w:after="0" w:line="290" w:lineRule="auto"/>
        <w:tabs>
          <w:tab w:leader="none" w:pos="7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Borrower shall, in turn, (A) before 10:30 A.M. (New York City time) on the date of such proposed Competitive Bid Borrowing, in the case of a Competitive Bid Borrowing consisting of Fixed Rate Advances denominated in Dollars, (B) before 11:00 A.M. (New York City time) three Business Days before the date of such proposed Competitive Bid Borrowing, in the case of a Competitive Bid Borrowing consisting of LIBO Rate Advances denominated in Dollars, (C) before 3:00 P.M. (London time) on the Business Day prior to the date of such proposed Competitive Bid Borrowing, in the case of a Competitive Bid Borrowing consisting of either Fixed Rate Advances denominated in any Foreign Currency or Local Rate Advances denominated in any Foreign Currency and (D) before 3:00 P.M. (London time) on the third Business Day prior to the date of such Competitive Bid Borrowing, in the case of a Competitive Bid Borrowing consisting of LIBO Rate Advances denominated in any Foreign Currency, either:</w:t>
      </w:r>
    </w:p>
    <w:p>
      <w:pPr>
        <w:spacing w:after="0" w:line="23" w:lineRule="exact"/>
        <w:rPr>
          <w:rFonts w:ascii="Arial" w:cs="Arial" w:eastAsia="Arial" w:hAnsi="Arial"/>
          <w:sz w:val="16"/>
          <w:szCs w:val="16"/>
          <w:color w:val="auto"/>
        </w:rPr>
      </w:pPr>
    </w:p>
    <w:p>
      <w:pPr>
        <w:ind w:left="1120" w:hanging="239"/>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cancel such Competitive Bid Borrowing by giving the Agent notice to that effect, or</w:t>
      </w:r>
    </w:p>
    <w:p>
      <w:pPr>
        <w:spacing w:after="0" w:line="76" w:lineRule="exact"/>
        <w:rPr>
          <w:rFonts w:ascii="Arial" w:cs="Arial" w:eastAsia="Arial" w:hAnsi="Arial"/>
          <w:sz w:val="18"/>
          <w:szCs w:val="18"/>
          <w:color w:val="auto"/>
        </w:rPr>
      </w:pPr>
    </w:p>
    <w:p>
      <w:pPr>
        <w:ind w:left="460" w:firstLine="421"/>
        <w:spacing w:after="0" w:line="289" w:lineRule="auto"/>
        <w:tabs>
          <w:tab w:leader="none" w:pos="1128" w:val="left"/>
        </w:tabs>
        <w:numPr>
          <w:ilvl w:val="1"/>
          <w:numId w:val="11"/>
        </w:numPr>
        <w:rPr>
          <w:rFonts w:ascii="Arial" w:cs="Arial" w:eastAsia="Arial" w:hAnsi="Arial"/>
          <w:sz w:val="16"/>
          <w:szCs w:val="16"/>
          <w:color w:val="auto"/>
        </w:rPr>
      </w:pPr>
      <w:r>
        <w:rPr>
          <w:rFonts w:ascii="Arial" w:cs="Arial" w:eastAsia="Arial" w:hAnsi="Arial"/>
          <w:sz w:val="16"/>
          <w:szCs w:val="16"/>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on behalf of such Lender for such Competitive Bid Advance pursuant to paragraph (ii) 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25" w:name="page26"/>
    <w:bookmarkEnd w:id="25"/>
    <w:p>
      <w:pPr>
        <w:ind w:left="460" w:right="220" w:firstLine="443"/>
        <w:spacing w:after="0" w:line="268" w:lineRule="auto"/>
        <w:tabs>
          <w:tab w:leader="none" w:pos="119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Borrower notifies the Agent that such Competitive Bid Borrowing is cancelled pursuant to paragraph (iii)(x) above, the Agent shall give prompt notice thereof to the Lenders and such Competitive Bid Borrowing shall not be made.</w:t>
      </w:r>
    </w:p>
    <w:p>
      <w:pPr>
        <w:spacing w:after="0" w:line="37" w:lineRule="exact"/>
        <w:rPr>
          <w:rFonts w:ascii="Arial" w:cs="Arial" w:eastAsia="Arial" w:hAnsi="Arial"/>
          <w:sz w:val="18"/>
          <w:szCs w:val="18"/>
          <w:color w:val="auto"/>
        </w:rPr>
      </w:pPr>
    </w:p>
    <w:p>
      <w:pPr>
        <w:ind w:left="460" w:firstLine="443"/>
        <w:spacing w:after="0" w:line="285" w:lineRule="auto"/>
        <w:tabs>
          <w:tab w:leader="none" w:pos="11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in the case of Competitive Bid Advances to be denominated in Dollars or 11:00 A.M. (London time), in the case of Competitive Bid Advances to be denominated in any Foreign Currency,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(x) in the case of a Competitive Bid Borrowing denominated in Dollars, at its address referred to in Section 8.02, in same day funds, such Lender’s portion of such Competitive Bid Borrowing in Dollars and (y) in the case of a Competitive Bid Borrowing in a Foreign Currency, at the Payment Office for such Foreign Currency as shall have been notified by the Agent to the Lenders prior thereto, in same day funds, such Lender’s portion of such Competitive Bid Borrowing in such Foreign Currency. Upon fulfillment of the applicable conditions set forth in Article III and after receipt by the Agent of such funds, the Agent will make such funds available to the Borrower at the location specified by the Borrower in its Notice of Competitive Bid Borrowing. Promptly after each Competitive Bid Borrowing the Agent will notify each Lender of the amount of the Competitive Bid Borrowing and the dates upon which such Competitive Bid Borrowings commenced and will terminate.</w:t>
      </w:r>
    </w:p>
    <w:p>
      <w:pPr>
        <w:spacing w:after="0" w:line="26" w:lineRule="exact"/>
        <w:rPr>
          <w:rFonts w:ascii="Arial" w:cs="Arial" w:eastAsia="Arial" w:hAnsi="Arial"/>
          <w:sz w:val="16"/>
          <w:szCs w:val="16"/>
          <w:color w:val="auto"/>
        </w:rPr>
      </w:pPr>
    </w:p>
    <w:p>
      <w:pPr>
        <w:ind w:left="460" w:right="160" w:firstLine="443"/>
        <w:spacing w:after="0" w:line="253" w:lineRule="auto"/>
        <w:tabs>
          <w:tab w:leader="none" w:pos="11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(including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33" w:lineRule="exact"/>
        <w:rPr>
          <w:rFonts w:ascii="Arial" w:cs="Arial" w:eastAsia="Arial" w:hAnsi="Arial"/>
          <w:sz w:val="18"/>
          <w:szCs w:val="18"/>
          <w:color w:val="auto"/>
        </w:rPr>
      </w:pPr>
    </w:p>
    <w:p>
      <w:pPr>
        <w:ind w:right="100" w:firstLine="921"/>
        <w:spacing w:after="0" w:line="298" w:lineRule="auto"/>
        <w:tabs>
          <w:tab w:leader="none" w:pos="1162" w:val="left"/>
        </w:tabs>
        <w:numPr>
          <w:ilvl w:val="1"/>
          <w:numId w:val="12"/>
        </w:numPr>
        <w:rPr>
          <w:rFonts w:ascii="Arial" w:cs="Arial" w:eastAsia="Arial" w:hAnsi="Arial"/>
          <w:sz w:val="16"/>
          <w:szCs w:val="16"/>
          <w:color w:val="auto"/>
        </w:rPr>
      </w:pPr>
      <w:r>
        <w:rPr>
          <w:rFonts w:ascii="Arial" w:cs="Arial" w:eastAsia="Arial" w:hAnsi="Arial"/>
          <w:sz w:val="16"/>
          <w:szCs w:val="16"/>
          <w:color w:val="auto"/>
        </w:rPr>
        <w:t>Each Competitive Bid Borrowing shall be in an aggregate amount of $5,000,000 (or the Equivalent thereof in any Foreign Currency, determined as of the time of the applicable Notice of Competitive Bid Borrowing) or an integral multiple of $1,000,000 (or the Equivalent thereof in any Foreign Currency, determined as of the time of the applicable Notice of Competitive Bid Borrowing) in excess thereof and, following the making of each Competitive Bid Borrowing, the Borrower shall be in compliance with the limitation set forth in the proviso to the first sentence of subsection (a) above.</w:t>
      </w:r>
    </w:p>
    <w:p>
      <w:pPr>
        <w:spacing w:after="0" w:line="99" w:lineRule="exact"/>
        <w:rPr>
          <w:rFonts w:ascii="Arial" w:cs="Arial" w:eastAsia="Arial" w:hAnsi="Arial"/>
          <w:sz w:val="16"/>
          <w:szCs w:val="16"/>
          <w:color w:val="auto"/>
        </w:rPr>
      </w:pPr>
    </w:p>
    <w:p>
      <w:pPr>
        <w:ind w:right="160" w:firstLine="921"/>
        <w:spacing w:after="0" w:line="259" w:lineRule="auto"/>
        <w:tabs>
          <w:tab w:leader="none" w:pos="11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Within the limits and on the conditions set forth in this Section 2.03, the Borrower may from time to time borrow under this Section 2.03, repay or prepay pursuant to subsection (d) below, and reborrow under this Section 2.03,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Competitive Bid Borrowing shall not be made within three Business Days of the date of any other Competitive Bid Borrowing.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7" w:right="239" w:bottom="1440" w:gutter="0" w:footer="0" w:header="0"/>
        </w:sectPr>
      </w:pPr>
    </w:p>
    <w:bookmarkStart w:id="26" w:name="page27"/>
    <w:bookmarkEnd w:id="26"/>
    <w:p>
      <w:pPr>
        <w:ind w:right="100" w:firstLine="921"/>
        <w:spacing w:after="0" w:line="291" w:lineRule="auto"/>
        <w:tabs>
          <w:tab w:leader="none" w:pos="1162"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06" w:lineRule="exact"/>
        <w:rPr>
          <w:rFonts w:ascii="Arial" w:cs="Arial" w:eastAsia="Arial" w:hAnsi="Arial"/>
          <w:sz w:val="16"/>
          <w:szCs w:val="16"/>
          <w:color w:val="auto"/>
        </w:rPr>
      </w:pPr>
    </w:p>
    <w:p>
      <w:pPr>
        <w:ind w:firstLine="921"/>
        <w:spacing w:after="0" w:line="288" w:lineRule="auto"/>
        <w:tabs>
          <w:tab w:leader="none" w:pos="11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Upon the occurrence and during the continuance of an Event of Default, the Borrower shall pay interest on the amount of unpaid principal of and interest on each Competitive Bid Advance owing to a Lender, payable in arrears on the date or dates interest is payable thereon, at a rate per annum equal at all times to 2% per annum above the rate per annum required to be paid on such Competitive Bid Advance under the terms of the Competitive Bid Note evidencing such Competitive Bid Advance unless otherwise agreed in such Competitive Bid Note.</w:t>
      </w:r>
    </w:p>
    <w:p>
      <w:pPr>
        <w:spacing w:after="0" w:line="106" w:lineRule="exact"/>
        <w:rPr>
          <w:rFonts w:ascii="Arial" w:cs="Arial" w:eastAsia="Arial" w:hAnsi="Arial"/>
          <w:sz w:val="16"/>
          <w:szCs w:val="16"/>
          <w:color w:val="auto"/>
        </w:rPr>
      </w:pPr>
    </w:p>
    <w:p>
      <w:pPr>
        <w:ind w:right="200" w:firstLine="921"/>
        <w:spacing w:after="0" w:line="332" w:lineRule="auto"/>
        <w:tabs>
          <w:tab w:leader="none" w:pos="11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72"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Issuance of and Drawings and Reimbursement Under 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Request for Issuance</w:t>
      </w:r>
      <w:r>
        <w:rPr>
          <w:rFonts w:ascii="Arial" w:cs="Arial" w:eastAsia="Arial" w:hAnsi="Arial"/>
          <w:sz w:val="16"/>
          <w:szCs w:val="16"/>
          <w:color w:val="auto"/>
        </w:rPr>
        <w:t>. (i) Each Letter of Credit shall be issued upon notice, given not later than 11:00 A.M. (New York City time) on the fifth Business Day prior to the date of the proposed issuance of such Letter of Credit, by the Borrower to any Issuing Bank, and such Issuing Bank shall give the Agent, prompt notice thereof by telecopier, and the Agent shall, within one Business Day of receipt of such notice, confirm the availability of the Letter of Credit Commitment to such Issuing Bank. Each such notice of issuance of a Letter of Credit (a “</w:t>
      </w:r>
      <w:r>
        <w:rPr>
          <w:rFonts w:ascii="Arial" w:cs="Arial" w:eastAsia="Arial" w:hAnsi="Arial"/>
          <w:sz w:val="16"/>
          <w:szCs w:val="16"/>
          <w:u w:val="single" w:color="auto"/>
          <w:color w:val="auto"/>
        </w:rPr>
        <w:t>Notice of Issuance</w:t>
      </w:r>
      <w:r>
        <w:rPr>
          <w:rFonts w:ascii="Arial" w:cs="Arial" w:eastAsia="Arial" w:hAnsi="Arial"/>
          <w:sz w:val="16"/>
          <w:szCs w:val="16"/>
          <w:color w:val="auto"/>
        </w:rPr>
        <w:t>”) shall be by telecopier, confirmed immediately in writing, specifying therein the requested (A) date of such issuance (which shall be a Business Day), (B) Available Amount of such Letter of Credit, (C) expiration date of such Letter of Credit, (D) name and address of the beneficiary of such Letter of Credit and (E) form of such Letter of Credit, and shall be accompanied by such application and agreement for letter of credit as such Issuing Bank may reasonably specify to the Borrower for use in connection with such requested Letter of Credit (a “</w:t>
      </w:r>
      <w:r>
        <w:rPr>
          <w:rFonts w:ascii="Arial" w:cs="Arial" w:eastAsia="Arial" w:hAnsi="Arial"/>
          <w:sz w:val="16"/>
          <w:szCs w:val="16"/>
          <w:u w:val="single" w:color="auto"/>
          <w:color w:val="auto"/>
        </w:rPr>
        <w:t>Letter of Credit Agreement</w:t>
      </w:r>
      <w:r>
        <w:rPr>
          <w:rFonts w:ascii="Arial" w:cs="Arial" w:eastAsia="Arial" w:hAnsi="Arial"/>
          <w:sz w:val="16"/>
          <w:szCs w:val="16"/>
          <w:color w:val="auto"/>
        </w:rPr>
        <w:t>”). If the requested form of such Letter of Credit is reasonably acceptable to such Issuing Bank, such Issuing Bank will, upon fulfillment of the applicable conditions set forth in Article III, make such Letter of Credit available to the Borrower at its office referred to in Section 8.02 or as otherwise agreed with the Borrower in connection with such issuance. In the event and to the extent that the provisions of any Letter of Credit Agreement shall conflict with this Agreement, the provisions of this Agreement shall govern.</w:t>
      </w:r>
    </w:p>
    <w:p>
      <w:pPr>
        <w:spacing w:after="0" w:line="111" w:lineRule="exact"/>
        <w:rPr>
          <w:sz w:val="20"/>
          <w:szCs w:val="20"/>
          <w:color w:val="auto"/>
        </w:rPr>
      </w:pPr>
    </w:p>
    <w:p>
      <w:pPr>
        <w:ind w:right="20" w:firstLine="921"/>
        <w:spacing w:after="0" w:line="287" w:lineRule="auto"/>
        <w:tabs>
          <w:tab w:leader="none" w:pos="116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Pro Rata Share of the aggregate amount available to be drawn under such Letter of Credit. The Borrower hereby agrees to each such participation. In consideration and in furtherance of the foregoing, each Lender hereby absolutely and unconditionally agrees to pay to the Agent, for the account of such Issuing Bank, such Lender’s Pro Rata Share of each Letter of Credit Advance made by such Issuing Bank and not reimbursed by the Borrower on the date made,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7" w:name="page28"/>
    <w:bookmarkEnd w:id="27"/>
    <w:p>
      <w:pPr>
        <w:ind w:firstLine="921"/>
        <w:spacing w:after="0" w:line="285" w:lineRule="auto"/>
        <w:tabs>
          <w:tab w:leader="none" w:pos="11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Drawing and Reimbursement</w:t>
      </w:r>
      <w:r>
        <w:rPr>
          <w:rFonts w:ascii="Arial" w:cs="Arial" w:eastAsia="Arial" w:hAnsi="Arial"/>
          <w:sz w:val="16"/>
          <w:szCs w:val="16"/>
          <w:color w:val="auto"/>
        </w:rPr>
        <w:t xml:space="preserve">. The payment by an Issuing Bank of a draft drawn under any Letter of Credit shall constitute for all purposes of this Agreement the making by any such Issuing Bank of a Letter of Credit Advance, which shall be a Base Rate Advance, in the amount of such draft. Upon written demand by such Issuing Bank, with a copy of such demand to the Agent, each Lender shall pay to the Agent such Lender’s Pro Rata Share of such outstanding Letter of Credit Advance, by making available for the account of its Applicable Lending Office to the Agent for the account of such Issuing Bank, by deposit to the Agent’s Account, in same day funds, an amount equal to the portion of the outstanding principal amount of such Letter of Credit Advance to be funded by such Lender. Promptly after receipt thereof, the Agent shall transfer such funds to such Issuing Bank. Each Lender agrees to fund its Pro Rata Share of an outstanding Letter of Credit Advance on (i) the Business Day on which demand therefor is made by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Letter of Credit Advance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If such Lender shall pay to the Agent such amount for the account of any such Issuing Bank on any Business Day, such amount so paid in respect of principal shall constitute a Letter of Credit Advance made by such Lender on such Business Day for purposes of this Agreement, and the outstanding principal amount of the Letter of Credit Advance made by such Issuing Bank shall be reduced by such amount on such Business Day.</w:t>
      </w:r>
    </w:p>
    <w:p>
      <w:pPr>
        <w:spacing w:after="0" w:line="114" w:lineRule="exact"/>
        <w:rPr>
          <w:rFonts w:ascii="Arial" w:cs="Arial" w:eastAsia="Arial" w:hAnsi="Arial"/>
          <w:sz w:val="16"/>
          <w:szCs w:val="16"/>
          <w:color w:val="auto"/>
        </w:rPr>
      </w:pPr>
    </w:p>
    <w:p>
      <w:pPr>
        <w:ind w:right="20" w:firstLine="921"/>
        <w:spacing w:after="0" w:line="294" w:lineRule="auto"/>
        <w:tabs>
          <w:tab w:leader="none" w:pos="116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Letter of Credit Reports</w:t>
      </w:r>
      <w:r>
        <w:rPr>
          <w:rFonts w:ascii="Arial" w:cs="Arial" w:eastAsia="Arial" w:hAnsi="Arial"/>
          <w:sz w:val="16"/>
          <w:szCs w:val="16"/>
          <w:color w:val="auto"/>
        </w:rPr>
        <w:t>. An Issuing Bank shall furnish (A) to the Agent on the first Business Day of each week a written report summarizing issuance and expiration dates of Letters of Credit issued during the previous week and drawings during such week under all Letters of Credit, (B) to each Lender on the first Business Day of each month a written report summarizing issuance and expiration dates of Letters of Credit during the preceding month and drawings during such month under all Letters of Credit and (C) to the Agent and each Lender on the first Business Day of each calendar quarter a written report setting forth the average daily aggregate Available Amount during the preceding calendar quarter of all Letters of Credit.</w:t>
      </w:r>
    </w:p>
    <w:p>
      <w:pPr>
        <w:spacing w:after="0" w:line="102" w:lineRule="exact"/>
        <w:rPr>
          <w:rFonts w:ascii="Arial" w:cs="Arial" w:eastAsia="Arial" w:hAnsi="Arial"/>
          <w:sz w:val="16"/>
          <w:szCs w:val="16"/>
          <w:color w:val="auto"/>
        </w:rPr>
      </w:pPr>
    </w:p>
    <w:p>
      <w:pPr>
        <w:ind w:right="20" w:firstLine="921"/>
        <w:spacing w:after="0" w:line="306" w:lineRule="auto"/>
        <w:tabs>
          <w:tab w:leader="none" w:pos="11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Failure to Make Letter of Credit Advances</w:t>
      </w:r>
      <w:r>
        <w:rPr>
          <w:rFonts w:ascii="Arial" w:cs="Arial" w:eastAsia="Arial" w:hAnsi="Arial"/>
          <w:sz w:val="16"/>
          <w:szCs w:val="16"/>
          <w:color w:val="auto"/>
        </w:rPr>
        <w:t>. The failure of any Lender to make the Letter of Credit Advance to be made by it on the date specified in Section 2.04(c) shall not relieve any other Lender of its obligation hereunder to make its Letter of Credit Advance on such date, but no Lender shall be responsible for the failure of any other Lender to make the Letter of Credit Advance to be made by such other Lender on such date.</w:t>
      </w:r>
    </w:p>
    <w:p>
      <w:pPr>
        <w:spacing w:after="0" w:line="93" w:lineRule="exact"/>
        <w:rPr>
          <w:rFonts w:ascii="Arial" w:cs="Arial" w:eastAsia="Arial" w:hAnsi="Arial"/>
          <w:sz w:val="16"/>
          <w:szCs w:val="16"/>
          <w:color w:val="auto"/>
        </w:rPr>
      </w:pPr>
    </w:p>
    <w:p>
      <w:pPr>
        <w:ind w:right="80" w:firstLine="921"/>
        <w:spacing w:after="0" w:line="294" w:lineRule="auto"/>
        <w:tabs>
          <w:tab w:leader="none" w:pos="113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Effective as of the Effective Date (i) the letters of credit issued for the account of the Borrower prior to such date by Persons who are Issuing Banks hereunder and set forth on Schedule 2.04(f) hereto (such letters of credit being the “</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in an aggregate face amount not exceeding the total amount set forth on such Schedule 2.04(f) will be deemed to have been issued as, and be, Letters of Credit hereunder and (ii) the Existing Letters of Credit and the reimbursement obligations in respect thereof shall be obligations of the Borrower hereunder and shall no longer be obligations under the documents pursuant to which such Existing Letters of Credit were initially issued.</w:t>
      </w:r>
    </w:p>
    <w:p>
      <w:pPr>
        <w:spacing w:after="0" w:line="10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Facility Fee</w:t>
      </w:r>
      <w:r>
        <w:rPr>
          <w:rFonts w:ascii="Arial" w:cs="Arial" w:eastAsia="Arial" w:hAnsi="Arial"/>
          <w:sz w:val="16"/>
          <w:szCs w:val="16"/>
          <w:color w:val="auto"/>
        </w:rPr>
        <w:t>. The Borrower agrees to pay to the Agent for the account of each Lender (other than the Designated Bidders) a facility fee on the aggregate amount of such Lender’s Revolving Commitment from the Effective Date in the case of each Initial Lender and from the effective date specified in the Assumption Agreement or in the Assignment and Acceptance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December 31, 2004, and on the Termination Date.</w:t>
      </w:r>
    </w:p>
    <w:p>
      <w:pPr>
        <w:spacing w:after="0" w:line="102" w:lineRule="exact"/>
        <w:rPr>
          <w:sz w:val="20"/>
          <w:szCs w:val="20"/>
          <w:color w:val="auto"/>
        </w:rPr>
      </w:pPr>
    </w:p>
    <w:p>
      <w:pPr>
        <w:ind w:right="160" w:firstLine="921"/>
        <w:spacing w:after="0" w:line="259" w:lineRule="auto"/>
        <w:tabs>
          <w:tab w:leader="none" w:pos="116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 shall pay to the Agent for the account of each Lender a commission on such Lender’s Pro Rata Share of the average daily aggregate Available Amount of all Letters of Credit outstanding from time to time at a rate per annum equal to the Applicable Margin for Eurocurrency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8" w:name="page29"/>
    <w:bookmarkEnd w:id="28"/>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Rate Advances in effect from time to time plus the Applicable Utilization Fee, if any, payable in arrears quarterly on the last day of each March, June, September and December, commencing December 31, 2004, and on the Termination Date.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Agent’s Fees</w:t>
      </w:r>
      <w:r>
        <w:rPr>
          <w:rFonts w:ascii="Arial" w:cs="Arial" w:eastAsia="Arial" w:hAnsi="Arial"/>
          <w:sz w:val="16"/>
          <w:szCs w:val="16"/>
          <w:color w:val="auto"/>
        </w:rPr>
        <w:t>. The Borrower shall pay to the Agent for its own account such fees as may from time to time be agreed between the Borrower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Agent.</w:t>
      </w:r>
    </w:p>
    <w:p>
      <w:pPr>
        <w:spacing w:after="0" w:line="151" w:lineRule="exact"/>
        <w:rPr>
          <w:sz w:val="20"/>
          <w:szCs w:val="20"/>
          <w:color w:val="auto"/>
        </w:rPr>
      </w:pPr>
    </w:p>
    <w:p>
      <w:pPr>
        <w:ind w:right="380" w:firstLine="913"/>
        <w:spacing w:after="0" w:line="30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Optional Termination or Reduction of the Commitments</w:t>
      </w:r>
      <w:r>
        <w:rPr>
          <w:rFonts w:ascii="Arial" w:cs="Arial" w:eastAsia="Arial" w:hAnsi="Arial"/>
          <w:sz w:val="16"/>
          <w:szCs w:val="16"/>
          <w:color w:val="auto"/>
        </w:rPr>
        <w:t xml:space="preserve">. The Borrower shall have the right, upon at least three Business Days’ notice to the Agent, to terminate in whole or permanently reduce ratably in part the Unused Commitments of the Lender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partial reduction shall be in the aggregate amount of $5,000,000 or an integral multiple of $1,000,000 in excess thereof.</w:t>
      </w:r>
    </w:p>
    <w:p>
      <w:pPr>
        <w:spacing w:after="0" w:line="93"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Repayment of Revolving Credit Advances and 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Revolving Credit Advances</w:t>
      </w:r>
      <w:r>
        <w:rPr>
          <w:rFonts w:ascii="Arial" w:cs="Arial" w:eastAsia="Arial" w:hAnsi="Arial"/>
          <w:sz w:val="16"/>
          <w:szCs w:val="16"/>
          <w:color w:val="auto"/>
        </w:rPr>
        <w:t>. The Borrower shall repay to the Agent for the ratable account of the Lenders on the Termination Date the aggregate principal amount of the Revolving Credit Advances then outstanding.</w:t>
      </w:r>
    </w:p>
    <w:p>
      <w:pPr>
        <w:spacing w:after="0" w:line="72" w:lineRule="exact"/>
        <w:rPr>
          <w:sz w:val="20"/>
          <w:szCs w:val="20"/>
          <w:color w:val="auto"/>
        </w:rPr>
      </w:pPr>
    </w:p>
    <w:p>
      <w:pPr>
        <w:jc w:val="both"/>
        <w:ind w:right="40" w:firstLine="921"/>
        <w:spacing w:after="0" w:line="370" w:lineRule="auto"/>
        <w:tabs>
          <w:tab w:leader="none" w:pos="1161"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Letter of Credit Advances</w:t>
      </w:r>
      <w:r>
        <w:rPr>
          <w:rFonts w:ascii="Arial" w:cs="Arial" w:eastAsia="Arial" w:hAnsi="Arial"/>
          <w:sz w:val="15"/>
          <w:szCs w:val="15"/>
          <w:color w:val="auto"/>
        </w:rPr>
        <w:t>. (i) The Borrower shall repay the outstanding principal amount of each Letter of Credit Advance made by each Lender Party that has made a Letter of Credit Advance to the Agent for the ratable account of each such Lender Party on the earlier of demand and the Termination Date.</w:t>
      </w:r>
    </w:p>
    <w:p>
      <w:pPr>
        <w:spacing w:after="0" w:line="49" w:lineRule="exact"/>
        <w:rPr>
          <w:sz w:val="20"/>
          <w:szCs w:val="20"/>
          <w:color w:val="auto"/>
        </w:rPr>
      </w:pPr>
    </w:p>
    <w:p>
      <w:pPr>
        <w:ind w:right="20" w:firstLine="921"/>
        <w:spacing w:after="0" w:line="294" w:lineRule="auto"/>
        <w:tabs>
          <w:tab w:leader="none" w:pos="117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obligations of the Borrower under this Agreement,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Borrower is without prejudice to, and does not constitute a waiver of, any rights the Borrower might have or might acquire as a result of the payment by any Lender of any draft or the reimbursement by the Borrower thereof):</w:t>
      </w:r>
    </w:p>
    <w:p>
      <w:pPr>
        <w:spacing w:after="0" w:line="21" w:lineRule="exact"/>
        <w:rPr>
          <w:sz w:val="20"/>
          <w:szCs w:val="20"/>
          <w:color w:val="auto"/>
        </w:rPr>
      </w:pPr>
    </w:p>
    <w:p>
      <w:pPr>
        <w:ind w:left="460" w:right="160" w:firstLine="443"/>
        <w:spacing w:after="0" w:line="268" w:lineRule="auto"/>
        <w:tabs>
          <w:tab w:leader="none" w:pos="11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Note, any Letter of Credit Agreement, any Letter of Credit or any other agreement or instrument relating thereto (all of the foregoing being, collectively, the “</w:t>
      </w:r>
      <w:r>
        <w:rPr>
          <w:rFonts w:ascii="Arial" w:cs="Arial" w:eastAsia="Arial" w:hAnsi="Arial"/>
          <w:sz w:val="18"/>
          <w:szCs w:val="18"/>
          <w:u w:val="single" w:color="auto"/>
          <w:color w:val="auto"/>
        </w:rPr>
        <w:t>L/C Related Documents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60" w:firstLine="443"/>
        <w:spacing w:after="0" w:line="325" w:lineRule="auto"/>
        <w:tabs>
          <w:tab w:leader="none" w:pos="1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of the obligations of the Borrower in respect of any L/C Related Document or any other amendment or waiver of or any consent to departure from all or any of the L/C Related Documents;</w:t>
      </w:r>
    </w:p>
    <w:p>
      <w:pPr>
        <w:spacing w:after="0" w:line="1" w:lineRule="exact"/>
        <w:rPr>
          <w:rFonts w:ascii="Arial" w:cs="Arial" w:eastAsia="Arial" w:hAnsi="Arial"/>
          <w:sz w:val="16"/>
          <w:szCs w:val="16"/>
          <w:color w:val="auto"/>
        </w:rPr>
      </w:pPr>
    </w:p>
    <w:p>
      <w:pPr>
        <w:ind w:left="460" w:right="220" w:firstLine="443"/>
        <w:spacing w:after="0" w:line="306" w:lineRule="auto"/>
        <w:tabs>
          <w:tab w:leader="none" w:pos="1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existence of any claim, set-off, defense or other right that the Borrower may have at any time against any beneficiary or any transferee of a Letter of Credit (or any Persons for which any such beneficiary or any such transferee may be acting), any Issuing Bank, any Agent, any Lender or any other Person, whether in connection with the transactions contemplated by the L/C Related Documents or any unrelated transaction;</w:t>
      </w:r>
    </w:p>
    <w:p>
      <w:pPr>
        <w:spacing w:after="0" w:line="12" w:lineRule="exact"/>
        <w:rPr>
          <w:rFonts w:ascii="Arial" w:cs="Arial" w:eastAsia="Arial" w:hAnsi="Arial"/>
          <w:sz w:val="16"/>
          <w:szCs w:val="16"/>
          <w:color w:val="auto"/>
        </w:rPr>
      </w:pPr>
    </w:p>
    <w:p>
      <w:pPr>
        <w:ind w:left="460" w:right="80" w:firstLine="443"/>
        <w:spacing w:after="0" w:line="268" w:lineRule="auto"/>
        <w:tabs>
          <w:tab w:leader="none" w:pos="11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statement or any other document presented under a Letter of Credit proving to be forged, fraudulent, invalid or insufficient in any respect or any statement therein being untrue or inaccurate in any respect;</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by any Issuing Bank under a Letter of Credit against presentation of a draft or certificate that does not strictly comply with the terms of such Letter of Credit;</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guarantee, for all or any of the obligations of the Borrower in respect of the L/C Related Documents;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9" w:name="page30"/>
    <w:bookmarkEnd w:id="29"/>
    <w:p>
      <w:pPr>
        <w:ind w:left="460" w:right="640" w:firstLine="443"/>
        <w:spacing w:after="0" w:line="332" w:lineRule="auto"/>
        <w:tabs>
          <w:tab w:leader="none" w:pos="1186"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circumstance or happening whatsoever, whether or not similar to any of the foregoing, including, without limitation, any other circumstance that might otherwise constitute a defense available to, or a discharge of, the Borrower or a guarantor.</w:t>
      </w:r>
    </w:p>
    <w:p>
      <w:pPr>
        <w:spacing w:after="0" w:line="72"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each Advance (other than a Competitive Bid Advance) owing to each Lender from the date of such Revolving Credit Advance until such principal amount shall be paid in full, at the following rates per annum:</w:t>
      </w:r>
    </w:p>
    <w:p>
      <w:pPr>
        <w:spacing w:after="0" w:line="46" w:lineRule="exact"/>
        <w:rPr>
          <w:sz w:val="20"/>
          <w:szCs w:val="20"/>
          <w:color w:val="auto"/>
        </w:rPr>
      </w:pPr>
    </w:p>
    <w:p>
      <w:pPr>
        <w:jc w:val="both"/>
        <w:ind w:left="460" w:right="100" w:firstLine="443"/>
        <w:spacing w:after="0" w:line="256" w:lineRule="auto"/>
        <w:tabs>
          <w:tab w:leader="none" w:pos="110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quarterly on the last day of each March, June, September and December during such periods and on the date such Base Rate Advance shall be Converted or paid in full.</w:t>
      </w:r>
    </w:p>
    <w:p>
      <w:pPr>
        <w:spacing w:after="0" w:line="48" w:lineRule="exact"/>
        <w:rPr>
          <w:rFonts w:ascii="Arial" w:cs="Arial" w:eastAsia="Arial" w:hAnsi="Arial"/>
          <w:sz w:val="18"/>
          <w:szCs w:val="18"/>
          <w:color w:val="auto"/>
        </w:rPr>
      </w:pPr>
    </w:p>
    <w:p>
      <w:pPr>
        <w:ind w:left="460" w:firstLine="443"/>
        <w:spacing w:after="0" w:line="254" w:lineRule="auto"/>
        <w:tabs>
          <w:tab w:leader="none" w:pos="115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Eurocurrency Rate Advances</w:t>
      </w:r>
      <w:r>
        <w:rPr>
          <w:rFonts w:ascii="Arial" w:cs="Arial" w:eastAsia="Arial" w:hAnsi="Arial"/>
          <w:sz w:val="18"/>
          <w:szCs w:val="18"/>
          <w:color w:val="auto"/>
        </w:rPr>
        <w:t xml:space="preserve">. During such periods as such Revolving Credit Advance is a Eurocurrency Rate Advance, a rate per annum equal at all times during each Interest Period for such Revolving Credit Advance to the sum of (x) the Eurocurrency Rate for such Interest Period for such Revolving Credit Advance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pacing w:after="0" w:line="130" w:lineRule="exact"/>
        <w:rPr>
          <w:rFonts w:ascii="Arial" w:cs="Arial" w:eastAsia="Arial" w:hAnsi="Arial"/>
          <w:sz w:val="18"/>
          <w:szCs w:val="18"/>
          <w:color w:val="auto"/>
        </w:rPr>
      </w:pPr>
    </w:p>
    <w:p>
      <w:pPr>
        <w:ind w:firstLine="921"/>
        <w:spacing w:after="0" w:line="289" w:lineRule="auto"/>
        <w:tabs>
          <w:tab w:leader="none" w:pos="1161"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Upon the occurrence and during the continuance of an Event of Default, the Agent may, and upon the request of the Required Lenders shall, require the Borrower to pay interest (“</w:t>
      </w:r>
      <w:r>
        <w:rPr>
          <w:rFonts w:ascii="Arial" w:cs="Arial" w:eastAsia="Arial" w:hAnsi="Arial"/>
          <w:sz w:val="16"/>
          <w:szCs w:val="16"/>
          <w:u w:val="single" w:color="auto"/>
          <w:color w:val="auto"/>
        </w:rPr>
        <w:t>Default</w:t>
      </w:r>
      <w:r>
        <w:rPr>
          <w:rFonts w:ascii="Arial" w:cs="Arial" w:eastAsia="Arial" w:hAnsi="Arial"/>
          <w:sz w:val="16"/>
          <w:szCs w:val="16"/>
          <w:color w:val="auto"/>
        </w:rPr>
        <w:t xml:space="preserve"> Interest”) on (i) the unpaid principal amount of each Revolving Credit Advance and each Letter of Credit Advance owing to each Lender Party, payable in arrears on the dates referred to in Section 2.08(a)(i) or 2.08(a)(ii) above, at a rate per annum equal at all times to 2% per annum above the rate per annum required to be paid on such Advance pursuant to Section 2.08(a)(i) or 2.08(a)(ii)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Section 2.08 (a)(i)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acceleration of the Advances pursuant to Section 6.01, Default Interest shall accrue and be payable hereunder whether or not previously required by the Agent.</w:t>
      </w:r>
    </w:p>
    <w:p>
      <w:pPr>
        <w:spacing w:after="0" w:line="105"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Interest Rate Determination</w:t>
      </w:r>
      <w:r>
        <w:rPr>
          <w:rFonts w:ascii="Arial" w:cs="Arial" w:eastAsia="Arial" w:hAnsi="Arial"/>
          <w:sz w:val="18"/>
          <w:szCs w:val="18"/>
          <w:color w:val="auto"/>
        </w:rPr>
        <w:t>. (a) Each Reference Bank agrees to furnish to the Agent timely information for the purpose of determining each Eurocurrency Rate and each LIBO Rate if the Moneyline Telerate Markets page in unavailable.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2.08(a)(i) or (ii), and the rate, if any, furnished by each Reference Bank for the purpose of determining the interest rate under Section 2.08(a)(ii).</w:t>
      </w:r>
    </w:p>
    <w:p>
      <w:pPr>
        <w:spacing w:after="0" w:line="131" w:lineRule="exact"/>
        <w:rPr>
          <w:sz w:val="20"/>
          <w:szCs w:val="20"/>
          <w:color w:val="auto"/>
        </w:rPr>
      </w:pPr>
    </w:p>
    <w:p>
      <w:pPr>
        <w:ind w:firstLine="921"/>
        <w:spacing w:after="0" w:line="291" w:lineRule="auto"/>
        <w:tabs>
          <w:tab w:leader="none" w:pos="11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with respect to any Eurocurrency Rate Advances, the Required Lenders notify the Agent that (i) they are unable to obtain matching deposits in the London inter-bank market at or about 9:00 A.M. (New York time) on the second Business Day before the making of a Borrowing in sufficient amounts to fund their respective Revolving Credit Advances as a part of such Borrowing during its Interest Period or (ii) the Eurocurrency Rate for any Interest Period for such Advances will not adequately reflect the cost to such Required Lenders of making, funding or maintaining their respective Eurocurrency Rate Advances for such Interest Period, the Agent shall forthwith so notify the Borrower and the Lenders, whereupon (A) the Borrower will, on the last day of the then existing Interest Period therefor, (1) if such Eurocurrency Rate Advances are denominated in Dollars, either (x)</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0" w:name="page31"/>
    <w:bookmarkEnd w:id="3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prepay such Advances or (y) Convert such Advances into Base Rate Advances and (2) if such Eurocurrency Rate Advances are denominated in any Committed Currency, either (x) prepay such Advances or (y) exchange such Advances into an Equivalent amount of Dollars and Convert such Advances into Base Rate Advances and (B) the obligation of the Lenders to make, or to Convert Revolving Credit Advances into, Eurocurrency Rate Advances shall be suspended until the Agent shall notify the Borrower and the Lenders that the circumstances causing such suspension no longer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set forth in clause (ii) above are applicable, the Borrower may elect, by notice to the Agent and the Lenders, to continue such Advances in such Committed Currency for Interest Periods of not longer than one month, which Advances shall thereafter bear interest at a rate per annum equal to the Applicable Margin plus, for each Lender, the cost to such Lender (expressed as a rate per annum) of funding its Eurocurrency Rate Advances by whatever means it reasonably determines to be appropriate. Each Lender shall certify its cost of funds for each Interest Period to the Agent and the Borrower as soon as practicable (but in any event not later than ten Business Days after the first day of such Interest Period).</w:t>
      </w:r>
    </w:p>
    <w:p>
      <w:pPr>
        <w:spacing w:after="0" w:line="106" w:lineRule="exact"/>
        <w:rPr>
          <w:sz w:val="20"/>
          <w:szCs w:val="20"/>
          <w:color w:val="auto"/>
        </w:rPr>
      </w:pPr>
    </w:p>
    <w:p>
      <w:pPr>
        <w:ind w:right="240" w:firstLine="921"/>
        <w:spacing w:after="0" w:line="294" w:lineRule="auto"/>
        <w:tabs>
          <w:tab w:leader="none" w:pos="1152" w:val="left"/>
        </w:tabs>
        <w:numPr>
          <w:ilvl w:val="2"/>
          <w:numId w:val="23"/>
        </w:numPr>
        <w:rPr>
          <w:rFonts w:ascii="Arial" w:cs="Arial" w:eastAsia="Arial" w:hAnsi="Arial"/>
          <w:sz w:val="16"/>
          <w:szCs w:val="16"/>
          <w:color w:val="auto"/>
        </w:rPr>
      </w:pPr>
      <w:r>
        <w:rPr>
          <w:rFonts w:ascii="Arial" w:cs="Arial" w:eastAsia="Arial" w:hAnsi="Arial"/>
          <w:sz w:val="16"/>
          <w:szCs w:val="16"/>
          <w:color w:val="auto"/>
        </w:rPr>
        <w:t>If the Borrower shall fail to select the duration of any Interest Period for any Eurocurrency Rate Advances in accordance with the provisions contained in the definition of “Interest Period” in Section 1.01, the Agent will forthwith so notify the Borrower and the Lenders and such Advances will (to the extent such Eurocurrency Rate Advances remain outstanding on such day) automatically, on the last day of the then existing Interest Period therefor, (i) if such Eurocurrency Rate Advances are denominated in Dollars, Convert into Base Rate Advances and (ii) if such Eurocurrency Rate Advances are denominated in a Committed Currency, be exchanged for an Equivalent amount of Dollars and Convert into Base Rate Advances.</w:t>
      </w:r>
    </w:p>
    <w:p>
      <w:pPr>
        <w:spacing w:after="0" w:line="102" w:lineRule="exact"/>
        <w:rPr>
          <w:rFonts w:ascii="Arial" w:cs="Arial" w:eastAsia="Arial" w:hAnsi="Arial"/>
          <w:sz w:val="16"/>
          <w:szCs w:val="16"/>
          <w:color w:val="auto"/>
        </w:rPr>
      </w:pPr>
    </w:p>
    <w:p>
      <w:pPr>
        <w:ind w:right="320" w:firstLine="921"/>
        <w:spacing w:after="0" w:line="259" w:lineRule="auto"/>
        <w:tabs>
          <w:tab w:leader="none" w:pos="1162" w:val="left"/>
        </w:tabs>
        <w:numPr>
          <w:ilvl w:val="2"/>
          <w:numId w:val="23"/>
        </w:numPr>
        <w:rPr>
          <w:rFonts w:ascii="Arial" w:cs="Arial" w:eastAsia="Arial" w:hAnsi="Arial"/>
          <w:sz w:val="18"/>
          <w:szCs w:val="18"/>
          <w:color w:val="auto"/>
        </w:rPr>
      </w:pPr>
      <w:r>
        <w:rPr>
          <w:rFonts w:ascii="Arial" w:cs="Arial" w:eastAsia="Arial" w:hAnsi="Arial"/>
          <w:sz w:val="18"/>
          <w:szCs w:val="18"/>
          <w:color w:val="auto"/>
        </w:rPr>
        <w:t>On the date on which the aggregate unpaid principal amount of Eurocurrency Rate Advances comprising any Borrowing shall be reduced, by payment or prepayment or otherwise, to less than the Revolving Credit Borrowing Minimum, such Advances shall automatically Convert into Base Rate Advances.</w:t>
      </w:r>
    </w:p>
    <w:p>
      <w:pPr>
        <w:spacing w:after="0" w:line="126" w:lineRule="exact"/>
        <w:rPr>
          <w:rFonts w:ascii="Arial" w:cs="Arial" w:eastAsia="Arial" w:hAnsi="Arial"/>
          <w:sz w:val="18"/>
          <w:szCs w:val="18"/>
          <w:color w:val="auto"/>
        </w:rPr>
      </w:pPr>
    </w:p>
    <w:p>
      <w:pPr>
        <w:ind w:right="20" w:firstLine="921"/>
        <w:spacing w:after="0" w:line="286" w:lineRule="auto"/>
        <w:tabs>
          <w:tab w:leader="none" w:pos="1152" w:val="left"/>
        </w:tabs>
        <w:numPr>
          <w:ilvl w:val="2"/>
          <w:numId w:val="23"/>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Event of Default, (i) each Eurocurrency Rate Advance will automatically, on the last day of the then existing Interest Period therefor, (A) if such Eurocurrency Rate Advances are denominated in Dollars, be Converted into Base Rate Advances and (B) if such Eurocurrency Rate Advances are denominated in any Committed Currency, be exchanged for an Equivalent amount of Dollars and be Converted into Base Rate Advances and (ii) the obligation of the Lenders to make, or to Convert Advances into, Eurocurrency Rate Advances shall be suspended;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may elect, by notice to the Agent and the Lenders within one Business Day of such Event of Default, to continue such Advances in such Committed Currency, whereupon the Agent may require that each Interest Period relating to such Eurocurrency Rate Advances shall bear interest at the Overnight Eurocurrency Rate for a period of three Business Days and thereafter, each such Interest Period shall have a duration of not longer than one month. “</w:t>
      </w:r>
      <w:r>
        <w:rPr>
          <w:rFonts w:ascii="Arial" w:cs="Arial" w:eastAsia="Arial" w:hAnsi="Arial"/>
          <w:sz w:val="16"/>
          <w:szCs w:val="16"/>
          <w:u w:val="single" w:color="auto"/>
          <w:color w:val="auto"/>
        </w:rPr>
        <w:t>Overnight</w:t>
      </w:r>
      <w:r>
        <w:rPr>
          <w:rFonts w:ascii="Arial" w:cs="Arial" w:eastAsia="Arial" w:hAnsi="Arial"/>
          <w:sz w:val="16"/>
          <w:szCs w:val="16"/>
          <w:color w:val="auto"/>
        </w:rPr>
        <w:t xml:space="preserve"> </w:t>
      </w:r>
      <w:r>
        <w:rPr>
          <w:rFonts w:ascii="Arial" w:cs="Arial" w:eastAsia="Arial" w:hAnsi="Arial"/>
          <w:sz w:val="16"/>
          <w:szCs w:val="16"/>
          <w:u w:val="single" w:color="auto"/>
          <w:color w:val="auto"/>
        </w:rPr>
        <w:t>Eurocurrency Rate</w:t>
      </w:r>
      <w:r>
        <w:rPr>
          <w:rFonts w:ascii="Arial" w:cs="Arial" w:eastAsia="Arial" w:hAnsi="Arial"/>
          <w:sz w:val="16"/>
          <w:szCs w:val="16"/>
          <w:color w:val="auto"/>
        </w:rPr>
        <w:t>” means the rate per annum applicable to an overnight period beginning on one Business Day and ending on the next Business Day equal to the sum of 1%, the Applicable Interest Rate Margin and the average, rounded upward to the nearest whole multiple of 1/16 of 1%, if such average is not such a multiple, of the respective rates per annum quoted by each Reference Bank to the Agent on request as the rate at which it is offering overnight deposits in the relevant currency in amounts comparable to such Reference Bank’s Eurocurrency Rate Advances.</w:t>
      </w:r>
    </w:p>
    <w:p>
      <w:pPr>
        <w:spacing w:after="0" w:line="113" w:lineRule="exact"/>
        <w:rPr>
          <w:rFonts w:ascii="Arial" w:cs="Arial" w:eastAsia="Arial" w:hAnsi="Arial"/>
          <w:sz w:val="16"/>
          <w:szCs w:val="16"/>
          <w:color w:val="auto"/>
        </w:rPr>
      </w:pPr>
    </w:p>
    <w:p>
      <w:pPr>
        <w:ind w:right="20" w:firstLine="921"/>
        <w:spacing w:after="0" w:line="325" w:lineRule="auto"/>
        <w:tabs>
          <w:tab w:leader="none" w:pos="1132" w:val="left"/>
        </w:tabs>
        <w:numPr>
          <w:ilvl w:val="2"/>
          <w:numId w:val="23"/>
        </w:numPr>
        <w:rPr>
          <w:rFonts w:ascii="Arial" w:cs="Arial" w:eastAsia="Arial" w:hAnsi="Arial"/>
          <w:sz w:val="16"/>
          <w:szCs w:val="16"/>
          <w:color w:val="auto"/>
        </w:rPr>
      </w:pPr>
      <w:r>
        <w:rPr>
          <w:rFonts w:ascii="Arial" w:cs="Arial" w:eastAsia="Arial" w:hAnsi="Arial"/>
          <w:sz w:val="16"/>
          <w:szCs w:val="16"/>
          <w:color w:val="auto"/>
        </w:rPr>
        <w:t>If the applicable Moneyline Telerate Markets page is unavailable and fewer than two Reference Banks furnish timely information to the Agent for determining the Eurocurrency Rate or LIBO Rate for any Eurocurrency Rate Advances or LIBO Rate Advances, as the case may be,</w:t>
      </w:r>
    </w:p>
    <w:p>
      <w:pPr>
        <w:spacing w:after="0" w:line="1" w:lineRule="exact"/>
        <w:rPr>
          <w:rFonts w:ascii="Arial" w:cs="Arial" w:eastAsia="Arial" w:hAnsi="Arial"/>
          <w:sz w:val="16"/>
          <w:szCs w:val="16"/>
          <w:color w:val="auto"/>
        </w:rPr>
      </w:pPr>
    </w:p>
    <w:p>
      <w:pPr>
        <w:ind w:left="460" w:right="60" w:firstLine="443"/>
        <w:spacing w:after="0" w:line="268" w:lineRule="auto"/>
        <w:tabs>
          <w:tab w:leader="none" w:pos="11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Agent shall forthwith notify the Borrower and the Lenders that the interest rate cannot be determined for such Eurocurrency Rate Advances or LIBO Rate Advances, as the case may be,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with respect to Eurocurrency Rate Advances, each such Advance will automatically, on the last day of the then existing Interest Period therefor,</w:t>
      </w:r>
    </w:p>
    <w:p>
      <w:pPr>
        <w:spacing w:after="0" w:line="38" w:lineRule="exact"/>
        <w:rPr>
          <w:rFonts w:ascii="Arial" w:cs="Arial" w:eastAsia="Arial" w:hAnsi="Arial"/>
          <w:sz w:val="16"/>
          <w:szCs w:val="16"/>
          <w:color w:val="auto"/>
        </w:rPr>
      </w:pPr>
    </w:p>
    <w:p>
      <w:pPr>
        <w:ind w:left="460" w:right="520" w:firstLine="4"/>
        <w:spacing w:after="0" w:line="302" w:lineRule="auto"/>
        <w:tabs>
          <w:tab w:leader="none" w:pos="7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such Eurocurrency Rate Advance is denominated in Dollars, Convert into a Base Rate Advance and (B) if such Eurocurrency Rate Advance is denominated in any Committed Currency, be prepaid by the Borrower or be automatically exchanged for an Equivalent amount of Dollars and be Converted into a Base Rate Advance (or if such Advance is then a Base Rate Advance, will continue as a Base Rate Advance),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1" w:name="page32"/>
    <w:bookmarkEnd w:id="31"/>
    <w:p>
      <w:pPr>
        <w:ind w:left="460" w:right="80" w:firstLine="443"/>
        <w:spacing w:after="0" w:line="259" w:lineRule="auto"/>
        <w:tabs>
          <w:tab w:leader="none" w:pos="1205"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2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Optional Conversion of Revolving Credit Advances</w:t>
      </w:r>
      <w:r>
        <w:rPr>
          <w:rFonts w:ascii="Arial" w:cs="Arial" w:eastAsia="Arial" w:hAnsi="Arial"/>
          <w:sz w:val="16"/>
          <w:szCs w:val="16"/>
          <w:color w:val="auto"/>
        </w:rPr>
        <w:t xml:space="preserve">. The Borrower may on any Business Day, upon notice given to the Agent not later than 11:00 A.M. (New York City time) on the third Business Day prior to the date of the proposed Conversion and subject to the provisions of Sections 2.09 and 2.13, Convert all Revolving Credit Advances denominated in Dollars of one Type comprising the same Borrowing into Revolving Credit Advances denominated in Dollars of the other Type;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Conversion of Eurocurrency Rate Advances into Base Rate Advances shall be made only on the last day of an Interest Period for such Eurocurrency Rate Advances, any Conversion of Base Rate Advances into Eurocurrency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Dollar denominated Revolving Credit Advances to be Converted, and (iii) if such Conversion is into Eurocurrency Rate Advances, the duration of the initial Interest Period for each such Advance. Each notice of Conversion shall be irrevocable and binding on the Borrower.</w:t>
      </w:r>
    </w:p>
    <w:p>
      <w:pPr>
        <w:spacing w:after="0" w:line="10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Prepayments of Revolving Credit Advances and Letter of Credit Advances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at least two Business Days’ prior to the date of such prepayment, in the case of Eurocurrency Rate Advances, and not later than 11:00 A.M. (New York City time) on the date of such prepayment, in the case of Base Rate Advances, to the Agent stating the proposed date and aggregate principal amount of the prepayment, and if such notice is given the Borrower shall, prepay the outstanding principal amount of the Revolving Credit Advances comprising part of the same Revolving Credit Borrowing or Letter of Credit Advances in whole or ratably in part, together with accrued interest to the date of such prepayment on the principal amount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each partial prepayment shall be in an aggregate principal amount of not less than the Revolving Credit Borrowing Minimum or a Revolving Credit Borrowing Multiple in excess thereof or the Equivalent thereof in a Committed Currency (determined on the date notice of prepayment is given) and (y) in the event of any such prepayment of a Eurocurrency Rate Advance, the Borrower shall be obligated to reimburse the Lenders in respect thereof pursuant to Section 8.04(c).</w:t>
      </w:r>
    </w:p>
    <w:p>
      <w:pPr>
        <w:spacing w:after="0" w:line="106" w:lineRule="exact"/>
        <w:rPr>
          <w:sz w:val="20"/>
          <w:szCs w:val="20"/>
          <w:color w:val="auto"/>
        </w:rPr>
      </w:pPr>
    </w:p>
    <w:p>
      <w:pPr>
        <w:ind w:right="60" w:firstLine="921"/>
        <w:spacing w:after="0" w:line="306" w:lineRule="auto"/>
        <w:tabs>
          <w:tab w:leader="none" w:pos="1161"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Mandatory</w:t>
      </w:r>
      <w:r>
        <w:rPr>
          <w:rFonts w:ascii="Arial" w:cs="Arial" w:eastAsia="Arial" w:hAnsi="Arial"/>
          <w:sz w:val="15"/>
          <w:szCs w:val="15"/>
          <w:color w:val="auto"/>
        </w:rPr>
        <w:t xml:space="preserve">. (i) If, on any date, the Agent notifies the Borrower that, on any interest payment date, the sum of (A) the aggregate principal amount of all Advances denominated in Dollars then outstanding plus (B) the Equivalent in Dollars (determined on the third Business Day prior to such interest payment date) of the aggregate principal amount of all Advances denominated in Foreign Currencies then outstanding exceeds 105% of the aggregate Commitments of the Lenders on such date, the Borrower shall, as soon as practicable and in any event within two Business Days after receipt of such notice, subject to the proviso to this sentence set forth below, prepay the outstanding principal amount of any Advances owing by the Borrower in an aggregate amount sufficient to reduce such sum to an amount not to exceed 100% of the aggregate Commitments of the Lenders on such date together with any interest accrued to the date of such prepayment on the aggregate principal amount of Advances prepaid;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aggregate principal amount of Base Rate Advances outstanding at the time of such required prepayment is less than the amount of such required prepayment, the portion of such required prepayment in excess of the aggregate principal amount of Base Rate Advances then outstanding shall be deferred until the earliest to occur of the last day of the Interest Period of the outstanding Eurocurrency Rate Advances or the outstanding LIBO Rate Advances and/or the maturity date of the outstanding Fixed Rate Advances, as the case may be, in an aggregate amount equal to the excess of such required prepayment. The Agent shall give prompt notice of any prepayment required under this Section 2.11(b) to the Borrower and the Lenders, and shall provide prompt notice to the Borrower of any such notice of required prepayment received by it from any Lender.</w:t>
      </w:r>
    </w:p>
    <w:p>
      <w:pPr>
        <w:spacing w:after="0" w:line="103" w:lineRule="exact"/>
        <w:rPr>
          <w:sz w:val="20"/>
          <w:szCs w:val="20"/>
          <w:color w:val="auto"/>
        </w:rPr>
      </w:pPr>
    </w:p>
    <w:p>
      <w:pPr>
        <w:ind w:right="160" w:firstLine="921"/>
        <w:spacing w:after="0" w:line="323" w:lineRule="auto"/>
        <w:tabs>
          <w:tab w:leader="none" w:pos="1171" w:val="left"/>
        </w:tabs>
        <w:numPr>
          <w:ilvl w:val="0"/>
          <w:numId w:val="28"/>
        </w:numPr>
        <w:rPr>
          <w:rFonts w:ascii="Arial" w:cs="Arial" w:eastAsia="Arial" w:hAnsi="Arial"/>
          <w:sz w:val="15"/>
          <w:szCs w:val="15"/>
          <w:color w:val="auto"/>
        </w:rPr>
      </w:pPr>
      <w:r>
        <w:rPr>
          <w:rFonts w:ascii="Arial" w:cs="Arial" w:eastAsia="Arial" w:hAnsi="Arial"/>
          <w:sz w:val="15"/>
          <w:szCs w:val="15"/>
          <w:color w:val="auto"/>
        </w:rPr>
        <w:t>Each prepayment made pursuant to this Section 2.11(b) shall be made together with any interest accrued to the date of such prepayment on the principal amounts prepaid and, in the case of any prepayment of a Eurocurrency Rate Advance, a LIBO Rate Advance or a Local Rate Advance on a date other than the last day of an Interest Period or at its maturity, any additional amounts which the Borrower shall be obligated to reimburse to the Lenders in respect thereof pursuant to Section 8.04(b). The Agent shall give prompt notice of any prepayment required under this Section 2.11(b) to the Borrower and the Lenders.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2" w:name="page33"/>
    <w:bookmarkEnd w:id="32"/>
    <w:p>
      <w:pPr>
        <w:ind w:firstLine="913"/>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2.12. </w:t>
      </w:r>
      <w:r>
        <w:rPr>
          <w:rFonts w:ascii="Arial" w:cs="Arial" w:eastAsia="Arial" w:hAnsi="Arial"/>
          <w:sz w:val="15"/>
          <w:szCs w:val="15"/>
          <w:u w:val="single" w:color="auto"/>
          <w:color w:val="auto"/>
        </w:rPr>
        <w:t>Increased Costs</w:t>
      </w:r>
      <w:r>
        <w:rPr>
          <w:rFonts w:ascii="Arial" w:cs="Arial" w:eastAsia="Arial" w:hAnsi="Arial"/>
          <w:sz w:val="15"/>
          <w:szCs w:val="15"/>
          <w:color w:val="auto"/>
        </w:rPr>
        <w:t xml:space="preserve">. (a) If, due to either (i) the introduction of or any change in or in the interpretation of any law or regulation or (ii) the compliance with any guideline or request from any central bank or other governmental authority including, without limitation, any agency of the European Union or similar monetary or multinational authority (whether or not having the force of law), there shall be any increase in the cost to any Lender Party of agreeing to make or making, funding or maintaining Eurocurrency Rate Advances or LIBO Rate Advances or of agreeing to issue or of issuing or maintaining or participating in Letters of Credit or of agreeing to make or of making or maintaining Letters of Credit Advances (excluding for purposes of this Section 2.12 any such increased costs resulting from (i) Taxes or Other Taxes (as to which Section 2.15 shall govern) and (ii) changes in the basis of taxation of overall net income or overall gross income by the United States or by the foreign jurisdiction or state under the laws of which such Lender Party is organized or has its Applicable Lending Office or any political subdivision thereof), then the Borrower shall from time to time, upon demand by such Lender Party (with a copy of such demand to the Agent), pay to the Agent for the account of such Lender Party additional amounts sufficient to compensate such Lender Party for such increased cost;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reasonable judgment of such Lender Party, be otherwise disadvantageous to such Lender Party. A certificate as to the amount of such increased cost, submitted to the Borrower and the Agent by such Lender Party, shall be conclusive and binding for all purposes, absent manifest error.</w:t>
      </w:r>
    </w:p>
    <w:p>
      <w:pPr>
        <w:spacing w:after="0" w:line="99" w:lineRule="exact"/>
        <w:rPr>
          <w:sz w:val="20"/>
          <w:szCs w:val="20"/>
          <w:color w:val="auto"/>
        </w:rPr>
      </w:pPr>
    </w:p>
    <w:p>
      <w:pPr>
        <w:ind w:right="40" w:firstLine="921"/>
        <w:spacing w:after="0" w:line="289" w:lineRule="auto"/>
        <w:tabs>
          <w:tab w:leader="none" w:pos="11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any Lender Party determines that compliance with any law or regulation or any guideline or request from any central bank or other governmental authority (whether or not having the force of law) affects or would affect the amount of capital required or expected to be maintained by such Lender Party or any corporation controlling such Lender Party and that the amount of such capital is increased by or based upon the existence of such Lender Party’s commitment to lend hereunder and other commitments of this type, then, upon demand by such Lender Party (with a copy of such demand to the Agent), the Borrower shall pay to the Agent for the account of such Lender Party, from time to time as specified by such Lender Party, additional amounts sufficient to compensate such Lender Party or such corporation in the light of such circumstances, to the extent that such Lender Party reasonably determines such increase in capital to be allocable to the existence of such Lender Party’s commitment to lend hereunder. A certificate as to such amounts submitted to the Borrower and the Agent by such Lender Party shall be conclusive and binding for all purposes, absent manifest error.</w:t>
      </w:r>
    </w:p>
    <w:p>
      <w:pPr>
        <w:spacing w:after="0" w:line="105"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Illegality</w:t>
      </w:r>
      <w:r>
        <w:rPr>
          <w:rFonts w:ascii="Arial" w:cs="Arial" w:eastAsia="Arial" w:hAnsi="Arial"/>
          <w:sz w:val="16"/>
          <w:szCs w:val="16"/>
          <w:color w:val="auto"/>
        </w:rPr>
        <w:t>. Notwithstanding any other provision of this Agreement, if any Lender Party shall notify the Agent that the introduction of or any change in or in the interpretation of any law or regulation makes it unlawful, or any central bank or other governmental authority asserts that it is unlawful, for any Lender Party or its Eurocurrency Lending Office to perform its obligations hereunder to make Eurocurrency Rate Advances or LIBO Rate Advances in Dollars or any Committed Currency or LIBO Rate Advances in Dollars or any Foreign Currency or to fund or maintain Eurocurrency Rate Advances in Dollars or any Committed Currency or LIBO Rate Advances in Dollars or any Foreign Currency hereunder, (a) each Eurocurrency Rate Advance or LIBO Rate Advance, as the case may be, will automatically, upon such demand, Convert into a Base Rate Advance or an Advance that bears interest at the rate set forth in Section</w:t>
      </w:r>
    </w:p>
    <w:p>
      <w:pPr>
        <w:spacing w:after="0" w:line="1"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 xml:space="preserve">2.08(a)(i), as the case may be, (i) if such Eurocurrency Rate Advance or LIBO Rate Advance is denominated in Dollars, be Converted into a Base Rate Advance or an Advance that bears interest at the rate set forth in Section 2.08(a)(i), as the case may be, and (ii) if such Eurocurrency Rate Advance or LIBO Rate Advance is denominated in any Foreign Currency, be exchanged into an Equivalent amount of Dollars and be Converted into a Base Rate Advance or an Advance that bears interest at the rate set forth in Section 2.08(a)(i), as the case may be, and (b) the obligation of the Lender Parties to make Eurocurrency Rate Advances or LIBO Rate Advances or to Convert Revolving Credit Advances into Eurocurrency Rate Advances shall be suspended until the Agent shall notify the Borrower and the Lender Parties that the circumstances causing such suspension no longer exist;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before making any such demand, each Lender agrees to use reasonable efforts (consistent with its internal policy and legal and regulatory restrictions) to designate a different Eurodollar Lending Office if the making of such a designation would allow such Lender or its Eurodollar Lending Office to continue to perform its obligations to make Eurodollar Rate Advances or to continue to fund or maintain Eurodollar Rate Advances and would not, in the judgment of such Lender, be otherwise disadvantageous to such Lender.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33" w:name="page34"/>
    <w:bookmarkEnd w:id="33"/>
    <w:p>
      <w:pPr>
        <w:ind w:right="2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2.14. </w:t>
      </w:r>
      <w:r>
        <w:rPr>
          <w:rFonts w:ascii="Arial" w:cs="Arial" w:eastAsia="Arial" w:hAnsi="Arial"/>
          <w:sz w:val="16"/>
          <w:szCs w:val="16"/>
          <w:u w:val="single" w:color="auto"/>
          <w:color w:val="auto"/>
        </w:rPr>
        <w:t>Payments and Computations</w:t>
      </w:r>
      <w:r>
        <w:rPr>
          <w:rFonts w:ascii="Arial" w:cs="Arial" w:eastAsia="Arial" w:hAnsi="Arial"/>
          <w:sz w:val="16"/>
          <w:szCs w:val="16"/>
          <w:color w:val="auto"/>
        </w:rPr>
        <w:t>. (a) The Borrower shall make each payment hereunder, irrespective of any right of counterclaim or set-off except with respect to principal of, interest on, and other amounts relating to, Advances denominated in a Foreign Currency, not later than 11:00 A.M. (New York City time) on the day when due in U.S. Dollars to the Agent at the applicable Agent’s Account in same day funds. The Borrower shall make each payment, irrespective of any right of counterclaim or set-off hereunder with respect to principal of, interest on, and other amounts relating to, Advances denominated in a Foreign Currency, not later than 11:00 A.M. (at the Payment Office for such Foreign Currency) on the day when due in such Foreign Currency to the Agent, by deposit of such funds to the applicable Agent’s Account in same day funds. The Agent will promptly thereafter cause to be distributed like funds relating to the payment of principal or interest or facility fees ratably (other than amounts payable pursuant to Section 2.03, 2.12, 2.15 or 8.04(c)) to the Lender Parties for the account of their respective Applicable Lending Offices, and like funds relating to the payment of any other amount payable to any Lender Party to such Lender Party for the account of its Applicable Lending Office, in each case to be applied in accordance with the terms of this Agreement. Upon any Assuming Lender becoming a Lender Party hereunder as a result of a Commitment Increase pursuant to Section 2.19, and upon the Agent’s receipt of such Lender’s Assumption Agreement and recording of the information contained therein in the Register, from and after the applicable Increase Date, as the case may be, the Agent shall make all payments hereunder and under any Notes issued in connection therewith in respect of the interest assumed thereby to the Assuming Lender.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Party assignee thereunder, and the parties to such Assignment and Acceptance shall make all appropriate adjustments in such payments for periods prior to such effective date directly between themselves.</w:t>
      </w:r>
    </w:p>
    <w:p>
      <w:pPr>
        <w:spacing w:after="0" w:line="110" w:lineRule="exact"/>
        <w:rPr>
          <w:sz w:val="20"/>
          <w:szCs w:val="20"/>
          <w:color w:val="auto"/>
        </w:rPr>
      </w:pPr>
    </w:p>
    <w:p>
      <w:pPr>
        <w:ind w:right="20" w:firstLine="921"/>
        <w:spacing w:after="0" w:line="291"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computations of interest based on the Base Rate shall be made by the Agent on the basis of a year of 365 or 366 days, as the case may be, all computations of interest based on the Eurocurrency Rate or the Federal Funds Rate and of fees or Letter of Credit commissions shall be made by the Agent on the basis of a year of 360 days and computations in respect of Competitive Bid Advances shall be made by the Agent as specified in the applicable Notice of Competitive Bid Borrowing (or, in each case of Advances denominated in Foreign Currencies where market practice differs, in accordance with market practice), in each case for the actual number of days (including the first day but excluding the last day) occurring in the period for which such interest fees or commissions are payable. Each determination by the Agent of an interest rate hereunder shall be conclusive and binding for all purposes, absent manifest error.</w:t>
      </w:r>
    </w:p>
    <w:p>
      <w:pPr>
        <w:spacing w:after="0" w:line="106" w:lineRule="exact"/>
        <w:rPr>
          <w:rFonts w:ascii="Arial" w:cs="Arial" w:eastAsia="Arial" w:hAnsi="Arial"/>
          <w:sz w:val="16"/>
          <w:szCs w:val="16"/>
          <w:color w:val="auto"/>
        </w:rPr>
      </w:pPr>
    </w:p>
    <w:p>
      <w:pPr>
        <w:ind w:right="60" w:firstLine="921"/>
        <w:spacing w:after="0" w:line="298" w:lineRule="auto"/>
        <w:tabs>
          <w:tab w:leader="none" w:pos="11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extension would cause payment of interest on or principal of Eurocurrency Rate Advances or LIBO Rate Advances to be made in the next following calendar month, such payment shall be made on the next preceding Business Day.</w:t>
      </w:r>
    </w:p>
    <w:p>
      <w:pPr>
        <w:spacing w:after="0" w:line="99" w:lineRule="exact"/>
        <w:rPr>
          <w:rFonts w:ascii="Arial" w:cs="Arial" w:eastAsia="Arial" w:hAnsi="Arial"/>
          <w:sz w:val="16"/>
          <w:szCs w:val="16"/>
          <w:color w:val="auto"/>
        </w:rPr>
      </w:pPr>
    </w:p>
    <w:p>
      <w:pPr>
        <w:ind w:firstLine="921"/>
        <w:spacing w:after="0" w:line="290"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the Agent shall have received notice from the Borrower prior to the date on which any payment is due to any Lender Party hereunder that the Borrower will not make such payment in full, the Agent may assume that the Borrower has made such payment in full to the Agent on such date and the Agent may, in reliance upon such assumption, cause to be distributed to each Lender Party on such due date an amount equal to the amount then due such Lender Party. If and to the extent the Borrower shall not have so made such payment in full to the Agent, each Lender Party shall repay to the Agent forthwith on demand such amount distributed to such Lender Party together with interest thereon, for each day from the date such amount is distributed to such Lender Party until the date such Lender Party repays such amount to the Agent, at (i) the Federal Funds Rate in the case of Advances denominated in Dollars or (ii) the cost of funds incurred by the Agent in respect of such amount in the case of Advances denominated in Foreign Currencies.</w:t>
      </w:r>
    </w:p>
    <w:p>
      <w:pPr>
        <w:spacing w:after="0" w:line="104" w:lineRule="exact"/>
        <w:rPr>
          <w:rFonts w:ascii="Arial" w:cs="Arial" w:eastAsia="Arial" w:hAnsi="Arial"/>
          <w:sz w:val="16"/>
          <w:szCs w:val="16"/>
          <w:color w:val="auto"/>
        </w:rPr>
      </w:pPr>
    </w:p>
    <w:p>
      <w:pPr>
        <w:ind w:right="260" w:firstLine="921"/>
        <w:spacing w:after="0" w:line="268" w:lineRule="auto"/>
        <w:tabs>
          <w:tab w:leader="none" w:pos="11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extent that the Agent receives funds for application to the amounts owing by the Borrower under or in respect of this Agreement or any Note in currencies other than the currency or currencies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4" w:name="page35"/>
    <w:bookmarkEnd w:id="34"/>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required to enable the Agent to distribute funds to the Lender Parties in accordance with the terms of this Section 2.14, the Agent shall be entitled to convert or exchange such funds into Dollars or into a Foreign Currency or from Dollars to a Foreign Currency or from a Foreign Currency to Dollars, as the case may be, to the extent necessary to enable the Agent to distribute such funds in accordance with the terms of this Section 2.14;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and each of the Lender Parties hereby agree that the Agent shall not be liable or responsible for any loss, cost or expense suffered by the Borrower or such Lender Party as a result of any conversion or exchange of currencies affected pursuant to this Section 2.14(f) or as a result of the failure of the Agent to effect any such conversion or exchange, other than any loss, cost or expense applicable to the Agent’s gross negligence or willful misconduct;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agrees to indemnify the Agent and each Lender Party, and hold the Agent and each Lender Party harmless, for any and all losses, costs and expenses incurred by the Agent or any Lender Party for any conversion or exchange of currencies (or the failure to convert or exchange any currencies) in accordance with this Section 2.14(f), other than any loss, cost or expense applicable to the Agent’s gross negligence or willful misconduct.</w:t>
      </w:r>
    </w:p>
    <w:p>
      <w:pPr>
        <w:spacing w:after="0" w:line="106"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Any and all payments by the Borrower to or for the account of any Lender or the Agent hereunder or under the Notes or any other documents to be delivered hereunder shall be made, in accordance with Section 2.14 or the applicable provisions of such other documents, free and clear of and without deduction for any and all present or future taxes, levies, imposts, deductions, charges or withholdings, and all liabilities with respect thereto, </w:t>
      </w:r>
      <w:r>
        <w:rPr>
          <w:rFonts w:ascii="Arial" w:cs="Arial" w:eastAsia="Arial" w:hAnsi="Arial"/>
          <w:sz w:val="16"/>
          <w:szCs w:val="16"/>
          <w:u w:val="single" w:color="auto"/>
          <w:color w:val="auto"/>
        </w:rPr>
        <w:t>excluding</w:t>
      </w:r>
      <w:r>
        <w:rPr>
          <w:rFonts w:ascii="Arial" w:cs="Arial" w:eastAsia="Arial" w:hAnsi="Arial"/>
          <w:sz w:val="16"/>
          <w:szCs w:val="16"/>
          <w:color w:val="auto"/>
        </w:rPr>
        <w:t>, in the case of each Lender Party and the Agent, taxes imposed on its overall net income, and franchise taxes imposed on it in lieu of net income taxes, by the jurisdiction under the laws of which such Lender Party or the Agent (as the case may be) is organized or any political subdivision thereof and, in the case of each Lender Party, taxes imposed on its overall net income, and franchise taxes imposed on it in lieu of net income taxes, by the jurisdiction of such Lender Party’s Applicable Lending Office or any political subdivision thereof (all such non-excluded taxes, levies, imposts, deductions, charges, withholdings and liabilities in respect of payments hereunder or under the Notes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Borrower shall be required by law to deduct any Taxes from or in respect of any sum payable hereunder or under any Note or any other documents to be delivered hereunder to any Lender Party or the Agent, (i) the sum payable shall be increased as may be necessary so that after making all required deductions (including deductions applicable to additional sums payable under this Section 2.15) such Lender Party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107" w:lineRule="exact"/>
        <w:rPr>
          <w:sz w:val="20"/>
          <w:szCs w:val="20"/>
          <w:color w:val="auto"/>
        </w:rPr>
      </w:pPr>
    </w:p>
    <w:p>
      <w:pPr>
        <w:ind w:firstLine="921"/>
        <w:spacing w:after="0" w:line="256" w:lineRule="auto"/>
        <w:tabs>
          <w:tab w:leader="none" w:pos="11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right="280" w:firstLine="921"/>
        <w:spacing w:after="0" w:line="298" w:lineRule="auto"/>
        <w:tabs>
          <w:tab w:leader="none" w:pos="11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Borrower shall indemnify each Lender and the Agent for and hold it harmless against the full amount of Taxes or Other Taxes (including, without limitation, taxes of any kind imposed or asserted by any jurisdiction on amounts payable under this Section 2.15) imposed on or paid by such Lender Party or the Agent (as the case may be) and any liability (including penalties, interest and expenses) arising therefrom or with respect thereto. This indemnification shall be made within 30 days from the date such Lender Party or the Agent (as the case may be) makes written demand therefor.</w:t>
      </w:r>
    </w:p>
    <w:p>
      <w:pPr>
        <w:spacing w:after="0" w:line="99" w:lineRule="exact"/>
        <w:rPr>
          <w:rFonts w:ascii="Arial" w:cs="Arial" w:eastAsia="Arial" w:hAnsi="Arial"/>
          <w:sz w:val="16"/>
          <w:szCs w:val="16"/>
          <w:color w:val="auto"/>
        </w:rPr>
      </w:pPr>
    </w:p>
    <w:p>
      <w:pPr>
        <w:ind w:right="160" w:firstLine="921"/>
        <w:spacing w:after="0" w:line="290" w:lineRule="auto"/>
        <w:tabs>
          <w:tab w:leader="none" w:pos="1162"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 thereof that is reasonably satisfactory to the Agent. In the case of any payment hereunder or under the Notes or any other documents to be delivered hereunder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6"/>
          <w:szCs w:val="16"/>
          <w:u w:val="single" w:color="auto"/>
          <w:color w:val="auto"/>
        </w:rPr>
        <w:t>United 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5" w:name="page36"/>
    <w:bookmarkEnd w:id="35"/>
    <w:p>
      <w:pPr>
        <w:ind w:firstLine="921"/>
        <w:spacing w:after="0" w:line="285"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Lender Party organized under the laws of a jurisdiction outside the United States, on or prior to the date of its execution and delivery of this Agreement in the case of each Initial Lender Party and on the date of the Assumption Agreement or the Assignment and Acceptance pursuant to which it becomes a Lender Party in the case of each other Lender Party, and from time to time thereafter as reasonably requested in writing by the Borrower (but only so long as such Lender Party remains lawfully able to do so), shall provide each of the Agent and the Borrower with two original Internal Revenue Service forms W-8BEN or W-8ECI, as appropriate, or any successor or other form prescribed by the Internal Revenue Service, certifying that such Lender Party is exempt from or entitled to a reduced rate of United States withholding tax on payments pursuant to this Agreement or the Notes. If the form provided by a Lender Party at the time such Lender Party first becomes a party to this Agreement indicates a United States interest withholding tax rate in excess of zero, withholding tax at such rate shall be considered excluded from Taxes unless and until such Lender Party provides the appropriate forms certifying that a lesser rate applies, whereupon withholding tax at such lesser rate only shall be considered excluded from Taxes for periods governed by such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date of the Assignment and Acceptance pursuant to which a Lender Party assignee becomes a party to this Agreement, the Lender Party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Party assignee on such date. If any form or document referred to in this subsection (e) requires the disclosure of information, other than information necessary to compute the tax payable and information required on the date hereof by Internal Revenue Service form W-8BEN or W-8ECI, that the Lender Party reasonably considers to be confidential, the Lender shall give notice thereof to the Borrower and shall not be obligated to include in such form or document such confidential information.</w:t>
      </w:r>
    </w:p>
    <w:p>
      <w:pPr>
        <w:spacing w:after="0" w:line="110" w:lineRule="exact"/>
        <w:rPr>
          <w:rFonts w:ascii="Arial" w:cs="Arial" w:eastAsia="Arial" w:hAnsi="Arial"/>
          <w:sz w:val="16"/>
          <w:szCs w:val="16"/>
          <w:color w:val="auto"/>
        </w:rPr>
      </w:pPr>
    </w:p>
    <w:p>
      <w:pPr>
        <w:ind w:right="40" w:firstLine="921"/>
        <w:spacing w:after="0" w:line="314" w:lineRule="auto"/>
        <w:tabs>
          <w:tab w:leader="none" w:pos="1132"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any period with respect to which a Lender Party has failed to provide the Borrower with the appropriate form, certificate or other document described in Section 2.15(e) (</w:t>
      </w:r>
      <w:r>
        <w:rPr>
          <w:rFonts w:ascii="Arial" w:cs="Arial" w:eastAsia="Arial" w:hAnsi="Arial"/>
          <w:sz w:val="15"/>
          <w:szCs w:val="15"/>
          <w:u w:val="single" w:color="auto"/>
          <w:color w:val="auto"/>
        </w:rPr>
        <w:t>other than</w:t>
      </w:r>
      <w:r>
        <w:rPr>
          <w:rFonts w:ascii="Arial" w:cs="Arial" w:eastAsia="Arial" w:hAnsi="Arial"/>
          <w:sz w:val="15"/>
          <w:szCs w:val="15"/>
          <w:color w:val="auto"/>
        </w:rPr>
        <w:t xml:space="preserve"> if such failure is due to a change in law, or in the interpretation or application thereof, occurring subsequent to the date on which a form, certificate or other document originally was required to be provided, or if such form, certificate or other document otherwise is not required under subsection (e) above), such Lender Party shall not be entitled to indemnification under Section 2.15(a) or (c) with respect to Taxes imposed by the United States by reason of such failure;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should a Lender Party become subject to Taxes because of its failure to deliver a form, certificate or other document required hereunder, the Borrower shall take such steps as the Lender Party shall reasonably request to assist the Lender Party to recover such Taxes.</w:t>
      </w:r>
    </w:p>
    <w:p>
      <w:pPr>
        <w:spacing w:after="0" w:line="91" w:lineRule="exact"/>
        <w:rPr>
          <w:rFonts w:ascii="Arial" w:cs="Arial" w:eastAsia="Arial" w:hAnsi="Arial"/>
          <w:sz w:val="15"/>
          <w:szCs w:val="15"/>
          <w:color w:val="auto"/>
        </w:rPr>
      </w:pPr>
    </w:p>
    <w:p>
      <w:pPr>
        <w:ind w:right="260" w:firstLine="921"/>
        <w:spacing w:after="0" w:line="256"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Lender Party claiming any additional amounts payable pursuant to this Section 2.15 agrees to use reasonable efforts (consistent with its internal policy and legal and regulatory restrictions) to change the jurisdiction of its Eurodollar Lending Office if the making of such a change would avoid the need for, or reduce the amount of, any such additional amounts that may thereafter accrue and would not, in the reasonable judgment of such Lender Party, be otherwise disadvantageous to such Lender Party.</w:t>
      </w:r>
    </w:p>
    <w:p>
      <w:pPr>
        <w:spacing w:after="0" w:line="129" w:lineRule="exact"/>
        <w:rPr>
          <w:rFonts w:ascii="Arial" w:cs="Arial" w:eastAsia="Arial" w:hAnsi="Arial"/>
          <w:sz w:val="18"/>
          <w:szCs w:val="18"/>
          <w:color w:val="auto"/>
        </w:rPr>
      </w:pPr>
    </w:p>
    <w:p>
      <w:pPr>
        <w:ind w:right="120" w:firstLine="921"/>
        <w:spacing w:after="0" w:line="253"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If any Lender Party determines, in its sole discretion, that it has actually and finally realized, by reason of a refund, deduction or credit of any Taxes paid or reimbursed by the Borrower pursuant to subjection (a) or (c) above in respect of payments under the Credit Agreement or the Notes, a current monetary benefit that it would otherwise not have obtained, and that would result in the total payments under this Section 2.15 exceeding the amount needed to make such Lender Party whole, such Lender Party shall pay to the Borrower, with reasonable promptness following the date on which it actually realizes such benefit, an amount equal to the lesser of the amount of such benefit or the amount of such excess, in each case net of all out-of-pocket expenses in securing such refund, deduction or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be construed to require any Lender to disclose confidential information regarding its tax affairs.</w:t>
      </w:r>
    </w:p>
    <w:p>
      <w:pPr>
        <w:spacing w:after="0" w:line="134"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Party shall obtain any payment (whether voluntary, involuntary, through the exercise of any right of set-off, or otherwise) on account of the Revolving Credit Advances or Letter of Credit Advances owing to it (other than pursuant to Section 2.12, 2.15 or 8.04(c)) in excess of its ratable share of payments on account of the Revolving Credit Advances and Letter of Credit Advances obtained by all the Lender Parties, such Lender Party shall forthwith purchase from the other Lender Parties such participations in the Revolving Credit Advances and Letter of Credit owing to them as shall be necessary to cause such purchasing Lender Party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6" w:name="page37"/>
    <w:bookmarkEnd w:id="36"/>
    <w:p>
      <w:pPr>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w:t>
      </w:r>
      <w:r>
        <w:rPr>
          <w:rFonts w:ascii="Arial" w:cs="Arial" w:eastAsia="Arial" w:hAnsi="Arial"/>
          <w:sz w:val="16"/>
          <w:szCs w:val="16"/>
          <w:color w:val="auto"/>
        </w:rPr>
        <w:t>, that if all or any portion of such excess payment is thereafter recovered from such purchasing Lender Party, such purchase from each Lender Party shall be rescinded and such Lender Party shall repay to the purchasing Lender Party the purchase price to the extent of such recovery together with an amount equal to such Lender Party’s ratable share (according to the proportion of (i) the amount of such Lender Party’s required repayment to (ii) the total amount so recovered from the purchasing Lender Party) of any interest or other amount paid or payable by the purchasing Lender Party in respect of the total amount so recovered. The Borrower agrees that any Lender Party so purchasing a participation from another Lender Party pursuant to this Section 2.16 may, to the fullest extent permitted by law, exercise all its rights of payment (including the right of set-off) with respect to such participation as fully as if such Lender Party were the direct creditor of the Borrower in the amount of such participation.</w:t>
      </w:r>
    </w:p>
    <w:p>
      <w:pPr>
        <w:spacing w:after="0" w:line="10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Evidence of Debt</w:t>
      </w:r>
      <w:r>
        <w:rPr>
          <w:rFonts w:ascii="Arial" w:cs="Arial" w:eastAsia="Arial" w:hAnsi="Arial"/>
          <w:sz w:val="16"/>
          <w:szCs w:val="16"/>
          <w:color w:val="auto"/>
        </w:rPr>
        <w:t>. (a) Each Lender Party shall maintain in accordance with its usual practice an account or accounts evidencing the indebtedness of the Borrower to such Lender Party resulting from each Revolving Credit Advance owing to such Lender Party from time to time, including the amounts of principal and interest payable and paid to such Lender Party from time to time hereunder in respect of Revolving Credit Advances. The Borrower agrees that upon notice by any Lender Party to the Borrower (with a copy of such notice to the Agent) to the effect that a Revolving Credit Note is required or appropriate in order for such Lender Party to evidence (whether for purposes of pledge, enforcement or otherwise) the Revolving Credit Advances owing to, or to be made by, such Lender Party, the Borrower shall promptly execute and deliver to such Lender Party a Revolving Credit Note payable to the order of such Lender Party in a principal amount up to the Commitment of such Lender Party.</w:t>
      </w:r>
    </w:p>
    <w:p>
      <w:pPr>
        <w:spacing w:after="0" w:line="105" w:lineRule="exact"/>
        <w:rPr>
          <w:sz w:val="20"/>
          <w:szCs w:val="20"/>
          <w:color w:val="auto"/>
        </w:rPr>
      </w:pPr>
    </w:p>
    <w:p>
      <w:pPr>
        <w:ind w:firstLine="921"/>
        <w:spacing w:after="0" w:line="294"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Register maintained by the Agent pursuant to Section 8.07(g) shall include a control account, and a subsidiary account for each Lender Party, in which accounts (taken together) shall be recorded (i) the date and amount of each Borrowing made hereunder, the Type of Advances comprising such Borrowing and, if appropriate, the Interest Period applicable thereto, (ii) the terms of each Assumption Agreement and each Assignment and Acceptance delivered to and accepted by it, (iii) the amount of any principal or interest due and payable or to become due and payable from the Borrower to each Lender Party hereunder and (iv) the amount of any sum received by the Agent from the Borrower hereunder and each Lender Party’s share thereof.</w:t>
      </w:r>
    </w:p>
    <w:p>
      <w:pPr>
        <w:spacing w:after="0" w:line="102" w:lineRule="exact"/>
        <w:rPr>
          <w:rFonts w:ascii="Arial" w:cs="Arial" w:eastAsia="Arial" w:hAnsi="Arial"/>
          <w:sz w:val="16"/>
          <w:szCs w:val="16"/>
          <w:color w:val="auto"/>
        </w:rPr>
      </w:pPr>
    </w:p>
    <w:p>
      <w:pPr>
        <w:jc w:val="both"/>
        <w:ind w:firstLine="921"/>
        <w:spacing w:after="0" w:line="294" w:lineRule="auto"/>
        <w:tabs>
          <w:tab w:leader="none" w:pos="11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Entries made in good faith by the Agent in the Register pursuant to subsection (b) above, and by each Lender Party in its account or accounts pursuant to subsection (a) above,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amount of principal and interest due and payable or to become due and payable from the Borrower to, in the case of the Register, each Lender and, in the case of such account or accounts, such Lender Party, under this Agreement,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Agent or such Lender Party to make an entry, or any finding that an entry is incorrect, in the Register or such account or accounts shall not limit or otherwise affect the obligations of the Borrower under this Agreement.</w:t>
      </w:r>
    </w:p>
    <w:p>
      <w:pPr>
        <w:spacing w:after="0" w:line="102"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Advances and issuances of Letters of Credit shall be available (and the Borrower agrees that it shall use such proceeds) solely for general corporate purposes of the Borrower and its Subsidiaries, including, without limitation, acquisitions.</w:t>
      </w:r>
    </w:p>
    <w:p>
      <w:pPr>
        <w:spacing w:after="0" w:line="72"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Increase in the Aggregate Commitments</w:t>
      </w:r>
      <w:r>
        <w:rPr>
          <w:rFonts w:ascii="Arial" w:cs="Arial" w:eastAsia="Arial" w:hAnsi="Arial"/>
          <w:sz w:val="16"/>
          <w:szCs w:val="16"/>
          <w:color w:val="auto"/>
        </w:rPr>
        <w:t>. (a) The Borrower may, at any time but in any event not more than once in any calendar year prior to the Termination Date, by notice to the Agent, request that the aggregate amount of the Commitment be increased by an amount of $10,000,000 or an integral multiple of $10,000,000 in excess thereof (each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to be effective as of a date that is at least 90 days prior to the scheduled Termination Date then in effect (the “</w:t>
      </w:r>
      <w:r>
        <w:rPr>
          <w:rFonts w:ascii="Arial" w:cs="Arial" w:eastAsia="Arial" w:hAnsi="Arial"/>
          <w:sz w:val="16"/>
          <w:szCs w:val="16"/>
          <w:u w:val="single" w:color="auto"/>
          <w:color w:val="auto"/>
        </w:rPr>
        <w:t>Increase Date</w:t>
      </w:r>
      <w:r>
        <w:rPr>
          <w:rFonts w:ascii="Arial" w:cs="Arial" w:eastAsia="Arial" w:hAnsi="Arial"/>
          <w:sz w:val="16"/>
          <w:szCs w:val="16"/>
          <w:color w:val="auto"/>
        </w:rPr>
        <w:t xml:space="preserve">”) as specified in the related notice to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in no event shall the aggregate amount of the Commitments at any time exceed $1,000,000,000 and (ii) on the date of any request by the Borrower for a Commitment Increase and on the related Increase Date, the applicable conditions set forth in Article III shall be satisfied.</w:t>
      </w:r>
    </w:p>
    <w:p>
      <w:pPr>
        <w:spacing w:after="0" w:line="107" w:lineRule="exact"/>
        <w:rPr>
          <w:sz w:val="20"/>
          <w:szCs w:val="20"/>
          <w:color w:val="auto"/>
        </w:rPr>
      </w:pPr>
    </w:p>
    <w:p>
      <w:pPr>
        <w:ind w:right="60" w:firstLine="921"/>
        <w:spacing w:after="0" w:line="255"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Agent shall promptly notify the Lender Parties of a request by the Borrower for a Commitment Increase, which notice shall include (i) the proposed amount of such requested Commitment Increase, (ii) the proposed Increase Date and (iii) the date by which Lender Parties wishing to participate in the Commitment Increase must commit to an increase in the amount of their respective Commitments (the “</w:t>
      </w:r>
      <w:r>
        <w:rPr>
          <w:rFonts w:ascii="Arial" w:cs="Arial" w:eastAsia="Arial" w:hAnsi="Arial"/>
          <w:sz w:val="18"/>
          <w:szCs w:val="18"/>
          <w:u w:val="single" w:color="auto"/>
          <w:color w:val="auto"/>
        </w:rPr>
        <w:t>Commitment Date</w:t>
      </w:r>
      <w:r>
        <w:rPr>
          <w:rFonts w:ascii="Arial" w:cs="Arial" w:eastAsia="Arial" w:hAnsi="Arial"/>
          <w:sz w:val="18"/>
          <w:szCs w:val="18"/>
          <w:color w:val="auto"/>
        </w:rPr>
        <w:t>”). Each Lender Party that is willing to participate in such requested Commitment Increase (each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shall, in its sole discretion, give written notice to the Agent on or prior to the Commitment Date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7" w:name="page38"/>
    <w:bookmarkEnd w:id="37"/>
    <w:p>
      <w:pPr>
        <w:jc w:val="both"/>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by which it is willing to increase its Commitment. If the Lender Parties notify the Agent that they are willing to increase the amount of their respective Commitments by an aggregate amount that exceeds the amount of the requested Commitment Increase, the requested Commitment Increase shall be allocated among the Lender Parties willing to participate therein in such proportion as the Agent and the Borrower may agree.</w:t>
      </w:r>
    </w:p>
    <w:p>
      <w:pPr>
        <w:spacing w:after="0" w:line="93" w:lineRule="exact"/>
        <w:rPr>
          <w:sz w:val="20"/>
          <w:szCs w:val="20"/>
          <w:color w:val="auto"/>
        </w:rPr>
      </w:pPr>
    </w:p>
    <w:p>
      <w:pPr>
        <w:jc w:val="both"/>
        <w:ind w:right="40" w:firstLine="921"/>
        <w:spacing w:after="0" w:line="294" w:lineRule="auto"/>
        <w:tabs>
          <w:tab w:leader="none" w:pos="1152"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Promptly following each Commitment Date, the Agent shall notify the Borrower as to the amount, if any, by which the Lender Parties are willing to participate in the requested Commitment Increase. If the aggregate amount by which the Lender Parties are willing to participate in any requested Commitment Increase on any such Commitment Date is less than the requested Commitment Increase, then the Borrower may extend offers to one or more Eligible Assignees to participate in any portion of the requested Commitment Increase that has not been committed to by the Lender Parties as of the applicable Commitment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Commitment of each such Eligible Assignee shall be in an amount of not less than $5,000,000.</w:t>
      </w:r>
    </w:p>
    <w:p>
      <w:pPr>
        <w:spacing w:after="0" w:line="102" w:lineRule="exact"/>
        <w:rPr>
          <w:rFonts w:ascii="Arial" w:cs="Arial" w:eastAsia="Arial" w:hAnsi="Arial"/>
          <w:sz w:val="16"/>
          <w:szCs w:val="16"/>
          <w:color w:val="auto"/>
        </w:rPr>
      </w:pPr>
    </w:p>
    <w:p>
      <w:pPr>
        <w:ind w:right="100" w:firstLine="921"/>
        <w:spacing w:after="0" w:line="255" w:lineRule="auto"/>
        <w:tabs>
          <w:tab w:leader="none" w:pos="1162"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each Increase Date, each Eligible Assignee that accepts an offer to participate in a requested Commitment Increase in accordance with Section 2.19(b) (each such Eligible Assignee, an “</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shall become a Lender Party to this Agreement as of such Increase Date and the Commitment of each Increasing Lender Party for such requested Commitment Increase shall be so increased by such amount (or by the amount allocated to such Lender Party pursuant to the last sentence of Section 2.19(b)) as of such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Agent shall have received on or before such Increase Date the following, each dated such date:</w:t>
      </w:r>
    </w:p>
    <w:p>
      <w:pPr>
        <w:spacing w:after="0" w:line="48" w:lineRule="exact"/>
        <w:rPr>
          <w:rFonts w:ascii="Arial" w:cs="Arial" w:eastAsia="Arial" w:hAnsi="Arial"/>
          <w:sz w:val="18"/>
          <w:szCs w:val="18"/>
          <w:color w:val="auto"/>
        </w:rPr>
      </w:pPr>
    </w:p>
    <w:p>
      <w:pPr>
        <w:ind w:left="460" w:right="380" w:firstLine="443"/>
        <w:spacing w:after="0" w:line="259" w:lineRule="auto"/>
        <w:tabs>
          <w:tab w:leader="none" w:pos="11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certified copies of resolutions of the Board of Directors of the Borrower or the Executive Committee of such Board approving the Commitment Increase and the corresponding modifications to this Agreement and (B) an opinion of counsel for the Borrower (which may be in-house counsel), in substantially the form of Exhibit E hereto;</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assumption agreement from each Assuming Lender, if any, in form and substance satisfactory to the Borrower and the Agent (each an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duly executed by such Eligible Assignee, the Agent and the Borrower; and</w:t>
      </w:r>
    </w:p>
    <w:p>
      <w:pPr>
        <w:spacing w:after="0" w:line="70" w:lineRule="exact"/>
        <w:rPr>
          <w:sz w:val="20"/>
          <w:szCs w:val="20"/>
          <w:color w:val="auto"/>
        </w:rPr>
      </w:pPr>
    </w:p>
    <w:p>
      <w:pPr>
        <w:ind w:left="1200" w:hanging="297"/>
        <w:spacing w:after="0"/>
        <w:tabs>
          <w:tab w:leader="none" w:pos="1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confirmation from each Increasing Lender of the increase in the amount of its Commitment in a writing satisfactory to the Borrower and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151"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On each Increase Date, upon fulfillment of the conditions set forth in the immediately preceding sentence of this Section 2.19(d), the Agent shall notify the Lender Parties (including, without limitation, each Assuming Lender) and the Borrower, on or before 1:00 P.M. (New York City time), by telecopier, of the occurrence of the Commitment Increase to be effected on such Increase Date and shall record in the Register the relevant information with respect to each Increasing Lender and each Assuming Lender on such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EFFECTIVENESS AND LENDING</w:t>
      </w:r>
    </w:p>
    <w:p>
      <w:pPr>
        <w:spacing w:after="0" w:line="15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 of Sections 2.01 and 2.03</w:t>
      </w:r>
      <w:r>
        <w:rPr>
          <w:rFonts w:ascii="Arial" w:cs="Arial" w:eastAsia="Arial" w:hAnsi="Arial"/>
          <w:sz w:val="18"/>
          <w:szCs w:val="18"/>
          <w:color w:val="auto"/>
        </w:rPr>
        <w:t>. Sections 2.01 and 2.03 of this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37" w:lineRule="exact"/>
        <w:rPr>
          <w:sz w:val="20"/>
          <w:szCs w:val="20"/>
          <w:color w:val="auto"/>
        </w:rPr>
      </w:pPr>
    </w:p>
    <w:p>
      <w:pPr>
        <w:ind w:left="1140" w:hanging="237"/>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There shall have occurred no Material Adverse Change since December 31, 2003.</w:t>
      </w:r>
    </w:p>
    <w:p>
      <w:pPr>
        <w:spacing w:after="0" w:line="76" w:lineRule="exact"/>
        <w:rPr>
          <w:rFonts w:ascii="Arial" w:cs="Arial" w:eastAsia="Arial" w:hAnsi="Arial"/>
          <w:sz w:val="18"/>
          <w:szCs w:val="18"/>
          <w:color w:val="auto"/>
        </w:rPr>
      </w:pPr>
    </w:p>
    <w:p>
      <w:pPr>
        <w:jc w:val="center"/>
        <w:ind w:left="460" w:firstLine="443"/>
        <w:spacing w:after="0" w:line="286" w:lineRule="auto"/>
        <w:tabs>
          <w:tab w:leader="none" w:pos="1147"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There shall exist no action, suit, investigation, litigation or proceeding affecting the Borrower or any of its Subsidiaries pending or, to the knowledge of the Borrower, threatened before any court, governmental agency or arbitrator that (i) is reasonably likely to have a Material Adverse Effect or</w:t>
      </w:r>
    </w:p>
    <w:p>
      <w:pPr>
        <w:ind w:left="720" w:hanging="25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purports to affect the legality, validity or enforceability of this Agreement or any Note or the consummation of the transactions contemplated hereby.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8" w:name="page39"/>
    <w:bookmarkEnd w:id="38"/>
    <w:p>
      <w:pPr>
        <w:ind w:right="220" w:firstLine="443"/>
        <w:spacing w:after="0" w:line="256" w:lineRule="auto"/>
        <w:tabs>
          <w:tab w:leader="none" w:pos="677"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shall have come to the attention of the Lender Parties during the course of their due diligence investigation to lead them to believe that the Information Memorandum was or has become misleading, incorrect or incomplete in any material respect; without limiting the generality of the foregoing, the Lender Parties shall have been given such access to the management, records, books of account, contracts and properties of the Borrower and its Subsidiaries as they shall have requested.</w:t>
      </w:r>
    </w:p>
    <w:p>
      <w:pPr>
        <w:spacing w:after="0" w:line="48" w:lineRule="exact"/>
        <w:rPr>
          <w:rFonts w:ascii="Arial" w:cs="Arial" w:eastAsia="Arial" w:hAnsi="Arial"/>
          <w:sz w:val="18"/>
          <w:szCs w:val="18"/>
          <w:color w:val="auto"/>
        </w:rPr>
      </w:pPr>
    </w:p>
    <w:p>
      <w:pPr>
        <w:ind w:firstLine="443"/>
        <w:spacing w:after="0" w:line="256"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governmental and third party consents and approvals necessary in connection with the transactions contemplated hereby shall have been obtained (without the imposition of any conditions that are not acceptable to the Lender Parties) and shall remain in effect, and no law or regulation shall be applicable in the reasonable judgment of the Lender Parties that restrains, prevents or imposes materially adverse conditions upon the transactions contemplated hereby.</w:t>
      </w:r>
    </w:p>
    <w:p>
      <w:pPr>
        <w:spacing w:after="0" w:line="48" w:lineRule="exact"/>
        <w:rPr>
          <w:rFonts w:ascii="Arial" w:cs="Arial" w:eastAsia="Arial" w:hAnsi="Arial"/>
          <w:sz w:val="18"/>
          <w:szCs w:val="18"/>
          <w:color w:val="auto"/>
        </w:rPr>
      </w:pPr>
    </w:p>
    <w:p>
      <w:pPr>
        <w:ind w:left="680" w:hanging="237"/>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have notified the Agent in writing as to the proposed Effective Date.</w:t>
      </w:r>
    </w:p>
    <w:p>
      <w:pPr>
        <w:spacing w:after="0" w:line="76" w:lineRule="exact"/>
        <w:rPr>
          <w:rFonts w:ascii="Arial" w:cs="Arial" w:eastAsia="Arial" w:hAnsi="Arial"/>
          <w:sz w:val="18"/>
          <w:szCs w:val="18"/>
          <w:color w:val="auto"/>
        </w:rPr>
      </w:pPr>
    </w:p>
    <w:p>
      <w:pPr>
        <w:ind w:right="140" w:firstLine="443"/>
        <w:spacing w:after="0" w:line="268" w:lineRule="auto"/>
        <w:tabs>
          <w:tab w:leader="none" w:pos="6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have paid all accrued fees and expenses of the Agent and the Lenders (including the accrued fees and expenses of counsel to the Agent).</w:t>
      </w:r>
    </w:p>
    <w:p>
      <w:pPr>
        <w:spacing w:after="0" w:line="37" w:lineRule="exact"/>
        <w:rPr>
          <w:rFonts w:ascii="Arial" w:cs="Arial" w:eastAsia="Arial" w:hAnsi="Arial"/>
          <w:sz w:val="18"/>
          <w:szCs w:val="18"/>
          <w:color w:val="auto"/>
        </w:rPr>
      </w:pPr>
    </w:p>
    <w:p>
      <w:pPr>
        <w:ind w:right="120" w:firstLine="443"/>
        <w:spacing w:after="0" w:line="268"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for the account of each Lender Party a certificate signed by a duly authorized officer of the Borrower, dated the Effective Date, stating that:</w:t>
      </w:r>
    </w:p>
    <w:p>
      <w:pPr>
        <w:spacing w:after="0" w:line="37" w:lineRule="exact"/>
        <w:rPr>
          <w:rFonts w:ascii="Arial" w:cs="Arial" w:eastAsia="Arial" w:hAnsi="Arial"/>
          <w:sz w:val="18"/>
          <w:szCs w:val="18"/>
          <w:color w:val="auto"/>
        </w:rPr>
      </w:pPr>
    </w:p>
    <w:p>
      <w:pPr>
        <w:ind w:left="1100" w:hanging="219"/>
        <w:spacing w:after="0"/>
        <w:tabs>
          <w:tab w:leader="none" w:pos="11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on and as of the Effective Date, and</w:t>
      </w:r>
    </w:p>
    <w:p>
      <w:pPr>
        <w:spacing w:after="0" w:line="76" w:lineRule="exact"/>
        <w:rPr>
          <w:rFonts w:ascii="Arial" w:cs="Arial" w:eastAsia="Arial" w:hAnsi="Arial"/>
          <w:sz w:val="18"/>
          <w:szCs w:val="18"/>
          <w:color w:val="auto"/>
        </w:rPr>
      </w:pPr>
    </w:p>
    <w:p>
      <w:pPr>
        <w:ind w:left="1140" w:hanging="259"/>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76"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37" w:lineRule="exact"/>
        <w:rPr>
          <w:rFonts w:ascii="Arial" w:cs="Arial" w:eastAsia="Arial" w:hAnsi="Arial"/>
          <w:sz w:val="18"/>
          <w:szCs w:val="18"/>
          <w:color w:val="auto"/>
        </w:rPr>
      </w:pPr>
    </w:p>
    <w:p>
      <w:pPr>
        <w:ind w:left="1100" w:hanging="219"/>
        <w:spacing w:after="0"/>
        <w:tabs>
          <w:tab w:leader="none" w:pos="11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Revolving Credit Notes to the order of the Lenders to the extent requested by any Lender pursuant to Section 2.17.</w:t>
      </w:r>
    </w:p>
    <w:p>
      <w:pPr>
        <w:spacing w:after="0" w:line="76" w:lineRule="exact"/>
        <w:rPr>
          <w:rFonts w:ascii="Arial" w:cs="Arial" w:eastAsia="Arial" w:hAnsi="Arial"/>
          <w:sz w:val="18"/>
          <w:szCs w:val="18"/>
          <w:color w:val="auto"/>
        </w:rPr>
      </w:pPr>
    </w:p>
    <w:p>
      <w:pPr>
        <w:ind w:left="460" w:right="20" w:firstLine="421"/>
        <w:spacing w:after="0" w:line="325" w:lineRule="auto"/>
        <w:tabs>
          <w:tab w:leader="none" w:pos="11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1" w:lineRule="exact"/>
        <w:rPr>
          <w:rFonts w:ascii="Arial" w:cs="Arial" w:eastAsia="Arial" w:hAnsi="Arial"/>
          <w:sz w:val="16"/>
          <w:szCs w:val="16"/>
          <w:color w:val="auto"/>
        </w:rPr>
      </w:pPr>
    </w:p>
    <w:p>
      <w:pPr>
        <w:ind w:left="460" w:right="460" w:firstLine="421"/>
        <w:spacing w:after="0" w:line="325" w:lineRule="auto"/>
        <w:tabs>
          <w:tab w:leader="none" w:pos="1187"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 w:lineRule="exact"/>
        <w:rPr>
          <w:rFonts w:ascii="Arial" w:cs="Arial" w:eastAsia="Arial" w:hAnsi="Arial"/>
          <w:sz w:val="16"/>
          <w:szCs w:val="16"/>
          <w:color w:val="auto"/>
        </w:rPr>
      </w:pPr>
    </w:p>
    <w:p>
      <w:pPr>
        <w:ind w:left="460" w:right="100" w:firstLine="421"/>
        <w:spacing w:after="0" w:line="268" w:lineRule="auto"/>
        <w:tabs>
          <w:tab w:leader="none" w:pos="11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favorable opinion of Godfrey &amp; Kahn, S.C., counsel for the Borrower, substantially in the form of Exhibit E hereto and as to such other matters as any Lender Party through the Agent may reasonably request.</w:t>
      </w:r>
    </w:p>
    <w:p>
      <w:pPr>
        <w:spacing w:after="0" w:line="37" w:lineRule="exact"/>
        <w:rPr>
          <w:rFonts w:ascii="Arial" w:cs="Arial" w:eastAsia="Arial" w:hAnsi="Arial"/>
          <w:sz w:val="18"/>
          <w:szCs w:val="18"/>
          <w:color w:val="auto"/>
        </w:rPr>
      </w:pPr>
    </w:p>
    <w:p>
      <w:pPr>
        <w:ind w:left="1120" w:hanging="23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favorable opinion of Shearman &amp; Sterling LLP, counsel for the Agent, in form and substance satisfactory to the Agent.</w:t>
      </w:r>
    </w:p>
    <w:p>
      <w:pPr>
        <w:spacing w:after="0" w:line="76" w:lineRule="exact"/>
        <w:rPr>
          <w:rFonts w:ascii="Arial" w:cs="Arial" w:eastAsia="Arial" w:hAnsi="Arial"/>
          <w:sz w:val="18"/>
          <w:szCs w:val="18"/>
          <w:color w:val="auto"/>
        </w:rPr>
      </w:pPr>
    </w:p>
    <w:p>
      <w:pPr>
        <w:ind w:right="40" w:firstLine="443"/>
        <w:spacing w:after="0" w:line="294"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Borrower shall have terminated the commitments, and paid in full all Debt, interest, fees and other amounts outstanding, under (x) the Five Year Credit Agreement dated as December 3, 2001, as amended, among the Borrower, the lender parties thereto and Citibank, as agent and (y) the 364-Day Credit Agreement dated as of November 29, 2001, amended and restated as of October 7, 2002 and further amended and restated as of October 6, 2003, and each of the Lenders that is a party to either such credit facility hereby waives, upon execution of this Agreement, the three Business Days’ notice required by said Credit Agreement relating to the termination of commitments thereunder.</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700" w:top="280" w:right="239" w:bottom="1440" w:gutter="0" w:footer="0" w:header="0"/>
        </w:sectPr>
      </w:pPr>
    </w:p>
    <w:bookmarkStart w:id="39" w:name="page40"/>
    <w:bookmarkEnd w:id="39"/>
    <w:p>
      <w:pPr>
        <w:ind w:right="4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3.02. </w:t>
      </w:r>
      <w:r>
        <w:rPr>
          <w:rFonts w:ascii="Arial" w:cs="Arial" w:eastAsia="Arial" w:hAnsi="Arial"/>
          <w:sz w:val="16"/>
          <w:szCs w:val="16"/>
          <w:u w:val="single" w:color="auto"/>
          <w:color w:val="auto"/>
        </w:rPr>
        <w:t>Conditions Precedent to Each Revolving Credit Borrowing, Each Issuance of Letters of Credit and Commitment Increase</w:t>
      </w:r>
      <w:r>
        <w:rPr>
          <w:rFonts w:ascii="Arial" w:cs="Arial" w:eastAsia="Arial" w:hAnsi="Arial"/>
          <w:sz w:val="16"/>
          <w:szCs w:val="16"/>
          <w:color w:val="auto"/>
        </w:rPr>
        <w:t>. The obligation of each Lender to make a Revolving Credit Advance on the occasion of each Revolving Credit Borrowing, and the obligation of the Issuing Banks to issue a Letter of Credit and each Commitment Increase shall be subject to the conditions precedent that the Effective Date shall have occurred and on the date of such Revolving Credit Borrowing, issuance of Letter of Credit or the applicable Increase Date (a) the following statements shall be true (and each of the giving of the applicable Notice of Revolving Credit Borrowing, request for Commitment Increase and the acceptance by the Borrower of the proceeds of such Revolving Credit Borrowing shall constitute a representation and warranty by the Borrower that on the date of such Borrowing, such issuance of Letter of Credit or such Increase Date such statements are true):</w:t>
      </w:r>
    </w:p>
    <w:p>
      <w:pPr>
        <w:spacing w:after="0" w:line="24" w:lineRule="exact"/>
        <w:rPr>
          <w:sz w:val="20"/>
          <w:szCs w:val="20"/>
          <w:color w:val="auto"/>
        </w:rPr>
      </w:pPr>
    </w:p>
    <w:p>
      <w:pPr>
        <w:jc w:val="both"/>
        <w:ind w:left="460" w:firstLine="443"/>
        <w:spacing w:after="0" w:line="256" w:lineRule="auto"/>
        <w:tabs>
          <w:tab w:leader="none" w:pos="11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(except, in the case of Revolving Credit Borrowings and issuance of Letters of Credit, the representations set forth in the last sentence of subsection (e) thereof and in subsection (f)(i) thereof) are correct on and as of such date, before and after giving effect to such Revolving Credit Borrowing, such issuance of Letter of Credit or such Commitment Increase and to the application of the proceeds therefrom, as though made on and as of such date, and</w:t>
      </w:r>
    </w:p>
    <w:p>
      <w:pPr>
        <w:spacing w:after="0" w:line="48" w:lineRule="exact"/>
        <w:rPr>
          <w:rFonts w:ascii="Arial" w:cs="Arial" w:eastAsia="Arial" w:hAnsi="Arial"/>
          <w:sz w:val="18"/>
          <w:szCs w:val="18"/>
          <w:color w:val="auto"/>
        </w:rPr>
      </w:pPr>
    </w:p>
    <w:p>
      <w:pPr>
        <w:ind w:left="460" w:right="580" w:firstLine="443"/>
        <w:spacing w:after="0" w:line="268" w:lineRule="auto"/>
        <w:tabs>
          <w:tab w:leader="none" w:pos="11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Revolving Credit Borrowing, such issuance of Letter of Credit or such Commitment Increase or from the application of the proceeds therefrom, that constitutes a Default;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and (b) the Agent shall have received such other approvals, opinions or documents as any Lender Party through the Agent may reasonably request to confirm the foregoing.</w:t>
      </w:r>
    </w:p>
    <w:p>
      <w:pPr>
        <w:spacing w:after="0" w:line="118"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Conditions Precedent to Each Competitive Bid Borrowing</w:t>
      </w:r>
      <w:r>
        <w:rPr>
          <w:rFonts w:ascii="Arial" w:cs="Arial" w:eastAsia="Arial" w:hAnsi="Arial"/>
          <w:sz w:val="16"/>
          <w:szCs w:val="16"/>
          <w:color w:val="auto"/>
        </w:rPr>
        <w:t>.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25" w:lineRule="exact"/>
        <w:rPr>
          <w:sz w:val="20"/>
          <w:szCs w:val="20"/>
          <w:color w:val="auto"/>
        </w:rPr>
      </w:pPr>
    </w:p>
    <w:p>
      <w:pPr>
        <w:ind w:left="1140" w:hanging="237"/>
        <w:spacing w:after="0"/>
        <w:tabs>
          <w:tab w:leader="none" w:pos="114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 representations and warranties contained in Section 4.01 (except the representations and warranties set forth in the last sentence of subsection</w:t>
      </w:r>
    </w:p>
    <w:p>
      <w:pPr>
        <w:spacing w:after="0" w:line="49" w:lineRule="exact"/>
        <w:rPr>
          <w:rFonts w:ascii="Arial" w:cs="Arial" w:eastAsia="Arial" w:hAnsi="Arial"/>
          <w:sz w:val="15"/>
          <w:szCs w:val="15"/>
          <w:color w:val="auto"/>
        </w:rPr>
      </w:pPr>
    </w:p>
    <w:p>
      <w:pPr>
        <w:ind w:left="460" w:right="440" w:firstLine="4"/>
        <w:spacing w:after="0" w:line="321" w:lineRule="auto"/>
        <w:tabs>
          <w:tab w:leader="none" w:pos="69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thereof and in subsection (f)(i) thereof) are correct on and as of the date of such Competitive Bid Borrowing, before and after giving effect to such Competitive Bid Borrowing and to the application of the proceeds therefrom, as though made on and as of such date,</w:t>
      </w:r>
    </w:p>
    <w:p>
      <w:pPr>
        <w:spacing w:after="0" w:line="1" w:lineRule="exact"/>
        <w:rPr>
          <w:rFonts w:ascii="Arial" w:cs="Arial" w:eastAsia="Arial" w:hAnsi="Arial"/>
          <w:sz w:val="16"/>
          <w:szCs w:val="16"/>
          <w:color w:val="auto"/>
        </w:rPr>
      </w:pPr>
    </w:p>
    <w:p>
      <w:pPr>
        <w:ind w:left="460" w:firstLine="443"/>
        <w:spacing w:after="0" w:line="268" w:lineRule="auto"/>
        <w:tabs>
          <w:tab w:leader="none" w:pos="11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Competitive Bid Borrowing or from the application of the proceeds therefrom, that constitutes a Default, and</w:t>
      </w:r>
    </w:p>
    <w:p>
      <w:pPr>
        <w:spacing w:after="0" w:line="37" w:lineRule="exact"/>
        <w:rPr>
          <w:rFonts w:ascii="Arial" w:cs="Arial" w:eastAsia="Arial" w:hAnsi="Arial"/>
          <w:sz w:val="18"/>
          <w:szCs w:val="18"/>
          <w:color w:val="auto"/>
        </w:rPr>
      </w:pPr>
    </w:p>
    <w:p>
      <w:pPr>
        <w:ind w:left="460" w:right="40" w:firstLine="443"/>
        <w:spacing w:after="0" w:line="306" w:lineRule="auto"/>
        <w:tabs>
          <w:tab w:leader="none" w:pos="1137"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 event has occurred and no circumstance exists as a result of which the information concerning the Borrower that has been provided to the Agent and each Lender Party by the Borrower in connection herewith would include an untrue statement of a material fact or omit to state any material fact or any fact necessary to make the statements contained therein, in the light of the circumstances under which they were made, not misleading.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40" w:name="page41"/>
    <w:bookmarkEnd w:id="40"/>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3.04. </w:t>
      </w:r>
      <w:r>
        <w:rPr>
          <w:rFonts w:ascii="Arial" w:cs="Arial" w:eastAsia="Arial" w:hAnsi="Arial"/>
          <w:sz w:val="16"/>
          <w:szCs w:val="16"/>
          <w:u w:val="single" w:color="auto"/>
          <w:color w:val="auto"/>
        </w:rPr>
        <w:t>Determinations Under Section 3.01</w:t>
      </w:r>
      <w:r>
        <w:rPr>
          <w:rFonts w:ascii="Arial" w:cs="Arial" w:eastAsia="Arial" w:hAnsi="Arial"/>
          <w:sz w:val="16"/>
          <w:szCs w:val="16"/>
          <w:color w:val="auto"/>
        </w:rPr>
        <w:t>. For purposes of determining compliance with the conditions specified in Section 3.01, each Lender Party shall be deemed to have consented to, approved or accepted or to be satisfied with each document or other matter required thereunder to be consented to or approved by or acceptable or satisfactory to the Lender Parties unless an officer of the Agent responsible for the transactions contemplated by this Agreement shall have received notice from such Lender Party prior to the date that the Borrower, by notice to the Lender Parties, designates as the proposed Effective Date, specifying its objection thereto. The Agent shall promptly notify the Lender Parties of the occurrence of the Effective Date.</w:t>
      </w:r>
    </w:p>
    <w:p>
      <w:pPr>
        <w:spacing w:after="0" w:line="1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77" w:lineRule="exact"/>
        <w:rPr>
          <w:sz w:val="20"/>
          <w:szCs w:val="20"/>
          <w:color w:val="auto"/>
        </w:rPr>
      </w:pPr>
    </w:p>
    <w:p>
      <w:pPr>
        <w:ind w:left="1140" w:hanging="237"/>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 is a corporation duly organized, validly existing and in good standing under the laws of the State of Wisconsin.</w:t>
      </w:r>
    </w:p>
    <w:p>
      <w:pPr>
        <w:spacing w:after="0" w:line="76" w:lineRule="exact"/>
        <w:rPr>
          <w:rFonts w:ascii="Arial" w:cs="Arial" w:eastAsia="Arial" w:hAnsi="Arial"/>
          <w:sz w:val="18"/>
          <w:szCs w:val="18"/>
          <w:color w:val="auto"/>
        </w:rPr>
      </w:pPr>
    </w:p>
    <w:p>
      <w:pPr>
        <w:ind w:left="460" w:right="260" w:firstLine="443"/>
        <w:spacing w:after="0" w:line="306" w:lineRule="auto"/>
        <w:tabs>
          <w:tab w:leader="none" w:pos="11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 of this Agreement and the Notes to be delivered by it, and the consummation of the transactions contemplated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2" w:lineRule="exact"/>
        <w:rPr>
          <w:rFonts w:ascii="Arial" w:cs="Arial" w:eastAsia="Arial" w:hAnsi="Arial"/>
          <w:sz w:val="16"/>
          <w:szCs w:val="16"/>
          <w:color w:val="auto"/>
        </w:rPr>
      </w:pPr>
    </w:p>
    <w:p>
      <w:pPr>
        <w:ind w:left="460" w:right="120" w:firstLine="443"/>
        <w:spacing w:after="0" w:line="325" w:lineRule="auto"/>
        <w:tabs>
          <w:tab w:leader="none" w:pos="11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 to be delivered by it.</w:t>
      </w:r>
    </w:p>
    <w:p>
      <w:pPr>
        <w:spacing w:after="0" w:line="1"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Agreement has been, and each of the Notes to be delivered by it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45" w:lineRule="exact"/>
        <w:rPr>
          <w:rFonts w:ascii="Arial" w:cs="Arial" w:eastAsia="Arial" w:hAnsi="Arial"/>
          <w:sz w:val="18"/>
          <w:szCs w:val="18"/>
          <w:color w:val="auto"/>
        </w:rPr>
      </w:pPr>
    </w:p>
    <w:p>
      <w:pPr>
        <w:ind w:left="460" w:firstLine="443"/>
        <w:spacing w:after="0" w:line="288" w:lineRule="auto"/>
        <w:tabs>
          <w:tab w:leader="none" w:pos="11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Consolidated balance sheet of the Borrower and its Subsidiaries as at December 31, 2003, and the related Consolidated statements of income and cash flows of the Borrower and its Subsidiaries for the fiscal year then ended, accompanied by an opinion of PricewaterhouseCoopers LLP, an independent registered public accounting firm, and the Consolidated balance sheet of the Borrower and its Subsidiaries as at June 30, 2004, and the related Consolidated statements of income and cash flows of the Borrower and its Subsidiaries for the six months then ended, duly certified by the chief financial officer of the Borrower, copies of which have been furnished to each Lender Party, fairly present in all material respects, subject, in the case of said balance sheet as at June 30, 2004, and said statements of income and cash flows for the six months then ended, to year-end audit adjustments,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Since December 31, 2003, there has been no Material Adverse Change.</w:t>
      </w:r>
    </w:p>
    <w:p>
      <w:pPr>
        <w:spacing w:after="0" w:line="25" w:lineRule="exact"/>
        <w:rPr>
          <w:rFonts w:ascii="Arial" w:cs="Arial" w:eastAsia="Arial" w:hAnsi="Arial"/>
          <w:sz w:val="16"/>
          <w:szCs w:val="16"/>
          <w:color w:val="auto"/>
        </w:rPr>
      </w:pPr>
    </w:p>
    <w:p>
      <w:pPr>
        <w:jc w:val="both"/>
        <w:ind w:left="460" w:right="340" w:firstLine="443"/>
        <w:spacing w:after="0" w:line="256" w:lineRule="auto"/>
        <w:tabs>
          <w:tab w:leader="none" w:pos="11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41" w:name="page42"/>
    <w:bookmarkEnd w:id="41"/>
    <w:p>
      <w:pPr>
        <w:ind w:left="460" w:firstLine="443"/>
        <w:spacing w:after="0" w:line="298" w:lineRule="auto"/>
        <w:tabs>
          <w:tab w:leader="none" w:pos="1147"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and its Subsidiaries have filed all United States Federal income tax returns and all other material tax returns which are required to be filed by them and have paid all taxes due pursuant to such returns or pursuant to any assessment received by the Borrower or any of its Subsidiaries except such taxes or assessments, if any, as are being contested in good faith by appropriate proceedings. The charges, accruals and reserves on the books of the Borrower and its Subsidiaries in respect of taxes are, in the opinion of the Borrower, adequate.</w:t>
      </w:r>
    </w:p>
    <w:p>
      <w:pPr>
        <w:spacing w:after="0" w:line="18"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proceeds of any Advance will be used to acquire any equity security of a class which is registered pursuant to Section 12 of the Securities Exchange Act of 1934 if the Borrower has reason to know that the board of directors of the issuer of such equity security opposes or will oppose such acquisition.</w:t>
      </w:r>
    </w:p>
    <w:p>
      <w:pPr>
        <w:spacing w:after="0" w:line="45" w:lineRule="exact"/>
        <w:rPr>
          <w:rFonts w:ascii="Arial" w:cs="Arial" w:eastAsia="Arial" w:hAnsi="Arial"/>
          <w:sz w:val="18"/>
          <w:szCs w:val="18"/>
          <w:color w:val="auto"/>
        </w:rPr>
      </w:pPr>
    </w:p>
    <w:p>
      <w:pPr>
        <w:jc w:val="both"/>
        <w:ind w:left="460" w:right="140" w:firstLine="443"/>
        <w:spacing w:after="0" w:line="306" w:lineRule="auto"/>
        <w:tabs>
          <w:tab w:leader="none" w:pos="110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spacing w:after="0" w:line="12" w:lineRule="exact"/>
        <w:rPr>
          <w:rFonts w:ascii="Arial" w:cs="Arial" w:eastAsia="Arial" w:hAnsi="Arial"/>
          <w:sz w:val="16"/>
          <w:szCs w:val="16"/>
          <w:color w:val="auto"/>
        </w:rPr>
      </w:pPr>
    </w:p>
    <w:p>
      <w:pPr>
        <w:ind w:left="460" w:right="40" w:firstLine="443"/>
        <w:spacing w:after="0" w:line="289" w:lineRule="auto"/>
        <w:tabs>
          <w:tab w:leader="none" w:pos="110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operations of the Borrower and each of its Domestic Subsidiaries comply in all material respects with all applicable ERISA, environmental, health and safety requirements of law the failure to comply with which would have a Material Adverse Effect; (ii) the operations of each Foreign Subsidiary of the Borrower comply in all material respects with all applicable environmental, health and safety requirements of law, the failure to comply with which would have a Material Adverse Effect; and (iii) prior to the date hereof, the Borrower shall have inspected, and shall have caused each of its Subsidiaries to have inspected, its property owned in fee and, with respect to each building in which asbestos shall have been found, the Borrower shall have caused such building to be in compliance with applicable rules and regulations under local law relating to asbestos containment, maintenance and removal. The term “Domestic Subsidiary” means a Subsidiary organized under the laws of, or having its principal place of business within, a jurisdiction located in the United States and the term “Foreign Subsidiary” means any other Subsidiary.</w:t>
      </w:r>
    </w:p>
    <w:p>
      <w:pPr>
        <w:spacing w:after="0" w:line="23"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is not an “investment company”, or a company “controlled” by an “investment company”, within the meaning of the Investment Company Act of 1940, as amended.</w:t>
      </w:r>
    </w:p>
    <w:p>
      <w:pPr>
        <w:spacing w:after="0" w:line="37" w:lineRule="exact"/>
        <w:rPr>
          <w:rFonts w:ascii="Arial" w:cs="Arial" w:eastAsia="Arial" w:hAnsi="Arial"/>
          <w:sz w:val="18"/>
          <w:szCs w:val="18"/>
          <w:color w:val="auto"/>
        </w:rPr>
      </w:pPr>
    </w:p>
    <w:p>
      <w:pPr>
        <w:jc w:val="both"/>
        <w:ind w:left="460" w:right="240" w:firstLine="443"/>
        <w:spacing w:after="0" w:line="259" w:lineRule="auto"/>
        <w:tabs>
          <w:tab w:leader="none" w:pos="1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information furnished to the Agent or any Bank by or at the direction of the Borrower in connection with this Agreement was, on the date furnished, true and correct in all material respects and did not fail to state any fact the omission of which rendered the information provided materially misleading in any material respect.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V</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COVENANTS OF THE BORROWER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Affirmative Covenants</w:t>
      </w:r>
      <w:r>
        <w:rPr>
          <w:rFonts w:ascii="Arial" w:cs="Arial" w:eastAsia="Arial" w:hAnsi="Arial"/>
          <w:sz w:val="16"/>
          <w:szCs w:val="16"/>
          <w:color w:val="auto"/>
        </w:rPr>
        <w:t>. So long as any Advance shall remain unpaid, any Lender shall have any Commitment hereunder or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shall be outstanding, the Borrower will:</w:t>
      </w:r>
    </w:p>
    <w:p>
      <w:pPr>
        <w:spacing w:after="0" w:line="70" w:lineRule="exact"/>
        <w:rPr>
          <w:sz w:val="20"/>
          <w:szCs w:val="20"/>
          <w:color w:val="auto"/>
        </w:rPr>
      </w:pPr>
    </w:p>
    <w:p>
      <w:pPr>
        <w:ind w:left="460" w:right="460" w:firstLine="443"/>
        <w:spacing w:after="0" w:line="325" w:lineRule="auto"/>
        <w:tabs>
          <w:tab w:leader="none" w:pos="113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Comply, and cause each of its Subsidiaries to comply, in all material respects, with all applicable laws, rules, regulations and orders, such compliance to include, without limitation, compliance with ERISA and Environmental Laws.</w:t>
      </w:r>
    </w:p>
    <w:p>
      <w:pPr>
        <w:spacing w:after="0" w:line="1"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Pay and discharge, and cause each of its Subsidiaries to pay and discharge, before the same shall become delinquent, (i) all taxes, assessments and governmental charges 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280" w:right="379" w:bottom="1440" w:gutter="0" w:footer="0" w:header="0"/>
        </w:sectPr>
      </w:pPr>
    </w:p>
    <w:bookmarkStart w:id="42" w:name="page43"/>
    <w:bookmarkEnd w:id="4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levies imposed upon it or upon its property and (ii) all lawful claims that, if unpaid, might by law become a Lien upon its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(unless such Lien would be permitted in accordance with Section 5.02(a)).</w:t>
      </w:r>
    </w:p>
    <w:p>
      <w:pPr>
        <w:spacing w:after="0" w:line="18" w:lineRule="exact"/>
        <w:rPr>
          <w:sz w:val="20"/>
          <w:szCs w:val="20"/>
          <w:color w:val="auto"/>
        </w:rPr>
      </w:pPr>
    </w:p>
    <w:p>
      <w:pPr>
        <w:ind w:right="260" w:firstLine="443"/>
        <w:spacing w:after="0" w:line="259" w:lineRule="auto"/>
        <w:tabs>
          <w:tab w:leader="none" w:pos="67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w:t>
      </w:r>
    </w:p>
    <w:p>
      <w:pPr>
        <w:spacing w:after="0" w:line="45" w:lineRule="exact"/>
        <w:rPr>
          <w:rFonts w:ascii="Arial" w:cs="Arial" w:eastAsia="Arial" w:hAnsi="Arial"/>
          <w:sz w:val="18"/>
          <w:szCs w:val="18"/>
          <w:color w:val="auto"/>
        </w:rPr>
      </w:pPr>
    </w:p>
    <w:p>
      <w:pPr>
        <w:ind w:firstLine="443"/>
        <w:spacing w:after="0" w:line="291" w:lineRule="auto"/>
        <w:tabs>
          <w:tab w:leader="none" w:pos="68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Etc</w:t>
      </w:r>
      <w:r>
        <w:rPr>
          <w:rFonts w:ascii="Arial" w:cs="Arial" w:eastAsia="Arial" w:hAnsi="Arial"/>
          <w:sz w:val="16"/>
          <w:szCs w:val="16"/>
          <w:color w:val="auto"/>
        </w:rPr>
        <w:t xml:space="preserve">. Preserve and maintain, and cause each of its Material Subsidiaries to preserve and maintain, its corporate existence, and its material rights (charter and statutory) and franchises;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and its Subsidiaries may consummate any merger or consolidation permitted under Section 5.02(b),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neither the Borrower nor any of its Subsidiaries shall be required to preserve any right or franchise if the Board of Directors of the Borrower or such Subsidiary shall determine that the preservation thereof is no longer desirable in the conduct of the business of the Borrower or such Subsidiary, as the case may be, and that the loss thereof is not disadvantageous in any material respect to the Borrower, such Subsidiary or the Lenders.</w:t>
      </w:r>
    </w:p>
    <w:p>
      <w:pPr>
        <w:spacing w:after="0" w:line="25" w:lineRule="exact"/>
        <w:rPr>
          <w:rFonts w:ascii="Arial" w:cs="Arial" w:eastAsia="Arial" w:hAnsi="Arial"/>
          <w:sz w:val="16"/>
          <w:szCs w:val="16"/>
          <w:color w:val="auto"/>
        </w:rPr>
      </w:pPr>
    </w:p>
    <w:p>
      <w:pPr>
        <w:ind w:right="260" w:firstLine="443"/>
        <w:spacing w:after="0" w:line="256" w:lineRule="auto"/>
        <w:tabs>
          <w:tab w:leader="none" w:pos="67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Visitation Rights</w:t>
      </w:r>
      <w:r>
        <w:rPr>
          <w:rFonts w:ascii="Arial" w:cs="Arial" w:eastAsia="Arial" w:hAnsi="Arial"/>
          <w:sz w:val="18"/>
          <w:szCs w:val="18"/>
          <w:color w:val="auto"/>
        </w:rPr>
        <w:t>. At any reasonable time and from time to time, permit the Agent or any of the Lender Parties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w:t>
      </w:r>
    </w:p>
    <w:p>
      <w:pPr>
        <w:spacing w:after="0" w:line="48" w:lineRule="exact"/>
        <w:rPr>
          <w:rFonts w:ascii="Arial" w:cs="Arial" w:eastAsia="Arial" w:hAnsi="Arial"/>
          <w:sz w:val="18"/>
          <w:szCs w:val="18"/>
          <w:color w:val="auto"/>
        </w:rPr>
      </w:pPr>
    </w:p>
    <w:p>
      <w:pPr>
        <w:ind w:right="200" w:firstLine="443"/>
        <w:spacing w:after="0" w:line="259" w:lineRule="auto"/>
        <w:tabs>
          <w:tab w:leader="none" w:pos="65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Consolidated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45" w:lineRule="exact"/>
        <w:rPr>
          <w:rFonts w:ascii="Arial" w:cs="Arial" w:eastAsia="Arial" w:hAnsi="Arial"/>
          <w:sz w:val="18"/>
          <w:szCs w:val="18"/>
          <w:color w:val="auto"/>
        </w:rPr>
      </w:pPr>
    </w:p>
    <w:p>
      <w:pPr>
        <w:ind w:right="240" w:firstLine="443"/>
        <w:spacing w:after="0" w:line="268" w:lineRule="auto"/>
        <w:tabs>
          <w:tab w:leader="none" w:pos="68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Maintain and preserve, and cause each of its Subsidiaries to maintain and preserve, all of its properties that are used or useful in the conduct of its business in good working order and condition, ordinary wear and tear excepted.</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Lender Parties:</w:t>
      </w:r>
    </w:p>
    <w:p>
      <w:pPr>
        <w:spacing w:after="0" w:line="76" w:lineRule="exact"/>
        <w:rPr>
          <w:rFonts w:ascii="Arial" w:cs="Arial" w:eastAsia="Arial" w:hAnsi="Arial"/>
          <w:sz w:val="18"/>
          <w:szCs w:val="18"/>
          <w:color w:val="auto"/>
        </w:rPr>
      </w:pPr>
    </w:p>
    <w:p>
      <w:pPr>
        <w:ind w:left="460" w:right="80" w:firstLine="421"/>
        <w:spacing w:after="0" w:line="288" w:lineRule="auto"/>
        <w:tabs>
          <w:tab w:leader="none" w:pos="1089"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chief accounting officer, treasurer or Vice President - Finance of the Borrower as having been prepared in accordance with generally accepted accounting principles and certificates of the chief financial officer of the Borrower as to compliance with the terms of this Agreement and setting forth in reasonable detail the calculations necessary to demonstrate compliance with Section 5.03,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25" w:lineRule="exact"/>
        <w:rPr>
          <w:rFonts w:ascii="Arial" w:cs="Arial" w:eastAsia="Arial" w:hAnsi="Arial"/>
          <w:sz w:val="16"/>
          <w:szCs w:val="16"/>
          <w:color w:val="auto"/>
        </w:rPr>
      </w:pPr>
    </w:p>
    <w:p>
      <w:pPr>
        <w:ind w:left="460" w:right="40" w:firstLine="421"/>
        <w:spacing w:after="0" w:line="268" w:lineRule="auto"/>
        <w:tabs>
          <w:tab w:leader="none" w:pos="11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soon as available and in any event within 105 days after the end of each fiscal year of the Borrower, a copy of the annual audit report for such year for the Borrower and its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700" w:top="280" w:right="239" w:bottom="1440" w:gutter="0" w:footer="0" w:header="0"/>
        </w:sectPr>
      </w:pPr>
    </w:p>
    <w:bookmarkStart w:id="43" w:name="page44"/>
    <w:bookmarkEnd w:id="43"/>
    <w:p>
      <w:pPr>
        <w:ind w:left="9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Subsidiaries, containing the Consolidated balance sheet of the Borrower and its Subsidiaries as of the end of such fiscal year and Consolidated statements of income and cash flows of the Borrower and its Subsidiaries for such fiscal year, in each case accompanied by an opinion by independent public accountants of nationally recognized 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21" w:lineRule="exact"/>
        <w:rPr>
          <w:sz w:val="20"/>
          <w:szCs w:val="20"/>
          <w:color w:val="auto"/>
        </w:rPr>
      </w:pPr>
    </w:p>
    <w:p>
      <w:pPr>
        <w:ind w:left="920" w:right="240" w:firstLine="421"/>
        <w:spacing w:after="0" w:line="306" w:lineRule="auto"/>
        <w:tabs>
          <w:tab w:leader="none" w:pos="16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soon as possible and in any event within five days after the occurrence of each Default continuing on the date of such statement, a statement of the chief financial officer, chief accounting officer, treasurer or Vice President—Finance of the Borrower setting forth details of such Default and the action that the Borrower has taken and proposes to take with respect thereto;</w:t>
      </w:r>
    </w:p>
    <w:p>
      <w:pPr>
        <w:spacing w:after="0" w:line="12" w:lineRule="exact"/>
        <w:rPr>
          <w:rFonts w:ascii="Arial" w:cs="Arial" w:eastAsia="Arial" w:hAnsi="Arial"/>
          <w:sz w:val="16"/>
          <w:szCs w:val="16"/>
          <w:color w:val="auto"/>
        </w:rPr>
      </w:pPr>
    </w:p>
    <w:p>
      <w:pPr>
        <w:ind w:left="920" w:right="60" w:firstLine="421"/>
        <w:spacing w:after="0" w:line="256" w:lineRule="auto"/>
        <w:tabs>
          <w:tab w:leader="none" w:pos="1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promptly after the sending or filing thereof, copies of all quarterly and annual reports or any proxy solicitations that the Borrower sends to its securityholders generally, and copies of all reports on Form 8-K and registration statements for the public offering (other than pursuant to employee Plans) of securities that the Borrower or any Subsidiary files with the Securities and Exchange Commission or any national securities exchange;</w:t>
      </w:r>
    </w:p>
    <w:p>
      <w:pPr>
        <w:spacing w:after="0" w:line="48" w:lineRule="exact"/>
        <w:rPr>
          <w:rFonts w:ascii="Arial" w:cs="Arial" w:eastAsia="Arial" w:hAnsi="Arial"/>
          <w:sz w:val="18"/>
          <w:szCs w:val="18"/>
          <w:color w:val="auto"/>
        </w:rPr>
      </w:pPr>
    </w:p>
    <w:p>
      <w:pPr>
        <w:ind w:left="920" w:right="520" w:firstLine="421"/>
        <w:spacing w:after="0" w:line="268" w:lineRule="auto"/>
        <w:tabs>
          <w:tab w:leader="none" w:pos="15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w:t>
      </w:r>
    </w:p>
    <w:p>
      <w:pPr>
        <w:spacing w:after="0" w:line="37" w:lineRule="exact"/>
        <w:rPr>
          <w:rFonts w:ascii="Arial" w:cs="Arial" w:eastAsia="Arial" w:hAnsi="Arial"/>
          <w:sz w:val="18"/>
          <w:szCs w:val="18"/>
          <w:color w:val="auto"/>
        </w:rPr>
      </w:pPr>
    </w:p>
    <w:p>
      <w:pPr>
        <w:ind w:left="920" w:right="160" w:firstLine="421"/>
        <w:spacing w:after="0" w:line="268" w:lineRule="auto"/>
        <w:tabs>
          <w:tab w:leader="none" w:pos="1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promptly following any change in any credit rating (whether publicly announced or shadow) by either S&amp;P or Moody’s in respect of any debt of the Borrower, notice thereof; and</w:t>
      </w:r>
    </w:p>
    <w:p>
      <w:pPr>
        <w:spacing w:after="0" w:line="37" w:lineRule="exact"/>
        <w:rPr>
          <w:rFonts w:ascii="Arial" w:cs="Arial" w:eastAsia="Arial" w:hAnsi="Arial"/>
          <w:sz w:val="18"/>
          <w:szCs w:val="18"/>
          <w:color w:val="auto"/>
        </w:rPr>
      </w:pPr>
    </w:p>
    <w:p>
      <w:pPr>
        <w:ind w:left="920" w:right="200" w:firstLine="421"/>
        <w:spacing w:after="0" w:line="268" w:lineRule="auto"/>
        <w:tabs>
          <w:tab w:leader="none" w:pos="1686"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Party through the Agent may from time to time reasonably request.</w:t>
      </w:r>
    </w:p>
    <w:p>
      <w:pPr>
        <w:spacing w:after="0" w:line="118"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 xml:space="preserve">Reports and financial statements required to be delivered by the Borrower pursuant to paragraphs (i), (ii) and (iv) of this Section 5.01 shall be deemed to have been delivered on the date on which it posts such reports, or reports containing such financial statements, on its website on the Internet at www.manpower.com and when such reports, or reports containing such financial statements are posted on the SEC’s website at www.sec.gov;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deliver paper copies of the reports and financial statements referred to in paragraphs (i), (ii) and (iv) of this Section 5.01 to the Agent or any Lender who requests it to deliver such paper copies until written notice to cease delivering paper copies is given by the Agent or such Lender;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every instance it shall provide paper copies of the certificate required by subsections (i) and (ii) to the Agent and the Agent shall, in turn, provide a copy to each of the Lender Parties until such time as the Agent shall provide it written notice otherwise.</w:t>
      </w:r>
    </w:p>
    <w:p>
      <w:pPr>
        <w:spacing w:after="0" w:line="105"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w:t>
      </w:r>
      <w:r>
        <w:rPr>
          <w:rFonts w:ascii="Arial" w:cs="Arial" w:eastAsia="Arial" w:hAnsi="Arial"/>
          <w:sz w:val="18"/>
          <w:szCs w:val="18"/>
          <w:color w:val="auto"/>
        </w:rPr>
        <w:t>. So long as any Advance shall remain unpaid or any Lender Party shall have any Commitment hereunder or any Letter of Credit shall be outstanding, the Borrower will not:</w:t>
      </w:r>
    </w:p>
    <w:p>
      <w:pPr>
        <w:spacing w:after="0" w:line="37" w:lineRule="exact"/>
        <w:rPr>
          <w:sz w:val="20"/>
          <w:szCs w:val="20"/>
          <w:color w:val="auto"/>
        </w:rPr>
      </w:pPr>
    </w:p>
    <w:p>
      <w:pPr>
        <w:ind w:left="460" w:right="640" w:firstLine="443"/>
        <w:spacing w:after="0" w:line="347" w:lineRule="auto"/>
        <w:tabs>
          <w:tab w:leader="none" w:pos="1137"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Liens, Etc</w:t>
      </w:r>
      <w:r>
        <w:rPr>
          <w:rFonts w:ascii="Arial" w:cs="Arial" w:eastAsia="Arial" w:hAnsi="Arial"/>
          <w:sz w:val="15"/>
          <w:szCs w:val="15"/>
          <w:color w:val="auto"/>
        </w:rPr>
        <w:t>.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ind w:left="1560" w:hanging="219"/>
        <w:spacing w:after="0"/>
        <w:tabs>
          <w:tab w:leader="none" w:pos="15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76" w:lineRule="exact"/>
        <w:rPr>
          <w:rFonts w:ascii="Arial" w:cs="Arial" w:eastAsia="Arial" w:hAnsi="Arial"/>
          <w:sz w:val="18"/>
          <w:szCs w:val="18"/>
          <w:color w:val="auto"/>
        </w:rPr>
      </w:pPr>
    </w:p>
    <w:p>
      <w:pPr>
        <w:ind w:left="920" w:right="220" w:firstLine="421"/>
        <w:spacing w:after="0" w:line="259" w:lineRule="auto"/>
        <w:tabs>
          <w:tab w:leader="none" w:pos="15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Purchase money liens or purchase money security interests upon or in any property acquired or held by the Borrower or any of its Subsidiaries in the ordinary course of business to secure the purchase of such property or to secure indebtedness incurred solely for the purpose of financing the acquisition of such property, (B) liens consisting of the interests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4" w:name="page45"/>
    <w:bookmarkEnd w:id="44"/>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lessors under Capitalized Leases and (C) liens not otherwise described above in this Section 5.02(a); provided, that the aggregate capitalized amount of Debt incurred pursuant to such Capitalized Leases, plus the aggregate principal amount of the indebtedness or other obligations secured by any of the liens described in this clause (ii) (or, if greater, the book value of the assets that are subject to such liens) shall not exceed $75,000,000 at any time outstanding; and</w:t>
      </w:r>
    </w:p>
    <w:p>
      <w:pPr>
        <w:spacing w:after="0" w:line="49" w:lineRule="exact"/>
        <w:rPr>
          <w:sz w:val="20"/>
          <w:szCs w:val="20"/>
          <w:color w:val="auto"/>
        </w:rPr>
      </w:pPr>
    </w:p>
    <w:p>
      <w:pPr>
        <w:ind w:left="1180" w:hanging="299"/>
        <w:spacing w:after="0"/>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5.02(a) hereto,</w:t>
      </w:r>
    </w:p>
    <w:p>
      <w:pPr>
        <w:spacing w:after="0" w:line="76" w:lineRule="exact"/>
        <w:rPr>
          <w:rFonts w:ascii="Arial" w:cs="Arial" w:eastAsia="Arial" w:hAnsi="Arial"/>
          <w:sz w:val="18"/>
          <w:szCs w:val="18"/>
          <w:color w:val="auto"/>
        </w:rPr>
      </w:pPr>
    </w:p>
    <w:p>
      <w:pPr>
        <w:ind w:left="460" w:firstLine="421"/>
        <w:spacing w:after="0" w:line="298" w:lineRule="auto"/>
        <w:tabs>
          <w:tab w:leader="none" w:pos="1177"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the Borrower or any Subsidiary of the Borrower or becomes a Subsidiary of the Borrower or the property is acquired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w:t>
      </w:r>
    </w:p>
    <w:p>
      <w:pPr>
        <w:spacing w:after="0" w:line="18" w:lineRule="exact"/>
        <w:rPr>
          <w:rFonts w:ascii="Arial" w:cs="Arial" w:eastAsia="Arial" w:hAnsi="Arial"/>
          <w:sz w:val="16"/>
          <w:szCs w:val="16"/>
          <w:color w:val="auto"/>
        </w:rPr>
      </w:pPr>
    </w:p>
    <w:p>
      <w:pPr>
        <w:ind w:left="1120" w:hanging="23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Liens permitted by Section 5.02(d); and</w:t>
      </w:r>
    </w:p>
    <w:p>
      <w:pPr>
        <w:spacing w:after="0" w:line="76" w:lineRule="exact"/>
        <w:rPr>
          <w:rFonts w:ascii="Arial" w:cs="Arial" w:eastAsia="Arial" w:hAnsi="Arial"/>
          <w:sz w:val="18"/>
          <w:szCs w:val="18"/>
          <w:color w:val="auto"/>
        </w:rPr>
      </w:pPr>
    </w:p>
    <w:p>
      <w:pPr>
        <w:ind w:left="460" w:right="240" w:firstLine="421"/>
        <w:spacing w:after="0" w:line="259" w:lineRule="auto"/>
        <w:tabs>
          <w:tab w:leader="none" w:pos="117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 (iii) or (iv) above upon or in the same property theretofore subject thereto or the replacement, extension or renewal (without increase in the amount or change in any direct or contingent obligor) of the Debt secured thereby.</w:t>
      </w:r>
    </w:p>
    <w:p>
      <w:pPr>
        <w:spacing w:after="0" w:line="45" w:lineRule="exact"/>
        <w:rPr>
          <w:rFonts w:ascii="Arial" w:cs="Arial" w:eastAsia="Arial" w:hAnsi="Arial"/>
          <w:sz w:val="18"/>
          <w:szCs w:val="18"/>
          <w:color w:val="auto"/>
        </w:rPr>
      </w:pPr>
    </w:p>
    <w:p>
      <w:pPr>
        <w:ind w:right="20" w:firstLine="443"/>
        <w:spacing w:after="0" w:line="259"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Mergers, Etc</w:t>
      </w:r>
      <w:r>
        <w:rPr>
          <w:rFonts w:ascii="Arial" w:cs="Arial" w:eastAsia="Arial" w:hAnsi="Arial"/>
          <w:sz w:val="18"/>
          <w:szCs w:val="18"/>
          <w:color w:val="auto"/>
        </w:rPr>
        <w:t>. Merge or consolidate with or into, or convey, transfer, lease or otherwise dispose of (whether in one transaction or in a series of transactions) all or substantially all of its assets (whether now owned or hereafter acquired) to, or acquire all or substantially all of the assets of, any Person, or permit any of its Subsidiaries to do so, other than:</w:t>
      </w:r>
    </w:p>
    <w:p>
      <w:pPr>
        <w:spacing w:after="0" w:line="45" w:lineRule="exact"/>
        <w:rPr>
          <w:rFonts w:ascii="Arial" w:cs="Arial" w:eastAsia="Arial" w:hAnsi="Arial"/>
          <w:sz w:val="18"/>
          <w:szCs w:val="18"/>
          <w:color w:val="auto"/>
        </w:rPr>
      </w:pPr>
    </w:p>
    <w:p>
      <w:pPr>
        <w:ind w:left="460" w:right="140" w:firstLine="421"/>
        <w:spacing w:after="0" w:line="306" w:lineRule="auto"/>
        <w:tabs>
          <w:tab w:leader="none" w:pos="1089"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Borrower or any Subsidiary of the Borrower may, in the ordinary course of its business, acquire all or any portion of the stock of any Person conducting business primarily in the staffing or workforce management services industry or acquire all or substantially all of the assets used in the conduct by any Person of a staffing or workforce management services business (and assume the liabilities related to such assets);</w:t>
      </w:r>
    </w:p>
    <w:p>
      <w:pPr>
        <w:spacing w:after="0" w:line="12" w:lineRule="exact"/>
        <w:rPr>
          <w:rFonts w:ascii="Arial" w:cs="Arial" w:eastAsia="Arial" w:hAnsi="Arial"/>
          <w:sz w:val="16"/>
          <w:szCs w:val="16"/>
          <w:color w:val="auto"/>
        </w:rPr>
      </w:pPr>
    </w:p>
    <w:p>
      <w:pPr>
        <w:ind w:left="460" w:right="40" w:firstLine="421"/>
        <w:spacing w:after="0" w:line="306" w:lineRule="auto"/>
        <w:tabs>
          <w:tab w:leader="none" w:pos="1138"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any Subsidiary of the Borrower or the Borrower may merge into or consolidate with, or transfer assets to or acquire the assets of any other Subsidiary of the Borrower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transaction to which the Borrower is a party, the Borrower shall be the surviving corporation; provided that, in each such case, immediately after giving effect to such proposed transaction, no Default shall exist; and</w:t>
      </w:r>
    </w:p>
    <w:p>
      <w:pPr>
        <w:spacing w:after="0" w:line="12" w:lineRule="exact"/>
        <w:rPr>
          <w:rFonts w:ascii="Arial" w:cs="Arial" w:eastAsia="Arial" w:hAnsi="Arial"/>
          <w:sz w:val="16"/>
          <w:szCs w:val="16"/>
          <w:color w:val="auto"/>
        </w:rPr>
      </w:pPr>
    </w:p>
    <w:p>
      <w:pPr>
        <w:ind w:left="1180" w:hanging="299"/>
        <w:spacing w:after="0"/>
        <w:tabs>
          <w:tab w:leader="none" w:pos="11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sales permitted pursuant to Section 5.02(c)</w:t>
      </w:r>
    </w:p>
    <w:p>
      <w:pPr>
        <w:spacing w:after="0" w:line="76" w:lineRule="exact"/>
        <w:rPr>
          <w:rFonts w:ascii="Arial" w:cs="Arial" w:eastAsia="Arial" w:hAnsi="Arial"/>
          <w:sz w:val="18"/>
          <w:szCs w:val="18"/>
          <w:color w:val="auto"/>
        </w:rPr>
      </w:pPr>
    </w:p>
    <w:p>
      <w:pPr>
        <w:ind w:firstLine="443"/>
        <w:spacing w:after="0" w:line="253" w:lineRule="auto"/>
        <w:tabs>
          <w:tab w:leader="none" w:pos="67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Sales, Etc. of Assets</w:t>
      </w:r>
      <w:r>
        <w:rPr>
          <w:rFonts w:ascii="Arial" w:cs="Arial" w:eastAsia="Arial" w:hAnsi="Arial"/>
          <w:sz w:val="18"/>
          <w:szCs w:val="18"/>
          <w:color w:val="auto"/>
        </w:rPr>
        <w:t>. Sell, lease, transfer or otherwise dispose of, or permit any of its Material Subsidiaries to sell, lease, transfer or otherwise dispose of, any material portion of its assets, including (without limitation) assets constituting any investment in any Subsidiary thereof or substantially all of the assets constituting the business of any division, branch or other unit operation thereof, except (i) in a transaction or a series of related transactions where the aggregate amount of the fair market value of all assets of the Borrower and its Subsidiaries sold, leased, assigned, transferred or otherwise disposed of in such transaction or transactions (as such fair market value is determined by the Board of Directors of the Borrower at the time of such transaction or transactions) does not exceed 15% of the Borrower’s Consolidated Tangible Assets, and the consideration received by the Borrower or any of its Subsidiaries in each such transaction shall constitute fair market value, or (ii) in connection with a transaction permitted by Section 5.02(b) or Section 5.02(d).</w:t>
      </w:r>
    </w:p>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45" w:name="page46"/>
    <w:bookmarkEnd w:id="45"/>
    <w:p>
      <w:pPr>
        <w:ind w:left="460" w:firstLine="443"/>
        <w:spacing w:after="0" w:line="289"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Securitization Facilities</w:t>
      </w:r>
      <w:r>
        <w:rPr>
          <w:rFonts w:ascii="Arial" w:cs="Arial" w:eastAsia="Arial" w:hAnsi="Arial"/>
          <w:sz w:val="16"/>
          <w:szCs w:val="16"/>
          <w:color w:val="auto"/>
        </w:rPr>
        <w:t>. At any time sell, assign or otherwise dispose of all or any material portion of the Borrower’s or any Subsidiary’s accounts receivable, lease receivables or other rights to receive payment or income (any of the foregoing being a “</w:t>
      </w:r>
      <w:r>
        <w:rPr>
          <w:rFonts w:ascii="Arial" w:cs="Arial" w:eastAsia="Arial" w:hAnsi="Arial"/>
          <w:sz w:val="16"/>
          <w:szCs w:val="16"/>
          <w:u w:val="single" w:color="auto"/>
          <w:color w:val="auto"/>
        </w:rPr>
        <w:t>Receivable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in Section 5.02 to the contrary, the Borrower or any of its Subsidiaries may enter into one or more agreements contemplating the sale, assignment or other transfer of its Receivables, whether constituting a “true sale” or secured financing for accounting, tax or any other purpose (each, a “</w:t>
      </w:r>
      <w:r>
        <w:rPr>
          <w:rFonts w:ascii="Arial" w:cs="Arial" w:eastAsia="Arial" w:hAnsi="Arial"/>
          <w:sz w:val="16"/>
          <w:szCs w:val="16"/>
          <w:u w:val="single" w:color="auto"/>
          <w:color w:val="auto"/>
        </w:rPr>
        <w:t>Receivables Purchase Agreement</w:t>
      </w:r>
      <w:r>
        <w:rPr>
          <w:rFonts w:ascii="Arial" w:cs="Arial" w:eastAsia="Arial" w:hAnsi="Arial"/>
          <w:sz w:val="16"/>
          <w:szCs w:val="16"/>
          <w:color w:val="auto"/>
        </w:rPr>
        <w:t>”), so long as (i) the aggregate outstanding investment or claims held at any time by purchasers, assignees or other transferees of (or of interests in) Receivables under Receivables Purchase Agreements shall not exceed an amount equal to $500,000,000 and (ii) each sale, assignment or other transfer effected under or in connection with a Receivables Purchase Agreement shall be effected on a non-recourse or limited recourse basis.</w:t>
      </w:r>
    </w:p>
    <w:p>
      <w:pPr>
        <w:spacing w:after="0" w:line="23" w:lineRule="exact"/>
        <w:rPr>
          <w:rFonts w:ascii="Arial" w:cs="Arial" w:eastAsia="Arial" w:hAnsi="Arial"/>
          <w:sz w:val="16"/>
          <w:szCs w:val="16"/>
          <w:color w:val="auto"/>
        </w:rPr>
      </w:pPr>
    </w:p>
    <w:p>
      <w:pPr>
        <w:ind w:left="460" w:right="360" w:firstLine="443"/>
        <w:spacing w:after="0" w:line="268"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Consolidated Subsidiaries to make or permit, any change in accounting policies or reporting practices, except as required or permitted by generally accepted accounting principles.</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Subsidiary Debt</w:t>
      </w:r>
      <w:r>
        <w:rPr>
          <w:rFonts w:ascii="Arial" w:cs="Arial" w:eastAsia="Arial" w:hAnsi="Arial"/>
          <w:sz w:val="18"/>
          <w:szCs w:val="18"/>
          <w:color w:val="auto"/>
        </w:rPr>
        <w:t>. Permit any of its Subsidiaries to create or suffer to exist, any Debt other than:</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Debt owed to the Borrower or to a Subsidiary of the Borrower,</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other Debt aggregating for all of the Borrower’s Subsidiaries not more than $125,000,000 at any one time drawn and outstanding,</w:t>
      </w:r>
    </w:p>
    <w:p>
      <w:pPr>
        <w:spacing w:after="0" w:line="99" w:lineRule="exact"/>
        <w:rPr>
          <w:rFonts w:ascii="Arial" w:cs="Arial" w:eastAsia="Arial" w:hAnsi="Arial"/>
          <w:sz w:val="16"/>
          <w:szCs w:val="16"/>
          <w:color w:val="auto"/>
        </w:rPr>
      </w:pPr>
    </w:p>
    <w:p>
      <w:pPr>
        <w:ind w:left="1640" w:hanging="299"/>
        <w:spacing w:after="0"/>
        <w:tabs>
          <w:tab w:leader="none" w:pos="1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indorsement of negotiable instruments for deposit or collection or similar transactions in the ordinary course of business, and</w:t>
      </w:r>
    </w:p>
    <w:p>
      <w:pPr>
        <w:spacing w:after="0" w:line="99" w:lineRule="exact"/>
        <w:rPr>
          <w:rFonts w:ascii="Arial" w:cs="Arial" w:eastAsia="Arial" w:hAnsi="Arial"/>
          <w:sz w:val="16"/>
          <w:szCs w:val="16"/>
          <w:color w:val="auto"/>
        </w:rPr>
      </w:pPr>
    </w:p>
    <w:p>
      <w:pPr>
        <w:ind w:left="1640" w:hanging="299"/>
        <w:spacing w:after="0"/>
        <w:tabs>
          <w:tab w:leader="none" w:pos="1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Debt which is, or would be permitted to be, secured by a Lien permitted under Section 5.02(a).</w:t>
      </w:r>
    </w:p>
    <w:p>
      <w:pPr>
        <w:spacing w:after="0" w:line="76"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Make, or permit any of its Subsidiaries to make, any material change in the nature of its business as carried on at the date hereof.</w:t>
      </w:r>
    </w:p>
    <w:p>
      <w:pPr>
        <w:spacing w:after="0" w:line="118"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So long as any Advance shall remain unpaid or any Lender Party shall have any Commitment hereunder or any Letter of Credit shall be outstanding, the Borrower will:</w:t>
      </w:r>
    </w:p>
    <w:p>
      <w:pPr>
        <w:spacing w:after="0" w:line="37" w:lineRule="exact"/>
        <w:rPr>
          <w:sz w:val="20"/>
          <w:szCs w:val="20"/>
          <w:color w:val="auto"/>
        </w:rPr>
      </w:pPr>
    </w:p>
    <w:p>
      <w:pPr>
        <w:ind w:left="460" w:right="240" w:firstLine="443"/>
        <w:spacing w:after="0" w:line="268"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Maintain a ratio of Consolidated Adjusted Debt to Consolidated EBITDA as of the end of each fiscal quarter, in respect of the four-quarter period then ended, of not greater than 3.25 to 1.</w:t>
      </w:r>
    </w:p>
    <w:p>
      <w:pPr>
        <w:spacing w:after="0" w:line="37"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Maintain a ratio of (i) the sum of Consolidated EBITDA plus Consolidated Rental Expense to (ii) the sum of Consolidated Interest Expense and Consolidated Rental Expense as of the end of each fiscal quarter, in respect of the four-quarter period then ended, of not less than 2.0 to 1.</w:t>
      </w:r>
    </w:p>
    <w:p>
      <w:pPr>
        <w:spacing w:after="0" w:line="1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EVENTS OF DEFAULT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77" w:lineRule="exact"/>
        <w:rPr>
          <w:sz w:val="20"/>
          <w:szCs w:val="20"/>
          <w:color w:val="auto"/>
        </w:rPr>
      </w:pPr>
    </w:p>
    <w:p>
      <w:pPr>
        <w:ind w:left="460" w:right="160" w:firstLine="443"/>
        <w:spacing w:after="0" w:line="259"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when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6" w:name="page47"/>
    <w:bookmarkEnd w:id="46"/>
    <w:p>
      <w:pPr>
        <w:ind w:right="160" w:firstLine="443"/>
        <w:spacing w:after="0" w:line="268"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representation or warranty made or deemed made by the Borrower herein or by the Borrower (or any of its officers) in connection with this Agreement shall prove to have been incorrect in any material respect when made or deemed made; or</w:t>
      </w:r>
    </w:p>
    <w:p>
      <w:pPr>
        <w:spacing w:after="0" w:line="37" w:lineRule="exact"/>
        <w:rPr>
          <w:rFonts w:ascii="Arial" w:cs="Arial" w:eastAsia="Arial" w:hAnsi="Arial"/>
          <w:sz w:val="18"/>
          <w:szCs w:val="18"/>
          <w:color w:val="auto"/>
        </w:rPr>
      </w:pPr>
    </w:p>
    <w:p>
      <w:pPr>
        <w:jc w:val="both"/>
        <w:ind w:right="60" w:firstLine="443"/>
        <w:spacing w:after="0" w:line="306" w:lineRule="auto"/>
        <w:tabs>
          <w:tab w:leader="none" w:pos="6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The Borrower shall fail to perform or observe any term, covenant or agreement contained in Section 5.01(d), (e) or (h)(iii), 5.02 or 5.03,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Agent or any Lender Party; or</w:t>
      </w:r>
    </w:p>
    <w:p>
      <w:pPr>
        <w:spacing w:after="0" w:line="12" w:lineRule="exact"/>
        <w:rPr>
          <w:rFonts w:ascii="Arial" w:cs="Arial" w:eastAsia="Arial" w:hAnsi="Arial"/>
          <w:sz w:val="16"/>
          <w:szCs w:val="16"/>
          <w:color w:val="auto"/>
        </w:rPr>
      </w:pPr>
    </w:p>
    <w:p>
      <w:pPr>
        <w:ind w:firstLine="443"/>
        <w:spacing w:after="0" w:line="286" w:lineRule="auto"/>
        <w:tabs>
          <w:tab w:leader="none" w:pos="68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Borrower or any of its Subsidiaries shall fail to pay any principal of or premium or interest on any Debt that is outstanding in a principal or notional amount of at least $25,000,000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Section 6.01(d), in the case of (x) Debt of any Person (other than the Borrower or one of its Subsidiaries) which the Borrower or a Subsidiary has guaranteed and (y) Debt of Persons (other than the Borrower or one of its Subsidiaries) the payment of which is secured by a Lien on property of the Borrower or one of its Subsidiaries, such Debt shall be deemed to have not been paid when due or the have been declared to be due and payable only when the Borrower or its Subsidiary, as the case may be, shall have failed to pay when due any amount which it shall be obligated to pay with respect to such Debt; or</w:t>
      </w:r>
    </w:p>
    <w:p>
      <w:pPr>
        <w:spacing w:after="0" w:line="26" w:lineRule="exact"/>
        <w:rPr>
          <w:rFonts w:ascii="Arial" w:cs="Arial" w:eastAsia="Arial" w:hAnsi="Arial"/>
          <w:sz w:val="16"/>
          <w:szCs w:val="16"/>
          <w:color w:val="auto"/>
        </w:rPr>
      </w:pPr>
    </w:p>
    <w:p>
      <w:pPr>
        <w:ind w:firstLine="443"/>
        <w:spacing w:after="0" w:line="288" w:lineRule="auto"/>
        <w:tabs>
          <w:tab w:leader="none" w:pos="6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Borrower or any of its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Subsidiaries shall take any corporate action to authorize any of the actions set forth above in this subsection (e); or</w:t>
      </w:r>
    </w:p>
    <w:p>
      <w:pPr>
        <w:spacing w:after="0" w:line="25" w:lineRule="exact"/>
        <w:rPr>
          <w:rFonts w:ascii="Arial" w:cs="Arial" w:eastAsia="Arial" w:hAnsi="Arial"/>
          <w:sz w:val="16"/>
          <w:szCs w:val="16"/>
          <w:color w:val="auto"/>
        </w:rPr>
      </w:pPr>
    </w:p>
    <w:p>
      <w:pPr>
        <w:ind w:right="120" w:firstLine="443"/>
        <w:spacing w:after="0" w:line="256" w:lineRule="auto"/>
        <w:tabs>
          <w:tab w:leader="none" w:pos="6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Judgments or orders for the payment of money in excess of $25,000,000 in the aggregate shall be rendered against and remain unpaid by the Borrower or any of its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or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47" w:name="page48"/>
    <w:bookmarkEnd w:id="47"/>
    <w:p>
      <w:pPr>
        <w:jc w:val="both"/>
        <w:ind w:left="460" w:right="280" w:firstLine="443"/>
        <w:spacing w:after="0" w:line="256"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non-monetary judgment or order shall be rendered against the Borrower or any of its Subsidiaries that is reasonably expected to have a Material Adverse Effect, and enforcement proceedings shall have been commenced by any Person upon such judgment or order and there shall be any period of 10 consecutive days during which a stay of enforcement of such judgment or order, by reason of a pending appeal or otherwise, shall not be in effect; or</w:t>
      </w:r>
    </w:p>
    <w:p>
      <w:pPr>
        <w:spacing w:after="0" w:line="48" w:lineRule="exact"/>
        <w:rPr>
          <w:rFonts w:ascii="Arial" w:cs="Arial" w:eastAsia="Arial" w:hAnsi="Arial"/>
          <w:sz w:val="18"/>
          <w:szCs w:val="18"/>
          <w:color w:val="auto"/>
        </w:rPr>
      </w:pPr>
    </w:p>
    <w:p>
      <w:pPr>
        <w:ind w:left="460" w:right="100" w:firstLine="443"/>
        <w:spacing w:after="0" w:line="287" w:lineRule="auto"/>
        <w:tabs>
          <w:tab w:leader="none" w:pos="11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Any Person or two or more Persons acting in concert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25% or more of the combined voting power of all Voting Stock of the Borrower; or (ii) during any period of up to 24 consecutive months, commencing before or after the date of this Agreement, individuals who at the beginning of such 24-month period were directors of the Borrower shall cease for any reason to constitute a majority of the board of directors of the Borrower (except to the extent that individuals who at the beginning of such 24-month period were replaced by individuals (x) elected by 66-2/3% of the remaining members of the board of directors of the Borrower or (y) nominated for election by a majority of the remaining members of the board of directors of the Borrower and thereafter elected as directors by the shareholders of the Borrower) ; or (iii)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Borrower; or</w:t>
      </w:r>
    </w:p>
    <w:p>
      <w:pPr>
        <w:spacing w:after="0" w:line="28" w:lineRule="exact"/>
        <w:rPr>
          <w:rFonts w:ascii="Arial" w:cs="Arial" w:eastAsia="Arial" w:hAnsi="Arial"/>
          <w:sz w:val="16"/>
          <w:szCs w:val="16"/>
          <w:color w:val="auto"/>
        </w:rPr>
      </w:pPr>
    </w:p>
    <w:p>
      <w:pPr>
        <w:ind w:left="460" w:firstLine="443"/>
        <w:spacing w:after="0" w:line="259" w:lineRule="auto"/>
        <w:tabs>
          <w:tab w:leader="none" w:pos="11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or any of its ERISA Affiliates shall incur, or shall be reasonably likely to incur liability in excess of $25,000,000 in the aggregate as a result of one or more of the following: (i) the occurrence of any ERISA Event; (ii) the partial or complete withdrawal of the Borrower or any of its ERISA Affiliates from a Multiemployer Plan; or (iii) the reorganization or termination of a Multiemployer Plan;</w:t>
      </w:r>
    </w:p>
    <w:p>
      <w:pPr>
        <w:spacing w:after="0" w:line="12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then, and in any such event, the Agent (i) shall at the request, or may with the consent, of the Required Lenders, by notice to the Borrower, declare the obligation of each Lender Party to make Advances (other than Letter of Credit Advances by an Issuing Bank or a Lender pursuant to Section 2.04(c)) and of any Issuing Bank to issue Letters of Credit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under the Federal Bankruptcy Code, (A) the obligation of each Lender Party to make Advances (other than Letter of Credit Advances by any Issuing Bank or a Lender pursuant to Section 2.04(c)) and of the Issuing Banks to issue Letters of Credit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109"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Actions in Respect of the Letters of Credit upon Default</w:t>
      </w:r>
      <w:r>
        <w:rPr>
          <w:rFonts w:ascii="Arial" w:cs="Arial" w:eastAsia="Arial" w:hAnsi="Arial"/>
          <w:sz w:val="16"/>
          <w:szCs w:val="16"/>
          <w:color w:val="auto"/>
        </w:rPr>
        <w:t>. If any Event of Default shall have occurred and be continuing, the Agent may with the consent, or shall at the request, of the Required Lenders, irrespective of whether it is taking any of the actions described in Section 6.01 or otherwise, make demand upon the Borrower to, and forthwith upon such demand the Borrower will, (a) pay to the Agent on behalf of the Lender Parties in same day funds at the Agent’s office designated in such demand, for deposit in the L/C Cash Collateral Account, an amount equal to the aggregate Available Amount of all Letters of Credit then outstanding or (b) make such other arrangements in respect of the outstanding Letters of Credit as shall be acceptable to the Required Lenders. If at any time the Agent determines that any funds held in the L/C Cash Collateral Account are subject to any right or claim of any Person other than the Agent and the Lender Parties or that the total amount of such funds is less than the aggregate Available Amount of all Letters of Credit, the Borrower will, forthwith upon demand by the Agent, pay to the Agent, as additional funds to be deposited and held in the L/C Cash Collateral Account, an amount equal to the excess of (a) such aggregate Available Amount over (b) the total amount of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8" w:name="page49"/>
    <w:bookmarkEnd w:id="4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then held in the L/C Cash Collateral Account that the Agent determines to be free and clear of any such right and claim. Upon the drawing of any Letter of Credit, to the extent funds are on deposit in the L/C Cash Collateral Account, such funds shall be applied to reimburse the Issuing Banks to the extent permitted by applicable law.</w:t>
      </w:r>
    </w:p>
    <w:p>
      <w:pPr>
        <w:spacing w:after="0" w:line="1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AGENT</w:t>
      </w:r>
    </w:p>
    <w:p>
      <w:pPr>
        <w:spacing w:after="0" w:line="158"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Authorization and Action</w:t>
      </w:r>
      <w:r>
        <w:rPr>
          <w:rFonts w:ascii="Arial" w:cs="Arial" w:eastAsia="Arial" w:hAnsi="Arial"/>
          <w:sz w:val="16"/>
          <w:szCs w:val="16"/>
          <w:color w:val="auto"/>
        </w:rPr>
        <w:t xml:space="preserve">. Each Lender Party (in its capacities as a Lender and Issuing Bank (as applicable))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 Parties and all holders of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Agent shall not be required to take any action that exposes the Agent to personal liability or that is contrary to this Agreement or applicable law. The Agent agrees to give to each Lender Party prompt notice of each notice given to it by the Borrower pursuant to the terms of this Agreement.</w:t>
      </w:r>
    </w:p>
    <w:p>
      <w:pPr>
        <w:spacing w:after="0" w:line="10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Agent’s Reliance, Etc</w:t>
      </w:r>
      <w:r>
        <w:rPr>
          <w:rFonts w:ascii="Arial" w:cs="Arial" w:eastAsia="Arial" w:hAnsi="Arial"/>
          <w:sz w:val="16"/>
          <w:szCs w:val="16"/>
          <w:color w:val="auto"/>
        </w:rPr>
        <w:t>.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Lender that made any Advance as the holder of the Debt resulting therefrom until the Agent receives and accepts an Assumption Agreement entered into by an Assuming Lender as provided in Section 2.19 or an Assignment and Acceptance entered into by such Lender,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observance or satisfaction of any of the terms, covenants or conditions of this Agreement on the part of the Borrower or the existence at any time of any Default or to inspect the property (including the books and records) of the Borrower; (v) 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or telegram) believed by it to be genuine and signed or sent by the proper party or parties.</w:t>
      </w:r>
    </w:p>
    <w:p>
      <w:pPr>
        <w:spacing w:after="0" w:line="107"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Citibank and Affiliates</w:t>
      </w:r>
      <w:r>
        <w:rPr>
          <w:rFonts w:ascii="Arial" w:cs="Arial" w:eastAsia="Arial" w:hAnsi="Arial"/>
          <w:sz w:val="16"/>
          <w:szCs w:val="16"/>
          <w:color w:val="auto"/>
        </w:rPr>
        <w:t>. With respect to its Commitment, the Advances made by it and the Note issued to it, Citibank shall have the same rights and powers under this Agreement as any other Lender Party and may exercise the same as though it were not the Agent; and the term “Lender Party” or “Lender Parties”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 Parties. The Agent shall have no duty to disclose information obtained or received by it or any of its Affiliates relating to the Borrower or its Subsidiaries to the extent such information was obtained or received in any capacity other than as Agent.</w:t>
      </w:r>
    </w:p>
    <w:p>
      <w:pPr>
        <w:spacing w:after="0" w:line="10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Lender Party Credit Decision</w:t>
      </w:r>
      <w:r>
        <w:rPr>
          <w:rFonts w:ascii="Arial" w:cs="Arial" w:eastAsia="Arial" w:hAnsi="Arial"/>
          <w:sz w:val="16"/>
          <w:szCs w:val="16"/>
          <w:color w:val="auto"/>
        </w:rPr>
        <w:t>. Each Lender Party acknowledges that it has, independently and without reliance upon the Agent or any other Lender Party and based on the financial statements referred to in Section 4.01 and such other documents and information as it has deemed appropriate, made its own credit analysis and decision to enter into this Agreement. Each Lender Party also acknowledges that it will, independently and without reliance upon the Agent or any other Lender Party and based on such documents and information as it shall deem appropriate at the time, continue to make its own credit decisions in taking or not taking action under this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9" w:name="page50"/>
    <w:bookmarkEnd w:id="49"/>
    <w:p>
      <w:pPr>
        <w:ind w:right="4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7.05. </w:t>
      </w:r>
      <w:r>
        <w:rPr>
          <w:rFonts w:ascii="Arial" w:cs="Arial" w:eastAsia="Arial" w:hAnsi="Arial"/>
          <w:sz w:val="16"/>
          <w:szCs w:val="16"/>
          <w:u w:val="single" w:color="auto"/>
          <w:color w:val="auto"/>
        </w:rPr>
        <w:t>Indemnification</w:t>
      </w:r>
      <w:r>
        <w:rPr>
          <w:rFonts w:ascii="Arial" w:cs="Arial" w:eastAsia="Arial" w:hAnsi="Arial"/>
          <w:sz w:val="16"/>
          <w:szCs w:val="16"/>
          <w:color w:val="auto"/>
        </w:rPr>
        <w:t>. (a) Each Lender Party (other than the Designated Bidders) severally agrees to indemnify the Agent (to the extent not reimbursed by the Borrower), ratably according to the respective principal amounts of the Revolving Credit Advances and Letter of Credit Advances owed to each of them (or if no Revolving Credit Advances and Letter of Credit Advances are at the time outstanding,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(collectively, the “</w:t>
      </w:r>
      <w:r>
        <w:rPr>
          <w:rFonts w:ascii="Arial" w:cs="Arial" w:eastAsia="Arial" w:hAnsi="Arial"/>
          <w:sz w:val="16"/>
          <w:szCs w:val="16"/>
          <w:u w:val="single" w:color="auto"/>
          <w:color w:val="auto"/>
        </w:rPr>
        <w:t>Indemnified Costs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Party shall be liable for any portion of the Indemnified Costs resulting from the Agent’s gross negligence or willful misconduct. Without limitation of the foregoing, each Lender Party (other than the Designated Bidders) agrees to reimburse the Agent promptly upon demand for its ratable share of any out-of-pocket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 In the case of any investigation, litigation or proceeding giving rise to any Indemnified Costs, this Section 7.05 applies whether any such investigation, litigation or proceeding is brought by the Agent, any Lender Party or a third party.</w:t>
      </w:r>
    </w:p>
    <w:p>
      <w:pPr>
        <w:spacing w:after="0" w:line="111" w:lineRule="exact"/>
        <w:rPr>
          <w:sz w:val="20"/>
          <w:szCs w:val="20"/>
          <w:color w:val="auto"/>
        </w:rPr>
      </w:pPr>
    </w:p>
    <w:p>
      <w:pPr>
        <w:ind w:firstLine="921"/>
        <w:spacing w:after="0" w:line="288"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Each Lender Party (other than the Designated Bidders) severally agrees to indemnify the Issuing Banks (to the extent not promptly reimbursed by the Borrower)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any such Issuing Bank in any way relating to or arising out of this Agreement or any action taken or omitted by such Issuing Bank hereunder or in connection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Lender Party shall be liable for any portion of such liabilities, obligations, losses, damages, penalties, actions, judgments, suits, costs, expenses or disbursements resulting from such Issuing Bank’s gross negligence or willful misconduct as found in a final, non-appealable judgment by a court of competent jurisdiction. Without limitation of the foregoing, each Lender Party agrees to reimburse any such Issuing Bank promptly upon demand for its ratable share of any costs and expenses (including, without limitation, fees and expenses of counsel) payable by the Borrower under Section 8.04, to the extent that such Issuing Bank is not promptly reimbursed for such costs and expenses by the Borrower.</w:t>
      </w:r>
    </w:p>
    <w:p>
      <w:pPr>
        <w:spacing w:after="0" w:line="106" w:lineRule="exact"/>
        <w:rPr>
          <w:rFonts w:ascii="Arial" w:cs="Arial" w:eastAsia="Arial" w:hAnsi="Arial"/>
          <w:sz w:val="16"/>
          <w:szCs w:val="16"/>
          <w:color w:val="auto"/>
        </w:rPr>
      </w:pPr>
    </w:p>
    <w:p>
      <w:pPr>
        <w:ind w:right="60" w:firstLine="921"/>
        <w:spacing w:after="0" w:line="286"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For purposes of this Section 7.05, the Lender Parties’ respective ratable shares of any amount shall be determined, at any time, according to the sum of (i) the aggregate principal amount of the Advances (other than Competitive Bid Advances) outstanding at such time and owing to the respective Lender Parties, (ii) their respective Pro Rata Shares of the aggregate Available Amount of all Letters of Credit outstanding at such time and (iii) their respective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Letter of Credit Advances owing to the Issuing Banks shall be considered to be owed to the Lenders ratably in accordance with their respective Revolving Commitments. The failure of any Lender Party to reimburse the Agent or any such Issuing Bank, as the case may be, promptly upon demand for its ratable share of any amount required to be paid by the Lender Parties to such Agent or such Issuing Bank, as the case may be, as provided herein shall not relieve any other Lender Party of its obligation hereunder to reimburse such Agent or Issuing Bank, as the case may be, for its ratable share of such amount, but no Lender Party shall be responsible for the failure of any other Lender Party to reimburse the Agent or any such Issuing Bank, as the case may be, for such other Lender Party’s ratable share of such amount. Without prejudice to the survival of any other agreement of any Lender Party hereunder, the agreement and obligations of each Lender Party contained in this Section 7.05 shall survive the payment in full of principal, interest and all other amounts payable hereunder and under the Notes.</w:t>
      </w:r>
    </w:p>
    <w:p>
      <w:pPr>
        <w:spacing w:after="0" w:line="114"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Successor Agent</w:t>
      </w:r>
      <w:r>
        <w:rPr>
          <w:rFonts w:ascii="Arial" w:cs="Arial" w:eastAsia="Arial" w:hAnsi="Arial"/>
          <w:sz w:val="18"/>
          <w:szCs w:val="18"/>
          <w:color w:val="auto"/>
        </w:rPr>
        <w:t>. The Agent may resign at any time by giving written notice thereof to the Lender Parties and the Borrower and may be removed at any time with or without cause by the Required Lenders. Upon any such resignation or removal, the Required Lenders shall have the right to appoint a successor Agent with, so long as no Default has occurred and is continuing, the consent of the Borrower, which consent shall not be unreasonably withheld or delayed. If no successor Agent shall have been so appointed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50" w:name="page51"/>
    <w:bookmarkEnd w:id="50"/>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Lenders, and shall have accepted such appointment, within 30 days after the retiring Agent’s giving of notice of resignation or the Required Lenders’ removal of the retiring Agent, then the retiring Agent may, on behalf of the Lender Parties,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05"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Other Agents.</w:t>
      </w:r>
      <w:r>
        <w:rPr>
          <w:rFonts w:ascii="Arial" w:cs="Arial" w:eastAsia="Arial" w:hAnsi="Arial"/>
          <w:sz w:val="16"/>
          <w:szCs w:val="16"/>
          <w:color w:val="auto"/>
        </w:rPr>
        <w:t xml:space="preserve"> Each Lender Party hereby acknowledges that neither the documentation agent nor any other Lender designated as any “Agent” on the signature pages hereof (other than the Agent) has any liability hereunder other than in its capacity as a Lender.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or the Revolving Credit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amendment, waiver or consent shall, unless in writing and signed by all the Lenders (other than the Designated Bidders), do any of the following: (a) waive any of the conditions specified in Section 3.01, (b) except as provided in Section 2.19, increase the Commitments of the Lenders, (c) reduce the principal of, or interest on, the Revolving Credit Advances or any fees or other amounts payable hereunder, (d) postpone any date fixed for any payment of principal of, or interest on, the Revolving Credit Advances or any fees or other amounts payable hereunder, (e) change the percentage of the Commitments, the aggregate Available Amount of outstanding Letters of Credit or of the aggregate unpaid principal amount of the Revolving Credit Advances, or the number of Lender Parties, that shall be required for the Lenders or any of them to take any action hereunder or (f) amend this Section 8.01;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Agent in addition to the Lenders required above to take such action, affect the rights or duties of the Agent under this Agreement or any Note;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Issuing Banks in addition to the Lenders required above to take such action, affect the rights or obligation of the Issuing Banks under this Agreement.</w:t>
      </w:r>
    </w:p>
    <w:p>
      <w:pPr>
        <w:spacing w:after="0" w:line="11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either (x) in writing (including telecopier or telegraphic communication) and mailed, telecopied, telegraphed or delivered or (y) as and to the extent set forth in Section 8.02(b) and in the proviso to this Section 8.02(a), if to the Borrower, at its address at 5301 North Ironwood Road, Milwaukee, Wisconsin 53217, Attention: Vice President/Treasurer; if to any Initial Lender Party, at its Domestic Lending Office specified opposite its name on Schedule I hereto; if to any other Lender Party, at its Domestic Lending Office specified in the Assumption Agreement or the Assignment and Acceptance pursuant to which it became a Lender Party; and if to the Agent, at its address at Two Penns Way, New Castle, Delaware 19720, Attention: Bank Loan Syndications Department; or, as to the Borrower or the Agent, at such other address as shall be designated by such party in a written notice to the other parties and, as to each other party, at such other address as shall be designated by such party in a written notice to the Borrower and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materials required to be delivered pursuant to Section 5.01(h)(i), (ii) or (iv) shall be delivered to the Agent as specified in Section 8.02(b) or as otherwise specified to the Borrower by the Agent. All such notices and communications shall, when mailed, telecopied, telegraphed or e-mailed, be effective when deposited in the mails, telecopied, delivered to the telegraph company or confirmed by e-mail, respectively, except that notices and communications to the Agent pursuant to Article II, III or VII shall not be effective until received by the Agent.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51" w:name="page52"/>
    <w:bookmarkEnd w:id="51"/>
    <w:p>
      <w:pPr>
        <w:ind w:right="40" w:firstLine="921"/>
        <w:spacing w:after="0" w:line="283" w:lineRule="auto"/>
        <w:tabs>
          <w:tab w:leader="none" w:pos="1162" w:val="left"/>
        </w:tabs>
        <w:numPr>
          <w:ilvl w:val="1"/>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set forth in the last paragraph of Section 5.01(h), so long as Citibank or any of its Affiliates is the Agent, materials required to be delivered pursuant to Section 5.01(h)(i), (ii) and (iv) shall be delivered to the Agent in an electronic medium in a format acceptable to the Agent and the Lenders by e-mail at oploanswebadmin@citigroup.com. The Borrower agrees that the Agent may make such materials, as well as any other written information, documents, instruments and other material relating to the Borrower, any of its Subsidiaries or any other materials or matters relating to this Agreement, the Notes or any of the transactions contemplated hereby (collectively, the “</w:t>
      </w:r>
      <w:r>
        <w:rPr>
          <w:rFonts w:ascii="Arial" w:cs="Arial" w:eastAsia="Arial" w:hAnsi="Arial"/>
          <w:sz w:val="16"/>
          <w:szCs w:val="16"/>
          <w:u w:val="single" w:color="auto"/>
          <w:color w:val="auto"/>
        </w:rPr>
        <w:t>Communications</w:t>
      </w:r>
      <w:r>
        <w:rPr>
          <w:rFonts w:ascii="Arial" w:cs="Arial" w:eastAsia="Arial" w:hAnsi="Arial"/>
          <w:sz w:val="16"/>
          <w:szCs w:val="16"/>
          <w:color w:val="auto"/>
        </w:rPr>
        <w:t>”) available to the Lender Parties by posting such notices on Intralinks or a substantially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Borrower acknowledges that (i) the distribution of material through an electronic medium is not necessarily secure and that there are confidentiality and other risks associated with such distribution, (ii) the Platform is provided “as is” and “as available” and</w:t>
      </w:r>
    </w:p>
    <w:p>
      <w:pPr>
        <w:ind w:right="100" w:firstLine="8"/>
        <w:spacing w:after="0" w:line="254" w:lineRule="auto"/>
        <w:tabs>
          <w:tab w:leader="none" w:pos="3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the Agent nor any of its Affiliates warrants the accuracy, adequacy or completeness of the Communications or the Platform and each expressly disclaims liability for errors or omissions in the Communications or the Platform. No warranty of any kind, express, implied or statutory, including, without limitation, any warranty of merchantability, fitness for a particular purpose, non-infringement of third party rights or freedom from viruses or other code defects, is made by the Agent or any of its Affiliates in connection with the Platform.</w:t>
      </w:r>
    </w:p>
    <w:p>
      <w:pPr>
        <w:spacing w:after="0" w:line="130" w:lineRule="exact"/>
        <w:rPr>
          <w:rFonts w:ascii="Arial" w:cs="Arial" w:eastAsia="Arial" w:hAnsi="Arial"/>
          <w:sz w:val="18"/>
          <w:szCs w:val="18"/>
          <w:color w:val="auto"/>
        </w:rPr>
      </w:pPr>
    </w:p>
    <w:p>
      <w:pPr>
        <w:ind w:right="100" w:firstLine="921"/>
        <w:spacing w:after="0" w:line="291" w:lineRule="auto"/>
        <w:tabs>
          <w:tab w:leader="none" w:pos="1152" w:val="left"/>
        </w:tabs>
        <w:numPr>
          <w:ilvl w:val="1"/>
          <w:numId w:val="59"/>
        </w:numPr>
        <w:rPr>
          <w:rFonts w:ascii="Arial" w:cs="Arial" w:eastAsia="Arial" w:hAnsi="Arial"/>
          <w:sz w:val="16"/>
          <w:szCs w:val="16"/>
          <w:color w:val="auto"/>
        </w:rPr>
      </w:pPr>
      <w:r>
        <w:rPr>
          <w:rFonts w:ascii="Arial" w:cs="Arial" w:eastAsia="Arial" w:hAnsi="Arial"/>
          <w:sz w:val="16"/>
          <w:szCs w:val="16"/>
          <w:color w:val="auto"/>
        </w:rPr>
        <w:t>Each Lender Party agrees that notice to it (as provided in the next sentence)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specifying that any Communications have been posted to the Platform shall constitute effective delivery of such information, documents or other materials to such Lender Party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requested by any Lender Party the Agent shall deliver a copy of the Communications to such Lender Party by email or telecopier. Each Lender Party agrees (i) to notify the Agent in writing of such Lender Party’s e-mail address to which a Notice may be sent by electronic transmission (including by electronic communication) on or before the date such Lender Party becomes a party to this Agreement (and from time to time thereafter to ensure that the Agent has on record an effective e-mail address for such Lender Party) and (ii) that any Notice may be sent to such e-mail address.</w:t>
      </w:r>
    </w:p>
    <w:p>
      <w:pPr>
        <w:spacing w:after="0" w:line="107" w:lineRule="exact"/>
        <w:rPr>
          <w:sz w:val="20"/>
          <w:szCs w:val="20"/>
          <w:color w:val="auto"/>
        </w:rPr>
      </w:pPr>
    </w:p>
    <w:p>
      <w:pPr>
        <w:jc w:val="both"/>
        <w:ind w:right="320" w:firstLine="913"/>
        <w:spacing w:after="0" w:line="30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Party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93" w:lineRule="exact"/>
        <w:rPr>
          <w:sz w:val="20"/>
          <w:szCs w:val="20"/>
          <w:color w:val="auto"/>
        </w:rPr>
      </w:pPr>
    </w:p>
    <w:p>
      <w:pPr>
        <w:ind w:right="140" w:firstLine="913"/>
        <w:spacing w:after="0" w:line="310"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u w:val="single" w:color="auto"/>
          <w:color w:val="auto"/>
        </w:rPr>
        <w:t>Costs and Expenses</w:t>
      </w:r>
      <w:r>
        <w:rPr>
          <w:rFonts w:ascii="Arial" w:cs="Arial" w:eastAsia="Arial" w:hAnsi="Arial"/>
          <w:sz w:val="15"/>
          <w:szCs w:val="15"/>
          <w:color w:val="auto"/>
        </w:rPr>
        <w:t>. (a) The Borrower agrees to pay on demand all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computer, duplication, appraisal, consultant, and audit expenses and (B) the reasonable fees and expenses of counsel for the Agent with respect thereto and with respect to advising the Agent as to its rights and responsibilities under this Agreement. The Borrower further agrees to pay on demand all costs and expenses of the Agent and the Lender Parties,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Party in connection with the enforcement of rights under this Section 8.04(a).</w:t>
      </w:r>
    </w:p>
    <w:p>
      <w:pPr>
        <w:spacing w:after="0" w:line="95" w:lineRule="exact"/>
        <w:rPr>
          <w:sz w:val="20"/>
          <w:szCs w:val="20"/>
          <w:color w:val="auto"/>
        </w:rPr>
      </w:pPr>
    </w:p>
    <w:p>
      <w:pPr>
        <w:ind w:firstLine="921"/>
        <w:spacing w:after="0" w:line="287" w:lineRule="auto"/>
        <w:tabs>
          <w:tab w:leader="none" w:pos="11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the Agent and each Lender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and expenses (including, without limitation, reasonable fees and expenses of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the Notes, this Agreement, any of the transactions contemplated herein or the actual or proposed use of the proceeds of the Advances, except to the extent such claim, damage, loss, liability or expense is found in a final, non-appealable judgment by a court of competent jurisdiction to have resulted from such Indemnified Party’s gross negligence or willful misconduct. In the case of an investigation, litigation or other proceeding to which the indemnity in this Section 8.04(b)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52" w:name="page53"/>
    <w:bookmarkEnd w:id="52"/>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hereby are consummated. The Borrower also agrees not to assert any claim for special, indirect, consequential or punitive damages against the Agent, any Lender Party,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w:t>
      </w:r>
    </w:p>
    <w:p>
      <w:pPr>
        <w:spacing w:after="0" w:line="93" w:lineRule="exact"/>
        <w:rPr>
          <w:sz w:val="20"/>
          <w:szCs w:val="20"/>
          <w:color w:val="auto"/>
        </w:rPr>
      </w:pPr>
    </w:p>
    <w:p>
      <w:pPr>
        <w:ind w:right="120" w:firstLine="921"/>
        <w:spacing w:after="0" w:line="302" w:lineRule="auto"/>
        <w:tabs>
          <w:tab w:leader="none" w:pos="1152" w:val="left"/>
        </w:tabs>
        <w:numPr>
          <w:ilvl w:val="0"/>
          <w:numId w:val="61"/>
        </w:numPr>
        <w:rPr>
          <w:rFonts w:ascii="Arial" w:cs="Arial" w:eastAsia="Arial" w:hAnsi="Arial"/>
          <w:sz w:val="15"/>
          <w:szCs w:val="15"/>
          <w:color w:val="auto"/>
        </w:rPr>
      </w:pPr>
      <w:r>
        <w:rPr>
          <w:rFonts w:ascii="Arial" w:cs="Arial" w:eastAsia="Arial" w:hAnsi="Arial"/>
          <w:sz w:val="15"/>
          <w:szCs w:val="15"/>
          <w:color w:val="auto"/>
        </w:rPr>
        <w:t>If any payment of principal of, or Conversion of, any Eurocurrency Rate Advance, LIBO Rate Advance or Local Rate Advance is made by the Borrower to or for the account of a Lender (i) other than on the last day of the Interest Period for such Advance, as a result of a payment or Conversion pursuant to Section 2.09, 2.11 or 2.13, acceleration of the maturity of the Notes pursuant to Section 6.01 or for any other reason, or by an Eligible Assignee to a Lender Party other than on the last day of the Interest Period for such Advance upon an assignment of rights and obligations under this Agreement pursuant to Section</w:t>
      </w:r>
    </w:p>
    <w:p>
      <w:pPr>
        <w:spacing w:after="0" w:line="2" w:lineRule="exact"/>
        <w:rPr>
          <w:rFonts w:ascii="Arial" w:cs="Arial" w:eastAsia="Arial" w:hAnsi="Arial"/>
          <w:sz w:val="15"/>
          <w:szCs w:val="15"/>
          <w:color w:val="auto"/>
        </w:rPr>
      </w:pPr>
    </w:p>
    <w:p>
      <w:pPr>
        <w:ind w:right="100"/>
        <w:spacing w:after="0" w:line="288" w:lineRule="auto"/>
        <w:rPr>
          <w:rFonts w:ascii="Arial" w:cs="Arial" w:eastAsia="Arial" w:hAnsi="Arial"/>
          <w:sz w:val="15"/>
          <w:szCs w:val="15"/>
          <w:color w:val="auto"/>
        </w:rPr>
      </w:pPr>
      <w:r>
        <w:rPr>
          <w:rFonts w:ascii="Arial" w:cs="Arial" w:eastAsia="Arial" w:hAnsi="Arial"/>
          <w:sz w:val="16"/>
          <w:szCs w:val="16"/>
          <w:color w:val="auto"/>
        </w:rPr>
        <w:t>8.07 as a result of a demand by the Borrower pursuant to Section 8.07(a) or (ii) as a result of a payment or Conversion pursuant to Section 2.09, 2.11 or 2.13, the Borrower shall, upon demand by such Lender Party (with a copy of such demand to the Agent), pay to the Agent for the account of such Lender Party any amounts required to compensate such Lender Party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Party to fund or maintain such Advance. If the amount of the Committed Currency purchased by any Lender Party in the case of a Conversion or redenomination of Advances in the case of Section 2.09 or 2.13 exceeds the sum required to satisfy such Lender Party’s liability in respect of such Advances, such Lender agrees to remit to the Company such excess.</w:t>
      </w:r>
    </w:p>
    <w:p>
      <w:pPr>
        <w:spacing w:after="0" w:line="109" w:lineRule="exact"/>
        <w:rPr>
          <w:rFonts w:ascii="Arial" w:cs="Arial" w:eastAsia="Arial" w:hAnsi="Arial"/>
          <w:sz w:val="15"/>
          <w:szCs w:val="15"/>
          <w:color w:val="auto"/>
        </w:rPr>
      </w:pPr>
    </w:p>
    <w:p>
      <w:pPr>
        <w:ind w:firstLine="921"/>
        <w:spacing w:after="0" w:line="332" w:lineRule="auto"/>
        <w:tabs>
          <w:tab w:leader="none" w:pos="11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Without prejudice to the survival of any other agreement of the Borrower hereunder, the agreements and obligations of the Borrower contained in Sections 2.12, 2.15 and 8.04 shall survive the payment in full of principal, interest and all other amounts payable hereunder and under the Notes.</w:t>
      </w:r>
    </w:p>
    <w:p>
      <w:pPr>
        <w:spacing w:after="0" w:line="72"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(i) the occurrence and during the continuance of any Event of Default and (ii) the making of the request or the granting of the consent specified by Section 6.01 to authorize the Agent to declare the Notes due and payable pursuant to the provisions of Section 6.01, each Lender Party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Party or such Affiliate to or for the credit or the account of the Borrower against any and all of the obligations of the Borrower now or hereafter existing under this Agreement and the Note held by such Lender Party, whether or not such Lender Party shall have made any demand under this Agreement or such Note and although such obligations may be unmatured. Each Lender Party agrees promptly to notify the Borrower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each Lender Party and its Affiliates under this Section are in addition to other rights and remedies (including, without limitation, other rights of set-off) that such Lender Party and its Affiliates may have.</w:t>
      </w:r>
    </w:p>
    <w:p>
      <w:pPr>
        <w:spacing w:after="0" w:line="10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129"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Assignments, Designations and Participations</w:t>
      </w:r>
      <w:r>
        <w:rPr>
          <w:rFonts w:ascii="Arial" w:cs="Arial" w:eastAsia="Arial" w:hAnsi="Arial"/>
          <w:sz w:val="16"/>
          <w:szCs w:val="16"/>
          <w:color w:val="auto"/>
        </w:rPr>
        <w:t xml:space="preserve">. (a) Each Lender (other than the Designated Bidders) may and, if demanded by the Borrower (if payments are owed to such Lender pursuant to Section 2.12 or 2.15 or following notice by such Lender pursuant to Section 2.13) upon at least five Business Days’ notice to such Lender Party and the Agent, will assign to one or more Persons all or a portion of its rights and obligations under this Agreement (including, without limitation, all or a portion of its Commitment, the Revolving Credit Advances owing to it and the Revolving Credit Note or Notes held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each such assignment shall be of a constant, and not a varying, percentage of all rights and obligations under this Agreement (other than any right to make Competitive Bid Advances, Competitive Bid Advances owing to it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53" w:name="page54"/>
    <w:bookmarkEnd w:id="53"/>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Bid Notes), (ii) except in the case of an assignment to a Person that, immediately prior to such assignment, was a Lender Party or an assignment of all of a Lender Party’s rights and obligations under this Agreement, the amount of the Commitment of the assigning Lender Party being assigned pursuant to each such assignment (determined as of the date of the Assignment and Acceptance with respect to such assignment) shall in no event be less than $10,000,000 or an integral multiple of $1,000,000 in excess thereof unless the Borrower and the Agent otherwise agree, (iii) each such assignment shall be to an Eligible Assignee,</w:t>
      </w:r>
    </w:p>
    <w:p>
      <w:pPr>
        <w:spacing w:after="0" w:line="3" w:lineRule="exact"/>
        <w:rPr>
          <w:sz w:val="20"/>
          <w:szCs w:val="20"/>
          <w:color w:val="auto"/>
        </w:rPr>
      </w:pPr>
    </w:p>
    <w:p>
      <w:pPr>
        <w:ind w:firstLine="8"/>
        <w:spacing w:after="0" w:line="284" w:lineRule="auto"/>
        <w:tabs>
          <w:tab w:leader="none" w:pos="29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each such assignment made as a result of a demand by the Borrower pursuant to this Section 8.07(a) shall be arranged by the Borrower after consultation with the Agent and shall be either an assignment of all of the rights and obligations of the assigning Lender Party under this Agreement or an assignment of a portion of such rights and obligations made concurrently with another such assignment or other such assignments that together cover all of the rights and obligations of the assigning Lender Party under this Agreement, (v) no Lender Party shall be obligated to make any such assignment as a result of a demand by the Borrower pursuant to this Section 8.07(a) unless and until such Lender Party shall have received one or more payments from either the Borrower or one or more Eligible Assignees in an aggregate amount at least equal to the aggregate outstanding principal amount of the Advances owing to such Lender Party, together with accrued interest thereon to the date of payment of such principal amount and all other amounts payable to such Lender Party under this Agreement, and (vi) the parties to each such assignment shall execute and deliver to the Agent, for its acceptance and recording in the Register, an Assignment and Acceptance, together with any Revolving Credit Note subject to such assignment and a processing and recordation fee of $3,500 payable by the parties to each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each assignment made as a result of a demand by the Borrower, such recordation fee shall be payable by the Borrower except that no such recordation fee shall be payable in the case of an assignment made at the request of the Borrower to an Eligible Assignee that is an existing Lender Party, and (vii) any Lender Party may, without the approval of the Borrower and the Agent, assign all or a portion of its rights to any of its Affiliates.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Party hereunder and (y) the Lender Party assignor thereunder shall, to the extent that rights and obligations hereunder have been assigned by it pursuant to such Assignment and Acceptance, relinquish its rights (other than its rights under Section 2.12, 2.15 and 8.04 to the extent any claim thereunder relates to an event arising prior such assignment) and be released from its obligations under this Agreement (and, in the case of an Assignment and Acceptance covering all or the remaining portion of an assigning Lender Party’s rights and obligations under this Agreement, such Lender Party shall cease to be a party hereto).</w:t>
      </w:r>
    </w:p>
    <w:p>
      <w:pPr>
        <w:spacing w:after="0" w:line="111" w:lineRule="exact"/>
        <w:rPr>
          <w:rFonts w:ascii="Arial" w:cs="Arial" w:eastAsia="Arial" w:hAnsi="Arial"/>
          <w:sz w:val="16"/>
          <w:szCs w:val="16"/>
          <w:color w:val="auto"/>
        </w:rPr>
      </w:pPr>
    </w:p>
    <w:p>
      <w:pPr>
        <w:ind w:right="60" w:firstLine="921"/>
        <w:spacing w:after="0" w:line="285" w:lineRule="auto"/>
        <w:tabs>
          <w:tab w:leader="none" w:pos="1162" w:val="left"/>
        </w:tabs>
        <w:numPr>
          <w:ilvl w:val="1"/>
          <w:numId w:val="62"/>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Lender Party assignor thereunder and the assignee thereunder confirm to and agree with each other and the other parties hereto as follows: (i) other than as provided in such Assignment and Acceptance, such assigning Lender Party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Party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Party or any other Lender Party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 Party or as an Issuing Bank, as the case may be.</w:t>
      </w:r>
    </w:p>
    <w:p>
      <w:pPr>
        <w:spacing w:after="0" w:line="114" w:lineRule="exact"/>
        <w:rPr>
          <w:rFonts w:ascii="Arial" w:cs="Arial" w:eastAsia="Arial" w:hAnsi="Arial"/>
          <w:sz w:val="16"/>
          <w:szCs w:val="16"/>
          <w:color w:val="auto"/>
        </w:rPr>
      </w:pPr>
    </w:p>
    <w:p>
      <w:pPr>
        <w:ind w:right="440" w:firstLine="921"/>
        <w:spacing w:after="0" w:line="268" w:lineRule="auto"/>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Upon its receipt of an Assignment and Acceptance executed by an assigning Lender Party and an assignee representing that it is an Eligible Assignee, together with any Revolving Credit Note or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54" w:name="page55"/>
    <w:bookmarkEnd w:id="54"/>
    <w:p>
      <w:pPr>
        <w:ind w:right="4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w:t>
      </w:r>
    </w:p>
    <w:p>
      <w:pPr>
        <w:spacing w:after="0" w:line="49" w:lineRule="exact"/>
        <w:rPr>
          <w:sz w:val="20"/>
          <w:szCs w:val="20"/>
          <w:color w:val="auto"/>
        </w:rPr>
      </w:pPr>
    </w:p>
    <w:p>
      <w:pPr>
        <w:ind w:right="80" w:firstLine="921"/>
        <w:spacing w:after="0" w:line="290" w:lineRule="auto"/>
        <w:tabs>
          <w:tab w:leader="none" w:pos="1162"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Each Lender Party (other than the Designated Bidders) may designate one or more banks or other entities to have a right to make Competitive Bid Advances as a Lender pursuant to Section 2.03;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such Lender shall be entitled to make more than two such designations, (ii) each such Lender Party making one or more of such designations shall retain the right to make Competitive Bid Advances as a Lender Party pursuant to Section 2.03, (iii) each such designation shall be to a Designated Bidder and (iv) the parties to each such designation shall execute and deliver to the Agent, for its acceptance and recording in the Register, a Designation Agreement. Upon such execution, delivery, acceptance and recording, from and after the effective date specified in each Designation Agreement, the designee thereunder shall be a party hereto with a right to make Competitive Bid Advances as a Lender pursuant to Section 2.03 and the obligations related thereto.</w:t>
      </w:r>
    </w:p>
    <w:p>
      <w:pPr>
        <w:spacing w:after="0" w:line="104" w:lineRule="exact"/>
        <w:rPr>
          <w:rFonts w:ascii="Arial" w:cs="Arial" w:eastAsia="Arial" w:hAnsi="Arial"/>
          <w:sz w:val="16"/>
          <w:szCs w:val="16"/>
          <w:color w:val="auto"/>
        </w:rPr>
      </w:pPr>
    </w:p>
    <w:p>
      <w:pPr>
        <w:ind w:right="40" w:firstLine="921"/>
        <w:spacing w:after="0" w:line="301" w:lineRule="auto"/>
        <w:tabs>
          <w:tab w:leader="none" w:pos="1152" w:val="left"/>
        </w:tabs>
        <w:numPr>
          <w:ilvl w:val="1"/>
          <w:numId w:val="63"/>
        </w:numPr>
        <w:rPr>
          <w:rFonts w:ascii="Arial" w:cs="Arial" w:eastAsia="Arial" w:hAnsi="Arial"/>
          <w:sz w:val="15"/>
          <w:szCs w:val="15"/>
          <w:color w:val="auto"/>
        </w:rPr>
      </w:pPr>
      <w:r>
        <w:rPr>
          <w:rFonts w:ascii="Arial" w:cs="Arial" w:eastAsia="Arial" w:hAnsi="Arial"/>
          <w:sz w:val="15"/>
          <w:szCs w:val="15"/>
          <w:color w:val="auto"/>
        </w:rPr>
        <w:t>By executing and delivering a Designation Agreement, the Lender Party making the designation thereunder and its designee thereunder confirm and agree with each other and the other parties hereto as follows: (i) such Lender Party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Lender Party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designee confirms that it has received a copy of this Agreement, together with copies of the financial statements referred to in Section 4.01 and such other documents and information as it has deemed appropriate to make its own credit analysis and decision to enter into such Designation Agreement; (iv) such designee will, independently and without reliance upon the Agent, such designating Lender Party or any other Lender Party and based on such documents and information as it shall deem appropriate at the time, continue to make its own credit decisions in taking or not taking action under this Agreement; (v) such designee confirms that it is a Designated Bidder;</w:t>
      </w:r>
    </w:p>
    <w:p>
      <w:pPr>
        <w:spacing w:after="0" w:line="3" w:lineRule="exact"/>
        <w:rPr>
          <w:rFonts w:ascii="Arial" w:cs="Arial" w:eastAsia="Arial" w:hAnsi="Arial"/>
          <w:sz w:val="15"/>
          <w:szCs w:val="15"/>
          <w:color w:val="auto"/>
        </w:rPr>
      </w:pPr>
    </w:p>
    <w:p>
      <w:pPr>
        <w:jc w:val="both"/>
        <w:ind w:firstLine="8"/>
        <w:spacing w:after="0" w:line="331" w:lineRule="auto"/>
        <w:tabs>
          <w:tab w:leader="none" w:pos="297" w:val="left"/>
        </w:tabs>
        <w:numPr>
          <w:ilvl w:val="0"/>
          <w:numId w:val="64"/>
        </w:numPr>
        <w:rPr>
          <w:rFonts w:ascii="Arial" w:cs="Arial" w:eastAsia="Arial" w:hAnsi="Arial"/>
          <w:sz w:val="15"/>
          <w:szCs w:val="15"/>
          <w:color w:val="auto"/>
        </w:rPr>
      </w:pPr>
      <w:r>
        <w:rPr>
          <w:rFonts w:ascii="Arial" w:cs="Arial" w:eastAsia="Arial" w:hAnsi="Arial"/>
          <w:sz w:val="15"/>
          <w:szCs w:val="15"/>
          <w:color w:val="auto"/>
        </w:rPr>
        <w:t>such designee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designee agrees that it will perform in accordance with their terms all of the obligations which by the terms of this Agreement are required to be performed by it as a Lender Party.</w:t>
      </w:r>
    </w:p>
    <w:p>
      <w:pPr>
        <w:spacing w:after="0" w:line="76" w:lineRule="exact"/>
        <w:rPr>
          <w:rFonts w:ascii="Arial" w:cs="Arial" w:eastAsia="Arial" w:hAnsi="Arial"/>
          <w:sz w:val="15"/>
          <w:szCs w:val="15"/>
          <w:color w:val="auto"/>
        </w:rPr>
      </w:pPr>
    </w:p>
    <w:p>
      <w:pPr>
        <w:jc w:val="both"/>
        <w:ind w:right="140" w:firstLine="921"/>
        <w:spacing w:after="0" w:line="305" w:lineRule="auto"/>
        <w:tabs>
          <w:tab w:leader="none" w:pos="1132" w:val="left"/>
        </w:tabs>
        <w:numPr>
          <w:ilvl w:val="1"/>
          <w:numId w:val="64"/>
        </w:numPr>
        <w:rPr>
          <w:rFonts w:ascii="Arial" w:cs="Arial" w:eastAsia="Arial" w:hAnsi="Arial"/>
          <w:sz w:val="15"/>
          <w:szCs w:val="15"/>
          <w:color w:val="auto"/>
        </w:rPr>
      </w:pPr>
      <w:r>
        <w:rPr>
          <w:rFonts w:ascii="Arial" w:cs="Arial" w:eastAsia="Arial" w:hAnsi="Arial"/>
          <w:sz w:val="15"/>
          <w:szCs w:val="15"/>
          <w:color w:val="auto"/>
        </w:rPr>
        <w:t>Upon its receipt of a Designation Agreement executed by a designating Lender Party and a designee representing that it is a Designated Bidder, the Agent shall, if such Designation Agreement has been completed and is substantially in the form of Exhibit D hereto, (i) accept such Designation Agreement,</w:t>
      </w: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record the information contained therein in the Register and (iii) give prompt notice thereof to the Borrower.</w:t>
      </w:r>
    </w:p>
    <w:p>
      <w:pPr>
        <w:spacing w:after="0" w:line="151" w:lineRule="exact"/>
        <w:rPr>
          <w:rFonts w:ascii="Arial" w:cs="Arial" w:eastAsia="Arial" w:hAnsi="Arial"/>
          <w:sz w:val="18"/>
          <w:szCs w:val="18"/>
          <w:color w:val="auto"/>
        </w:rPr>
      </w:pPr>
    </w:p>
    <w:p>
      <w:pPr>
        <w:ind w:right="140" w:firstLine="921"/>
        <w:spacing w:after="0" w:line="314" w:lineRule="auto"/>
        <w:tabs>
          <w:tab w:leader="none" w:pos="1162"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Agent shall maintain at its address referred to in Section 8.02 a copy of each Assumption Agreement and each Assignment and Acceptance and each Designation Agreement delivered to and accepted by it and a register for the recordation of the names and addresses of the Lender Parties and, with respect to Lender Parties other than Designated Bidders, the Commitment of, and principal amount of the Advances owing to, each Lender Party from time to time (the “</w:t>
      </w:r>
      <w:r>
        <w:rPr>
          <w:rFonts w:ascii="Arial" w:cs="Arial" w:eastAsia="Arial" w:hAnsi="Arial"/>
          <w:sz w:val="15"/>
          <w:szCs w:val="15"/>
          <w:u w:val="single" w:color="auto"/>
          <w:color w:val="auto"/>
        </w:rPr>
        <w:t>Register</w:t>
      </w:r>
      <w:r>
        <w:rPr>
          <w:rFonts w:ascii="Arial" w:cs="Arial" w:eastAsia="Arial" w:hAnsi="Arial"/>
          <w:sz w:val="15"/>
          <w:szCs w:val="15"/>
          <w:color w:val="auto"/>
        </w:rPr>
        <w:t>”). The entries in the Register shall be conclusive and binding for all purposes, absent manifest error, and the Borrower, the Agent and the Lender Parties may treat each Person whose name is recorded in the Register as a Lender Party hereunder for all purposes of this Agreement. The Register shall be available for inspection by the Borrower or any Lender Party at any reasonable time and from time to time upon reasonable prior notice.</w:t>
      </w:r>
    </w:p>
    <w:p>
      <w:pPr>
        <w:spacing w:after="0" w:line="91" w:lineRule="exact"/>
        <w:rPr>
          <w:rFonts w:ascii="Arial" w:cs="Arial" w:eastAsia="Arial" w:hAnsi="Arial"/>
          <w:sz w:val="15"/>
          <w:szCs w:val="15"/>
          <w:color w:val="auto"/>
        </w:rPr>
      </w:pPr>
    </w:p>
    <w:p>
      <w:pPr>
        <w:ind w:right="20" w:firstLine="921"/>
        <w:spacing w:after="0" w:line="294" w:lineRule="auto"/>
        <w:tabs>
          <w:tab w:leader="none" w:pos="1162"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Each Lender Party may sell participations to one or more banks or other entities (other than the Borrower or any of its Affiliates) in or to all or a portion of its rights or obligations or both under this Agreement (including, without limitation, all or a portion of its Commitment, the Advances owing to it and any Note or Notes held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Lender Party’s obligations under this Agreement (including, without limitation, its Commitment to the Borrower hereunder) shall remain unchanged, (ii) such Lender Party shall remain solely responsible to the other parties hereto for the performance of such obligations, (iii) such Lender Party shall remain the holder of any such Note for all purposes of this Agreement, (iv) the Borrower, the Agent and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5" w:name="page56"/>
    <w:bookmarkEnd w:id="55"/>
    <w:p>
      <w:pPr>
        <w:ind w:right="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Lenders shall continue to deal solely and directly with such Lender Party in connection with such Lender Party’s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86" w:lineRule="exact"/>
        <w:rPr>
          <w:sz w:val="20"/>
          <w:szCs w:val="20"/>
          <w:color w:val="auto"/>
        </w:rPr>
      </w:pPr>
    </w:p>
    <w:p>
      <w:pPr>
        <w:ind w:right="60" w:firstLine="921"/>
        <w:spacing w:after="0" w:line="255" w:lineRule="auto"/>
        <w:tabs>
          <w:tab w:leader="none" w:pos="11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Any Lender Party may, in connection with any assignment, designation or participation or proposed assignment, designation or participation pursuant to this Section 8.07, disclose to the assignee, designee or participant or proposed assignee, designee or participant, any information relating to the Borrower furnished to such Lender Party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the assignee, designee or participant or proposed assignee, designee or participant shall agree to preserve the confidentiality of any Confidential Information relating to the Borrower received by it from such Lender Party.</w:t>
      </w:r>
    </w:p>
    <w:p>
      <w:pPr>
        <w:spacing w:after="0" w:line="129" w:lineRule="exact"/>
        <w:rPr>
          <w:rFonts w:ascii="Arial" w:cs="Arial" w:eastAsia="Arial" w:hAnsi="Arial"/>
          <w:sz w:val="18"/>
          <w:szCs w:val="18"/>
          <w:color w:val="auto"/>
        </w:rPr>
      </w:pPr>
    </w:p>
    <w:p>
      <w:pPr>
        <w:ind w:right="20" w:firstLine="921"/>
        <w:spacing w:after="0" w:line="294" w:lineRule="auto"/>
        <w:tabs>
          <w:tab w:leader="none" w:pos="1123"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Issuing Bank may assign to an Eligible Assignee its rights and obligations or any portion of the undrawn Letter of Credit Commitment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amount of the Letter of Credit Commitment of the assigning Issuing Bank being assigned pursuant to each such assignment (determined as of the date of the Assignment and Acceptance with respect to such assignment) shall in no event be less than $1,000,000 or an integral multiple of $1,000,000 in excess thereof, and (ii) the parties to each such assignment shall execute and deliver to the Agent, for its acceptance and recording in the Register, an Assignment and Acceptance, together with a processing and recordation fee of $3,500.</w:t>
      </w:r>
    </w:p>
    <w:p>
      <w:pPr>
        <w:spacing w:after="0" w:line="102" w:lineRule="exact"/>
        <w:rPr>
          <w:rFonts w:ascii="Arial" w:cs="Arial" w:eastAsia="Arial" w:hAnsi="Arial"/>
          <w:sz w:val="16"/>
          <w:szCs w:val="16"/>
          <w:color w:val="auto"/>
        </w:rPr>
      </w:pPr>
    </w:p>
    <w:p>
      <w:pPr>
        <w:ind w:firstLine="921"/>
        <w:spacing w:after="0" w:line="259" w:lineRule="auto"/>
        <w:tabs>
          <w:tab w:leader="none" w:pos="1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Party may at any time create a security interest in all or any portion of its rights under this Agreement (including, without limitation, the Advances owing to it and any Note or Notes held by it) in favor of any Federal Reserve Bank in accordance with Regulation A of the Board of Governors of the Federal Reserve System.</w:t>
      </w:r>
    </w:p>
    <w:p>
      <w:pPr>
        <w:spacing w:after="0" w:line="12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Neither the Agent nor any Lender Party shall disclose any Confidential Information to any other Person without the consent of the Borrower, other than (a) to the Agent’s or such Lender’s Affiliates and their officers, directors, employees, agents and advisors and, as contemplated by Section 8.07(i), to actual or prospective assignees and participants, and then only on a confidential basis, (b) as required by any law, rule or regulation or judicial process, (c) to any rating agency when required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undertake to preserve the confidentiality of any Confidential Information relating to the Borrower received by it from such Lender Party and (d) as requested or required by any state, federal or foreign authority or examiner regulating banks or banking.</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Notes shall be governed by, and construed in accordance with, the laws of the State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51" w:lineRule="exact"/>
        <w:rPr>
          <w:sz w:val="20"/>
          <w:szCs w:val="20"/>
          <w:color w:val="auto"/>
        </w:rPr>
      </w:pPr>
    </w:p>
    <w:p>
      <w:pPr>
        <w:ind w:right="520" w:firstLine="913"/>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3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Judgment</w:t>
      </w:r>
      <w:r>
        <w:rPr>
          <w:rFonts w:ascii="Arial" w:cs="Arial" w:eastAsia="Arial" w:hAnsi="Arial"/>
          <w:sz w:val="18"/>
          <w:szCs w:val="18"/>
          <w:color w:val="auto"/>
        </w:rPr>
        <w:t>.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w:t>
      </w:r>
    </w:p>
    <w:p>
      <w:pPr>
        <w:spacing w:after="0" w:line="130" w:lineRule="exact"/>
        <w:rPr>
          <w:sz w:val="20"/>
          <w:szCs w:val="20"/>
          <w:color w:val="auto"/>
        </w:rPr>
      </w:pPr>
    </w:p>
    <w:p>
      <w:pPr>
        <w:ind w:right="160" w:firstLine="921"/>
        <w:spacing w:after="0" w:line="256"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for the purposes of obtaining judgment in any court it is necessary to convert a sum due hereunder in a Foreign Currency into Dollars, the parties agree to the fullest extent that they may effectively do so, that the rate of exchange used shall be that at which in accordance with normal banking procedures the Agent could purchase such Foreign Currency with Dollars at Citibank’s principal office in London at 11:00 A.M. (London time) on the Business Day preceding that on which final judgment is given.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6" w:name="page57"/>
    <w:bookmarkEnd w:id="56"/>
    <w:p>
      <w:pPr>
        <w:ind w:right="40" w:firstLine="921"/>
        <w:spacing w:after="0" w:line="289" w:lineRule="auto"/>
        <w:tabs>
          <w:tab w:leader="none" w:pos="1152"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 of the Borrower in respect of any sum due from it in any currency (the “</w:t>
      </w:r>
      <w:r>
        <w:rPr>
          <w:rFonts w:ascii="Arial" w:cs="Arial" w:eastAsia="Arial" w:hAnsi="Arial"/>
          <w:sz w:val="16"/>
          <w:szCs w:val="16"/>
          <w:u w:val="single" w:color="auto"/>
          <w:color w:val="auto"/>
        </w:rPr>
        <w:t>Primary Currency</w:t>
      </w:r>
      <w:r>
        <w:rPr>
          <w:rFonts w:ascii="Arial" w:cs="Arial" w:eastAsia="Arial" w:hAnsi="Arial"/>
          <w:sz w:val="16"/>
          <w:szCs w:val="16"/>
          <w:color w:val="auto"/>
        </w:rPr>
        <w:t>”) to any Lender Party or the Agent hereunder shall, notwithstanding any judgment in any other currency, be discharged only to the extent that on the Business Day following receipt by such Lender Party or the Agent (as the case may be), of any sum adjudged to be so due in such other currency, such Lender Party or the Agent (as the case may be) may in accordance with normal banking procedures purchase the applicable Primary Currency with such other currency; if the amount of the applicable Primary Currency so purchased is less than such sum due to such Lender Party or the Agent (as the case may be) in the applicable Primary Currency, the Borrower agrees, as a separate obligation and notwithstanding any such judgment, to indemnify such Lender Party or the Agent (as the case may be) against such loss, and if the amount of the applicable Primary Currency so purchased exceeds such sum due to any Lender Party or the Agent (as the case may be) in the applicable Primary Currency, such Lender Party or the Agent (as the case may be) agrees to remit to the Borrower such excess.</w:t>
      </w:r>
    </w:p>
    <w:p>
      <w:pPr>
        <w:spacing w:after="0" w:line="105"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u w:val="single" w:color="auto"/>
          <w:color w:val="auto"/>
        </w:rPr>
        <w:t>Jurisdiction, Etc</w:t>
      </w:r>
      <w:r>
        <w:rPr>
          <w:rFonts w:ascii="Arial" w:cs="Arial" w:eastAsia="Arial" w:hAnsi="Arial"/>
          <w:sz w:val="16"/>
          <w:szCs w:val="16"/>
          <w:color w:val="auto"/>
        </w:rPr>
        <w:t>.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The Borrower hereby further irrevocably consents to the service of process in any action or proceeding in such courts by the mailing thereof by any parties hereto by registered or certified mail, postage prepaid, to the Borrower at its address specified pursuant to Section 8.02.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06" w:lineRule="exact"/>
        <w:rPr>
          <w:sz w:val="20"/>
          <w:szCs w:val="20"/>
          <w:color w:val="auto"/>
        </w:rPr>
      </w:pPr>
    </w:p>
    <w:p>
      <w:pPr>
        <w:ind w:right="60" w:firstLine="921"/>
        <w:spacing w:after="0" w:line="256"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3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Substitution of Currency</w:t>
      </w:r>
      <w:r>
        <w:rPr>
          <w:rFonts w:ascii="Arial" w:cs="Arial" w:eastAsia="Arial" w:hAnsi="Arial"/>
          <w:sz w:val="18"/>
          <w:szCs w:val="18"/>
          <w:color w:val="auto"/>
        </w:rPr>
        <w:t>. If a change in any Foreign Currency occurs pursuant to any applicable law, rule or regulation of any governmental, monetary or multi-national authority, this Agreement (including, without limitation, the definitions of Eurocurrency Rate and LIBO Rate) will be amended to the extent determined by the Agent (acting reasonably and in consultation with the Borrower) to be necessary to reflect the change in currency and to put the Lender Parties and the Borrower in the same position, so far as possible, that they would have been in if no change in such Foreign Currency had occurred.</w:t>
      </w:r>
    </w:p>
    <w:p>
      <w:pPr>
        <w:spacing w:after="0" w:line="12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No Liability of the Issuing Banks.</w:t>
      </w:r>
      <w:r>
        <w:rPr>
          <w:rFonts w:ascii="Arial" w:cs="Arial" w:eastAsia="Arial" w:hAnsi="Arial"/>
          <w:sz w:val="16"/>
          <w:szCs w:val="16"/>
          <w:color w:val="auto"/>
        </w:rPr>
        <w:t xml:space="preserve"> The Borrower assumes all risks of the acts or omissions of any beneficiary or transferee of any Letter of Credit with respect to its use of such Letter of Credit. Neither an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Borrower that the Borrower proves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7" w:name="page58"/>
    <w:bookmarkEnd w:id="57"/>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after the presentation to it of a draft and certificates strictly complying with the terms and conditions of the Letter of Credit. In furtherance and not in limitation of the foregoing, such Issuing Bank may accept documents that appear on their face to be in order, without responsibility for further investigation, regardless of any notice or information to the contrary.</w:t>
      </w:r>
    </w:p>
    <w:p>
      <w:pPr>
        <w:spacing w:after="0" w:line="12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Each Lender hereby notifies each Borrower that pursuant to the requirements of the USA Patriot Act (Title III of Pub. L. 107-56 (signed into law October 26, 2001)) (the “Act”), it is required to obtain, verify and record information that identifies each borrower, guarantor or grantor (the “Loan Parties”), which information includes the name and address of each Loan Party and other information that will allow such Lender to identify such Loan Party in accordance with the Act.</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280" w:right="439" w:bottom="1440" w:gutter="0" w:footer="0" w:header="0"/>
        </w:sectPr>
      </w:pPr>
    </w:p>
    <w:bookmarkStart w:id="58" w:name="page59"/>
    <w:bookmarkEnd w:id="58"/>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8.16.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 the Agent and the Lender Parties hereby irrevocably waives all right to trial by jury in any action, proceeding or counterclaim (whether based on contract, tort or otherwise) arising out of or relating to this Agreement or the Notes or the actions of the Agent or any Lender Party in the negotiation, administration, performance or enforcement thereof.</w:t>
      </w:r>
    </w:p>
    <w:p>
      <w:pPr>
        <w:spacing w:after="0" w:line="12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MANPOWER INC.</w:t>
            </w:r>
          </w:p>
        </w:tc>
      </w:tr>
      <w:tr>
        <w:trPr>
          <w:trHeight w:val="432"/>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5020" w:type="dxa"/>
            <w:vAlign w:val="bottom"/>
            <w:gridSpan w:val="3"/>
          </w:tcPr>
          <w:p>
            <w:pPr>
              <w:spacing w:after="0"/>
              <w:rPr>
                <w:sz w:val="20"/>
                <w:szCs w:val="20"/>
                <w:color w:val="auto"/>
              </w:rPr>
            </w:pPr>
            <w:r>
              <w:rPr>
                <w:rFonts w:ascii="Arial" w:cs="Arial" w:eastAsia="Arial" w:hAnsi="Arial"/>
                <w:sz w:val="18"/>
                <w:szCs w:val="18"/>
                <w:color w:val="auto"/>
              </w:rPr>
              <w:t>/s/ Lesley A. Noer</w:t>
            </w:r>
          </w:p>
        </w:tc>
      </w:tr>
      <w:tr>
        <w:trPr>
          <w:trHeight w:val="110"/>
        </w:trPr>
        <w:tc>
          <w:tcPr>
            <w:tcW w:w="17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5020" w:type="dxa"/>
            <w:vAlign w:val="bottom"/>
            <w:gridSpan w:val="3"/>
          </w:tcPr>
          <w:p>
            <w:pPr>
              <w:spacing w:after="0"/>
              <w:rPr>
                <w:sz w:val="20"/>
                <w:szCs w:val="20"/>
                <w:color w:val="auto"/>
              </w:rPr>
            </w:pPr>
            <w:r>
              <w:rPr>
                <w:rFonts w:ascii="Arial" w:cs="Arial" w:eastAsia="Arial" w:hAnsi="Arial"/>
                <w:sz w:val="18"/>
                <w:szCs w:val="18"/>
                <w:color w:val="auto"/>
              </w:rPr>
              <w:t>Vice President, Treasurer</w:t>
            </w:r>
          </w:p>
        </w:tc>
      </w:tr>
      <w:tr>
        <w:trPr>
          <w:trHeight w:val="426"/>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CITIBANK, N.A.,</w:t>
            </w:r>
          </w:p>
        </w:tc>
      </w:tr>
      <w:tr>
        <w:trPr>
          <w:trHeight w:val="222"/>
        </w:trPr>
        <w:tc>
          <w:tcPr>
            <w:tcW w:w="1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80" w:type="dxa"/>
            <w:vAlign w:val="bottom"/>
            <w:gridSpan w:val="4"/>
          </w:tcPr>
          <w:p>
            <w:pPr>
              <w:ind w:left="360"/>
              <w:spacing w:after="0"/>
              <w:rPr>
                <w:sz w:val="20"/>
                <w:szCs w:val="20"/>
                <w:color w:val="auto"/>
              </w:rPr>
            </w:pPr>
            <w:r>
              <w:rPr>
                <w:rFonts w:ascii="Arial" w:cs="Arial" w:eastAsia="Arial" w:hAnsi="Arial"/>
                <w:sz w:val="18"/>
                <w:szCs w:val="18"/>
                <w:color w:val="auto"/>
              </w:rPr>
              <w:t>as Agent</w:t>
            </w:r>
          </w:p>
        </w:tc>
      </w:tr>
      <w:tr>
        <w:trPr>
          <w:trHeight w:val="432"/>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5020" w:type="dxa"/>
            <w:vAlign w:val="bottom"/>
            <w:gridSpan w:val="3"/>
          </w:tcPr>
          <w:p>
            <w:pPr>
              <w:spacing w:after="0"/>
              <w:rPr>
                <w:sz w:val="20"/>
                <w:szCs w:val="20"/>
                <w:color w:val="auto"/>
              </w:rPr>
            </w:pPr>
            <w:r>
              <w:rPr>
                <w:rFonts w:ascii="Arial" w:cs="Arial" w:eastAsia="Arial" w:hAnsi="Arial"/>
                <w:sz w:val="18"/>
                <w:szCs w:val="18"/>
                <w:color w:val="auto"/>
              </w:rPr>
              <w:t>/s/ Judith Green</w:t>
            </w:r>
          </w:p>
        </w:tc>
      </w:tr>
      <w:tr>
        <w:trPr>
          <w:trHeight w:val="110"/>
        </w:trPr>
        <w:tc>
          <w:tcPr>
            <w:tcW w:w="17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5020" w:type="dxa"/>
            <w:vAlign w:val="bottom"/>
            <w:gridSpan w:val="3"/>
          </w:tcPr>
          <w:p>
            <w:pPr>
              <w:spacing w:after="0"/>
              <w:rPr>
                <w:sz w:val="20"/>
                <w:szCs w:val="20"/>
                <w:color w:val="auto"/>
              </w:rPr>
            </w:pPr>
            <w:r>
              <w:rPr>
                <w:rFonts w:ascii="Arial" w:cs="Arial" w:eastAsia="Arial" w:hAnsi="Arial"/>
                <w:sz w:val="18"/>
                <w:szCs w:val="18"/>
                <w:color w:val="auto"/>
              </w:rPr>
              <w:t>Vice President</w:t>
            </w:r>
          </w:p>
        </w:tc>
      </w:tr>
      <w:tr>
        <w:trPr>
          <w:trHeight w:val="394"/>
        </w:trPr>
        <w:tc>
          <w:tcPr>
            <w:tcW w:w="3500" w:type="dxa"/>
            <w:vAlign w:val="bottom"/>
            <w:gridSpan w:val="2"/>
          </w:tcPr>
          <w:p>
            <w:pPr>
              <w:spacing w:after="0"/>
              <w:rPr>
                <w:sz w:val="20"/>
                <w:szCs w:val="20"/>
                <w:color w:val="auto"/>
              </w:rPr>
            </w:pPr>
            <w:r>
              <w:rPr>
                <w:rFonts w:ascii="Arial" w:cs="Arial" w:eastAsia="Arial" w:hAnsi="Arial"/>
                <w:sz w:val="18"/>
                <w:szCs w:val="18"/>
                <w:color w:val="auto"/>
              </w:rPr>
              <w:t>Revolving Commitment</w:t>
            </w: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12"/>
        </w:trPr>
        <w:tc>
          <w:tcPr>
            <w:tcW w:w="17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7920" w:type="dxa"/>
            <w:vAlign w:val="bottom"/>
            <w:gridSpan w:val="6"/>
          </w:tcPr>
          <w:p>
            <w:pPr>
              <w:ind w:left="1780"/>
              <w:spacing w:after="0"/>
              <w:rPr>
                <w:sz w:val="20"/>
                <w:szCs w:val="20"/>
                <w:color w:val="auto"/>
              </w:rPr>
            </w:pPr>
            <w:r>
              <w:rPr>
                <w:rFonts w:ascii="Arial" w:cs="Arial" w:eastAsia="Arial" w:hAnsi="Arial"/>
                <w:sz w:val="18"/>
                <w:szCs w:val="18"/>
                <w:color w:val="auto"/>
              </w:rPr>
              <w:t>Administrative Agent</w:t>
            </w:r>
          </w:p>
        </w:tc>
      </w:tr>
      <w:tr>
        <w:trPr>
          <w:trHeight w:val="20"/>
        </w:trPr>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51"/>
        </w:trPr>
        <w:tc>
          <w:tcPr>
            <w:tcW w:w="1700" w:type="dxa"/>
            <w:vAlign w:val="bottom"/>
          </w:tcPr>
          <w:p>
            <w:pPr>
              <w:spacing w:after="0"/>
              <w:rPr>
                <w:sz w:val="20"/>
                <w:szCs w:val="20"/>
                <w:color w:val="auto"/>
              </w:rPr>
            </w:pPr>
            <w:r>
              <w:rPr>
                <w:rFonts w:ascii="Arial" w:cs="Arial" w:eastAsia="Arial" w:hAnsi="Arial"/>
                <w:sz w:val="18"/>
                <w:szCs w:val="18"/>
                <w:color w:val="auto"/>
              </w:rPr>
              <w:t>$62,000,000</w:t>
            </w: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CITIBANK, N.A.</w:t>
            </w:r>
          </w:p>
        </w:tc>
      </w:tr>
      <w:tr>
        <w:trPr>
          <w:trHeight w:val="432"/>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5020" w:type="dxa"/>
            <w:vAlign w:val="bottom"/>
            <w:gridSpan w:val="3"/>
          </w:tcPr>
          <w:p>
            <w:pPr>
              <w:spacing w:after="0"/>
              <w:rPr>
                <w:sz w:val="20"/>
                <w:szCs w:val="20"/>
                <w:color w:val="auto"/>
              </w:rPr>
            </w:pPr>
            <w:r>
              <w:rPr>
                <w:rFonts w:ascii="Arial" w:cs="Arial" w:eastAsia="Arial" w:hAnsi="Arial"/>
                <w:sz w:val="18"/>
                <w:szCs w:val="18"/>
                <w:color w:val="auto"/>
              </w:rPr>
              <w:t>/s/ Judith Green</w:t>
            </w:r>
          </w:p>
        </w:tc>
      </w:tr>
      <w:tr>
        <w:trPr>
          <w:trHeight w:val="110"/>
        </w:trPr>
        <w:tc>
          <w:tcPr>
            <w:tcW w:w="17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5020" w:type="dxa"/>
            <w:vAlign w:val="bottom"/>
            <w:gridSpan w:val="3"/>
          </w:tcPr>
          <w:p>
            <w:pPr>
              <w:spacing w:after="0"/>
              <w:rPr>
                <w:sz w:val="20"/>
                <w:szCs w:val="20"/>
                <w:color w:val="auto"/>
              </w:rPr>
            </w:pPr>
            <w:r>
              <w:rPr>
                <w:rFonts w:ascii="Arial" w:cs="Arial" w:eastAsia="Arial" w:hAnsi="Arial"/>
                <w:sz w:val="18"/>
                <w:szCs w:val="18"/>
                <w:color w:val="auto"/>
              </w:rPr>
              <w:t>Vice President</w:t>
            </w:r>
          </w:p>
        </w:tc>
      </w:tr>
      <w:tr>
        <w:trPr>
          <w:trHeight w:val="394"/>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920" w:type="dxa"/>
            <w:vAlign w:val="bottom"/>
            <w:gridSpan w:val="6"/>
          </w:tcPr>
          <w:p>
            <w:pPr>
              <w:ind w:left="1780"/>
              <w:spacing w:after="0"/>
              <w:rPr>
                <w:sz w:val="20"/>
                <w:szCs w:val="20"/>
                <w:color w:val="auto"/>
              </w:rPr>
            </w:pPr>
            <w:r>
              <w:rPr>
                <w:rFonts w:ascii="Arial" w:cs="Arial" w:eastAsia="Arial" w:hAnsi="Arial"/>
                <w:sz w:val="18"/>
                <w:szCs w:val="18"/>
                <w:color w:val="auto"/>
              </w:rPr>
              <w:t>Syndication Agent</w:t>
            </w:r>
          </w:p>
        </w:tc>
      </w:tr>
      <w:tr>
        <w:trPr>
          <w:trHeight w:val="20"/>
        </w:trPr>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r>
      <w:tr>
        <w:trPr>
          <w:trHeight w:val="451"/>
        </w:trPr>
        <w:tc>
          <w:tcPr>
            <w:tcW w:w="1700" w:type="dxa"/>
            <w:vAlign w:val="bottom"/>
          </w:tcPr>
          <w:p>
            <w:pPr>
              <w:spacing w:after="0"/>
              <w:rPr>
                <w:sz w:val="20"/>
                <w:szCs w:val="20"/>
                <w:color w:val="auto"/>
              </w:rPr>
            </w:pPr>
            <w:r>
              <w:rPr>
                <w:rFonts w:ascii="Arial" w:cs="Arial" w:eastAsia="Arial" w:hAnsi="Arial"/>
                <w:sz w:val="18"/>
                <w:szCs w:val="18"/>
                <w:color w:val="auto"/>
              </w:rPr>
              <w:t>$62,000,000</w:t>
            </w: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WACHOVIA BANK, NATIONAL ASSOCIATION</w:t>
            </w:r>
          </w:p>
        </w:tc>
      </w:tr>
      <w:tr>
        <w:trPr>
          <w:trHeight w:val="432"/>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5020" w:type="dxa"/>
            <w:vAlign w:val="bottom"/>
            <w:gridSpan w:val="3"/>
          </w:tcPr>
          <w:p>
            <w:pPr>
              <w:spacing w:after="0"/>
              <w:rPr>
                <w:sz w:val="20"/>
                <w:szCs w:val="20"/>
                <w:color w:val="auto"/>
              </w:rPr>
            </w:pPr>
            <w:r>
              <w:rPr>
                <w:rFonts w:ascii="Arial" w:cs="Arial" w:eastAsia="Arial" w:hAnsi="Arial"/>
                <w:sz w:val="18"/>
                <w:szCs w:val="18"/>
                <w:color w:val="auto"/>
              </w:rPr>
              <w:t>/s/ Steven Hipsman</w:t>
            </w:r>
          </w:p>
        </w:tc>
      </w:tr>
      <w:tr>
        <w:trPr>
          <w:trHeight w:val="110"/>
        </w:trPr>
        <w:tc>
          <w:tcPr>
            <w:tcW w:w="17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502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394"/>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00" w:type="dxa"/>
            <w:vAlign w:val="bottom"/>
            <w:gridSpan w:val="3"/>
          </w:tcPr>
          <w:p>
            <w:pPr>
              <w:ind w:left="1780"/>
              <w:spacing w:after="0"/>
              <w:rPr>
                <w:sz w:val="20"/>
                <w:szCs w:val="20"/>
                <w:color w:val="auto"/>
              </w:rPr>
            </w:pPr>
            <w:r>
              <w:rPr>
                <w:rFonts w:ascii="Arial" w:cs="Arial" w:eastAsia="Arial" w:hAnsi="Arial"/>
                <w:sz w:val="18"/>
                <w:szCs w:val="18"/>
                <w:color w:val="auto"/>
              </w:rPr>
              <w:t>Lenders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51"/>
        </w:trPr>
        <w:tc>
          <w:tcPr>
            <w:tcW w:w="1700" w:type="dxa"/>
            <w:vAlign w:val="bottom"/>
          </w:tcPr>
          <w:p>
            <w:pPr>
              <w:spacing w:after="0"/>
              <w:rPr>
                <w:sz w:val="20"/>
                <w:szCs w:val="20"/>
                <w:color w:val="auto"/>
              </w:rPr>
            </w:pPr>
            <w:r>
              <w:rPr>
                <w:rFonts w:ascii="Arial" w:cs="Arial" w:eastAsia="Arial" w:hAnsi="Arial"/>
                <w:sz w:val="18"/>
                <w:szCs w:val="18"/>
                <w:color w:val="auto"/>
              </w:rPr>
              <w:t>$45,000,000</w:t>
            </w: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BNP PARIBAS</w:t>
            </w:r>
          </w:p>
        </w:tc>
      </w:tr>
      <w:tr>
        <w:trPr>
          <w:trHeight w:val="432"/>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5020" w:type="dxa"/>
            <w:vAlign w:val="bottom"/>
            <w:gridSpan w:val="3"/>
          </w:tcPr>
          <w:p>
            <w:pPr>
              <w:spacing w:after="0"/>
              <w:rPr>
                <w:sz w:val="20"/>
                <w:szCs w:val="20"/>
                <w:color w:val="auto"/>
              </w:rPr>
            </w:pPr>
            <w:r>
              <w:rPr>
                <w:rFonts w:ascii="Arial" w:cs="Arial" w:eastAsia="Arial" w:hAnsi="Arial"/>
                <w:sz w:val="18"/>
                <w:szCs w:val="18"/>
                <w:color w:val="auto"/>
              </w:rPr>
              <w:t>/s/ Rosalie C. Hawley</w:t>
            </w:r>
          </w:p>
        </w:tc>
      </w:tr>
      <w:tr>
        <w:trPr>
          <w:trHeight w:val="110"/>
        </w:trPr>
        <w:tc>
          <w:tcPr>
            <w:tcW w:w="17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502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432"/>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5020" w:type="dxa"/>
            <w:vAlign w:val="bottom"/>
            <w:gridSpan w:val="3"/>
          </w:tcPr>
          <w:p>
            <w:pPr>
              <w:spacing w:after="0"/>
              <w:rPr>
                <w:sz w:val="20"/>
                <w:szCs w:val="20"/>
                <w:color w:val="auto"/>
              </w:rPr>
            </w:pPr>
            <w:r>
              <w:rPr>
                <w:rFonts w:ascii="Arial" w:cs="Arial" w:eastAsia="Arial" w:hAnsi="Arial"/>
                <w:sz w:val="18"/>
                <w:szCs w:val="18"/>
                <w:color w:val="auto"/>
              </w:rPr>
              <w:t>/s/ Christine L. Howatt</w:t>
            </w:r>
          </w:p>
        </w:tc>
      </w:tr>
      <w:tr>
        <w:trPr>
          <w:trHeight w:val="110"/>
        </w:trPr>
        <w:tc>
          <w:tcPr>
            <w:tcW w:w="17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r>
        <w:trPr>
          <w:trHeight w:val="316"/>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502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365"/>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$45,000,000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BANK ONE, NA</w:t>
            </w: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Anthony F. Maggiore</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 Capital Markets</w:t>
            </w: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$45,000,000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THE ROYAL BANK OF SCOTLAND PLC</w:t>
            </w: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Philippe Sandmeier</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26"/>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$30,000,000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BANK OF TOKYO-MITSUBISHI, LTD.,</w:t>
            </w:r>
          </w:p>
        </w:tc>
      </w:tr>
      <w:tr>
        <w:trPr>
          <w:trHeight w:val="222"/>
        </w:trPr>
        <w:tc>
          <w:tcPr>
            <w:tcW w:w="3200" w:type="dxa"/>
            <w:vAlign w:val="bottom"/>
          </w:tcPr>
          <w:p>
            <w:pPr>
              <w:spacing w:after="0"/>
              <w:rPr>
                <w:sz w:val="19"/>
                <w:szCs w:val="19"/>
                <w:color w:val="auto"/>
              </w:rPr>
            </w:pP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CHICAGO BRANCH</w:t>
            </w:r>
          </w:p>
        </w:tc>
      </w:tr>
      <w:tr>
        <w:trPr>
          <w:trHeight w:val="44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Shinichiro Munechika</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Deputy General Manager</w:t>
            </w: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$30,000,000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BANK OF AMERICA, N.A.</w:t>
            </w: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B. Kenneth Burton, Jr.</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$30,000,000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BARCLAYS BANK PLC</w:t>
            </w: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Danny Lopez</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$30,000,000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CALYON NEW YORK BRANCH</w:t>
            </w: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Thomas P. Gillis</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Joseph A. Philbin</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$30,000,000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M&amp;I MARSHALL AND ILSLEY BANK</w:t>
            </w: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Leo D. Freeman</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Thomas F. Bickelhaupt</w:t>
            </w: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365"/>
        </w:trPr>
        <w:tc>
          <w:tcPr>
            <w:tcW w:w="3200" w:type="dxa"/>
            <w:vAlign w:val="bottom"/>
          </w:tcPr>
          <w:p>
            <w:pPr>
              <w:spacing w:after="0"/>
              <w:rPr>
                <w:sz w:val="24"/>
                <w:szCs w:val="24"/>
                <w:color w:val="auto"/>
              </w:rPr>
            </w:pPr>
          </w:p>
        </w:tc>
        <w:tc>
          <w:tcPr>
            <w:tcW w:w="2860" w:type="dxa"/>
            <w:vAlign w:val="bottom"/>
          </w:tcPr>
          <w:p>
            <w:pPr>
              <w:ind w:left="2420"/>
              <w:spacing w:after="0"/>
              <w:rPr>
                <w:sz w:val="20"/>
                <w:szCs w:val="20"/>
                <w:color w:val="auto"/>
              </w:rPr>
            </w:pPr>
            <w:r>
              <w:rPr>
                <w:rFonts w:ascii="Arial" w:cs="Arial" w:eastAsia="Arial" w:hAnsi="Arial"/>
                <w:sz w:val="18"/>
                <w:szCs w:val="18"/>
                <w:color w:val="auto"/>
              </w:rPr>
              <w:t>52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0" w:name="page61"/>
    <w:bookmarkEnd w:id="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$30,000,000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MIZUHO CORPORATE BANK, LTD.</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Greg Botshon</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$30,000,000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SOCIETE GENERALE</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Melissa Goeder</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$30,000,000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SUMITOMO MITSUI BANKING CORPORATION</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Yasuhiko Imai</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vMerge w:val="restart"/>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$18,000,000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BANCA NAZIONALE DEL LAVORO S.p.A.</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Francesco Di Mario</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Manager</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Carlo Vecchi</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Manager</w:t>
            </w:r>
          </w:p>
        </w:tc>
        <w:tc>
          <w:tcPr>
            <w:tcW w:w="0" w:type="dxa"/>
            <w:vAlign w:val="bottom"/>
          </w:tcPr>
          <w:p>
            <w:pPr>
              <w:spacing w:after="0"/>
              <w:rPr>
                <w:sz w:val="1"/>
                <w:szCs w:val="1"/>
                <w:color w:val="auto"/>
              </w:rPr>
            </w:pP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$18,000,000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NORDEA BANK FINLAND PLC, NEW YORK BRANCH</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Gerald E. Chelius, Jr.</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Henrik M. Steffensen</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First Vice President</w:t>
            </w:r>
          </w:p>
        </w:tc>
        <w:tc>
          <w:tcPr>
            <w:tcW w:w="0" w:type="dxa"/>
            <w:vAlign w:val="bottom"/>
          </w:tcPr>
          <w:p>
            <w:pPr>
              <w:spacing w:after="0"/>
              <w:rPr>
                <w:sz w:val="1"/>
                <w:szCs w:val="1"/>
                <w:color w:val="auto"/>
              </w:rPr>
            </w:pP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$18,000,000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PNC BANK, NATIONAL ASSOCIATION</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Jeffrey L. Stein</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00" w:type="dxa"/>
            <w:vAlign w:val="bottom"/>
          </w:tcPr>
          <w:p>
            <w:pPr>
              <w:jc w:val="right"/>
              <w:ind w:right="2232"/>
              <w:spacing w:after="0"/>
              <w:rPr>
                <w:sz w:val="20"/>
                <w:szCs w:val="20"/>
                <w:color w:val="auto"/>
              </w:rPr>
            </w:pPr>
            <w:r>
              <w:rPr>
                <w:rFonts w:ascii="Arial" w:cs="Arial" w:eastAsia="Arial" w:hAnsi="Arial"/>
                <w:sz w:val="18"/>
                <w:szCs w:val="18"/>
                <w:color w:val="auto"/>
                <w:w w:val="85"/>
              </w:rPr>
              <w:t>$18,000,000</w:t>
            </w:r>
          </w:p>
        </w:tc>
        <w:tc>
          <w:tcPr>
            <w:tcW w:w="8220" w:type="dxa"/>
            <w:vAlign w:val="bottom"/>
            <w:gridSpan w:val="2"/>
          </w:tcPr>
          <w:p>
            <w:pPr>
              <w:ind w:left="2300"/>
              <w:spacing w:after="0"/>
              <w:rPr>
                <w:sz w:val="20"/>
                <w:szCs w:val="20"/>
                <w:color w:val="auto"/>
              </w:rPr>
            </w:pPr>
            <w:r>
              <w:rPr>
                <w:rFonts w:ascii="Arial" w:cs="Arial" w:eastAsia="Arial" w:hAnsi="Arial"/>
                <w:sz w:val="18"/>
                <w:szCs w:val="18"/>
                <w:color w:val="auto"/>
              </w:rPr>
              <w:t>UNICREDITO ITALIANO</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Gianni Franco Papa</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 and General Manager</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Charles Michael</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365"/>
        </w:trPr>
        <w:tc>
          <w:tcPr>
            <w:tcW w:w="3200" w:type="dxa"/>
            <w:vAlign w:val="bottom"/>
          </w:tcPr>
          <w:p>
            <w:pPr>
              <w:spacing w:after="0"/>
              <w:rPr>
                <w:sz w:val="24"/>
                <w:szCs w:val="24"/>
                <w:color w:val="auto"/>
              </w:rPr>
            </w:pPr>
          </w:p>
        </w:tc>
        <w:tc>
          <w:tcPr>
            <w:tcW w:w="2860" w:type="dxa"/>
            <w:vAlign w:val="bottom"/>
          </w:tcPr>
          <w:p>
            <w:pPr>
              <w:ind w:left="2420"/>
              <w:spacing w:after="0"/>
              <w:rPr>
                <w:sz w:val="20"/>
                <w:szCs w:val="20"/>
                <w:color w:val="auto"/>
              </w:rPr>
            </w:pPr>
            <w:r>
              <w:rPr>
                <w:rFonts w:ascii="Arial" w:cs="Arial" w:eastAsia="Arial" w:hAnsi="Arial"/>
                <w:sz w:val="18"/>
                <w:szCs w:val="18"/>
                <w:color w:val="auto"/>
              </w:rPr>
              <w:t>53</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$18,000,000</w:t>
            </w:r>
          </w:p>
        </w:tc>
        <w:tc>
          <w:tcPr>
            <w:tcW w:w="10240" w:type="dxa"/>
            <w:vAlign w:val="bottom"/>
            <w:gridSpan w:val="2"/>
          </w:tcPr>
          <w:p>
            <w:pPr>
              <w:ind w:left="4320"/>
              <w:spacing w:after="0"/>
              <w:rPr>
                <w:sz w:val="20"/>
                <w:szCs w:val="20"/>
                <w:color w:val="auto"/>
              </w:rPr>
            </w:pPr>
            <w:r>
              <w:rPr>
                <w:rFonts w:ascii="Arial" w:cs="Arial" w:eastAsia="Arial" w:hAnsi="Arial"/>
                <w:sz w:val="18"/>
                <w:szCs w:val="18"/>
                <w:color w:val="auto"/>
              </w:rPr>
              <w:t>U.S. BANK NATIONAL ASSOCIATION</w:t>
            </w:r>
          </w:p>
        </w:tc>
      </w:tr>
      <w:tr>
        <w:trPr>
          <w:trHeight w:val="432"/>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Caroline V. Krider</w:t>
            </w:r>
          </w:p>
        </w:tc>
      </w:tr>
      <w:tr>
        <w:trPr>
          <w:trHeight w:val="110"/>
        </w:trPr>
        <w:tc>
          <w:tcPr>
            <w:tcW w:w="118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 and Senior Lender</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$18,000,000</w:t>
            </w:r>
          </w:p>
        </w:tc>
        <w:tc>
          <w:tcPr>
            <w:tcW w:w="10240" w:type="dxa"/>
            <w:vAlign w:val="bottom"/>
            <w:gridSpan w:val="2"/>
          </w:tcPr>
          <w:p>
            <w:pPr>
              <w:ind w:left="4320"/>
              <w:spacing w:after="0"/>
              <w:rPr>
                <w:sz w:val="20"/>
                <w:szCs w:val="20"/>
                <w:color w:val="auto"/>
              </w:rPr>
            </w:pPr>
            <w:r>
              <w:rPr>
                <w:rFonts w:ascii="Arial" w:cs="Arial" w:eastAsia="Arial" w:hAnsi="Arial"/>
                <w:sz w:val="18"/>
                <w:szCs w:val="18"/>
                <w:color w:val="auto"/>
              </w:rPr>
              <w:t>WELLS FARGO BANK</w:t>
            </w:r>
          </w:p>
        </w:tc>
      </w:tr>
      <w:tr>
        <w:trPr>
          <w:trHeight w:val="432"/>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Charles Reed</w:t>
            </w:r>
          </w:p>
        </w:tc>
      </w:tr>
      <w:tr>
        <w:trPr>
          <w:trHeight w:val="110"/>
        </w:trPr>
        <w:tc>
          <w:tcPr>
            <w:tcW w:w="118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Kathleen Savard</w:t>
            </w:r>
          </w:p>
        </w:tc>
      </w:tr>
      <w:tr>
        <w:trPr>
          <w:trHeight w:val="110"/>
        </w:trPr>
        <w:tc>
          <w:tcPr>
            <w:tcW w:w="118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$18,000,000</w:t>
            </w:r>
          </w:p>
        </w:tc>
        <w:tc>
          <w:tcPr>
            <w:tcW w:w="10240" w:type="dxa"/>
            <w:vAlign w:val="bottom"/>
            <w:gridSpan w:val="2"/>
          </w:tcPr>
          <w:p>
            <w:pPr>
              <w:ind w:left="4320"/>
              <w:spacing w:after="0"/>
              <w:rPr>
                <w:sz w:val="20"/>
                <w:szCs w:val="20"/>
                <w:color w:val="auto"/>
              </w:rPr>
            </w:pPr>
            <w:r>
              <w:rPr>
                <w:rFonts w:ascii="Arial" w:cs="Arial" w:eastAsia="Arial" w:hAnsi="Arial"/>
                <w:sz w:val="18"/>
                <w:szCs w:val="18"/>
                <w:color w:val="auto"/>
              </w:rPr>
              <w:t>BANCA INTESA S.p.A.</w:t>
            </w:r>
          </w:p>
        </w:tc>
      </w:tr>
      <w:tr>
        <w:trPr>
          <w:trHeight w:val="432"/>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Frank Maffei</w:t>
            </w:r>
          </w:p>
        </w:tc>
      </w:tr>
      <w:tr>
        <w:trPr>
          <w:trHeight w:val="110"/>
        </w:trPr>
        <w:tc>
          <w:tcPr>
            <w:tcW w:w="118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Anthony F. Giobbi</w:t>
            </w:r>
          </w:p>
        </w:tc>
      </w:tr>
      <w:tr>
        <w:trPr>
          <w:trHeight w:val="110"/>
        </w:trPr>
        <w:tc>
          <w:tcPr>
            <w:tcW w:w="118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1180" w:type="dxa"/>
            <w:vAlign w:val="bottom"/>
          </w:tcPr>
          <w:p>
            <w:pPr>
              <w:spacing w:after="0"/>
              <w:rPr>
                <w:sz w:val="24"/>
                <w:szCs w:val="24"/>
                <w:color w:val="auto"/>
              </w:rPr>
            </w:pPr>
          </w:p>
        </w:tc>
        <w:tc>
          <w:tcPr>
            <w:tcW w:w="4880" w:type="dxa"/>
            <w:vAlign w:val="bottom"/>
          </w:tcPr>
          <w:p>
            <w:pPr>
              <w:ind w:left="43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First Vice President</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$625,000,000</w:t>
            </w:r>
          </w:p>
        </w:tc>
        <w:tc>
          <w:tcPr>
            <w:tcW w:w="4880" w:type="dxa"/>
            <w:vAlign w:val="bottom"/>
          </w:tcPr>
          <w:p>
            <w:pPr>
              <w:ind w:left="200"/>
              <w:spacing w:after="0"/>
              <w:rPr>
                <w:sz w:val="20"/>
                <w:szCs w:val="20"/>
                <w:color w:val="auto"/>
              </w:rPr>
            </w:pPr>
            <w:r>
              <w:rPr>
                <w:rFonts w:ascii="Arial" w:cs="Arial" w:eastAsia="Arial" w:hAnsi="Arial"/>
                <w:sz w:val="18"/>
                <w:szCs w:val="18"/>
                <w:color w:val="auto"/>
              </w:rPr>
              <w:t>Total of the Commitments</w:t>
            </w:r>
          </w:p>
        </w:tc>
        <w:tc>
          <w:tcPr>
            <w:tcW w:w="5360" w:type="dxa"/>
            <w:vAlign w:val="bottom"/>
          </w:tcPr>
          <w:p>
            <w:pPr>
              <w:spacing w:after="0"/>
              <w:rPr>
                <w:sz w:val="24"/>
                <w:szCs w:val="24"/>
                <w:color w:val="auto"/>
              </w:rPr>
            </w:pPr>
          </w:p>
        </w:tc>
      </w:tr>
      <w:tr>
        <w:trPr>
          <w:trHeight w:val="365"/>
        </w:trPr>
        <w:tc>
          <w:tcPr>
            <w:tcW w:w="1180" w:type="dxa"/>
            <w:vAlign w:val="bottom"/>
          </w:tcPr>
          <w:p>
            <w:pPr>
              <w:spacing w:after="0"/>
              <w:rPr>
                <w:sz w:val="24"/>
                <w:szCs w:val="24"/>
                <w:color w:val="auto"/>
              </w:rPr>
            </w:pPr>
          </w:p>
        </w:tc>
        <w:tc>
          <w:tcPr>
            <w:tcW w:w="4880" w:type="dxa"/>
            <w:vAlign w:val="bottom"/>
          </w:tcPr>
          <w:p>
            <w:pPr>
              <w:ind w:left="4440"/>
              <w:spacing w:after="0"/>
              <w:rPr>
                <w:sz w:val="20"/>
                <w:szCs w:val="20"/>
                <w:color w:val="auto"/>
              </w:rPr>
            </w:pPr>
            <w:r>
              <w:rPr>
                <w:rFonts w:ascii="Arial" w:cs="Arial" w:eastAsia="Arial" w:hAnsi="Arial"/>
                <w:sz w:val="18"/>
                <w:szCs w:val="18"/>
                <w:color w:val="auto"/>
              </w:rPr>
              <w:t>54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of Credit Commitment</w:t>
      </w:r>
    </w:p>
    <w:p>
      <w:pPr>
        <w:spacing w:after="0" w:line="15" w:lineRule="exact"/>
        <w:rPr>
          <w:sz w:val="20"/>
          <w:szCs w:val="20"/>
          <w:color w:val="auto"/>
        </w:rPr>
      </w:pPr>
    </w:p>
    <w:p>
      <w:pPr>
        <w:ind w:left="5500"/>
        <w:spacing w:after="0"/>
        <w:tabs>
          <w:tab w:leader="none" w:pos="6800" w:val="left"/>
        </w:tabs>
        <w:rPr>
          <w:sz w:val="20"/>
          <w:szCs w:val="20"/>
          <w:color w:val="auto"/>
        </w:rPr>
      </w:pPr>
      <w:r>
        <w:rPr>
          <w:rFonts w:ascii="Arial" w:cs="Arial" w:eastAsia="Arial" w:hAnsi="Arial"/>
          <w:sz w:val="18"/>
          <w:szCs w:val="18"/>
          <w:color w:val="auto"/>
        </w:rPr>
        <w:t>$150,000,000</w:t>
      </w:r>
      <w:r>
        <w:rPr>
          <w:sz w:val="20"/>
          <w:szCs w:val="20"/>
          <w:color w:val="auto"/>
        </w:rPr>
        <w:tab/>
      </w:r>
      <w:r>
        <w:rPr>
          <w:rFonts w:ascii="Arial" w:cs="Arial" w:eastAsia="Arial" w:hAnsi="Arial"/>
          <w:sz w:val="16"/>
          <w:szCs w:val="16"/>
          <w:color w:val="auto"/>
        </w:rPr>
        <w:t>CALYON, NEW YORK BRANCH</w:t>
      </w:r>
    </w:p>
    <w:p>
      <w:pPr>
        <w:spacing w:after="0" w:line="219" w:lineRule="exact"/>
        <w:rPr>
          <w:sz w:val="20"/>
          <w:szCs w:val="20"/>
          <w:color w:val="auto"/>
        </w:rPr>
      </w:pPr>
    </w:p>
    <w:tbl>
      <w:tblPr>
        <w:tblLayout w:type="fixed"/>
        <w:tblInd w:w="550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Thomas P. Gillis</w:t>
            </w:r>
          </w:p>
        </w:tc>
      </w:tr>
      <w:tr>
        <w:trPr>
          <w:trHeight w:val="110"/>
        </w:trPr>
        <w:tc>
          <w:tcPr>
            <w:tcW w:w="5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Joseph A. Philbin</w:t>
            </w:r>
          </w:p>
        </w:tc>
      </w:tr>
      <w:tr>
        <w:trPr>
          <w:trHeight w:val="110"/>
        </w:trPr>
        <w:tc>
          <w:tcPr>
            <w:tcW w:w="5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560" w:type="dxa"/>
            <w:vAlign w:val="bottom"/>
          </w:tcPr>
          <w:p>
            <w:pPr>
              <w:ind w:left="120"/>
              <w:spacing w:after="0"/>
              <w:rPr>
                <w:sz w:val="20"/>
                <w:szCs w:val="20"/>
                <w:color w:val="auto"/>
              </w:rPr>
            </w:pPr>
            <w:r>
              <w:rPr>
                <w:rFonts w:ascii="Arial" w:cs="Arial" w:eastAsia="Arial" w:hAnsi="Arial"/>
                <w:sz w:val="18"/>
                <w:szCs w:val="18"/>
                <w:color w:val="auto"/>
              </w:rPr>
              <w:t>55</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3" w:name="page64"/>
    <w:bookmarkEnd w:id="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SCHEDULE I</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MANPOWER INC.</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FIVE YEAR CREDIT AGREEMENT</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APPLICABLE LENDING OFFICES</w:t>
            </w:r>
          </w:p>
        </w:tc>
      </w:tr>
      <w:tr>
        <w:trPr>
          <w:trHeight w:val="312"/>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 of Initial Lender</w:t>
            </w:r>
          </w:p>
        </w:tc>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Domestic Lending Office</w:t>
            </w:r>
          </w:p>
        </w:tc>
        <w:tc>
          <w:tcPr>
            <w:tcW w:w="4220" w:type="dxa"/>
            <w:vAlign w:val="bottom"/>
            <w:gridSpan w:val="3"/>
          </w:tcPr>
          <w:p>
            <w:pPr>
              <w:ind w:left="700"/>
              <w:spacing w:after="0"/>
              <w:rPr>
                <w:sz w:val="20"/>
                <w:szCs w:val="20"/>
                <w:color w:val="auto"/>
              </w:rPr>
            </w:pPr>
            <w:r>
              <w:rPr>
                <w:rFonts w:ascii="Arial" w:cs="Arial" w:eastAsia="Arial" w:hAnsi="Arial"/>
                <w:sz w:val="14"/>
                <w:szCs w:val="14"/>
                <w:b w:val="1"/>
                <w:bCs w:val="1"/>
                <w:color w:val="auto"/>
              </w:rPr>
              <w:t>Eurodollar Lending Office</w:t>
            </w:r>
          </w:p>
        </w:tc>
      </w:tr>
      <w:tr>
        <w:trPr>
          <w:trHeight w:val="95"/>
        </w:trPr>
        <w:tc>
          <w:tcPr>
            <w:tcW w:w="166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r>
      <w:tr>
        <w:trPr>
          <w:trHeight w:val="309"/>
        </w:trPr>
        <w:tc>
          <w:tcPr>
            <w:tcW w:w="4120" w:type="dxa"/>
            <w:vAlign w:val="bottom"/>
            <w:gridSpan w:val="2"/>
          </w:tcPr>
          <w:p>
            <w:pPr>
              <w:spacing w:after="0"/>
              <w:rPr>
                <w:sz w:val="20"/>
                <w:szCs w:val="20"/>
                <w:color w:val="auto"/>
              </w:rPr>
            </w:pPr>
            <w:r>
              <w:rPr>
                <w:rFonts w:ascii="Arial" w:cs="Arial" w:eastAsia="Arial" w:hAnsi="Arial"/>
                <w:sz w:val="18"/>
                <w:szCs w:val="18"/>
                <w:color w:val="auto"/>
              </w:rPr>
              <w:t>Banca Intesa S.p.A.</w:t>
            </w:r>
          </w:p>
        </w:tc>
        <w:tc>
          <w:tcPr>
            <w:tcW w:w="3080" w:type="dxa"/>
            <w:vAlign w:val="bottom"/>
            <w:gridSpan w:val="2"/>
          </w:tcPr>
          <w:p>
            <w:pPr>
              <w:spacing w:after="0"/>
              <w:rPr>
                <w:sz w:val="20"/>
                <w:szCs w:val="20"/>
                <w:color w:val="auto"/>
              </w:rPr>
            </w:pPr>
            <w:r>
              <w:rPr>
                <w:rFonts w:ascii="Arial" w:cs="Arial" w:eastAsia="Arial" w:hAnsi="Arial"/>
                <w:sz w:val="18"/>
                <w:szCs w:val="18"/>
                <w:color w:val="auto"/>
              </w:rPr>
              <w:t>1 William Street</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1 William Street</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New York, NY 10004</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New York, NY 10004</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Attn: Alex Papace</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Attn: Alex Papace</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 212 607-3531</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T: 212 607-3531</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 212 607-3897</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F: 212 607-3897</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Banca Nazionale del Lavoro S.p.A.</w:t>
            </w:r>
          </w:p>
        </w:tc>
        <w:tc>
          <w:tcPr>
            <w:tcW w:w="3080" w:type="dxa"/>
            <w:vAlign w:val="bottom"/>
            <w:gridSpan w:val="2"/>
          </w:tcPr>
          <w:p>
            <w:pPr>
              <w:spacing w:after="0"/>
              <w:rPr>
                <w:sz w:val="20"/>
                <w:szCs w:val="20"/>
                <w:color w:val="auto"/>
              </w:rPr>
            </w:pPr>
            <w:r>
              <w:rPr>
                <w:rFonts w:ascii="Arial" w:cs="Arial" w:eastAsia="Arial" w:hAnsi="Arial"/>
                <w:sz w:val="18"/>
                <w:szCs w:val="18"/>
                <w:color w:val="auto"/>
              </w:rPr>
              <w:t>51 West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51 West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New York, NY 10019</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Attn: Anna Hernandez</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Attn: Anna Hernandez</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 212 314-0679</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T: 212 314-0679</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 212 314-0244</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F: 212 314-0244</w:t>
            </w:r>
          </w:p>
        </w:tc>
      </w:tr>
      <w:tr>
        <w:trPr>
          <w:trHeight w:val="338"/>
        </w:trPr>
        <w:tc>
          <w:tcPr>
            <w:tcW w:w="412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rPr>
              <w:t>Bank of Tokyo-Mitsubishi, LTD.,</w:t>
            </w:r>
          </w:p>
        </w:tc>
        <w:tc>
          <w:tcPr>
            <w:tcW w:w="3080" w:type="dxa"/>
            <w:vAlign w:val="bottom"/>
            <w:gridSpan w:val="2"/>
          </w:tcPr>
          <w:p>
            <w:pPr>
              <w:spacing w:after="0"/>
              <w:rPr>
                <w:sz w:val="20"/>
                <w:szCs w:val="20"/>
                <w:color w:val="auto"/>
              </w:rPr>
            </w:pPr>
            <w:r>
              <w:rPr>
                <w:rFonts w:ascii="Arial" w:cs="Arial" w:eastAsia="Arial" w:hAnsi="Arial"/>
                <w:sz w:val="18"/>
                <w:szCs w:val="18"/>
                <w:color w:val="auto"/>
              </w:rPr>
              <w:t>Harborside Financial Center</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Harborside Financial Center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Chicago Branch</w:t>
            </w:r>
          </w:p>
        </w:tc>
        <w:tc>
          <w:tcPr>
            <w:tcW w:w="3080" w:type="dxa"/>
            <w:vAlign w:val="bottom"/>
            <w:gridSpan w:val="2"/>
          </w:tcPr>
          <w:p>
            <w:pPr>
              <w:spacing w:after="0"/>
              <w:rPr>
                <w:sz w:val="20"/>
                <w:szCs w:val="20"/>
                <w:color w:val="auto"/>
              </w:rPr>
            </w:pPr>
            <w:r>
              <w:rPr>
                <w:rFonts w:ascii="Arial" w:cs="Arial" w:eastAsia="Arial" w:hAnsi="Arial"/>
                <w:sz w:val="18"/>
                <w:szCs w:val="18"/>
                <w:color w:val="auto"/>
              </w:rPr>
              <w:t>500 Plaza III</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500 Plaza III</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Jersey City, NJ 07311</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Jersey City, NJ 07311</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Attn: Jimmy Yu</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Attn: Jimmy Yu</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 201 413-8566</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T: 201 413-8566</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 201 521-2335</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F: 201 521-2335</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Bank One, NA</w:t>
            </w:r>
          </w:p>
        </w:tc>
        <w:tc>
          <w:tcPr>
            <w:tcW w:w="3080" w:type="dxa"/>
            <w:vAlign w:val="bottom"/>
            <w:gridSpan w:val="2"/>
          </w:tcPr>
          <w:p>
            <w:pPr>
              <w:spacing w:after="0"/>
              <w:rPr>
                <w:sz w:val="20"/>
                <w:szCs w:val="20"/>
                <w:color w:val="auto"/>
              </w:rPr>
            </w:pPr>
            <w:r>
              <w:rPr>
                <w:rFonts w:ascii="Arial" w:cs="Arial" w:eastAsia="Arial" w:hAnsi="Arial"/>
                <w:sz w:val="18"/>
                <w:szCs w:val="18"/>
                <w:color w:val="auto"/>
              </w:rPr>
              <w:t>111 E. Wisconsin Avenue</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111 E. Wisconsin Avenue</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line="217" w:lineRule="exact"/>
              <w:rPr>
                <w:sz w:val="20"/>
                <w:szCs w:val="20"/>
                <w:color w:val="auto"/>
              </w:rPr>
            </w:pPr>
            <w:r>
              <w:rPr>
                <w:rFonts w:ascii="Arial" w:cs="Arial" w:eastAsia="Arial" w:hAnsi="Arial"/>
                <w:sz w:val="18"/>
                <w:szCs w:val="18"/>
                <w:color w:val="auto"/>
              </w:rPr>
              <w:t>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4220" w:type="dxa"/>
            <w:vAlign w:val="bottom"/>
            <w:gridSpan w:val="3"/>
          </w:tcPr>
          <w:p>
            <w:pPr>
              <w:ind w:left="700"/>
              <w:spacing w:after="0" w:line="217" w:lineRule="exact"/>
              <w:rPr>
                <w:sz w:val="20"/>
                <w:szCs w:val="20"/>
                <w:color w:val="auto"/>
              </w:rPr>
            </w:pPr>
            <w:r>
              <w:rPr>
                <w:rFonts w:ascii="Arial" w:cs="Arial" w:eastAsia="Arial" w:hAnsi="Arial"/>
                <w:sz w:val="18"/>
                <w:szCs w:val="18"/>
                <w:color w:val="auto"/>
              </w:rPr>
              <w:t>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Milwaukee, WI 53202</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Milwaukee, WI 53202</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Attn: Anthony Maggiore</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Attn: Anthony Maggiore</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 414 977-3111</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T: 414 977-3111</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 414 977-6777</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F: 414 977-6777</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3080" w:type="dxa"/>
            <w:vAlign w:val="bottom"/>
            <w:gridSpan w:val="2"/>
          </w:tcPr>
          <w:p>
            <w:pPr>
              <w:spacing w:after="0"/>
              <w:rPr>
                <w:sz w:val="20"/>
                <w:szCs w:val="20"/>
                <w:color w:val="auto"/>
              </w:rPr>
            </w:pPr>
            <w:r>
              <w:rPr>
                <w:rFonts w:ascii="Arial" w:cs="Arial" w:eastAsia="Arial" w:hAnsi="Arial"/>
                <w:sz w:val="18"/>
                <w:szCs w:val="18"/>
                <w:color w:val="auto"/>
              </w:rPr>
              <w:t>222 Broadway</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222 Broadway</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New York, NY 10038</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New York, NY 10038</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Attn: Shoshana Harrison</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Attn: Shoshana Harrison</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 212 412-5066</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T: 212 412-5066</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 212 412-5306</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F: 212 412-5306</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3080" w:type="dxa"/>
            <w:vAlign w:val="bottom"/>
            <w:gridSpan w:val="2"/>
          </w:tcPr>
          <w:p>
            <w:pPr>
              <w:spacing w:after="0"/>
              <w:rPr>
                <w:sz w:val="20"/>
                <w:szCs w:val="20"/>
                <w:color w:val="auto"/>
              </w:rPr>
            </w:pPr>
            <w:r>
              <w:rPr>
                <w:rFonts w:ascii="Arial" w:cs="Arial" w:eastAsia="Arial" w:hAnsi="Arial"/>
                <w:sz w:val="18"/>
                <w:szCs w:val="18"/>
                <w:color w:val="auto"/>
              </w:rPr>
              <w:t>209 S. LaSalle, Suite 500</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209 S. LaSalle, Suite 500</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Chicago, IL 60604</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Chicago, IL 60604</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Attn:</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Attn:</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 312 977-2200</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T: 312 977-2200</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 312 977-1380</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F: 312 977-1380</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3080" w:type="dxa"/>
            <w:vAlign w:val="bottom"/>
            <w:gridSpan w:val="2"/>
          </w:tcPr>
          <w:p>
            <w:pPr>
              <w:spacing w:after="0"/>
              <w:rPr>
                <w:sz w:val="20"/>
                <w:szCs w:val="20"/>
                <w:color w:val="auto"/>
              </w:rPr>
            </w:pPr>
            <w:r>
              <w:rPr>
                <w:rFonts w:ascii="Arial" w:cs="Arial" w:eastAsia="Arial" w:hAnsi="Arial"/>
                <w:sz w:val="18"/>
                <w:szCs w:val="18"/>
                <w:color w:val="auto"/>
              </w:rPr>
              <w:t>Two Penns Way</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Two Penns Way</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New Castle, DE 19720</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New Castle, DE 19720</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Calyon New York Branch</w:t>
            </w:r>
          </w:p>
        </w:tc>
        <w:tc>
          <w:tcPr>
            <w:tcW w:w="3080" w:type="dxa"/>
            <w:vAlign w:val="bottom"/>
            <w:gridSpan w:val="2"/>
          </w:tcPr>
          <w:p>
            <w:pPr>
              <w:spacing w:after="0"/>
              <w:rPr>
                <w:sz w:val="20"/>
                <w:szCs w:val="20"/>
                <w:color w:val="auto"/>
              </w:rPr>
            </w:pPr>
            <w:r>
              <w:rPr>
                <w:rFonts w:ascii="Arial" w:cs="Arial" w:eastAsia="Arial" w:hAnsi="Arial"/>
                <w:sz w:val="18"/>
                <w:szCs w:val="18"/>
                <w:color w:val="auto"/>
              </w:rPr>
              <w:t>227 W. Monroe Street, Suite 3800</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227 W. Monroe Street, Suite 3800</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Chicago, IL 60606</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Chicago, IL 60606</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Attn: Diego Sanfilippo</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Attn: Diego Sanfilippo</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 312 220-7313</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T: 312 220-7313</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 312 641-0527</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F: 312 641-0527</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M&amp;I Marshall and Ilsley Bank</w:t>
            </w:r>
          </w:p>
        </w:tc>
        <w:tc>
          <w:tcPr>
            <w:tcW w:w="3080" w:type="dxa"/>
            <w:vAlign w:val="bottom"/>
            <w:gridSpan w:val="2"/>
          </w:tcPr>
          <w:p>
            <w:pPr>
              <w:spacing w:after="0"/>
              <w:rPr>
                <w:sz w:val="20"/>
                <w:szCs w:val="20"/>
                <w:color w:val="auto"/>
              </w:rPr>
            </w:pPr>
            <w:r>
              <w:rPr>
                <w:rFonts w:ascii="Arial" w:cs="Arial" w:eastAsia="Arial" w:hAnsi="Arial"/>
                <w:sz w:val="18"/>
                <w:szCs w:val="18"/>
                <w:color w:val="auto"/>
              </w:rPr>
              <w:t>770 North Water Street</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770 North Water Street</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NW18</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NW18</w:t>
            </w:r>
          </w:p>
        </w:tc>
      </w:tr>
      <w:tr>
        <w:trPr>
          <w:trHeight w:val="216"/>
        </w:trPr>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Milwaukee, WI 53202</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Milwaukee, WI 53202</w:t>
            </w:r>
          </w:p>
        </w:tc>
      </w:tr>
      <w:tr>
        <w:trPr>
          <w:trHeight w:val="222"/>
        </w:trPr>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Attn: Leo D. Freeman or Thomas</w:t>
            </w:r>
          </w:p>
        </w:tc>
        <w:tc>
          <w:tcPr>
            <w:tcW w:w="4220" w:type="dxa"/>
            <w:vAlign w:val="bottom"/>
            <w:gridSpan w:val="3"/>
          </w:tcPr>
          <w:p>
            <w:pPr>
              <w:ind w:left="700"/>
              <w:spacing w:after="0"/>
              <w:rPr>
                <w:sz w:val="20"/>
                <w:szCs w:val="20"/>
                <w:color w:val="auto"/>
              </w:rPr>
            </w:pPr>
            <w:r>
              <w:rPr>
                <w:rFonts w:ascii="Arial" w:cs="Arial" w:eastAsia="Arial" w:hAnsi="Arial"/>
                <w:sz w:val="18"/>
                <w:szCs w:val="18"/>
                <w:color w:val="auto"/>
              </w:rPr>
              <w:t>Attn: Leo D. Freeman or Thomas</w:t>
            </w:r>
          </w:p>
        </w:tc>
      </w:tr>
    </w:tbl>
    <w:p>
      <w:pPr>
        <w:sectPr>
          <w:pgSz w:w="11900" w:h="16838" w:orient="portrait"/>
          <w:cols w:equalWidth="0" w:num="1">
            <w:col w:w="11420"/>
          </w:cols>
          <w:pgMar w:left="240" w:top="280" w:right="239" w:bottom="1440" w:gutter="0" w:footer="0" w:header="0"/>
        </w:sectPr>
      </w:pPr>
    </w:p>
    <w:bookmarkStart w:id="64" w:name="page65"/>
    <w:bookmarkEnd w:id="64"/>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Bickelhaupt</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 414 765-7439/7779</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 414 765-7625</w:t>
      </w:r>
    </w:p>
    <w:p>
      <w:pPr>
        <w:spacing w:after="0" w:line="124"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Mizuho Corporate Bank, Ltd.</w:t>
      </w:r>
      <w:r>
        <w:rPr>
          <w:sz w:val="20"/>
          <w:szCs w:val="20"/>
          <w:color w:val="auto"/>
        </w:rPr>
        <w:tab/>
      </w:r>
      <w:r>
        <w:rPr>
          <w:rFonts w:ascii="Arial" w:cs="Arial" w:eastAsia="Arial" w:hAnsi="Arial"/>
          <w:sz w:val="15"/>
          <w:szCs w:val="15"/>
          <w:color w:val="auto"/>
        </w:rPr>
        <w:t>1800 Plaza Ten</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Harborside Financial Center</w:t>
      </w:r>
    </w:p>
    <w:p>
      <w:pPr>
        <w:ind w:left="4120"/>
        <w:spacing w:after="0" w:line="220" w:lineRule="auto"/>
        <w:rPr>
          <w:sz w:val="20"/>
          <w:szCs w:val="20"/>
          <w:color w:val="auto"/>
        </w:rPr>
      </w:pPr>
      <w:r>
        <w:rPr>
          <w:rFonts w:ascii="Arial" w:cs="Arial" w:eastAsia="Arial" w:hAnsi="Arial"/>
          <w:sz w:val="18"/>
          <w:szCs w:val="18"/>
          <w:color w:val="auto"/>
        </w:rPr>
        <w:t>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Jersey City, NJ 07311</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Attn: Joann Olivencia</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 201 626-9347</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 201 626-9913</w:t>
      </w:r>
    </w:p>
    <w:p>
      <w:pPr>
        <w:spacing w:after="0" w:line="124"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Nordea Bank Finland Plc</w:t>
      </w:r>
      <w:r>
        <w:rPr>
          <w:sz w:val="20"/>
          <w:szCs w:val="20"/>
          <w:color w:val="auto"/>
        </w:rPr>
        <w:tab/>
      </w:r>
      <w:r>
        <w:rPr>
          <w:rFonts w:ascii="Arial" w:cs="Arial" w:eastAsia="Arial" w:hAnsi="Arial"/>
          <w:sz w:val="15"/>
          <w:szCs w:val="15"/>
          <w:color w:val="auto"/>
        </w:rPr>
        <w:t>437 Madison Avenue</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Attn: Jackie Ng</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 212 318-9578</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 212 750-9188</w:t>
      </w:r>
    </w:p>
    <w:p>
      <w:pPr>
        <w:spacing w:after="0" w:line="124"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PNC Bank, National Association</w:t>
      </w:r>
      <w:r>
        <w:rPr>
          <w:sz w:val="20"/>
          <w:szCs w:val="20"/>
          <w:color w:val="auto"/>
        </w:rPr>
        <w:tab/>
      </w:r>
      <w:r>
        <w:rPr>
          <w:rFonts w:ascii="Arial" w:cs="Arial" w:eastAsia="Arial" w:hAnsi="Arial"/>
          <w:sz w:val="15"/>
          <w:szCs w:val="15"/>
          <w:color w:val="auto"/>
        </w:rPr>
        <w:t>PNC Firstside Center</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201 East Fifth Street</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Cincinnati, OH 45202</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Attn: April Atwater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 412 768-6214</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 412 768-4586</w:t>
      </w:r>
    </w:p>
    <w:p>
      <w:pPr>
        <w:spacing w:after="0" w:line="124"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The Royal Bank of Scotland plc</w:t>
      </w:r>
      <w:r>
        <w:rPr>
          <w:sz w:val="20"/>
          <w:szCs w:val="20"/>
          <w:color w:val="auto"/>
        </w:rPr>
        <w:tab/>
      </w:r>
      <w:r>
        <w:rPr>
          <w:rFonts w:ascii="Arial" w:cs="Arial" w:eastAsia="Arial" w:hAnsi="Arial"/>
          <w:sz w:val="15"/>
          <w:szCs w:val="15"/>
          <w:color w:val="auto"/>
        </w:rPr>
        <w:t>101 Park Avenue, 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w:t>
      </w:r>
    </w:p>
    <w:p>
      <w:pPr>
        <w:spacing w:after="0" w:line="1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New York, NY 10178</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Attn: Julian Dakin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 212 401-3784</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 212 401-3456</w:t>
      </w:r>
    </w:p>
    <w:p>
      <w:pPr>
        <w:spacing w:after="0" w:line="124"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Socitete Generale</w:t>
      </w:r>
      <w:r>
        <w:rPr>
          <w:sz w:val="20"/>
          <w:szCs w:val="20"/>
          <w:color w:val="auto"/>
        </w:rPr>
        <w:tab/>
      </w:r>
      <w:r>
        <w:rPr>
          <w:rFonts w:ascii="Arial" w:cs="Arial" w:eastAsia="Arial" w:hAnsi="Arial"/>
          <w:sz w:val="16"/>
          <w:szCs w:val="16"/>
          <w:color w:val="auto"/>
        </w:rPr>
        <w:t>560 Lexington Avenue</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Attn: Arlene Tellerman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 212 278-7490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Sumitomo Mitsui Banking Corporation</w:t>
      </w:r>
    </w:p>
    <w:p>
      <w:pPr>
        <w:spacing w:after="0" w:line="117"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Unicredito Italiano</w:t>
      </w:r>
      <w:r>
        <w:rPr>
          <w:sz w:val="20"/>
          <w:szCs w:val="20"/>
          <w:color w:val="auto"/>
        </w:rPr>
        <w:tab/>
      </w:r>
      <w:r>
        <w:rPr>
          <w:rFonts w:ascii="Arial" w:cs="Arial" w:eastAsia="Arial" w:hAnsi="Arial"/>
          <w:sz w:val="15"/>
          <w:szCs w:val="15"/>
          <w:color w:val="auto"/>
        </w:rPr>
        <w:t>430 Park Avenue</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Attn: Dan Tausek</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 212 546-9614</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 212 826-8623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Wachovia Bank, National Association</w:t>
      </w:r>
      <w:r>
        <w:rPr>
          <w:sz w:val="20"/>
          <w:szCs w:val="20"/>
          <w:color w:val="auto"/>
        </w:rPr>
        <w:tab/>
      </w:r>
      <w:r>
        <w:rPr>
          <w:rFonts w:ascii="Arial" w:cs="Arial" w:eastAsia="Arial" w:hAnsi="Arial"/>
          <w:sz w:val="15"/>
          <w:szCs w:val="15"/>
          <w:color w:val="auto"/>
        </w:rPr>
        <w:t>201 South College Street</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Charlotte, NC 28288</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Attn: Lekeisha Neely</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 704 374-6145</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 704 715-0094</w:t>
      </w:r>
    </w:p>
    <w:p>
      <w:pPr>
        <w:spacing w:after="0" w:line="124"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Wells Fargo Bank</w:t>
      </w:r>
      <w:r>
        <w:rPr>
          <w:sz w:val="20"/>
          <w:szCs w:val="20"/>
          <w:color w:val="auto"/>
        </w:rPr>
        <w:tab/>
      </w:r>
      <w:r>
        <w:rPr>
          <w:rFonts w:ascii="Arial" w:cs="Arial" w:eastAsia="Arial" w:hAnsi="Arial"/>
          <w:sz w:val="16"/>
          <w:szCs w:val="16"/>
          <w:color w:val="auto"/>
        </w:rPr>
        <w:t>Commercial Banking Loan Center</w:t>
      </w:r>
    </w:p>
    <w:p>
      <w:pPr>
        <w:ind w:left="4120"/>
        <w:spacing w:after="0" w:line="226" w:lineRule="auto"/>
        <w:rPr>
          <w:sz w:val="20"/>
          <w:szCs w:val="20"/>
          <w:color w:val="auto"/>
        </w:rPr>
      </w:pPr>
      <w:r>
        <w:rPr>
          <w:rFonts w:ascii="Arial" w:cs="Arial" w:eastAsia="Arial" w:hAnsi="Arial"/>
          <w:sz w:val="18"/>
          <w:szCs w:val="18"/>
          <w:color w:val="auto"/>
        </w:rPr>
        <w:t>201 3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San Francisco, CA 94103</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Attn: Cindy Dunn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 415 477-5431</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Arial" w:cs="Arial" w:eastAsia="Arial" w:hAnsi="Arial"/>
          <w:sz w:val="18"/>
          <w:szCs w:val="18"/>
          <w:color w:val="auto"/>
        </w:rPr>
        <w:t>Bickelhaupt</w:t>
      </w:r>
    </w:p>
    <w:p>
      <w:pPr>
        <w:spacing w:after="0" w:line="15" w:lineRule="exact"/>
        <w:rPr>
          <w:sz w:val="20"/>
          <w:szCs w:val="20"/>
          <w:color w:val="auto"/>
        </w:rPr>
      </w:pPr>
    </w:p>
    <w:p>
      <w:pPr>
        <w:ind w:left="185" w:hanging="185"/>
        <w:spacing w:after="0"/>
        <w:tabs>
          <w:tab w:leader="none" w:pos="1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414 765-7439/7779</w:t>
      </w:r>
    </w:p>
    <w:p>
      <w:pPr>
        <w:spacing w:after="0" w:line="9" w:lineRule="exact"/>
        <w:rPr>
          <w:rFonts w:ascii="Arial" w:cs="Arial" w:eastAsia="Arial" w:hAnsi="Arial"/>
          <w:sz w:val="18"/>
          <w:szCs w:val="18"/>
          <w:color w:val="auto"/>
        </w:rPr>
      </w:pPr>
    </w:p>
    <w:p>
      <w:pPr>
        <w:ind w:left="185" w:hanging="185"/>
        <w:spacing w:after="0"/>
        <w:tabs>
          <w:tab w:leader="none" w:pos="1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414 765-7625</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1800 Plaza Ten</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Harborside Financial Center</w:t>
      </w:r>
    </w:p>
    <w:p>
      <w:pPr>
        <w:ind w:left="5"/>
        <w:spacing w:after="0" w:line="220" w:lineRule="auto"/>
        <w:rPr>
          <w:sz w:val="20"/>
          <w:szCs w:val="20"/>
          <w:color w:val="auto"/>
        </w:rPr>
      </w:pPr>
      <w:r>
        <w:rPr>
          <w:rFonts w:ascii="Arial" w:cs="Arial" w:eastAsia="Arial" w:hAnsi="Arial"/>
          <w:sz w:val="18"/>
          <w:szCs w:val="18"/>
          <w:color w:val="auto"/>
        </w:rPr>
        <w:t>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Jersey City, NJ 07311</w:t>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Joann Olivencia</w:t>
      </w:r>
    </w:p>
    <w:p>
      <w:pPr>
        <w:spacing w:after="0" w:line="9" w:lineRule="exact"/>
        <w:rPr>
          <w:sz w:val="20"/>
          <w:szCs w:val="20"/>
          <w:color w:val="auto"/>
        </w:rPr>
      </w:pPr>
    </w:p>
    <w:p>
      <w:pPr>
        <w:ind w:left="185" w:hanging="185"/>
        <w:spacing w:after="0"/>
        <w:tabs>
          <w:tab w:leader="none" w:pos="1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201 626-9347</w:t>
      </w:r>
    </w:p>
    <w:p>
      <w:pPr>
        <w:spacing w:after="0" w:line="9" w:lineRule="exact"/>
        <w:rPr>
          <w:rFonts w:ascii="Arial" w:cs="Arial" w:eastAsia="Arial" w:hAnsi="Arial"/>
          <w:sz w:val="18"/>
          <w:szCs w:val="18"/>
          <w:color w:val="auto"/>
        </w:rPr>
      </w:pPr>
    </w:p>
    <w:p>
      <w:pPr>
        <w:ind w:left="185" w:hanging="185"/>
        <w:spacing w:after="0"/>
        <w:tabs>
          <w:tab w:leader="none" w:pos="1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201 626-9913</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437 Madison Avenue</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Jackie Ng</w:t>
      </w:r>
    </w:p>
    <w:p>
      <w:pPr>
        <w:spacing w:after="0" w:line="9" w:lineRule="exact"/>
        <w:rPr>
          <w:sz w:val="20"/>
          <w:szCs w:val="20"/>
          <w:color w:val="auto"/>
        </w:rPr>
      </w:pPr>
    </w:p>
    <w:p>
      <w:pPr>
        <w:ind w:left="185" w:hanging="185"/>
        <w:spacing w:after="0"/>
        <w:tabs>
          <w:tab w:leader="none" w:pos="1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212 318-9578</w:t>
      </w:r>
    </w:p>
    <w:p>
      <w:pPr>
        <w:spacing w:after="0" w:line="9" w:lineRule="exact"/>
        <w:rPr>
          <w:rFonts w:ascii="Arial" w:cs="Arial" w:eastAsia="Arial" w:hAnsi="Arial"/>
          <w:sz w:val="18"/>
          <w:szCs w:val="18"/>
          <w:color w:val="auto"/>
        </w:rPr>
      </w:pPr>
    </w:p>
    <w:p>
      <w:pPr>
        <w:ind w:left="185" w:hanging="185"/>
        <w:spacing w:after="0"/>
        <w:tabs>
          <w:tab w:leader="none" w:pos="1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212 750-9188</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PNC Firstside Center</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201 East Fifth Street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Cincinnati, OH 45202</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April Atwater</w:t>
      </w:r>
    </w:p>
    <w:p>
      <w:pPr>
        <w:spacing w:after="0" w:line="9" w:lineRule="exact"/>
        <w:rPr>
          <w:sz w:val="20"/>
          <w:szCs w:val="20"/>
          <w:color w:val="auto"/>
        </w:rPr>
      </w:pPr>
    </w:p>
    <w:p>
      <w:pPr>
        <w:ind w:left="185" w:hanging="185"/>
        <w:spacing w:after="0"/>
        <w:tabs>
          <w:tab w:leader="none" w:pos="1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412 768-6214</w:t>
      </w:r>
    </w:p>
    <w:p>
      <w:pPr>
        <w:spacing w:after="0" w:line="9" w:lineRule="exact"/>
        <w:rPr>
          <w:rFonts w:ascii="Arial" w:cs="Arial" w:eastAsia="Arial" w:hAnsi="Arial"/>
          <w:sz w:val="18"/>
          <w:szCs w:val="18"/>
          <w:color w:val="auto"/>
        </w:rPr>
      </w:pPr>
    </w:p>
    <w:p>
      <w:pPr>
        <w:ind w:left="185" w:hanging="185"/>
        <w:spacing w:after="0"/>
        <w:tabs>
          <w:tab w:leader="none" w:pos="1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412 768-4586</w:t>
      </w:r>
    </w:p>
    <w:p>
      <w:pPr>
        <w:spacing w:after="0" w:line="124" w:lineRule="exact"/>
        <w:rPr>
          <w:sz w:val="20"/>
          <w:szCs w:val="20"/>
          <w:color w:val="auto"/>
        </w:rPr>
      </w:pPr>
    </w:p>
    <w:p>
      <w:pPr>
        <w:ind w:left="5" w:right="380"/>
        <w:spacing w:after="0" w:line="241" w:lineRule="auto"/>
        <w:rPr>
          <w:sz w:val="20"/>
          <w:szCs w:val="20"/>
          <w:color w:val="auto"/>
        </w:rPr>
      </w:pPr>
      <w:r>
        <w:rPr>
          <w:rFonts w:ascii="Arial" w:cs="Arial" w:eastAsia="Arial" w:hAnsi="Arial"/>
          <w:sz w:val="17"/>
          <w:szCs w:val="17"/>
          <w:color w:val="auto"/>
        </w:rPr>
        <w:t>65 East 55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21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Floor New York, NY 10022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
        <w:spacing w:after="0"/>
        <w:rPr>
          <w:sz w:val="20"/>
          <w:szCs w:val="20"/>
          <w:color w:val="auto"/>
        </w:rPr>
      </w:pPr>
      <w:r>
        <w:rPr>
          <w:rFonts w:ascii="Arial" w:cs="Arial" w:eastAsia="Arial" w:hAnsi="Arial"/>
          <w:sz w:val="18"/>
          <w:szCs w:val="18"/>
          <w:color w:val="auto"/>
        </w:rPr>
        <w:t>560 Lexington Avenue</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Arlene Tellerman</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F: 212 278-7490</w:t>
      </w:r>
    </w:p>
    <w:p>
      <w:pPr>
        <w:spacing w:after="0" w:line="200" w:lineRule="exact"/>
        <w:rPr>
          <w:sz w:val="20"/>
          <w:szCs w:val="20"/>
          <w:color w:val="auto"/>
        </w:rPr>
      </w:pPr>
    </w:p>
    <w:p>
      <w:pPr>
        <w:spacing w:after="0" w:line="248" w:lineRule="exact"/>
        <w:rPr>
          <w:sz w:val="20"/>
          <w:szCs w:val="20"/>
          <w:color w:val="auto"/>
        </w:rPr>
      </w:pPr>
    </w:p>
    <w:p>
      <w:pPr>
        <w:ind w:left="5"/>
        <w:spacing w:after="0"/>
        <w:rPr>
          <w:sz w:val="20"/>
          <w:szCs w:val="20"/>
          <w:color w:val="auto"/>
        </w:rPr>
      </w:pPr>
      <w:r>
        <w:rPr>
          <w:rFonts w:ascii="Arial" w:cs="Arial" w:eastAsia="Arial" w:hAnsi="Arial"/>
          <w:sz w:val="18"/>
          <w:szCs w:val="18"/>
          <w:color w:val="auto"/>
        </w:rPr>
        <w:t>430 Park Avenue</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Dan Tausek</w:t>
      </w:r>
    </w:p>
    <w:p>
      <w:pPr>
        <w:spacing w:after="0" w:line="9" w:lineRule="exact"/>
        <w:rPr>
          <w:sz w:val="20"/>
          <w:szCs w:val="20"/>
          <w:color w:val="auto"/>
        </w:rPr>
      </w:pPr>
    </w:p>
    <w:p>
      <w:pPr>
        <w:ind w:left="185" w:hanging="185"/>
        <w:spacing w:after="0"/>
        <w:tabs>
          <w:tab w:leader="none" w:pos="1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212 546-9614</w:t>
      </w:r>
    </w:p>
    <w:p>
      <w:pPr>
        <w:spacing w:after="0" w:line="9" w:lineRule="exact"/>
        <w:rPr>
          <w:rFonts w:ascii="Arial" w:cs="Arial" w:eastAsia="Arial" w:hAnsi="Arial"/>
          <w:sz w:val="18"/>
          <w:szCs w:val="18"/>
          <w:color w:val="auto"/>
        </w:rPr>
      </w:pPr>
    </w:p>
    <w:p>
      <w:pPr>
        <w:ind w:left="185" w:hanging="185"/>
        <w:spacing w:after="0"/>
        <w:tabs>
          <w:tab w:leader="none" w:pos="1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212 826-8623</w:t>
      </w:r>
    </w:p>
    <w:p>
      <w:pPr>
        <w:spacing w:after="0" w:line="200" w:lineRule="exact"/>
        <w:rPr>
          <w:sz w:val="20"/>
          <w:szCs w:val="20"/>
          <w:color w:val="auto"/>
        </w:rPr>
      </w:pPr>
    </w:p>
    <w:p>
      <w:pPr>
        <w:spacing w:after="0" w:line="248" w:lineRule="exact"/>
        <w:rPr>
          <w:sz w:val="20"/>
          <w:szCs w:val="20"/>
          <w:color w:val="auto"/>
        </w:rPr>
      </w:pPr>
    </w:p>
    <w:p>
      <w:pPr>
        <w:ind w:left="5"/>
        <w:spacing w:after="0"/>
        <w:rPr>
          <w:sz w:val="20"/>
          <w:szCs w:val="20"/>
          <w:color w:val="auto"/>
        </w:rPr>
      </w:pPr>
      <w:r>
        <w:rPr>
          <w:rFonts w:ascii="Arial" w:cs="Arial" w:eastAsia="Arial" w:hAnsi="Arial"/>
          <w:sz w:val="18"/>
          <w:szCs w:val="18"/>
          <w:color w:val="auto"/>
        </w:rPr>
        <w:t>201 South College Street</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Charlotte, NC 28288</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Lekeisha Neely</w:t>
      </w:r>
    </w:p>
    <w:p>
      <w:pPr>
        <w:spacing w:after="0" w:line="9" w:lineRule="exact"/>
        <w:rPr>
          <w:sz w:val="20"/>
          <w:szCs w:val="20"/>
          <w:color w:val="auto"/>
        </w:rPr>
      </w:pPr>
    </w:p>
    <w:p>
      <w:pPr>
        <w:ind w:left="185" w:hanging="185"/>
        <w:spacing w:after="0"/>
        <w:tabs>
          <w:tab w:leader="none" w:pos="1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704 374-6145</w:t>
      </w:r>
    </w:p>
    <w:p>
      <w:pPr>
        <w:spacing w:after="0" w:line="9" w:lineRule="exact"/>
        <w:rPr>
          <w:rFonts w:ascii="Arial" w:cs="Arial" w:eastAsia="Arial" w:hAnsi="Arial"/>
          <w:sz w:val="18"/>
          <w:szCs w:val="18"/>
          <w:color w:val="auto"/>
        </w:rPr>
      </w:pPr>
    </w:p>
    <w:p>
      <w:pPr>
        <w:ind w:left="185" w:hanging="185"/>
        <w:spacing w:after="0"/>
        <w:tabs>
          <w:tab w:leader="none" w:pos="1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704 715-0094</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color w:val="auto"/>
        </w:rPr>
        <w:t>Commercial Banking Loan Center</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201 3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w:t>
      </w:r>
    </w:p>
    <w:p>
      <w:pPr>
        <w:ind w:left="5"/>
        <w:spacing w:after="0"/>
        <w:rPr>
          <w:sz w:val="20"/>
          <w:szCs w:val="20"/>
          <w:color w:val="auto"/>
        </w:rPr>
      </w:pPr>
      <w:r>
        <w:rPr>
          <w:rFonts w:ascii="Arial" w:cs="Arial" w:eastAsia="Arial" w:hAnsi="Arial"/>
          <w:sz w:val="18"/>
          <w:szCs w:val="18"/>
          <w:color w:val="auto"/>
        </w:rPr>
        <w:t>San Francisco, CA 94103</w:t>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Cindy Dunn</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T: 415 477-5431</w:t>
      </w:r>
    </w:p>
    <w:p>
      <w:pPr>
        <w:sectPr>
          <w:pgSz w:w="11900" w:h="16838" w:orient="portrait"/>
          <w:cols w:equalWidth="0" w:num="2">
            <w:col w:w="7175" w:space="720"/>
            <w:col w:w="2425"/>
          </w:cols>
          <w:pgMar w:left="240" w:top="280" w:right="1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2.04(f)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Letters of Credit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Issued Date</w:t>
            </w:r>
          </w:p>
        </w:tc>
        <w:tc>
          <w:tcPr>
            <w:tcW w:w="4960" w:type="dxa"/>
            <w:vAlign w:val="bottom"/>
            <w:gridSpan w:val="3"/>
          </w:tcPr>
          <w:p>
            <w:pPr>
              <w:ind w:left="300"/>
              <w:spacing w:after="0"/>
              <w:rPr>
                <w:sz w:val="20"/>
                <w:szCs w:val="20"/>
                <w:color w:val="auto"/>
              </w:rPr>
            </w:pPr>
            <w:r>
              <w:rPr>
                <w:rFonts w:ascii="Arial" w:cs="Arial" w:eastAsia="Arial" w:hAnsi="Arial"/>
                <w:sz w:val="14"/>
                <w:szCs w:val="14"/>
                <w:b w:val="1"/>
                <w:bCs w:val="1"/>
                <w:color w:val="auto"/>
              </w:rPr>
              <w:t>Issued for the benefit of:</w:t>
            </w:r>
          </w:p>
        </w:tc>
        <w:tc>
          <w:tcPr>
            <w:tcW w:w="100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w w:val="91"/>
              </w:rPr>
              <w:t>Reference No.</w:t>
            </w:r>
          </w:p>
        </w:tc>
        <w:tc>
          <w:tcPr>
            <w:tcW w:w="3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USD Amount</w:t>
            </w:r>
          </w:p>
        </w:tc>
        <w:tc>
          <w:tcPr>
            <w:tcW w:w="340" w:type="dxa"/>
            <w:vAlign w:val="bottom"/>
          </w:tcPr>
          <w:p>
            <w:pPr>
              <w:spacing w:after="0"/>
              <w:rPr>
                <w:sz w:val="15"/>
                <w:szCs w:val="15"/>
                <w:color w:val="auto"/>
              </w:rPr>
            </w:pPr>
          </w:p>
        </w:tc>
        <w:tc>
          <w:tcPr>
            <w:tcW w:w="11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Face Amount</w:t>
            </w:r>
          </w:p>
        </w:tc>
        <w:tc>
          <w:tcPr>
            <w:tcW w:w="3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12/31/93</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Transportation Ins. Co.</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7"/>
              </w:rPr>
              <w:t>931228IS871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43,056,240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43,056,240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06/01/05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Continental Casualty Co</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CAN ClaimPlus, Inc.</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America Ca. Co. of Reading, PA</w:t>
            </w:r>
          </w:p>
        </w:tc>
        <w:tc>
          <w:tcPr>
            <w:tcW w:w="10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06/01/94</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National Union Fire Insurance</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w w:val="87"/>
              </w:rPr>
              <w:t>940524IS076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589,000</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589,000</w:t>
            </w: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06/01/05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12/22/95</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Bank Hapoalim B.M.</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7"/>
              </w:rPr>
              <w:t>951218IS125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11/28/04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01/28/97</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Bank Hapoalim B.M. Head Office</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w w:val="87"/>
              </w:rPr>
              <w:t>970127IS741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3,000,000</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02/20/05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12/01/97</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Bank Leumi Israel Ltd</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7"/>
              </w:rPr>
              <w:t>971114IS188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1,500,000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12/01/04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06/23/99</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Kommunekasserereni Oslo</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w w:val="87"/>
              </w:rPr>
              <w:t>990608IS010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14,000,000</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14,000,000</w:t>
            </w: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06/22/05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05/31/01</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Nedcorbank Ltd.</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7"/>
              </w:rPr>
              <w:t>991228IS286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05/31/05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12/31/99</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Dome Developments (pty) LTD</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w w:val="87"/>
              </w:rPr>
              <w:t>991229IS287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12/31/04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03/20/01</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EFG Eurobank</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7"/>
              </w:rPr>
              <w:t>010316IS677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1,600,000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1,600,000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03/26/05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10/29/01</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Australia and New Zealand Banking Group Limited</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w w:val="87"/>
              </w:rPr>
              <w:t>011030IS902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10/29/04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12/31/01</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Industrial Commission of Arizona, State of Arizona</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7"/>
              </w:rPr>
              <w:t>011228IS931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12/31/04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05/06/02</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Farmers &amp; Merchants Savings Bank</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w w:val="87"/>
              </w:rPr>
              <w:t>020506IS950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600,000</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600,000</w:t>
            </w: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12/31/04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05/30/02</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Banco de Credito del Peru</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316036006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12/25/04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09/29/03</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Royal and Sun Alliance Insurance</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rPr>
              <w:t>327236025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1,359,000</w:t>
            </w:r>
          </w:p>
        </w:tc>
        <w:tc>
          <w:tcPr>
            <w:tcW w:w="3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4"/>
              </w:rPr>
              <w:t>GBP</w:t>
            </w:r>
          </w:p>
        </w:tc>
        <w:tc>
          <w:tcPr>
            <w:tcW w:w="800" w:type="dxa"/>
            <w:vAlign w:val="bottom"/>
          </w:tcPr>
          <w:p>
            <w:pPr>
              <w:jc w:val="right"/>
              <w:spacing w:after="0"/>
              <w:rPr>
                <w:sz w:val="20"/>
                <w:szCs w:val="20"/>
                <w:color w:val="auto"/>
              </w:rPr>
            </w:pPr>
            <w:r>
              <w:rPr>
                <w:rFonts w:ascii="Arial" w:cs="Arial" w:eastAsia="Arial" w:hAnsi="Arial"/>
                <w:sz w:val="18"/>
                <w:szCs w:val="18"/>
                <w:color w:val="auto"/>
              </w:rPr>
              <w:t>750,000</w:t>
            </w: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10/31/04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09/29/03</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Alpha Bank</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327236033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1,492,320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84"/>
              </w:rPr>
              <w:t>EUR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1,200,000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10/01/05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12/10/03</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Royal Bank of Canada</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rPr>
              <w:t>334436028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2,500,000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12/31/04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02/10/04</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Andrew McRae</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404236015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1,666,000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1,666,000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03/21/05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w w:val="85"/>
              </w:rPr>
              <w:t>02/10/04</w:t>
            </w:r>
          </w:p>
        </w:tc>
        <w:tc>
          <w:tcPr>
            <w:tcW w:w="4960" w:type="dxa"/>
            <w:vAlign w:val="bottom"/>
            <w:gridSpan w:val="3"/>
          </w:tcPr>
          <w:p>
            <w:pPr>
              <w:ind w:left="300"/>
              <w:spacing w:after="0"/>
              <w:rPr>
                <w:sz w:val="20"/>
                <w:szCs w:val="20"/>
                <w:color w:val="auto"/>
              </w:rPr>
            </w:pPr>
            <w:r>
              <w:rPr>
                <w:rFonts w:ascii="Arial" w:cs="Arial" w:eastAsia="Arial" w:hAnsi="Arial"/>
                <w:sz w:val="18"/>
                <w:szCs w:val="18"/>
                <w:color w:val="auto"/>
              </w:rPr>
              <w:t>Paul Charlesworth</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rPr>
              <w:t>404236016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1,287,041</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1,287,041</w:t>
            </w:r>
          </w:p>
        </w:tc>
        <w:tc>
          <w:tcPr>
            <w:tcW w:w="9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03/21/05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5"/>
              </w:rPr>
              <w:t>02/16/04</w:t>
            </w:r>
          </w:p>
        </w:tc>
        <w:tc>
          <w:tcPr>
            <w:tcW w:w="4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Banco de Credito del Peru</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404836019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328,500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328,500</w:t>
            </w:r>
          </w:p>
        </w:tc>
        <w:tc>
          <w:tcPr>
            <w:tcW w:w="9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03/04/05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5.02(a)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Liens</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Liens otherwise permitted by Section 5.02(a), including financing statements covering leased assets or purchase money security interests and financing statements securing the existing Receivables Purchase Agreement.</w:t>
      </w:r>
    </w:p>
    <w:p>
      <w:pPr>
        <w:sectPr>
          <w:pgSz w:w="11900" w:h="16838" w:orient="portrait"/>
          <w:cols w:equalWidth="0" w:num="1">
            <w:col w:w="11420"/>
          </w:cols>
          <w:pgMar w:left="240" w:top="2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151" w:lineRule="exact"/>
        <w:rPr>
          <w:sz w:val="20"/>
          <w:szCs w:val="20"/>
          <w:color w:val="auto"/>
        </w:rPr>
      </w:pPr>
    </w:p>
    <w:p>
      <w:pPr>
        <w:spacing w:after="0"/>
        <w:tabs>
          <w:tab w:leader="none" w:pos="6320" w:val="left"/>
          <w:tab w:leader="none" w:pos="77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-13970</wp:posOffset>
            </wp:positionV>
            <wp:extent cx="5575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-13970</wp:posOffset>
            </wp:positionV>
            <wp:extent cx="892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VALUE RECEIVED, the undersigned, MANPOWER INC., a Wisconsin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the</w:t>
      </w:r>
    </w:p>
    <w:p>
      <w:pPr>
        <w:spacing w:after="0" w:line="38"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order of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 (each as defined in the Credit Agreement referred to below) the principal sum of U.S.$[amount of the Lender’s Commitment in figures] or, if less, the aggregate principal amount of the Revolving Credit Advances made by the Lender to the Borrower pursuant to the Five Year Credit Agreement dated as of October 8, 2004 among the Borrower, the Lender and certain other lenders parties thereto, and Citibank, N.A. as Agent for the Lender and such other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outstanding on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-597535</wp:posOffset>
            </wp:positionV>
            <wp:extent cx="11150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83"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7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Both principal and interest in respect of each Revolving Credit Advance (i) in Dollars are payable in lawful money of the United States of America to the Agent at its account maintained at 388 Greenwich Street, New York, New York 10013, in same day funds and (ii) in any Committed Currency are payable in such currency at the applicable Payment Office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29"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Dollar amount first above mentioned, the indebtedness of the Borrower resulting from each such Revolving Credit Advance being evidenced by this Promissory Note, (ii) contains provisions for determining the Dollar Equivalent of Revolving Credit Advances denominated in Committed Currencies and (iii) contains provisions for acceleration of the maturity hereof upon the happening of certain stated events and also for prepayments on account of principal hereof prior to the maturity hereof upon the terms and conditions therein specified.</w:t>
      </w:r>
    </w:p>
    <w:p>
      <w:pPr>
        <w:spacing w:after="0" w:line="1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80010</wp:posOffset>
            </wp:positionV>
            <wp:extent cx="274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68" w:name="page69"/>
    <w:bookmarkEnd w:id="68"/>
    <w:p>
      <w:pPr>
        <w:ind w:left="3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ADVANCES AND PAYMENTS OF PRINCIPAL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32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88"/>
              </w:rPr>
              <w:t>Amount of</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580" w:type="dxa"/>
            <w:vAlign w:val="bottom"/>
            <w:gridSpan w:val="3"/>
          </w:tcPr>
          <w:p>
            <w:pPr>
              <w:jc w:val="center"/>
              <w:ind w:left="632"/>
              <w:spacing w:after="0" w:line="149" w:lineRule="exact"/>
              <w:rPr>
                <w:sz w:val="20"/>
                <w:szCs w:val="20"/>
                <w:color w:val="auto"/>
              </w:rPr>
            </w:pPr>
            <w:r>
              <w:rPr>
                <w:rFonts w:ascii="Arial" w:cs="Arial" w:eastAsia="Arial" w:hAnsi="Arial"/>
                <w:sz w:val="14"/>
                <w:szCs w:val="14"/>
                <w:b w:val="1"/>
                <w:bCs w:val="1"/>
                <w:color w:val="auto"/>
                <w:w w:val="90"/>
              </w:rPr>
              <w:t>Principal Paid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Unpaid Principal</w:t>
            </w:r>
          </w:p>
        </w:tc>
        <w:tc>
          <w:tcPr>
            <w:tcW w:w="98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87"/>
              </w:rPr>
              <w:t>Notation</w:t>
            </w:r>
          </w:p>
        </w:tc>
      </w:tr>
      <w:tr>
        <w:trPr>
          <w:trHeight w:val="174"/>
        </w:trPr>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8"/>
              </w:rPr>
              <w:t>Date</w:t>
            </w:r>
          </w:p>
        </w:tc>
        <w:tc>
          <w:tcPr>
            <w:tcW w:w="24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Advance</w:t>
            </w:r>
          </w:p>
        </w:tc>
        <w:tc>
          <w:tcPr>
            <w:tcW w:w="2260" w:type="dxa"/>
            <w:vAlign w:val="bottom"/>
          </w:tcPr>
          <w:p>
            <w:pPr>
              <w:spacing w:after="0"/>
              <w:rPr>
                <w:sz w:val="15"/>
                <w:szCs w:val="15"/>
                <w:color w:val="auto"/>
              </w:rPr>
            </w:pPr>
          </w:p>
        </w:tc>
        <w:tc>
          <w:tcPr>
            <w:tcW w:w="232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89"/>
              </w:rPr>
              <w:t>or Prepaid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98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6"/>
              </w:rPr>
              <w:t>Made By</w:t>
            </w:r>
          </w:p>
        </w:tc>
      </w:tr>
      <w:tr>
        <w:trPr>
          <w:trHeight w:val="95"/>
        </w:trPr>
        <w:tc>
          <w:tcPr>
            <w:tcW w:w="34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bl>
    <w:p>
      <w:pPr>
        <w:sectPr>
          <w:pgSz w:w="11900" w:h="16838" w:orient="portrait"/>
          <w:cols w:equalWidth="0" w:num="1">
            <w:col w:w="10500"/>
          </w:cols>
          <w:pgMar w:left="1160" w:top="2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ind w:left="20"/>
              <w:spacing w:after="0"/>
              <w:rPr>
                <w:sz w:val="20"/>
                <w:szCs w:val="20"/>
                <w:color w:val="auto"/>
              </w:rPr>
            </w:pPr>
            <w:r>
              <w:rPr>
                <w:rFonts w:ascii="Arial" w:cs="Arial" w:eastAsia="Arial" w:hAnsi="Arial"/>
                <w:sz w:val="18"/>
                <w:szCs w:val="18"/>
                <w:color w:val="auto"/>
                <w:w w:val="84"/>
              </w:rPr>
              <w:t>U.S.$</w:t>
            </w:r>
          </w:p>
        </w:tc>
        <w:tc>
          <w:tcPr>
            <w:tcW w:w="880" w:type="dxa"/>
            <w:vAlign w:val="bottom"/>
            <w:gridSpan w:val="2"/>
          </w:tcPr>
          <w:p>
            <w:pPr>
              <w:spacing w:after="0"/>
              <w:rPr>
                <w:sz w:val="17"/>
                <w:szCs w:val="17"/>
                <w:color w:val="auto"/>
              </w:rPr>
            </w:pPr>
          </w:p>
        </w:tc>
        <w:tc>
          <w:tcPr>
            <w:tcW w:w="18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ind w:left="880"/>
              <w:spacing w:after="0"/>
              <w:rPr>
                <w:sz w:val="20"/>
                <w:szCs w:val="20"/>
                <w:color w:val="auto"/>
              </w:rPr>
            </w:pPr>
            <w:r>
              <w:rPr>
                <w:rFonts w:ascii="Arial" w:cs="Arial" w:eastAsia="Arial" w:hAnsi="Arial"/>
                <w:sz w:val="18"/>
                <w:szCs w:val="18"/>
                <w:color w:val="auto"/>
                <w:w w:val="94"/>
              </w:rPr>
              <w:t>Dated:</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 200</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5"/>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700" w:type="dxa"/>
            <w:vAlign w:val="bottom"/>
            <w:gridSpan w:val="16"/>
          </w:tcPr>
          <w:p>
            <w:pPr>
              <w:jc w:val="right"/>
              <w:spacing w:after="0"/>
              <w:rPr>
                <w:sz w:val="20"/>
                <w:szCs w:val="20"/>
                <w:color w:val="auto"/>
              </w:rPr>
            </w:pPr>
            <w:r>
              <w:rPr>
                <w:rFonts w:ascii="Arial" w:cs="Arial" w:eastAsia="Arial" w:hAnsi="Arial"/>
                <w:sz w:val="18"/>
                <w:szCs w:val="18"/>
                <w:color w:val="auto"/>
                <w:w w:val="93"/>
              </w:rPr>
              <w:t>FOR VALUE RECEIVED, the undersigned, MANPOWER INC., a Wisconsin corporation (the “Borrower”), HEREBY PROMISES TO PAY to the</w:t>
            </w:r>
          </w:p>
        </w:tc>
      </w:tr>
      <w:tr>
        <w:trPr>
          <w:trHeight w:val="20"/>
        </w:trPr>
        <w:tc>
          <w:tcPr>
            <w:tcW w:w="6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w w:val="96"/>
              </w:rPr>
              <w:t>order of</w:t>
            </w:r>
          </w:p>
        </w:tc>
        <w:tc>
          <w:tcPr>
            <w:tcW w:w="2500" w:type="dxa"/>
            <w:vAlign w:val="bottom"/>
            <w:gridSpan w:val="3"/>
          </w:tcPr>
          <w:p>
            <w:pPr>
              <w:spacing w:after="0"/>
              <w:rPr>
                <w:sz w:val="17"/>
                <w:szCs w:val="17"/>
                <w:color w:val="auto"/>
              </w:rPr>
            </w:pPr>
          </w:p>
        </w:tc>
        <w:tc>
          <w:tcPr>
            <w:tcW w:w="8200" w:type="dxa"/>
            <w:vAlign w:val="bottom"/>
            <w:gridSpan w:val="13"/>
          </w:tcPr>
          <w:p>
            <w:pPr>
              <w:jc w:val="right"/>
              <w:spacing w:after="0" w:line="196" w:lineRule="exact"/>
              <w:rPr>
                <w:sz w:val="20"/>
                <w:szCs w:val="20"/>
                <w:color w:val="auto"/>
              </w:rPr>
            </w:pPr>
            <w:r>
              <w:rPr>
                <w:rFonts w:ascii="Arial" w:cs="Arial" w:eastAsia="Arial" w:hAnsi="Arial"/>
                <w:sz w:val="18"/>
                <w:szCs w:val="18"/>
                <w:color w:val="auto"/>
                <w:w w:val="90"/>
              </w:rPr>
              <w:t>(the “Lender”) for the account of its Applicable Lending Office (as defined in the Five Year Credit Agreement dated</w:t>
            </w:r>
          </w:p>
        </w:tc>
      </w:tr>
      <w:tr>
        <w:trPr>
          <w:trHeight w:val="20"/>
        </w:trPr>
        <w:tc>
          <w:tcPr>
            <w:tcW w:w="620" w:type="dxa"/>
            <w:vAlign w:val="bottom"/>
            <w:gridSpan w:val="2"/>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8"/>
        </w:trPr>
        <w:tc>
          <w:tcPr>
            <w:tcW w:w="11060" w:type="dxa"/>
            <w:vAlign w:val="bottom"/>
            <w:gridSpan w:val="17"/>
          </w:tcPr>
          <w:p>
            <w:pPr>
              <w:spacing w:after="0"/>
              <w:rPr>
                <w:sz w:val="20"/>
                <w:szCs w:val="20"/>
                <w:color w:val="auto"/>
              </w:rPr>
            </w:pPr>
            <w:r>
              <w:rPr>
                <w:rFonts w:ascii="Arial" w:cs="Arial" w:eastAsia="Arial" w:hAnsi="Arial"/>
                <w:sz w:val="18"/>
                <w:szCs w:val="18"/>
                <w:color w:val="auto"/>
                <w:w w:val="88"/>
              </w:rPr>
              <w:t>as of October 8, 2004, among the Borrower, the Lender and certain other lenders parties thereto, and Citibank, N.A., as Agent for the Lender and such other</w:t>
            </w:r>
          </w:p>
        </w:tc>
        <w:tc>
          <w:tcPr>
            <w:tcW w:w="260" w:type="dxa"/>
            <w:vAlign w:val="bottom"/>
          </w:tcPr>
          <w:p>
            <w:pPr>
              <w:spacing w:after="0"/>
              <w:rPr>
                <w:sz w:val="19"/>
                <w:szCs w:val="19"/>
                <w:color w:val="auto"/>
              </w:rPr>
            </w:pPr>
          </w:p>
        </w:tc>
      </w:tr>
      <w:tr>
        <w:trPr>
          <w:trHeight w:val="184"/>
        </w:trPr>
        <w:tc>
          <w:tcPr>
            <w:tcW w:w="11060" w:type="dxa"/>
            <w:vAlign w:val="bottom"/>
            <w:gridSpan w:val="17"/>
          </w:tcPr>
          <w:p>
            <w:pPr>
              <w:spacing w:after="0" w:line="184" w:lineRule="exact"/>
              <w:rPr>
                <w:sz w:val="20"/>
                <w:szCs w:val="20"/>
                <w:color w:val="auto"/>
              </w:rPr>
            </w:pPr>
            <w:r>
              <w:rPr>
                <w:rFonts w:ascii="Arial" w:cs="Arial" w:eastAsia="Arial" w:hAnsi="Arial"/>
                <w:sz w:val="18"/>
                <w:szCs w:val="18"/>
                <w:color w:val="auto"/>
                <w:w w:val="96"/>
              </w:rPr>
              <w:t>lenders (as amended or modified from time to time, the “Credit Agreement”; the terms defined therein being used herein as therein defined)), on</w:t>
            </w:r>
          </w:p>
        </w:tc>
        <w:tc>
          <w:tcPr>
            <w:tcW w:w="260" w:type="dxa"/>
            <w:vAlign w:val="bottom"/>
          </w:tcPr>
          <w:p>
            <w:pPr>
              <w:jc w:val="right"/>
              <w:ind w:right="112"/>
              <w:spacing w:after="0" w:line="184" w:lineRule="exact"/>
              <w:rPr>
                <w:sz w:val="20"/>
                <w:szCs w:val="20"/>
                <w:color w:val="auto"/>
              </w:rPr>
            </w:pPr>
            <w:r>
              <w:rPr>
                <w:rFonts w:ascii="Arial" w:cs="Arial" w:eastAsia="Arial" w:hAnsi="Arial"/>
                <w:sz w:val="18"/>
                <w:szCs w:val="18"/>
                <w:color w:val="auto"/>
                <w:w w:val="78"/>
              </w:rPr>
              <w:t>,</w:t>
            </w:r>
          </w:p>
        </w:tc>
      </w:tr>
      <w:tr>
        <w:trPr>
          <w:trHeight w:val="20"/>
        </w:trPr>
        <w:tc>
          <w:tcPr>
            <w:tcW w:w="26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right w:val="single" w:sz="8" w:color="auto"/>
            </w:tcBorders>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600" w:type="dxa"/>
            <w:vAlign w:val="bottom"/>
            <w:gridSpan w:val="4"/>
          </w:tcPr>
          <w:p>
            <w:pPr>
              <w:spacing w:after="0" w:line="196" w:lineRule="exact"/>
              <w:rPr>
                <w:sz w:val="20"/>
                <w:szCs w:val="20"/>
                <w:color w:val="auto"/>
              </w:rPr>
            </w:pPr>
            <w:r>
              <w:rPr>
                <w:rFonts w:ascii="Arial" w:cs="Arial" w:eastAsia="Arial" w:hAnsi="Arial"/>
                <w:sz w:val="18"/>
                <w:szCs w:val="18"/>
                <w:color w:val="auto"/>
                <w:w w:val="89"/>
              </w:rPr>
              <w:t>200_, the principal amount of [U.S.$</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580" w:type="dxa"/>
            <w:vAlign w:val="bottom"/>
            <w:gridSpan w:val="11"/>
          </w:tcPr>
          <w:p>
            <w:pPr>
              <w:spacing w:after="0" w:line="196" w:lineRule="exact"/>
              <w:rPr>
                <w:sz w:val="20"/>
                <w:szCs w:val="20"/>
                <w:color w:val="auto"/>
              </w:rPr>
            </w:pPr>
            <w:r>
              <w:rPr>
                <w:rFonts w:ascii="Arial" w:cs="Arial" w:eastAsia="Arial" w:hAnsi="Arial"/>
                <w:sz w:val="18"/>
                <w:szCs w:val="18"/>
                <w:color w:val="auto"/>
                <w:w w:val="95"/>
              </w:rPr>
              <w:t>] [for a Competitive Bid Advance in a Foreign Currency, list currency and amount of such Advance].</w:t>
            </w:r>
          </w:p>
        </w:tc>
        <w:tc>
          <w:tcPr>
            <w:tcW w:w="260" w:type="dxa"/>
            <w:vAlign w:val="bottom"/>
          </w:tcPr>
          <w:p>
            <w:pPr>
              <w:spacing w:after="0"/>
              <w:rPr>
                <w:sz w:val="17"/>
                <w:szCs w:val="17"/>
                <w:color w:val="auto"/>
              </w:rPr>
            </w:pPr>
          </w:p>
        </w:tc>
      </w:tr>
    </w:tbl>
    <w:p>
      <w:pPr>
        <w:spacing w:after="0" w:line="16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w w:val="88"/>
              </w:rPr>
              <w:t>Interest Rate:</w:t>
            </w:r>
          </w:p>
        </w:tc>
        <w:tc>
          <w:tcPr>
            <w:tcW w:w="540" w:type="dxa"/>
            <w:vAlign w:val="bottom"/>
            <w:tcBorders>
              <w:bottom w:val="single" w:sz="8" w:color="auto"/>
            </w:tcBorders>
          </w:tcPr>
          <w:p>
            <w:pPr>
              <w:spacing w:after="0"/>
              <w:rPr>
                <w:sz w:val="17"/>
                <w:szCs w:val="17"/>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88"/>
              </w:rPr>
              <w:t>% per annum (calculated on the basis of a year of</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rPr>
              <w:t>days for the actual number of days elapsed).</w:t>
            </w:r>
          </w:p>
        </w:tc>
      </w:tr>
      <w:tr>
        <w:trPr>
          <w:trHeight w:val="345"/>
        </w:trPr>
        <w:tc>
          <w:tcPr>
            <w:tcW w:w="180" w:type="dxa"/>
            <w:vAlign w:val="bottom"/>
          </w:tcPr>
          <w:p>
            <w:pPr>
              <w:spacing w:after="0"/>
              <w:rPr>
                <w:sz w:val="24"/>
                <w:szCs w:val="24"/>
                <w:color w:val="auto"/>
              </w:rPr>
            </w:pPr>
          </w:p>
        </w:tc>
        <w:tc>
          <w:tcPr>
            <w:tcW w:w="4880" w:type="dxa"/>
            <w:vAlign w:val="bottom"/>
            <w:gridSpan w:val="4"/>
          </w:tcPr>
          <w:p>
            <w:pPr>
              <w:ind w:left="740"/>
              <w:spacing w:after="0"/>
              <w:rPr>
                <w:sz w:val="20"/>
                <w:szCs w:val="20"/>
                <w:color w:val="auto"/>
              </w:rPr>
            </w:pPr>
            <w:r>
              <w:rPr>
                <w:rFonts w:ascii="Arial" w:cs="Arial" w:eastAsia="Arial" w:hAnsi="Arial"/>
                <w:sz w:val="18"/>
                <w:szCs w:val="18"/>
                <w:color w:val="auto"/>
                <w:w w:val="90"/>
              </w:rPr>
              <w:t>Both principal and interest are payable in lawful money of</w:t>
            </w: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380" w:type="dxa"/>
            <w:vAlign w:val="bottom"/>
            <w:gridSpan w:val="2"/>
          </w:tcPr>
          <w:p>
            <w:pPr>
              <w:ind w:left="40"/>
              <w:spacing w:after="0"/>
              <w:rPr>
                <w:sz w:val="20"/>
                <w:szCs w:val="20"/>
                <w:color w:val="auto"/>
              </w:rPr>
            </w:pPr>
            <w:r>
              <w:rPr>
                <w:rFonts w:ascii="Arial" w:cs="Arial" w:eastAsia="Arial" w:hAnsi="Arial"/>
                <w:sz w:val="18"/>
                <w:szCs w:val="18"/>
                <w:color w:val="auto"/>
                <w:w w:val="89"/>
              </w:rPr>
              <w:t>to Citibank, as agent, for the account of the Lender at the office of Citibank,</w:t>
            </w:r>
          </w:p>
        </w:tc>
      </w:tr>
      <w:tr>
        <w:trPr>
          <w:trHeight w:val="196"/>
        </w:trPr>
        <w:tc>
          <w:tcPr>
            <w:tcW w:w="180" w:type="dxa"/>
            <w:vAlign w:val="bottom"/>
          </w:tcPr>
          <w:p>
            <w:pPr>
              <w:spacing w:after="0" w:line="196" w:lineRule="exact"/>
              <w:rPr>
                <w:sz w:val="20"/>
                <w:szCs w:val="20"/>
                <w:color w:val="auto"/>
              </w:rPr>
            </w:pPr>
            <w:r>
              <w:rPr>
                <w:rFonts w:ascii="Arial" w:cs="Arial" w:eastAsia="Arial" w:hAnsi="Arial"/>
                <w:sz w:val="18"/>
                <w:szCs w:val="18"/>
                <w:color w:val="auto"/>
              </w:rPr>
              <w:t>at</w:t>
            </w:r>
          </w:p>
        </w:tc>
        <w:tc>
          <w:tcPr>
            <w:tcW w:w="880" w:type="dxa"/>
            <w:vAlign w:val="bottom"/>
            <w:tcBorders>
              <w:bottom w:val="single" w:sz="8" w:color="auto"/>
            </w:tcBorders>
          </w:tcPr>
          <w:p>
            <w:pPr>
              <w:spacing w:after="0"/>
              <w:rPr>
                <w:sz w:val="17"/>
                <w:szCs w:val="17"/>
                <w:color w:val="auto"/>
              </w:rPr>
            </w:pPr>
          </w:p>
        </w:tc>
        <w:tc>
          <w:tcPr>
            <w:tcW w:w="44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in same day funds.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tcPr>
          <w:p>
            <w:pPr>
              <w:spacing w:after="0"/>
              <w:rPr>
                <w:sz w:val="17"/>
                <w:szCs w:val="17"/>
                <w:color w:val="auto"/>
              </w:rPr>
            </w:pPr>
          </w:p>
        </w:tc>
      </w:tr>
    </w:tbl>
    <w:p>
      <w:pPr>
        <w:spacing w:after="0" w:line="167"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7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Promissory Note shall be governed by, and construed in accordance with, the laws of the State of New York.</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-13970</wp:posOffset>
            </wp:positionV>
            <wp:extent cx="2573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B-1 - FORM OF NOTICE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BORROWING</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Lender Parties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Castle, Delaware 19720</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Bank Loan Syndications Department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The undersigned, Manpower Inc., refers to the Five Year Credit Agreement, dated as of October 8, 2004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 Parties thereto and Citibank,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w:t>
      </w:r>
      <w:r>
        <w:rPr>
          <w:rFonts w:ascii="Arial" w:cs="Arial" w:eastAsia="Arial" w:hAnsi="Arial"/>
          <w:sz w:val="16"/>
          <w:szCs w:val="16"/>
          <w:u w:val="single" w:color="auto"/>
          <w:color w:val="auto"/>
        </w:rPr>
        <w:t>Proposed Revolving Credit Borrowing</w:t>
      </w:r>
      <w:r>
        <w:rPr>
          <w:rFonts w:ascii="Arial" w:cs="Arial" w:eastAsia="Arial" w:hAnsi="Arial"/>
          <w:sz w:val="16"/>
          <w:szCs w:val="16"/>
          <w:color w:val="auto"/>
        </w:rPr>
        <w:t>”) as required by Section 2.02(a) of the Credit Agreement:</w:t>
      </w:r>
    </w:p>
    <w:tbl>
      <w:tblPr>
        <w:tblLayout w:type="fixed"/>
        <w:tblInd w:w="900" w:type="dxa"/>
        <w:tblCellMar>
          <w:top w:w="0" w:type="dxa"/>
          <w:left w:w="0" w:type="dxa"/>
          <w:bottom w:w="0" w:type="dxa"/>
          <w:right w:w="0" w:type="dxa"/>
        </w:tblCellMar>
      </w:tblPr>
      <w:tr>
        <w:trPr>
          <w:trHeight w:val="205"/>
        </w:trPr>
        <w:tc>
          <w:tcPr>
            <w:tcW w:w="4900" w:type="dxa"/>
            <w:vAlign w:val="bottom"/>
          </w:tcPr>
          <w:p>
            <w:pPr>
              <w:spacing w:after="0" w:line="205" w:lineRule="exact"/>
              <w:rPr>
                <w:sz w:val="20"/>
                <w:szCs w:val="20"/>
                <w:color w:val="auto"/>
              </w:rPr>
            </w:pPr>
            <w:r>
              <w:rPr>
                <w:rFonts w:ascii="Arial" w:cs="Arial" w:eastAsia="Arial" w:hAnsi="Arial"/>
                <w:sz w:val="18"/>
                <w:szCs w:val="18"/>
                <w:color w:val="auto"/>
                <w:w w:val="90"/>
              </w:rPr>
              <w:t>(i) The Business Day of the Proposed Revolving Credit Borrowing is</w:t>
            </w:r>
          </w:p>
        </w:tc>
        <w:tc>
          <w:tcPr>
            <w:tcW w:w="880" w:type="dxa"/>
            <w:vAlign w:val="bottom"/>
            <w:tcBorders>
              <w:bottom w:val="single" w:sz="8" w:color="auto"/>
            </w:tcBorders>
          </w:tcPr>
          <w:p>
            <w:pPr>
              <w:spacing w:after="0"/>
              <w:rPr>
                <w:sz w:val="17"/>
                <w:szCs w:val="17"/>
                <w:color w:val="auto"/>
              </w:rPr>
            </w:pPr>
          </w:p>
        </w:tc>
        <w:tc>
          <w:tcPr>
            <w:tcW w:w="480" w:type="dxa"/>
            <w:vAlign w:val="bottom"/>
          </w:tcPr>
          <w:p>
            <w:pPr>
              <w:jc w:val="right"/>
              <w:spacing w:after="0" w:line="205" w:lineRule="exact"/>
              <w:rPr>
                <w:sz w:val="20"/>
                <w:szCs w:val="20"/>
                <w:color w:val="auto"/>
              </w:rPr>
            </w:pPr>
            <w:r>
              <w:rPr>
                <w:rFonts w:ascii="Arial" w:cs="Arial" w:eastAsia="Arial" w:hAnsi="Arial"/>
                <w:sz w:val="18"/>
                <w:szCs w:val="18"/>
                <w:color w:val="auto"/>
                <w:w w:val="83"/>
              </w:rPr>
              <w:t>, 200_.</w:t>
            </w:r>
          </w:p>
        </w:tc>
      </w:tr>
    </w:tbl>
    <w:p>
      <w:pPr>
        <w:spacing w:after="0" w:line="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(ii) The Type of Advances comprising the Proposed Revolving Credit Borrowing is [Base Rate Advances] [Eurocurrency Rate Advances].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880" w:type="dxa"/>
            <w:vAlign w:val="bottom"/>
          </w:tcPr>
          <w:p>
            <w:pPr>
              <w:ind w:left="440"/>
              <w:spacing w:after="0"/>
              <w:rPr>
                <w:sz w:val="20"/>
                <w:szCs w:val="20"/>
                <w:color w:val="auto"/>
              </w:rPr>
            </w:pPr>
            <w:r>
              <w:rPr>
                <w:rFonts w:ascii="Arial" w:cs="Arial" w:eastAsia="Arial" w:hAnsi="Arial"/>
                <w:sz w:val="18"/>
                <w:szCs w:val="18"/>
                <w:color w:val="auto"/>
                <w:w w:val="89"/>
              </w:rPr>
              <w:t>(iii) The aggregate amount of the Proposed Revolving Credit Borrowing is [$</w:t>
            </w:r>
          </w:p>
        </w:tc>
        <w:tc>
          <w:tcPr>
            <w:tcW w:w="440" w:type="dxa"/>
            <w:vAlign w:val="bottom"/>
          </w:tcPr>
          <w:p>
            <w:pPr>
              <w:spacing w:after="0"/>
              <w:rPr>
                <w:sz w:val="17"/>
                <w:szCs w:val="17"/>
                <w:color w:val="auto"/>
              </w:rPr>
            </w:pPr>
          </w:p>
        </w:tc>
        <w:tc>
          <w:tcPr>
            <w:tcW w:w="4580" w:type="dxa"/>
            <w:vAlign w:val="bottom"/>
            <w:gridSpan w:val="4"/>
          </w:tcPr>
          <w:p>
            <w:pPr>
              <w:ind w:left="440"/>
              <w:spacing w:after="0"/>
              <w:rPr>
                <w:sz w:val="20"/>
                <w:szCs w:val="20"/>
                <w:color w:val="auto"/>
              </w:rPr>
            </w:pPr>
            <w:r>
              <w:rPr>
                <w:rFonts w:ascii="Arial" w:cs="Arial" w:eastAsia="Arial" w:hAnsi="Arial"/>
                <w:sz w:val="18"/>
                <w:szCs w:val="18"/>
                <w:color w:val="auto"/>
              </w:rPr>
              <w:t>][for a Revolving Credit Borrowing in a Committed</w:t>
            </w:r>
          </w:p>
        </w:tc>
      </w:tr>
      <w:tr>
        <w:trPr>
          <w:trHeight w:val="235"/>
        </w:trPr>
        <w:tc>
          <w:tcPr>
            <w:tcW w:w="5880" w:type="dxa"/>
            <w:vAlign w:val="bottom"/>
          </w:tcPr>
          <w:p>
            <w:pPr>
              <w:spacing w:after="0"/>
              <w:rPr>
                <w:sz w:val="20"/>
                <w:szCs w:val="20"/>
                <w:color w:val="auto"/>
              </w:rPr>
            </w:pPr>
            <w:r>
              <w:rPr>
                <w:rFonts w:ascii="Arial" w:cs="Arial" w:eastAsia="Arial" w:hAnsi="Arial"/>
                <w:sz w:val="18"/>
                <w:szCs w:val="18"/>
                <w:color w:val="auto"/>
              </w:rPr>
              <w:t>Currency, list currency and amount of Revolving Credit Borrowing].</w:t>
            </w:r>
          </w:p>
        </w:tc>
        <w:tc>
          <w:tcPr>
            <w:tcW w:w="4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5"/>
        </w:trPr>
        <w:tc>
          <w:tcPr>
            <w:tcW w:w="9580" w:type="dxa"/>
            <w:vAlign w:val="bottom"/>
            <w:gridSpan w:val="4"/>
          </w:tcPr>
          <w:p>
            <w:pPr>
              <w:ind w:left="440"/>
              <w:spacing w:after="0"/>
              <w:rPr>
                <w:sz w:val="20"/>
                <w:szCs w:val="20"/>
                <w:color w:val="auto"/>
              </w:rPr>
            </w:pPr>
            <w:r>
              <w:rPr>
                <w:rFonts w:ascii="Arial" w:cs="Arial" w:eastAsia="Arial" w:hAnsi="Arial"/>
                <w:sz w:val="18"/>
                <w:szCs w:val="18"/>
                <w:color w:val="auto"/>
                <w:w w:val="89"/>
              </w:rPr>
              <w:t>[(iv) The initial Interest Period for each Eurocurrency Rate Advance made as part of the Proposed Revolving Credit Borrowing is</w:t>
            </w:r>
          </w:p>
        </w:tc>
        <w:tc>
          <w:tcPr>
            <w:tcW w:w="540" w:type="dxa"/>
            <w:vAlign w:val="bottom"/>
            <w:tcBorders>
              <w:bottom w:val="single" w:sz="8" w:color="auto"/>
            </w:tcBorders>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91"/>
              </w:rPr>
              <w:t>month[s].]</w:t>
            </w:r>
          </w:p>
        </w:tc>
      </w:tr>
    </w:tbl>
    <w:p>
      <w:pPr>
        <w:spacing w:after="0" w:line="167"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Revolving Credit Borrowing:</w:t>
      </w:r>
    </w:p>
    <w:p>
      <w:pPr>
        <w:spacing w:after="0" w:line="37" w:lineRule="exact"/>
        <w:rPr>
          <w:sz w:val="20"/>
          <w:szCs w:val="20"/>
          <w:color w:val="auto"/>
        </w:rPr>
      </w:pPr>
    </w:p>
    <w:p>
      <w:pPr>
        <w:ind w:left="460" w:right="140" w:firstLine="443"/>
        <w:spacing w:after="0" w:line="259" w:lineRule="auto"/>
        <w:tabs>
          <w:tab w:leader="none" w:pos="118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(except the representations set forth in the last sentence of subsection (e) thereof and in subsection (f)(i) thereof) are correct, before and after giving effect to the Proposed Revolving Credit Borrowing and to the application of the proceeds therefrom, as though made on and as of such date; and</w:t>
      </w:r>
    </w:p>
    <w:p>
      <w:pPr>
        <w:sectPr>
          <w:pgSz w:w="11900" w:h="16838" w:orient="portrait"/>
          <w:cols w:equalWidth="0" w:num="1">
            <w:col w:w="11420"/>
          </w:cols>
          <w:pgMar w:left="240" w:top="280" w:right="239" w:bottom="1440" w:gutter="0" w:footer="0" w:header="0"/>
        </w:sectPr>
      </w:pPr>
    </w:p>
    <w:bookmarkStart w:id="71" w:name="page72"/>
    <w:bookmarkEnd w:id="71"/>
    <w:p>
      <w:pPr>
        <w:ind w:left="-443" w:firstLine="443"/>
        <w:spacing w:after="0" w:line="268" w:lineRule="auto"/>
        <w:tabs>
          <w:tab w:leader="none" w:pos="273"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event has occurred and is continuing, or would result from such Proposed Revolving Credit Borrowing or from the application of the proceeds therefrom, that constitutes a Default.</w:t>
      </w:r>
    </w:p>
    <w:p>
      <w:pPr>
        <w:spacing w:after="0" w:line="118" w:lineRule="exact"/>
        <w:rPr>
          <w:sz w:val="20"/>
          <w:szCs w:val="20"/>
          <w:color w:val="auto"/>
        </w:rPr>
      </w:pPr>
    </w:p>
    <w:p>
      <w:pPr>
        <w:ind w:left="5957"/>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57"/>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5957"/>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-13970</wp:posOffset>
            </wp:positionV>
            <wp:extent cx="2546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70" w:lineRule="exact"/>
        <w:rPr>
          <w:sz w:val="20"/>
          <w:szCs w:val="20"/>
          <w:color w:val="auto"/>
        </w:rPr>
      </w:pPr>
    </w:p>
    <w:p>
      <w:pPr>
        <w:ind w:left="5957"/>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497"/>
          </w:cols>
          <w:pgMar w:left="1143" w:top="280" w:right="2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B-2 - FORM OF NOTICE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 BORROWING</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Lender Parties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Castle, Delaware 19720</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Bank Loan Syndications Department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undersigned, Manpower Inc., refers to the Five Year Credit Agreement, dated as of October 8, 2004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the undersigned, certain Lenders parties thereto and Citibank, N.A., as Agent for said Lenders, and hereby gives you notice, irrevocably, pursuant to Section 2.03 of the Credit Agreement that the undersigned hereby requests a Competitive Bid Borrowing under the Credit Agreement, and in that connection sets forth the terms on which such Competitive Bid Borrowing (the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Competitive Bid Borrowing</w:t>
      </w:r>
      <w:r>
        <w:rPr>
          <w:rFonts w:ascii="Arial" w:cs="Arial" w:eastAsia="Arial" w:hAnsi="Arial"/>
          <w:sz w:val="18"/>
          <w:szCs w:val="18"/>
          <w:color w:val="auto"/>
        </w:rPr>
        <w:t>”) is requested to be made:</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4140" w:type="dxa"/>
            <w:vAlign w:val="bottom"/>
          </w:tcPr>
          <w:p>
            <w:pPr>
              <w:ind w:left="100"/>
              <w:spacing w:after="0"/>
              <w:rPr>
                <w:sz w:val="20"/>
                <w:szCs w:val="20"/>
                <w:color w:val="auto"/>
              </w:rPr>
            </w:pPr>
            <w:r>
              <w:rPr>
                <w:rFonts w:ascii="Arial" w:cs="Arial" w:eastAsia="Arial" w:hAnsi="Arial"/>
                <w:sz w:val="18"/>
                <w:szCs w:val="18"/>
                <w:color w:val="auto"/>
              </w:rPr>
              <w:t>Date of Competitive Bid Borrowing</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4140" w:type="dxa"/>
            <w:vAlign w:val="bottom"/>
          </w:tcPr>
          <w:p>
            <w:pPr>
              <w:ind w:left="100"/>
              <w:spacing w:after="0"/>
              <w:rPr>
                <w:sz w:val="20"/>
                <w:szCs w:val="20"/>
                <w:color w:val="auto"/>
              </w:rPr>
            </w:pPr>
            <w:r>
              <w:rPr>
                <w:rFonts w:ascii="Arial" w:cs="Arial" w:eastAsia="Arial" w:hAnsi="Arial"/>
                <w:sz w:val="18"/>
                <w:szCs w:val="18"/>
                <w:color w:val="auto"/>
              </w:rPr>
              <w:t>Amount of Competitive Bid Borrowing</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4140" w:type="dxa"/>
            <w:vAlign w:val="bottom"/>
          </w:tcPr>
          <w:p>
            <w:pPr>
              <w:ind w:left="100"/>
              <w:spacing w:after="0"/>
              <w:rPr>
                <w:sz w:val="20"/>
                <w:szCs w:val="20"/>
                <w:color w:val="auto"/>
              </w:rPr>
            </w:pPr>
            <w:r>
              <w:rPr>
                <w:rFonts w:ascii="Arial" w:cs="Arial" w:eastAsia="Arial" w:hAnsi="Arial"/>
                <w:sz w:val="18"/>
                <w:szCs w:val="18"/>
                <w:color w:val="auto"/>
              </w:rPr>
              <w:t>[Maturity Date] [Interest Period]</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4140" w:type="dxa"/>
            <w:vAlign w:val="bottom"/>
          </w:tcPr>
          <w:p>
            <w:pPr>
              <w:ind w:left="100"/>
              <w:spacing w:after="0"/>
              <w:rPr>
                <w:sz w:val="20"/>
                <w:szCs w:val="20"/>
                <w:color w:val="auto"/>
              </w:rPr>
            </w:pPr>
            <w:r>
              <w:rPr>
                <w:rFonts w:ascii="Arial" w:cs="Arial" w:eastAsia="Arial" w:hAnsi="Arial"/>
                <w:sz w:val="18"/>
                <w:szCs w:val="18"/>
                <w:color w:val="auto"/>
              </w:rPr>
              <w:t>Interest Rate Basis</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(E)</w:t>
            </w:r>
          </w:p>
        </w:tc>
        <w:tc>
          <w:tcPr>
            <w:tcW w:w="4140" w:type="dxa"/>
            <w:vAlign w:val="bottom"/>
          </w:tcPr>
          <w:p>
            <w:pPr>
              <w:ind w:left="100"/>
              <w:spacing w:after="0"/>
              <w:rPr>
                <w:sz w:val="20"/>
                <w:szCs w:val="20"/>
                <w:color w:val="auto"/>
              </w:rPr>
            </w:pPr>
            <w:r>
              <w:rPr>
                <w:rFonts w:ascii="Arial" w:cs="Arial" w:eastAsia="Arial" w:hAnsi="Arial"/>
                <w:sz w:val="18"/>
                <w:szCs w:val="18"/>
                <w:color w:val="auto"/>
              </w:rPr>
              <w:t>Day Count Convention</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(F)</w:t>
            </w:r>
          </w:p>
        </w:tc>
        <w:tc>
          <w:tcPr>
            <w:tcW w:w="4140" w:type="dxa"/>
            <w:vAlign w:val="bottom"/>
          </w:tcPr>
          <w:p>
            <w:pPr>
              <w:ind w:left="100"/>
              <w:spacing w:after="0"/>
              <w:rPr>
                <w:sz w:val="20"/>
                <w:szCs w:val="20"/>
                <w:color w:val="auto"/>
              </w:rPr>
            </w:pPr>
            <w:r>
              <w:rPr>
                <w:rFonts w:ascii="Arial" w:cs="Arial" w:eastAsia="Arial" w:hAnsi="Arial"/>
                <w:sz w:val="18"/>
                <w:szCs w:val="18"/>
                <w:color w:val="auto"/>
              </w:rPr>
              <w:t>Interest Payment Date(s)</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(G)</w:t>
            </w:r>
          </w:p>
        </w:tc>
        <w:tc>
          <w:tcPr>
            <w:tcW w:w="4140" w:type="dxa"/>
            <w:vAlign w:val="bottom"/>
          </w:tcPr>
          <w:p>
            <w:pPr>
              <w:ind w:left="100"/>
              <w:spacing w:after="0"/>
              <w:rPr>
                <w:sz w:val="20"/>
                <w:szCs w:val="20"/>
                <w:color w:val="auto"/>
              </w:rPr>
            </w:pPr>
            <w:r>
              <w:rPr>
                <w:rFonts w:ascii="Arial" w:cs="Arial" w:eastAsia="Arial" w:hAnsi="Arial"/>
                <w:sz w:val="18"/>
                <w:szCs w:val="18"/>
                <w:color w:val="auto"/>
              </w:rPr>
              <w:t>Currency</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(H)</w:t>
            </w:r>
          </w:p>
        </w:tc>
        <w:tc>
          <w:tcPr>
            <w:tcW w:w="4140" w:type="dxa"/>
            <w:vAlign w:val="bottom"/>
          </w:tcPr>
          <w:p>
            <w:pPr>
              <w:ind w:left="100"/>
              <w:spacing w:after="0"/>
              <w:rPr>
                <w:sz w:val="20"/>
                <w:szCs w:val="20"/>
                <w:color w:val="auto"/>
              </w:rPr>
            </w:pPr>
            <w:r>
              <w:rPr>
                <w:rFonts w:ascii="Arial" w:cs="Arial" w:eastAsia="Arial" w:hAnsi="Arial"/>
                <w:sz w:val="18"/>
                <w:szCs w:val="18"/>
                <w:color w:val="auto"/>
              </w:rPr>
              <w:t>Borrower’s Account Location</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4140" w:type="dxa"/>
            <w:vAlign w:val="bottom"/>
          </w:tcPr>
          <w:p>
            <w:pPr>
              <w:ind w:left="100"/>
              <w:spacing w:after="0"/>
              <w:rPr>
                <w:sz w:val="20"/>
                <w:szCs w:val="20"/>
                <w:color w:val="auto"/>
              </w:rPr>
            </w:pPr>
            <w:r>
              <w:rPr>
                <w:rFonts w:ascii="Arial" w:cs="Arial" w:eastAsia="Arial" w:hAnsi="Arial"/>
                <w:sz w:val="18"/>
                <w:szCs w:val="18"/>
                <w:color w:val="auto"/>
              </w:rPr>
              <w:t>___________________________________</w:t>
            </w:r>
          </w:p>
        </w:tc>
        <w:tc>
          <w:tcPr>
            <w:tcW w:w="406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bl>
    <w:p>
      <w:pPr>
        <w:spacing w:after="0" w:line="14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Competitive Bid Borrowing:</w:t>
      </w:r>
    </w:p>
    <w:p>
      <w:pPr>
        <w:spacing w:after="0" w:line="37" w:lineRule="exact"/>
        <w:rPr>
          <w:sz w:val="20"/>
          <w:szCs w:val="20"/>
          <w:color w:val="auto"/>
        </w:rPr>
      </w:pPr>
    </w:p>
    <w:p>
      <w:pPr>
        <w:ind w:left="460" w:right="180" w:firstLine="443"/>
        <w:spacing w:after="0" w:line="259"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(except the representations set forth in the last sentence of subsection (e) thereof and in subsection (f)(i) thereof) are correct, before and after giving effect to the Proposed Competitive Bid Borrowing and to the application of the proceeds therefrom, as though made on and as of such date;</w:t>
      </w:r>
    </w:p>
    <w:p>
      <w:pPr>
        <w:spacing w:after="0" w:line="45"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Competitive Bid Borrowing or from the application of the proceeds therefrom, that constitutes a Default;</w:t>
      </w:r>
    </w:p>
    <w:p>
      <w:pPr>
        <w:spacing w:after="0" w:line="37" w:lineRule="exact"/>
        <w:rPr>
          <w:rFonts w:ascii="Arial" w:cs="Arial" w:eastAsia="Arial" w:hAnsi="Arial"/>
          <w:sz w:val="18"/>
          <w:szCs w:val="18"/>
          <w:color w:val="auto"/>
        </w:rPr>
      </w:pPr>
    </w:p>
    <w:p>
      <w:pPr>
        <w:jc w:val="both"/>
        <w:ind w:left="460" w:right="220" w:firstLine="443"/>
        <w:spacing w:after="0" w:line="256"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event has occurred and no circumstance exists as a result of which the information concerning the undersigned that has been provided to the Agent and each Lender by the undersigned in connection with the Credit Agreement would include an untrue statement of a material fact or omit to state any material fact or any fact necessary to make the statements contained therein, in the light of the circumstances under which they were made, not misleading; and</w:t>
      </w:r>
    </w:p>
    <w:p>
      <w:pPr>
        <w:sectPr>
          <w:pgSz w:w="11900" w:h="16838" w:orient="portrait"/>
          <w:cols w:equalWidth="0" w:num="1">
            <w:col w:w="11420"/>
          </w:cols>
          <w:pgMar w:left="240" w:top="280" w:right="239" w:bottom="1440" w:gutter="0" w:footer="0" w:header="0"/>
        </w:sectPr>
      </w:pPr>
    </w:p>
    <w:bookmarkStart w:id="73" w:name="page74"/>
    <w:bookmarkEnd w:id="73"/>
    <w:p>
      <w:pPr>
        <w:ind w:left="460" w:right="62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amount of the Proposed Competitive Bid Borrowing and all other Borrowings to be made on the same day under the Credit Agreement is within the aggregate amount of the unused Commitments of the Lenders.</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undersigned hereby confirms that the Proposed Competitive Bid Borrowing is to be made available to it in accordance with Section 2.03(a)(v) of the Credit Agreement.</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-13970</wp:posOffset>
            </wp:positionV>
            <wp:extent cx="25730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ACCEPTANCE</w:t>
      </w:r>
    </w:p>
    <w:p>
      <w:pPr>
        <w:spacing w:after="0" w:line="151"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Reference is made to the Five Year Credit Agreement dated as of October 8, 2004 (as amended or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Manpower Inc., a Wisconsin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 Parties (as defined in the Credit Agreement) and Citibank, N.A., as agent for the Lender Parties (the “</w:t>
      </w:r>
      <w:r>
        <w:rPr>
          <w:rFonts w:ascii="Arial" w:cs="Arial" w:eastAsia="Arial" w:hAnsi="Arial"/>
          <w:sz w:val="16"/>
          <w:szCs w:val="16"/>
          <w:u w:val="single" w:color="auto"/>
          <w:color w:val="auto"/>
        </w:rPr>
        <w:t>Agent</w:t>
      </w:r>
      <w:r>
        <w:rPr>
          <w:rFonts w:ascii="Arial" w:cs="Arial" w:eastAsia="Arial" w:hAnsi="Arial"/>
          <w:sz w:val="16"/>
          <w:szCs w:val="16"/>
          <w:color w:val="auto"/>
        </w:rPr>
        <w:t>”). Terms defined in the Credit Agreement are used herein with the same meaning.</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“Assignor” and the “Assignee” referred to on Schedule I hereto agree as follows:</w:t>
      </w:r>
    </w:p>
    <w:p>
      <w:pPr>
        <w:spacing w:after="0" w:line="77" w:lineRule="exact"/>
        <w:rPr>
          <w:sz w:val="20"/>
          <w:szCs w:val="20"/>
          <w:color w:val="auto"/>
        </w:rPr>
      </w:pPr>
    </w:p>
    <w:p>
      <w:pPr>
        <w:ind w:firstLine="921"/>
        <w:spacing w:after="0" w:line="291" w:lineRule="auto"/>
        <w:tabs>
          <w:tab w:leader="none" w:pos="10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together with participations in Letters of Credit and Letter of Credit Advances held by the Assignor on the date hereof. After giving effect to such sale and assignment, the Assignee’s Commitment and the amount of the Revolving Credit Advances and Letter of Credit Advances owing to the Assignee will be as set forth on Schedule 1 hereto.</w:t>
      </w:r>
    </w:p>
    <w:p>
      <w:pPr>
        <w:spacing w:after="0" w:line="106" w:lineRule="exact"/>
        <w:rPr>
          <w:rFonts w:ascii="Arial" w:cs="Arial" w:eastAsia="Arial" w:hAnsi="Arial"/>
          <w:sz w:val="16"/>
          <w:szCs w:val="16"/>
          <w:color w:val="auto"/>
        </w:rPr>
      </w:pPr>
    </w:p>
    <w:p>
      <w:pPr>
        <w:ind w:firstLine="921"/>
        <w:spacing w:after="0" w:line="287" w:lineRule="auto"/>
        <w:tabs>
          <w:tab w:leader="none" w:pos="10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if any]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109" w:lineRule="exact"/>
        <w:rPr>
          <w:rFonts w:ascii="Arial" w:cs="Arial" w:eastAsia="Arial" w:hAnsi="Arial"/>
          <w:sz w:val="16"/>
          <w:szCs w:val="16"/>
          <w:color w:val="auto"/>
        </w:rPr>
      </w:pPr>
    </w:p>
    <w:p>
      <w:pPr>
        <w:ind w:firstLine="921"/>
        <w:spacing w:after="0" w:line="310" w:lineRule="auto"/>
        <w:tabs>
          <w:tab w:leader="none" w:pos="1088"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Party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 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Party; and (vi) attaches any U.S. Internal Revenue Service forms required under Section 2.15 of the Credit Agreement.</w:t>
      </w:r>
    </w:p>
    <w:p>
      <w:pPr>
        <w:spacing w:after="0" w:line="94" w:lineRule="exact"/>
        <w:rPr>
          <w:rFonts w:ascii="Arial" w:cs="Arial" w:eastAsia="Arial" w:hAnsi="Arial"/>
          <w:sz w:val="15"/>
          <w:szCs w:val="15"/>
          <w:color w:val="auto"/>
        </w:rPr>
      </w:pPr>
    </w:p>
    <w:p>
      <w:pPr>
        <w:ind w:right="380" w:firstLine="921"/>
        <w:spacing w:after="0" w:line="259" w:lineRule="auto"/>
        <w:tabs>
          <w:tab w:leader="none" w:pos="10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be the date of acceptance hereof by the Agent, unless otherwise specified on Schedule 1 hereto.</w:t>
      </w:r>
    </w:p>
    <w:p>
      <w:pPr>
        <w:sectPr>
          <w:pgSz w:w="11900" w:h="16838" w:orient="portrait"/>
          <w:cols w:equalWidth="0" w:num="1">
            <w:col w:w="11420"/>
          </w:cols>
          <w:pgMar w:left="240" w:top="280" w:right="239" w:bottom="1440" w:gutter="0" w:footer="0" w:header="0"/>
        </w:sectPr>
      </w:pPr>
    </w:p>
    <w:bookmarkStart w:id="75" w:name="page76"/>
    <w:bookmarkEnd w:id="75"/>
    <w:p>
      <w:pPr>
        <w:ind w:right="140" w:firstLine="921"/>
        <w:spacing w:after="0" w:line="306" w:lineRule="auto"/>
        <w:tabs>
          <w:tab w:leader="none" w:pos="1088"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such acceptance and recording by the Agent, as of the Effective Date, (i) the Assignee shall be a party to the Credit Agreement and, to the extent provided in this Assignment and Acceptance, have the rights and obligations of a Lender Party thereunder and (ii) the Assignor shall, to the extent provided in this Assignment and Acceptance, relinquish its rights and be released from its obligations under the Credit Agreement.</w:t>
      </w:r>
    </w:p>
    <w:p>
      <w:pPr>
        <w:spacing w:after="0" w:line="93" w:lineRule="exact"/>
        <w:rPr>
          <w:rFonts w:ascii="Arial" w:cs="Arial" w:eastAsia="Arial" w:hAnsi="Arial"/>
          <w:sz w:val="16"/>
          <w:szCs w:val="16"/>
          <w:color w:val="auto"/>
        </w:rPr>
      </w:pPr>
    </w:p>
    <w:p>
      <w:pPr>
        <w:ind w:firstLine="921"/>
        <w:spacing w:after="0" w:line="256" w:lineRule="auto"/>
        <w:tabs>
          <w:tab w:leader="none" w:pos="10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29" w:lineRule="exact"/>
        <w:rPr>
          <w:rFonts w:ascii="Arial" w:cs="Arial" w:eastAsia="Arial" w:hAnsi="Arial"/>
          <w:sz w:val="18"/>
          <w:szCs w:val="18"/>
          <w:color w:val="auto"/>
        </w:rPr>
      </w:pPr>
    </w:p>
    <w:p>
      <w:pPr>
        <w:ind w:left="1100" w:hanging="179"/>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57" w:lineRule="exact"/>
        <w:rPr>
          <w:rFonts w:ascii="Arial" w:cs="Arial" w:eastAsia="Arial" w:hAnsi="Arial"/>
          <w:sz w:val="18"/>
          <w:szCs w:val="18"/>
          <w:color w:val="auto"/>
        </w:rPr>
      </w:pPr>
    </w:p>
    <w:p>
      <w:pPr>
        <w:ind w:right="60" w:firstLine="921"/>
        <w:spacing w:after="0" w:line="256" w:lineRule="auto"/>
        <w:tabs>
          <w:tab w:leader="none" w:pos="10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30"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IN WITNESS WHEREOF, the Assignor and the Assignee have caused Schedule 1 to this Assignment and Acceptance to be executed by their officers thereunto duly authorized as of the date specified thereon.</w:t>
      </w:r>
    </w:p>
    <w:p>
      <w:pPr>
        <w:sectPr>
          <w:pgSz w:w="11900" w:h="16838" w:orient="portrait"/>
          <w:cols w:equalWidth="0" w:num="1">
            <w:col w:w="11360"/>
          </w:cols>
          <w:pgMar w:left="240" w:top="280" w:right="2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60" w:type="dxa"/>
            <w:vAlign w:val="bottom"/>
          </w:tcPr>
          <w:p>
            <w:pPr>
              <w:jc w:val="center"/>
              <w:ind w:left="1812"/>
              <w:spacing w:after="0"/>
              <w:rPr>
                <w:sz w:val="20"/>
                <w:szCs w:val="20"/>
                <w:color w:val="auto"/>
              </w:rPr>
            </w:pPr>
            <w:r>
              <w:rPr>
                <w:rFonts w:ascii="Arial" w:cs="Arial" w:eastAsia="Arial" w:hAnsi="Arial"/>
                <w:sz w:val="18"/>
                <w:szCs w:val="18"/>
                <w:color w:val="auto"/>
                <w:w w:val="86"/>
              </w:rPr>
              <w:t>Schedule 1</w:t>
            </w:r>
          </w:p>
        </w:tc>
        <w:tc>
          <w:tcPr>
            <w:tcW w:w="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60" w:type="dxa"/>
            <w:vAlign w:val="bottom"/>
          </w:tcPr>
          <w:p>
            <w:pPr>
              <w:jc w:val="center"/>
              <w:ind w:left="1812"/>
              <w:spacing w:after="0"/>
              <w:rPr>
                <w:sz w:val="20"/>
                <w:szCs w:val="20"/>
                <w:color w:val="auto"/>
              </w:rPr>
            </w:pPr>
            <w:r>
              <w:rPr>
                <w:rFonts w:ascii="Arial" w:cs="Arial" w:eastAsia="Arial" w:hAnsi="Arial"/>
                <w:sz w:val="18"/>
                <w:szCs w:val="18"/>
                <w:color w:val="auto"/>
                <w:w w:val="92"/>
              </w:rPr>
              <w:t>to</w:t>
            </w:r>
          </w:p>
        </w:tc>
        <w:tc>
          <w:tcPr>
            <w:tcW w:w="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360" w:type="dxa"/>
            <w:vAlign w:val="bottom"/>
          </w:tcPr>
          <w:p>
            <w:pPr>
              <w:jc w:val="center"/>
              <w:ind w:left="1832"/>
              <w:spacing w:after="0"/>
              <w:rPr>
                <w:sz w:val="20"/>
                <w:szCs w:val="20"/>
                <w:color w:val="auto"/>
              </w:rPr>
            </w:pPr>
            <w:r>
              <w:rPr>
                <w:rFonts w:ascii="Arial" w:cs="Arial" w:eastAsia="Arial" w:hAnsi="Arial"/>
                <w:sz w:val="18"/>
                <w:szCs w:val="18"/>
                <w:color w:val="auto"/>
                <w:w w:val="87"/>
              </w:rPr>
              <w:t>Assignment and Acceptance</w:t>
            </w: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Percentage interest assigned:</w:t>
            </w:r>
          </w:p>
        </w:tc>
        <w:tc>
          <w:tcPr>
            <w:tcW w:w="536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80" w:type="dxa"/>
            <w:vAlign w:val="bottom"/>
            <w:gridSpan w:val="3"/>
          </w:tcPr>
          <w:p>
            <w:pPr>
              <w:spacing w:after="0"/>
              <w:rPr>
                <w:sz w:val="20"/>
                <w:szCs w:val="20"/>
                <w:color w:val="auto"/>
              </w:rPr>
            </w:pPr>
            <w:r>
              <w:rPr>
                <w:rFonts w:ascii="Arial" w:cs="Arial" w:eastAsia="Arial" w:hAnsi="Arial"/>
                <w:sz w:val="18"/>
                <w:szCs w:val="18"/>
                <w:color w:val="auto"/>
              </w:rPr>
              <w:t>Assignee’s Commitment:</w:t>
            </w:r>
          </w:p>
        </w:tc>
        <w:tc>
          <w:tcPr>
            <w:tcW w:w="5360" w:type="dxa"/>
            <w:vAlign w:val="bottom"/>
          </w:tcPr>
          <w:p>
            <w:pPr>
              <w:spacing w:after="0"/>
              <w:rPr>
                <w:sz w:val="24"/>
                <w:szCs w:val="24"/>
                <w:color w:val="auto"/>
              </w:rPr>
            </w:pP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Aggregate outstanding principal amount of Revolving Credit Advances assigned:</w:t>
            </w:r>
          </w:p>
        </w:tc>
        <w:tc>
          <w:tcPr>
            <w:tcW w:w="33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gridSpan w:val="4"/>
          </w:tcPr>
          <w:p>
            <w:pPr>
              <w:spacing w:after="0"/>
              <w:rPr>
                <w:sz w:val="20"/>
                <w:szCs w:val="20"/>
                <w:color w:val="auto"/>
              </w:rPr>
            </w:pPr>
            <w:r>
              <w:rPr>
                <w:rFonts w:ascii="Arial" w:cs="Arial" w:eastAsia="Arial" w:hAnsi="Arial"/>
                <w:sz w:val="18"/>
                <w:szCs w:val="18"/>
                <w:color w:val="auto"/>
              </w:rPr>
              <w:t>Aggregate outstanding principal amount of Letters of Credit Advances assigned: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Principal amount of Revolving Credit Note payable to Assignee:</w:t>
            </w:r>
          </w:p>
        </w:tc>
        <w:tc>
          <w:tcPr>
            <w:tcW w:w="33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gridSpan w:val="4"/>
          </w:tcPr>
          <w:p>
            <w:pPr>
              <w:spacing w:after="0"/>
              <w:rPr>
                <w:sz w:val="20"/>
                <w:szCs w:val="20"/>
                <w:color w:val="auto"/>
              </w:rPr>
            </w:pPr>
            <w:r>
              <w:rPr>
                <w:rFonts w:ascii="Arial" w:cs="Arial" w:eastAsia="Arial" w:hAnsi="Arial"/>
                <w:sz w:val="18"/>
                <w:szCs w:val="18"/>
                <w:color w:val="auto"/>
              </w:rPr>
              <w:t>Principal amount of Revolving Credit Note payable to Assignor:</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5360" w:type="dxa"/>
            <w:vAlign w:val="bottom"/>
          </w:tcPr>
          <w:p>
            <w:pPr>
              <w:spacing w:after="0"/>
              <w:rPr>
                <w:sz w:val="20"/>
                <w:szCs w:val="20"/>
                <w:color w:val="auto"/>
              </w:rPr>
            </w:pPr>
            <w:r>
              <w:rPr>
                <w:rFonts w:ascii="Arial" w:cs="Arial" w:eastAsia="Arial" w:hAnsi="Arial"/>
                <w:sz w:val="18"/>
                <w:szCs w:val="18"/>
                <w:color w:val="auto"/>
              </w:rPr>
              <w:t>, 200_</w:t>
            </w: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360" w:type="dxa"/>
            <w:vAlign w:val="bottom"/>
            <w:gridSpan w:val="7"/>
          </w:tcPr>
          <w:p>
            <w:pPr>
              <w:ind w:left="4780"/>
              <w:spacing w:after="0"/>
              <w:rPr>
                <w:sz w:val="20"/>
                <w:szCs w:val="20"/>
                <w:color w:val="auto"/>
              </w:rPr>
            </w:pPr>
            <w:r>
              <w:rPr>
                <w:rFonts w:ascii="Arial" w:cs="Arial" w:eastAsia="Arial" w:hAnsi="Arial"/>
                <w:sz w:val="18"/>
                <w:szCs w:val="18"/>
                <w:color w:val="auto"/>
              </w:rPr>
              <w:t>[NAME OF ASSIGNOR], as Assignor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60" w:type="dxa"/>
            <w:vAlign w:val="bottom"/>
          </w:tcPr>
          <w:p>
            <w:pPr>
              <w:ind w:left="4780"/>
              <w:spacing w:after="0"/>
              <w:rPr>
                <w:sz w:val="20"/>
                <w:szCs w:val="20"/>
                <w:color w:val="auto"/>
              </w:rPr>
            </w:pPr>
            <w:r>
              <w:rPr>
                <w:rFonts w:ascii="Arial" w:cs="Arial" w:eastAsia="Arial" w:hAnsi="Arial"/>
                <w:sz w:val="18"/>
                <w:szCs w:val="18"/>
                <w:color w:val="auto"/>
              </w:rPr>
              <w:t>By</w:t>
            </w: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360" w:type="dxa"/>
            <w:vAlign w:val="bottom"/>
            <w:vMerge w:val="restart"/>
          </w:tcPr>
          <w:p>
            <w:pPr>
              <w:ind w:left="4780"/>
              <w:spacing w:after="0"/>
              <w:rPr>
                <w:sz w:val="20"/>
                <w:szCs w:val="20"/>
                <w:color w:val="auto"/>
              </w:rPr>
            </w:pPr>
            <w:r>
              <w:rPr>
                <w:rFonts w:ascii="Arial" w:cs="Arial" w:eastAsia="Arial" w:hAnsi="Arial"/>
                <w:sz w:val="18"/>
                <w:szCs w:val="18"/>
                <w:color w:val="auto"/>
              </w:rPr>
              <w:t>Title:</w:t>
            </w:r>
          </w:p>
        </w:tc>
        <w:tc>
          <w:tcPr>
            <w:tcW w:w="8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60" w:type="dxa"/>
            <w:vAlign w:val="bottom"/>
          </w:tcPr>
          <w:p>
            <w:pPr>
              <w:ind w:left="4780"/>
              <w:spacing w:after="0"/>
              <w:rPr>
                <w:sz w:val="20"/>
                <w:szCs w:val="20"/>
                <w:color w:val="auto"/>
              </w:rPr>
            </w:pPr>
            <w:r>
              <w:rPr>
                <w:rFonts w:ascii="Arial" w:cs="Arial" w:eastAsia="Arial" w:hAnsi="Arial"/>
                <w:sz w:val="18"/>
                <w:szCs w:val="18"/>
                <w:color w:val="auto"/>
              </w:rPr>
              <w:t>Dated:</w:t>
            </w:r>
          </w:p>
        </w:tc>
        <w:tc>
          <w:tcPr>
            <w:tcW w:w="880" w:type="dxa"/>
            <w:vAlign w:val="bottom"/>
            <w:tcBorders>
              <w:bottom w:val="single" w:sz="8" w:color="auto"/>
            </w:tcBorders>
          </w:tcPr>
          <w:p>
            <w:pPr>
              <w:spacing w:after="0"/>
              <w:rPr>
                <w:sz w:val="24"/>
                <w:szCs w:val="24"/>
                <w:color w:val="auto"/>
              </w:rPr>
            </w:pPr>
          </w:p>
        </w:tc>
        <w:tc>
          <w:tcPr>
            <w:tcW w:w="2420" w:type="dxa"/>
            <w:vAlign w:val="bottom"/>
          </w:tcPr>
          <w:p>
            <w:pPr>
              <w:jc w:val="right"/>
              <w:ind w:right="1892"/>
              <w:spacing w:after="0"/>
              <w:rPr>
                <w:sz w:val="20"/>
                <w:szCs w:val="20"/>
                <w:color w:val="auto"/>
              </w:rPr>
            </w:pPr>
            <w:r>
              <w:rPr>
                <w:rFonts w:ascii="Arial" w:cs="Arial" w:eastAsia="Arial" w:hAnsi="Arial"/>
                <w:sz w:val="18"/>
                <w:szCs w:val="18"/>
                <w:color w:val="auto"/>
                <w:w w:val="83"/>
              </w:rPr>
              <w:t>, 200_</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60" w:type="dxa"/>
            <w:vAlign w:val="bottom"/>
            <w:gridSpan w:val="7"/>
          </w:tcPr>
          <w:p>
            <w:pPr>
              <w:ind w:left="4780"/>
              <w:spacing w:after="0"/>
              <w:rPr>
                <w:sz w:val="20"/>
                <w:szCs w:val="20"/>
                <w:color w:val="auto"/>
              </w:rPr>
            </w:pPr>
            <w:r>
              <w:rPr>
                <w:rFonts w:ascii="Arial" w:cs="Arial" w:eastAsia="Arial" w:hAnsi="Arial"/>
                <w:sz w:val="18"/>
                <w:szCs w:val="18"/>
                <w:color w:val="auto"/>
              </w:rPr>
              <w:t>[NAME OF ASSIGNEE], as Assignee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60" w:type="dxa"/>
            <w:vAlign w:val="bottom"/>
          </w:tcPr>
          <w:p>
            <w:pPr>
              <w:ind w:left="4780"/>
              <w:spacing w:after="0"/>
              <w:rPr>
                <w:sz w:val="20"/>
                <w:szCs w:val="20"/>
                <w:color w:val="auto"/>
              </w:rPr>
            </w:pPr>
            <w:r>
              <w:rPr>
                <w:rFonts w:ascii="Arial" w:cs="Arial" w:eastAsia="Arial" w:hAnsi="Arial"/>
                <w:sz w:val="18"/>
                <w:szCs w:val="18"/>
                <w:color w:val="auto"/>
              </w:rPr>
              <w:t>By</w:t>
            </w: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360" w:type="dxa"/>
            <w:vAlign w:val="bottom"/>
            <w:vMerge w:val="restart"/>
          </w:tcPr>
          <w:p>
            <w:pPr>
              <w:ind w:left="4780"/>
              <w:spacing w:after="0"/>
              <w:rPr>
                <w:sz w:val="20"/>
                <w:szCs w:val="20"/>
                <w:color w:val="auto"/>
              </w:rPr>
            </w:pPr>
            <w:r>
              <w:rPr>
                <w:rFonts w:ascii="Arial" w:cs="Arial" w:eastAsia="Arial" w:hAnsi="Arial"/>
                <w:sz w:val="18"/>
                <w:szCs w:val="18"/>
                <w:color w:val="auto"/>
              </w:rPr>
              <w:t>Title:</w:t>
            </w:r>
          </w:p>
        </w:tc>
        <w:tc>
          <w:tcPr>
            <w:tcW w:w="8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60" w:type="dxa"/>
            <w:vAlign w:val="bottom"/>
          </w:tcPr>
          <w:p>
            <w:pPr>
              <w:ind w:left="4780"/>
              <w:spacing w:after="0"/>
              <w:rPr>
                <w:sz w:val="20"/>
                <w:szCs w:val="20"/>
                <w:color w:val="auto"/>
              </w:rPr>
            </w:pPr>
            <w:r>
              <w:rPr>
                <w:rFonts w:ascii="Arial" w:cs="Arial" w:eastAsia="Arial" w:hAnsi="Arial"/>
                <w:sz w:val="18"/>
                <w:szCs w:val="18"/>
                <w:color w:val="auto"/>
              </w:rPr>
              <w:t>Dated:</w:t>
            </w:r>
          </w:p>
        </w:tc>
        <w:tc>
          <w:tcPr>
            <w:tcW w:w="880" w:type="dxa"/>
            <w:vAlign w:val="bottom"/>
            <w:tcBorders>
              <w:bottom w:val="single" w:sz="8" w:color="auto"/>
            </w:tcBorders>
          </w:tcPr>
          <w:p>
            <w:pPr>
              <w:spacing w:after="0"/>
              <w:rPr>
                <w:sz w:val="24"/>
                <w:szCs w:val="24"/>
                <w:color w:val="auto"/>
              </w:rPr>
            </w:pPr>
          </w:p>
        </w:tc>
        <w:tc>
          <w:tcPr>
            <w:tcW w:w="2420" w:type="dxa"/>
            <w:vAlign w:val="bottom"/>
          </w:tcPr>
          <w:p>
            <w:pPr>
              <w:jc w:val="right"/>
              <w:ind w:right="1892"/>
              <w:spacing w:after="0"/>
              <w:rPr>
                <w:sz w:val="20"/>
                <w:szCs w:val="20"/>
                <w:color w:val="auto"/>
              </w:rPr>
            </w:pPr>
            <w:r>
              <w:rPr>
                <w:rFonts w:ascii="Arial" w:cs="Arial" w:eastAsia="Arial" w:hAnsi="Arial"/>
                <w:sz w:val="18"/>
                <w:szCs w:val="18"/>
                <w:color w:val="auto"/>
                <w:w w:val="83"/>
              </w:rPr>
              <w:t>, 200_</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Domestic Lending Office:</w:t>
      </w:r>
    </w:p>
    <w:p>
      <w:pPr>
        <w:spacing w:after="0" w:line="1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[Address]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Eurocurrency Lending Office:</w:t>
      </w:r>
    </w:p>
    <w:p>
      <w:pPr>
        <w:spacing w:after="0" w:line="1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2"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date should be no earlier than five Business Days after the delivery of this Assignment and Acceptance to the Agent.</w:t>
      </w:r>
    </w:p>
    <w:p>
      <w:pPr>
        <w:sectPr>
          <w:pgSz w:w="11900" w:h="16838" w:orient="portrait"/>
          <w:cols w:equalWidth="0" w:num="1">
            <w:col w:w="11420"/>
          </w:cols>
          <w:pgMar w:left="240" w:top="28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Accepted [and Approved]** this</w:t>
      </w:r>
    </w:p>
    <w:tbl>
      <w:tblPr>
        <w:tblLayout w:type="fixed"/>
        <w:tblInd w:w="400" w:type="dxa"/>
        <w:tblCellMar>
          <w:top w:w="0" w:type="dxa"/>
          <w:left w:w="0" w:type="dxa"/>
          <w:bottom w:w="0" w:type="dxa"/>
          <w:right w:w="0" w:type="dxa"/>
        </w:tblCellMar>
      </w:tblPr>
      <w:tr>
        <w:trPr>
          <w:trHeight w:val="193"/>
        </w:trPr>
        <w:tc>
          <w:tcPr>
            <w:tcW w:w="500" w:type="dxa"/>
            <w:vAlign w:val="bottom"/>
          </w:tcPr>
          <w:p>
            <w:pPr>
              <w:spacing w:after="0" w:line="193" w:lineRule="exact"/>
              <w:rPr>
                <w:sz w:val="20"/>
                <w:szCs w:val="20"/>
                <w:color w:val="auto"/>
              </w:rPr>
            </w:pPr>
            <w:r>
              <w:rPr>
                <w:rFonts w:ascii="Arial" w:cs="Arial" w:eastAsia="Arial" w:hAnsi="Arial"/>
                <w:sz w:val="18"/>
                <w:szCs w:val="18"/>
                <w:color w:val="auto"/>
                <w:w w:val="97"/>
              </w:rPr>
              <w:t>day of</w:t>
            </w:r>
          </w:p>
        </w:tc>
        <w:tc>
          <w:tcPr>
            <w:tcW w:w="860" w:type="dxa"/>
            <w:vAlign w:val="bottom"/>
            <w:tcBorders>
              <w:bottom w:val="single" w:sz="8" w:color="auto"/>
            </w:tcBorders>
          </w:tcPr>
          <w:p>
            <w:pPr>
              <w:spacing w:after="0"/>
              <w:rPr>
                <w:sz w:val="16"/>
                <w:szCs w:val="16"/>
                <w:color w:val="auto"/>
              </w:rPr>
            </w:pPr>
          </w:p>
        </w:tc>
        <w:tc>
          <w:tcPr>
            <w:tcW w:w="440" w:type="dxa"/>
            <w:vAlign w:val="bottom"/>
          </w:tcPr>
          <w:p>
            <w:pPr>
              <w:jc w:val="right"/>
              <w:spacing w:after="0" w:line="193" w:lineRule="exact"/>
              <w:rPr>
                <w:sz w:val="20"/>
                <w:szCs w:val="20"/>
                <w:color w:val="auto"/>
              </w:rPr>
            </w:pPr>
            <w:r>
              <w:rPr>
                <w:rFonts w:ascii="Arial" w:cs="Arial" w:eastAsia="Arial" w:hAnsi="Arial"/>
                <w:sz w:val="18"/>
                <w:szCs w:val="18"/>
                <w:color w:val="auto"/>
                <w:w w:val="83"/>
              </w:rPr>
              <w:t>, 200_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228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36830</wp:posOffset>
            </wp:positionV>
            <wp:extent cx="24612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Arial" w:cs="Arial" w:eastAsia="Arial" w:hAnsi="Arial"/>
                <w:sz w:val="18"/>
                <w:szCs w:val="18"/>
                <w:color w:val="auto"/>
                <w:w w:val="93"/>
              </w:rPr>
              <w:t>[Approved this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600" w:type="dxa"/>
            <w:vAlign w:val="bottom"/>
            <w:gridSpan w:val="2"/>
          </w:tcPr>
          <w:p>
            <w:pPr>
              <w:jc w:val="right"/>
              <w:ind w:right="2300"/>
              <w:spacing w:after="0"/>
              <w:rPr>
                <w:sz w:val="20"/>
                <w:szCs w:val="20"/>
                <w:color w:val="auto"/>
              </w:rPr>
            </w:pPr>
            <w:r>
              <w:rPr>
                <w:rFonts w:ascii="Arial" w:cs="Arial" w:eastAsia="Arial" w:hAnsi="Arial"/>
                <w:sz w:val="18"/>
                <w:szCs w:val="18"/>
                <w:color w:val="auto"/>
                <w:w w:val="96"/>
              </w:rPr>
              <w:t>day</w:t>
            </w:r>
          </w:p>
        </w:tc>
      </w:tr>
      <w:tr>
        <w:trPr>
          <w:trHeight w:val="196"/>
        </w:trPr>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rPr>
              <w:t>of ,</w:t>
            </w:r>
          </w:p>
        </w:tc>
        <w:tc>
          <w:tcPr>
            <w:tcW w:w="8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200_</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451"/>
        </w:trPr>
        <w:tc>
          <w:tcPr>
            <w:tcW w:w="4580" w:type="dxa"/>
            <w:vAlign w:val="bottom"/>
            <w:gridSpan w:val="7"/>
          </w:tcPr>
          <w:p>
            <w:pPr>
              <w:spacing w:after="0"/>
              <w:rPr>
                <w:sz w:val="20"/>
                <w:szCs w:val="20"/>
                <w:color w:val="auto"/>
              </w:rPr>
            </w:pPr>
            <w:r>
              <w:rPr>
                <w:rFonts w:ascii="Arial" w:cs="Arial" w:eastAsia="Arial" w:hAnsi="Arial"/>
                <w:sz w:val="18"/>
                <w:szCs w:val="18"/>
                <w:color w:val="auto"/>
              </w:rPr>
              <w:t>MANPOWER INC.</w:t>
            </w:r>
          </w:p>
        </w:tc>
      </w:tr>
      <w:tr>
        <w:trPr>
          <w:trHeight w:val="432"/>
        </w:trPr>
        <w:tc>
          <w:tcPr>
            <w:tcW w:w="1100" w:type="dxa"/>
            <w:vAlign w:val="bottom"/>
            <w:gridSpan w:val="3"/>
          </w:tcPr>
          <w:p>
            <w:pPr>
              <w:spacing w:after="0"/>
              <w:rPr>
                <w:sz w:val="20"/>
                <w:szCs w:val="20"/>
                <w:color w:val="auto"/>
              </w:rPr>
            </w:pPr>
            <w:r>
              <w:rPr>
                <w:rFonts w:ascii="Arial" w:cs="Arial" w:eastAsia="Arial" w:hAnsi="Arial"/>
                <w:sz w:val="18"/>
                <w:szCs w:val="18"/>
                <w:color w:val="auto"/>
              </w:rPr>
              <w:t>By</w:t>
            </w:r>
          </w:p>
        </w:tc>
        <w:tc>
          <w:tcPr>
            <w:tcW w:w="34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43"/>
        </w:trPr>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r>
      <w:tr>
        <w:trPr>
          <w:trHeight w:val="316"/>
        </w:trPr>
        <w:tc>
          <w:tcPr>
            <w:tcW w:w="1100" w:type="dxa"/>
            <w:vAlign w:val="bottom"/>
            <w:gridSpan w:val="3"/>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jc w:val="both"/>
        <w:ind w:right="1359" w:firstLine="8"/>
        <w:spacing w:after="0" w:line="332" w:lineRule="auto"/>
        <w:tabs>
          <w:tab w:leader="none" w:pos="446"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Required if the Assignee is an Eligible Assignee solely by reason of clause (iii) of the definition of "Eligible Assignee". * Required if the Assignee is an Eligible Assignee solely by reason of clause (iii) of the definition of "Eligible Assignee".</w:t>
      </w:r>
    </w:p>
    <w:p>
      <w:pPr>
        <w:sectPr>
          <w:pgSz w:w="11900" w:h="16838" w:orient="portrait"/>
          <w:cols w:equalWidth="0" w:num="1">
            <w:col w:w="10219"/>
          </w:cols>
          <w:pgMar w:left="240" w:top="280"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DESIGNATION AGREEMENT</w:t>
      </w:r>
    </w:p>
    <w:p>
      <w:pPr>
        <w:spacing w:after="0" w:line="151" w:lineRule="exact"/>
        <w:rPr>
          <w:sz w:val="20"/>
          <w:szCs w:val="20"/>
          <w:color w:val="auto"/>
        </w:rPr>
      </w:pPr>
    </w:p>
    <w:p>
      <w:pPr>
        <w:ind w:left="4780"/>
        <w:spacing w:after="0"/>
        <w:tabs>
          <w:tab w:leader="none" w:pos="61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-13970</wp:posOffset>
            </wp:positionV>
            <wp:extent cx="8921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38"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Reference is made to the Five Year Credit Agreement dated as of October 8, 2004 (as amended or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Manpower Inc., a Wisconsin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 Parties (as defined in the Credit Agreement) and Citibank, N.A., as agent for the Lender Parties (the “</w:t>
      </w:r>
      <w:r>
        <w:rPr>
          <w:rFonts w:ascii="Arial" w:cs="Arial" w:eastAsia="Arial" w:hAnsi="Arial"/>
          <w:sz w:val="16"/>
          <w:szCs w:val="16"/>
          <w:u w:val="single" w:color="auto"/>
          <w:color w:val="auto"/>
        </w:rPr>
        <w:t>Agent</w:t>
      </w:r>
      <w:r>
        <w:rPr>
          <w:rFonts w:ascii="Arial" w:cs="Arial" w:eastAsia="Arial" w:hAnsi="Arial"/>
          <w:sz w:val="16"/>
          <w:szCs w:val="16"/>
          <w:color w:val="auto"/>
        </w:rPr>
        <w:t>”). Terms defined in the Credit Agreement are used herein with the same meaning.</w:t>
      </w:r>
    </w:p>
    <w:p>
      <w:pPr>
        <w:spacing w:after="0" w:line="93" w:lineRule="exact"/>
        <w:rPr>
          <w:sz w:val="20"/>
          <w:szCs w:val="20"/>
          <w:color w:val="auto"/>
        </w:rPr>
      </w:pPr>
    </w:p>
    <w:p>
      <w:pPr>
        <w:ind w:left="2760"/>
        <w:spacing w:after="0"/>
        <w:tabs>
          <w:tab w:leader="none" w:pos="6060" w:val="left"/>
        </w:tabs>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Designor</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Designee</w:t>
      </w:r>
      <w:r>
        <w:rPr>
          <w:rFonts w:ascii="Arial" w:cs="Arial" w:eastAsia="Arial" w:hAnsi="Arial"/>
          <w:sz w:val="16"/>
          <w:szCs w:val="16"/>
          <w:color w:val="auto"/>
        </w:rPr>
        <w:t>”)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-13970</wp:posOffset>
            </wp:positionV>
            <wp:extent cx="11430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-13970</wp:posOffset>
            </wp:positionV>
            <wp:extent cx="11150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57" w:lineRule="exact"/>
        <w:rPr>
          <w:sz w:val="20"/>
          <w:szCs w:val="20"/>
          <w:color w:val="auto"/>
        </w:rPr>
      </w:pPr>
    </w:p>
    <w:p>
      <w:pPr>
        <w:ind w:right="600" w:firstLine="921"/>
        <w:spacing w:after="0" w:line="268" w:lineRule="auto"/>
        <w:tabs>
          <w:tab w:leader="none" w:pos="10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Designor hereby designates the Designee, and the Designee hereby accepts such designation, to have a right to make Competitive Bid Advances pursuant to Section 2.03 of the Credit Agreement.</w:t>
      </w:r>
    </w:p>
    <w:p>
      <w:pPr>
        <w:spacing w:after="0" w:line="118" w:lineRule="exact"/>
        <w:rPr>
          <w:rFonts w:ascii="Arial" w:cs="Arial" w:eastAsia="Arial" w:hAnsi="Arial"/>
          <w:sz w:val="18"/>
          <w:szCs w:val="18"/>
          <w:color w:val="auto"/>
        </w:rPr>
      </w:pPr>
    </w:p>
    <w:p>
      <w:pPr>
        <w:jc w:val="both"/>
        <w:ind w:right="20" w:firstLine="921"/>
        <w:spacing w:after="0" w:line="298" w:lineRule="auto"/>
        <w:tabs>
          <w:tab w:leader="none" w:pos="1088"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Designor makes no representation or warranty and assumes no responsibility with respect to (i) any statements, warranties or representations made in or in connection with the Credit Agreement or the execution, legality, validity, enforceability, genuineness, sufficiency or value of the Credit Agreement or any other instrument or document furnished pursuant thereto and (ii) the financial condition of the Borrower or the performance or observance by the Borrower of any of its obligations under the Credit Agreement or any other instrument or document furnished pursuant thereto.</w:t>
      </w:r>
    </w:p>
    <w:p>
      <w:pPr>
        <w:spacing w:after="0" w:line="99" w:lineRule="exact"/>
        <w:rPr>
          <w:rFonts w:ascii="Arial" w:cs="Arial" w:eastAsia="Arial" w:hAnsi="Arial"/>
          <w:sz w:val="16"/>
          <w:szCs w:val="16"/>
          <w:color w:val="auto"/>
        </w:rPr>
      </w:pPr>
    </w:p>
    <w:p>
      <w:pPr>
        <w:ind w:right="40" w:firstLine="921"/>
        <w:spacing w:after="0" w:line="289" w:lineRule="auto"/>
        <w:tabs>
          <w:tab w:leader="none" w:pos="1088"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Designee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Designation Agreement; (ii) agrees that it will, independently and without reliance upon the Agent, the Designor or any other Lender and based on such documents and information as it shall deem appropriate at the time, continue to make its own credit decisions in taking or not taking action under the Credit Agreement; (iii) confirms that it is a Designated Bidder; (iv) appoints and authorizes the Agent to take such action as agent on its behalf and to exercise such powers and discretion under the Credit Agreement as are delegated to the Agent by the terms thereof, together with such powers and discretion as are reasonably incidental thereto; and (v) agrees that it will perform in accordance with their terms all of the obligations which by the terms of the Credit Agreement are required to be performed by it as a Lender Party.</w:t>
      </w:r>
    </w:p>
    <w:p>
      <w:pPr>
        <w:spacing w:after="0" w:line="104" w:lineRule="exact"/>
        <w:rPr>
          <w:rFonts w:ascii="Arial" w:cs="Arial" w:eastAsia="Arial" w:hAnsi="Arial"/>
          <w:sz w:val="16"/>
          <w:szCs w:val="16"/>
          <w:color w:val="auto"/>
        </w:rPr>
      </w:pPr>
    </w:p>
    <w:p>
      <w:pPr>
        <w:ind w:right="360" w:firstLine="921"/>
        <w:spacing w:after="0" w:line="259" w:lineRule="auto"/>
        <w:tabs>
          <w:tab w:leader="none" w:pos="10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Following the execution of this Designation Agreement by the Designor and its Designee, it will be delivered to the Agent for acceptance and recording by the Agent. The effective date for this Designation Agreement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be the date of acceptance hereof by the Agent, unless otherwise specified on the signature page hereto.</w:t>
      </w:r>
    </w:p>
    <w:p>
      <w:pPr>
        <w:spacing w:after="0" w:line="126" w:lineRule="exact"/>
        <w:rPr>
          <w:rFonts w:ascii="Arial" w:cs="Arial" w:eastAsia="Arial" w:hAnsi="Arial"/>
          <w:sz w:val="18"/>
          <w:szCs w:val="18"/>
          <w:color w:val="auto"/>
        </w:rPr>
      </w:pPr>
    </w:p>
    <w:p>
      <w:pPr>
        <w:ind w:right="160" w:firstLine="921"/>
        <w:spacing w:after="0" w:line="259" w:lineRule="auto"/>
        <w:tabs>
          <w:tab w:leader="none" w:pos="10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Upon such acceptance and recording by the Agent, as of the Effective Date, the Designee shall be a party to the Credit Agreement with a right to make Competitive Bid Advances as a Lender Party pursuant to Section 2.03 of the Credit Agreement and the rights and obligations of a Lender Party related thereto.</w:t>
      </w:r>
    </w:p>
    <w:p>
      <w:pPr>
        <w:spacing w:after="0" w:line="126" w:lineRule="exact"/>
        <w:rPr>
          <w:rFonts w:ascii="Arial" w:cs="Arial" w:eastAsia="Arial" w:hAnsi="Arial"/>
          <w:sz w:val="18"/>
          <w:szCs w:val="18"/>
          <w:color w:val="auto"/>
        </w:rPr>
      </w:pPr>
    </w:p>
    <w:p>
      <w:pPr>
        <w:ind w:left="1100" w:hanging="179"/>
        <w:spacing w:after="0"/>
        <w:tabs>
          <w:tab w:leader="none" w:pos="11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This Designation Agreement shall be governed by, and construed in accordance with, the laws of the State of New York.</w:t>
      </w:r>
    </w:p>
    <w:p>
      <w:pPr>
        <w:spacing w:after="0" w:line="157" w:lineRule="exact"/>
        <w:rPr>
          <w:rFonts w:ascii="Arial" w:cs="Arial" w:eastAsia="Arial" w:hAnsi="Arial"/>
          <w:sz w:val="18"/>
          <w:szCs w:val="18"/>
          <w:color w:val="auto"/>
        </w:rPr>
      </w:pPr>
    </w:p>
    <w:p>
      <w:pPr>
        <w:ind w:right="140" w:firstLine="921"/>
        <w:spacing w:after="0" w:line="256" w:lineRule="auto"/>
        <w:tabs>
          <w:tab w:leader="none" w:pos="10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This Designation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Designation Agreement by telecopier shall be effective as delivery of a manually executed counterpart of this Designation Agreement.</w:t>
      </w:r>
    </w:p>
    <w:p>
      <w:pPr>
        <w:spacing w:after="0" w:line="129" w:lineRule="exact"/>
        <w:rPr>
          <w:rFonts w:ascii="Arial" w:cs="Arial" w:eastAsia="Arial" w:hAnsi="Arial"/>
          <w:sz w:val="18"/>
          <w:szCs w:val="18"/>
          <w:color w:val="auto"/>
        </w:rPr>
      </w:pPr>
    </w:p>
    <w:p>
      <w:pPr>
        <w:ind w:left="120" w:hanging="112"/>
        <w:spacing w:after="0"/>
        <w:tabs>
          <w:tab w:leader="none" w:pos="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Manpower Five Year Credit Agreement</w:t>
      </w:r>
    </w:p>
    <w:p>
      <w:pPr>
        <w:sectPr>
          <w:pgSz w:w="11900" w:h="16838" w:orient="portrait"/>
          <w:cols w:equalWidth="0" w:num="1">
            <w:col w:w="11420"/>
          </w:cols>
          <w:pgMar w:left="240" w:top="280" w:right="239" w:bottom="1440" w:gutter="0" w:footer="0" w:header="0"/>
        </w:sectPr>
      </w:pPr>
    </w:p>
    <w:bookmarkStart w:id="79" w:name="page80"/>
    <w:bookmarkEnd w:id="79"/>
    <w:p>
      <w:pPr>
        <w:ind w:right="2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Designor and the Designee have caused this Designation Agreement to be executed by their officers thereunto duly authorized as of the date first above written.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7"/>
          </w:tcPr>
          <w:p>
            <w:pPr>
              <w:ind w:left="20"/>
              <w:spacing w:after="0"/>
              <w:rPr>
                <w:sz w:val="20"/>
                <w:szCs w:val="20"/>
                <w:color w:val="auto"/>
              </w:rPr>
            </w:pPr>
            <w:r>
              <w:rPr>
                <w:rFonts w:ascii="Arial" w:cs="Arial" w:eastAsia="Arial" w:hAnsi="Arial"/>
                <w:sz w:val="18"/>
                <w:szCs w:val="18"/>
                <w:color w:val="auto"/>
              </w:rPr>
              <w:t>Effective Date*: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200</w:t>
            </w: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[NAME OF DESIGNOR],</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40" w:type="dxa"/>
            <w:vAlign w:val="bottom"/>
            <w:gridSpan w:val="2"/>
          </w:tcPr>
          <w:p>
            <w:pPr>
              <w:ind w:left="480"/>
              <w:spacing w:after="0"/>
              <w:rPr>
                <w:sz w:val="20"/>
                <w:szCs w:val="20"/>
                <w:color w:val="auto"/>
              </w:rPr>
            </w:pPr>
            <w:r>
              <w:rPr>
                <w:rFonts w:ascii="Arial" w:cs="Arial" w:eastAsia="Arial" w:hAnsi="Arial"/>
                <w:sz w:val="18"/>
                <w:szCs w:val="18"/>
                <w:color w:val="auto"/>
              </w:rPr>
              <w:t>as Designor</w:t>
            </w: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26"/>
        </w:trPr>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[NAME OF DESIGNEE],</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40" w:type="dxa"/>
            <w:vAlign w:val="bottom"/>
            <w:gridSpan w:val="2"/>
          </w:tcPr>
          <w:p>
            <w:pPr>
              <w:ind w:left="560"/>
              <w:spacing w:after="0"/>
              <w:rPr>
                <w:sz w:val="20"/>
                <w:szCs w:val="20"/>
                <w:color w:val="auto"/>
              </w:rPr>
            </w:pPr>
            <w:r>
              <w:rPr>
                <w:rFonts w:ascii="Arial" w:cs="Arial" w:eastAsia="Arial" w:hAnsi="Arial"/>
                <w:sz w:val="18"/>
                <w:szCs w:val="18"/>
                <w:color w:val="auto"/>
              </w:rPr>
              <w:t>as Designee</w:t>
            </w:r>
          </w:p>
        </w:tc>
        <w:tc>
          <w:tcPr>
            <w:tcW w:w="0" w:type="dxa"/>
            <w:vAlign w:val="bottom"/>
          </w:tcPr>
          <w:p>
            <w:pPr>
              <w:spacing w:after="0"/>
              <w:rPr>
                <w:sz w:val="1"/>
                <w:szCs w:val="1"/>
                <w:color w:val="auto"/>
              </w:rPr>
            </w:pPr>
          </w:p>
        </w:tc>
      </w:tr>
      <w:tr>
        <w:trPr>
          <w:trHeight w:val="475"/>
        </w:trPr>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820" w:type="dxa"/>
            <w:vAlign w:val="bottom"/>
            <w:vMerge w:val="restart"/>
          </w:tcPr>
          <w:p>
            <w:pPr>
              <w:spacing w:after="0"/>
              <w:rPr>
                <w:sz w:val="24"/>
                <w:szCs w:val="24"/>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Applicable Lending Office (and address for notices):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394"/>
        </w:trPr>
        <w:tc>
          <w:tcPr>
            <w:tcW w:w="1020" w:type="dxa"/>
            <w:vAlign w:val="bottom"/>
            <w:gridSpan w:val="3"/>
          </w:tcPr>
          <w:p>
            <w:pPr>
              <w:spacing w:after="0"/>
              <w:rPr>
                <w:sz w:val="20"/>
                <w:szCs w:val="20"/>
                <w:color w:val="auto"/>
              </w:rPr>
            </w:pPr>
            <w:r>
              <w:rPr>
                <w:rFonts w:ascii="Arial" w:cs="Arial" w:eastAsia="Arial" w:hAnsi="Arial"/>
                <w:sz w:val="18"/>
                <w:szCs w:val="18"/>
                <w:color w:val="auto"/>
                <w:w w:val="92"/>
              </w:rPr>
              <w:t>Accepted this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7"/>
          </w:tcPr>
          <w:p>
            <w:pPr>
              <w:ind w:left="20"/>
              <w:spacing w:after="0"/>
              <w:rPr>
                <w:sz w:val="20"/>
                <w:szCs w:val="20"/>
                <w:color w:val="auto"/>
              </w:rPr>
            </w:pPr>
            <w:r>
              <w:rPr>
                <w:rFonts w:ascii="Arial" w:cs="Arial" w:eastAsia="Arial" w:hAnsi="Arial"/>
                <w:sz w:val="18"/>
                <w:szCs w:val="18"/>
                <w:color w:val="auto"/>
              </w:rPr>
              <w:t>day</w:t>
            </w:r>
          </w:p>
        </w:tc>
        <w:tc>
          <w:tcPr>
            <w:tcW w:w="0" w:type="dxa"/>
            <w:vAlign w:val="bottom"/>
          </w:tcPr>
          <w:p>
            <w:pPr>
              <w:spacing w:after="0"/>
              <w:rPr>
                <w:sz w:val="1"/>
                <w:szCs w:val="1"/>
                <w:color w:val="auto"/>
              </w:rPr>
            </w:pPr>
          </w:p>
        </w:tc>
      </w:tr>
      <w:tr>
        <w:trPr>
          <w:trHeight w:val="196"/>
        </w:trPr>
        <w:tc>
          <w:tcPr>
            <w:tcW w:w="160" w:type="dxa"/>
            <w:vAlign w:val="bottom"/>
          </w:tcPr>
          <w:p>
            <w:pPr>
              <w:spacing w:after="0" w:line="196" w:lineRule="exact"/>
              <w:rPr>
                <w:sz w:val="20"/>
                <w:szCs w:val="20"/>
                <w:color w:val="auto"/>
              </w:rPr>
            </w:pPr>
            <w:r>
              <w:rPr>
                <w:rFonts w:ascii="Arial" w:cs="Arial" w:eastAsia="Arial" w:hAnsi="Arial"/>
                <w:sz w:val="18"/>
                <w:szCs w:val="18"/>
                <w:color w:val="auto"/>
                <w:w w:val="92"/>
              </w:rPr>
              <w:t>of</w:t>
            </w:r>
          </w:p>
        </w:tc>
        <w:tc>
          <w:tcPr>
            <w:tcW w:w="860" w:type="dxa"/>
            <w:vAlign w:val="bottom"/>
            <w:gridSpan w:val="2"/>
          </w:tcPr>
          <w:p>
            <w:pPr>
              <w:spacing w:after="0"/>
              <w:rPr>
                <w:sz w:val="17"/>
                <w:szCs w:val="17"/>
                <w:color w:val="auto"/>
              </w:rPr>
            </w:pPr>
          </w:p>
        </w:tc>
        <w:tc>
          <w:tcPr>
            <w:tcW w:w="36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84"/>
              </w:rPr>
              <w:t>, 200</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420" w:type="dxa"/>
            <w:vAlign w:val="bottom"/>
            <w:gridSpan w:val="14"/>
          </w:tcPr>
          <w:p>
            <w:pPr>
              <w:spacing w:after="0"/>
              <w:rPr>
                <w:sz w:val="20"/>
                <w:szCs w:val="20"/>
                <w:color w:val="auto"/>
              </w:rPr>
            </w:pPr>
            <w:r>
              <w:rPr>
                <w:rFonts w:ascii="Arial" w:cs="Arial" w:eastAsia="Arial" w:hAnsi="Arial"/>
                <w:sz w:val="18"/>
                <w:szCs w:val="18"/>
                <w:color w:val="auto"/>
              </w:rPr>
              <w:t>CITIBANK, N.A., as Agent</w:t>
            </w:r>
          </w:p>
        </w:tc>
        <w:tc>
          <w:tcPr>
            <w:tcW w:w="0" w:type="dxa"/>
            <w:vAlign w:val="bottom"/>
          </w:tcPr>
          <w:p>
            <w:pPr>
              <w:spacing w:after="0"/>
              <w:rPr>
                <w:sz w:val="1"/>
                <w:szCs w:val="1"/>
                <w:color w:val="auto"/>
              </w:rPr>
            </w:pPr>
          </w:p>
        </w:tc>
      </w:tr>
      <w:tr>
        <w:trPr>
          <w:trHeight w:val="432"/>
        </w:trPr>
        <w:tc>
          <w:tcPr>
            <w:tcW w:w="1020" w:type="dxa"/>
            <w:vAlign w:val="bottom"/>
            <w:gridSpan w:val="3"/>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6"/>
          </w:tcPr>
          <w:p>
            <w:pPr>
              <w:ind w:left="4120"/>
              <w:spacing w:after="0"/>
              <w:rPr>
                <w:sz w:val="20"/>
                <w:szCs w:val="20"/>
                <w:color w:val="auto"/>
              </w:rPr>
            </w:pPr>
            <w:r>
              <w:rPr>
                <w:rFonts w:ascii="Arial" w:cs="Arial" w:eastAsia="Arial" w:hAnsi="Arial"/>
                <w:sz w:val="18"/>
                <w:szCs w:val="18"/>
                <w:color w:val="auto"/>
              </w:rPr>
              <w:t>]</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020" w:type="dxa"/>
            <w:vAlign w:val="bottom"/>
            <w:gridSpan w:val="3"/>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date should be no earlier than five Business Days after the delivery of this Designation Agreement to the Agent.</w:t>
      </w:r>
    </w:p>
    <w:p>
      <w:pPr>
        <w:sectPr>
          <w:pgSz w:w="11900" w:h="16838" w:orient="portrait"/>
          <w:cols w:equalWidth="0" w:num="1">
            <w:col w:w="11420"/>
          </w:cols>
          <w:pgMar w:left="240" w:top="2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Date]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each of the Lender Parties party</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Credit Agreement dated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October 8, 2004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among Manpower Inc.,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said Lenders and Citibank, N.A.,</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Agent for said Lenders, and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Citibank, N.A., as Agent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Manpower Inc.</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Manpower Five Year Credit Agreement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1)"/>
      <w:numFmt w:val="lowerLetter"/>
      <w:start w:val="1"/>
    </w:lvl>
  </w:abstractNum>
  <w:abstractNum w:abstractNumId="2">
    <w:nsid w:val="6DE91B18"/>
    <w:multiLevelType w:val="hybridMultilevel"/>
    <w:lvl w:ilvl="0">
      <w:lvlJc w:val="left"/>
      <w:lvlText w:val="(%1)"/>
      <w:numFmt w:val="lowerLetter"/>
      <w:start w:val="1"/>
    </w:lvl>
  </w:abstractNum>
  <w:abstractNum w:abstractNumId="3">
    <w:nsid w:val="38437FDB"/>
    <w:multiLevelType w:val="hybridMultilevel"/>
    <w:lvl w:ilvl="0">
      <w:lvlJc w:val="left"/>
      <w:lvlText w:val="(%1)"/>
      <w:numFmt w:val="lowerLetter"/>
      <w:start w:val="2"/>
    </w:lvl>
  </w:abstractNum>
  <w:abstractNum w:abstractNumId="4">
    <w:nsid w:val="7644A45C"/>
    <w:multiLevelType w:val="hybridMultilevel"/>
    <w:lvl w:ilvl="0">
      <w:lvlJc w:val="left"/>
      <w:lvlText w:val="(%1)"/>
      <w:numFmt w:val="lowerRoman"/>
      <w:start w:val="1"/>
    </w:lvl>
  </w:abstractNum>
  <w:abstractNum w:abstractNumId="5">
    <w:nsid w:val="32FFF902"/>
    <w:multiLevelType w:val="hybridMultilevel"/>
    <w:lvl w:ilvl="0">
      <w:lvlJc w:val="left"/>
      <w:lvlText w:val="(%1)"/>
      <w:numFmt w:val="lowerLetter"/>
      <w:start w:val="2"/>
    </w:lvl>
  </w:abstractNum>
  <w:abstractNum w:abstractNumId="6">
    <w:nsid w:val="684A481A"/>
    <w:multiLevelType w:val="hybridMultilevel"/>
    <w:lvl w:ilvl="0">
      <w:lvlJc w:val="left"/>
      <w:lvlText w:val="(%1)"/>
      <w:numFmt w:val="lowerLetter"/>
      <w:start w:val="2"/>
    </w:lvl>
  </w:abstractNum>
  <w:abstractNum w:abstractNumId="7">
    <w:nsid w:val="579478FE"/>
    <w:multiLevelType w:val="hybridMultilevel"/>
    <w:lvl w:ilvl="0">
      <w:lvlJc w:val="left"/>
      <w:lvlText w:val="(%1)"/>
      <w:numFmt w:val="lowerLetter"/>
      <w:start w:val="5"/>
    </w:lvl>
  </w:abstractNum>
  <w:abstractNum w:abstractNumId="8">
    <w:nsid w:val="749ABB43"/>
    <w:multiLevelType w:val="hybridMultilevel"/>
    <w:lvl w:ilvl="0">
      <w:lvlJc w:val="left"/>
      <w:lvlText w:val="%1"/>
      <w:numFmt w:val="upperLetter"/>
      <w:start w:val="1"/>
    </w:lvl>
    <w:lvl w:ilvl="1">
      <w:lvlJc w:val="left"/>
      <w:lvlText w:val="(%2)"/>
      <w:numFmt w:val="lowerLetter"/>
      <w:start w:val="9"/>
    </w:lvl>
  </w:abstractNum>
  <w:abstractNum w:abstractNumId="9">
    <w:nsid w:val="3DC240FB"/>
    <w:multiLevelType w:val="hybridMultilevel"/>
    <w:lvl w:ilvl="0">
      <w:lvlJc w:val="left"/>
      <w:lvlText w:val="(%1)"/>
      <w:numFmt w:val="upperLetter"/>
      <w:start w:val="1"/>
    </w:lvl>
    <w:lvl w:ilvl="1">
      <w:lvlJc w:val="left"/>
      <w:lvlText w:val="%2"/>
      <w:numFmt w:val="lowerLetter"/>
      <w:start w:val="1"/>
    </w:lvl>
  </w:abstractNum>
  <w:abstractNum w:abstractNumId="10">
    <w:nsid w:val="1BA026FA"/>
    <w:multiLevelType w:val="hybridMultilevel"/>
    <w:lvl w:ilvl="0">
      <w:lvlJc w:val="left"/>
      <w:lvlText w:val="(%1)"/>
      <w:numFmt w:val="lowerRoman"/>
      <w:start w:val="2"/>
    </w:lvl>
    <w:lvl w:ilvl="1">
      <w:lvlJc w:val="left"/>
      <w:lvlText w:val="(%2)"/>
      <w:numFmt w:val="lowerLetter"/>
      <w:start w:val="24"/>
    </w:lvl>
  </w:abstractNum>
  <w:abstractNum w:abstractNumId="11">
    <w:nsid w:val="79A1DEAA"/>
    <w:multiLevelType w:val="hybridMultilevel"/>
    <w:lvl w:ilvl="0">
      <w:lvlJc w:val="left"/>
      <w:lvlText w:val="(%1)"/>
      <w:numFmt w:val="lowerRoman"/>
      <w:start w:val="4"/>
    </w:lvl>
    <w:lvl w:ilvl="1">
      <w:lvlJc w:val="left"/>
      <w:lvlText w:val="(%2)"/>
      <w:numFmt w:val="lowerLetter"/>
      <w:start w:val="2"/>
    </w:lvl>
  </w:abstractNum>
  <w:abstractNum w:abstractNumId="12">
    <w:nsid w:val="75C6C33A"/>
    <w:multiLevelType w:val="hybridMultilevel"/>
    <w:lvl w:ilvl="0">
      <w:lvlJc w:val="left"/>
      <w:lvlText w:val="(%1)"/>
      <w:numFmt w:val="lowerLetter"/>
      <w:start w:val="4"/>
    </w:lvl>
  </w:abstractNum>
  <w:abstractNum w:abstractNumId="13">
    <w:nsid w:val="12E685FB"/>
    <w:multiLevelType w:val="hybridMultilevel"/>
    <w:lvl w:ilvl="0">
      <w:lvlJc w:val="left"/>
      <w:lvlText w:val="(%1)"/>
      <w:numFmt w:val="lowerLetter"/>
      <w:start w:val="2"/>
    </w:lvl>
  </w:abstractNum>
  <w:abstractNum w:abstractNumId="14">
    <w:nsid w:val="70C6A529"/>
    <w:multiLevelType w:val="hybridMultilevel"/>
    <w:lvl w:ilvl="0">
      <w:lvlJc w:val="left"/>
      <w:lvlText w:val="(%1)"/>
      <w:numFmt w:val="lowerLetter"/>
      <w:start w:val="3"/>
    </w:lvl>
  </w:abstractNum>
  <w:abstractNum w:abstractNumId="15">
    <w:nsid w:val="520EEDD1"/>
    <w:multiLevelType w:val="hybridMultilevel"/>
    <w:lvl w:ilvl="0">
      <w:lvlJc w:val="left"/>
      <w:lvlText w:val="(%1)"/>
      <w:numFmt w:val="lowerLetter"/>
      <w:start w:val="2"/>
    </w:lvl>
  </w:abstractNum>
  <w:abstractNum w:abstractNumId="16">
    <w:nsid w:val="374A3FE6"/>
    <w:multiLevelType w:val="hybridMultilevel"/>
    <w:lvl w:ilvl="0">
      <w:lvlJc w:val="left"/>
      <w:lvlText w:val="(%1)"/>
      <w:numFmt w:val="lowerLetter"/>
      <w:start w:val="2"/>
    </w:lvl>
  </w:abstractNum>
  <w:abstractNum w:abstractNumId="17">
    <w:nsid w:val="4F4EF005"/>
    <w:multiLevelType w:val="hybridMultilevel"/>
    <w:lvl w:ilvl="0">
      <w:lvlJc w:val="left"/>
      <w:lvlText w:val="(%1)"/>
      <w:numFmt w:val="lowerRoman"/>
      <w:start w:val="2"/>
    </w:lvl>
  </w:abstractNum>
  <w:abstractNum w:abstractNumId="18">
    <w:nsid w:val="23F9C13C"/>
    <w:multiLevelType w:val="hybridMultilevel"/>
    <w:lvl w:ilvl="0">
      <w:lvlJc w:val="left"/>
      <w:lvlText w:val="(%1)"/>
      <w:numFmt w:val="upperLetter"/>
      <w:start w:val="1"/>
    </w:lvl>
  </w:abstractNum>
  <w:abstractNum w:abstractNumId="19">
    <w:nsid w:val="649BB77C"/>
    <w:multiLevelType w:val="hybridMultilevel"/>
    <w:lvl w:ilvl="0">
      <w:lvlJc w:val="left"/>
      <w:lvlText w:val="(%1)"/>
      <w:numFmt w:val="upperLetter"/>
      <w:start w:val="7"/>
    </w:lvl>
  </w:abstractNum>
  <w:abstractNum w:abstractNumId="20">
    <w:nsid w:val="275AC794"/>
    <w:multiLevelType w:val="hybridMultilevel"/>
    <w:lvl w:ilvl="0">
      <w:lvlJc w:val="left"/>
      <w:lvlText w:val="(%1)"/>
      <w:numFmt w:val="lowerRoman"/>
      <w:start w:val="1"/>
    </w:lvl>
    <w:lvl w:ilvl="1">
      <w:lvlJc w:val="left"/>
      <w:lvlText w:val="(%2)"/>
      <w:numFmt w:val="lowerLetter"/>
      <w:start w:val="2"/>
    </w:lvl>
  </w:abstractNum>
  <w:abstractNum w:abstractNumId="21">
    <w:nsid w:val="39386575"/>
    <w:multiLevelType w:val="hybridMultilevel"/>
    <w:lvl w:ilvl="0">
      <w:lvlJc w:val="left"/>
      <w:lvlText w:val="(%1)"/>
      <w:numFmt w:val="lowerLetter"/>
      <w:start w:val="2"/>
    </w:lvl>
  </w:abstractNum>
  <w:abstractNum w:abstractNumId="22">
    <w:nsid w:val="1CF10FD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3"/>
    </w:lvl>
  </w:abstractNum>
  <w:abstractNum w:abstractNumId="23">
    <w:nsid w:val="180115BE"/>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4">
    <w:nsid w:val="235BA861"/>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5">
    <w:nsid w:val="47398C89"/>
    <w:multiLevelType w:val="hybridMultilevel"/>
    <w:lvl w:ilvl="0">
      <w:lvlJc w:val="left"/>
      <w:lvlText w:val="(%1)"/>
      <w:numFmt w:val="lowerRoman"/>
      <w:start w:val="3"/>
    </w:lvl>
  </w:abstractNum>
  <w:abstractNum w:abstractNumId="26">
    <w:nsid w:val="354FE9F9"/>
    <w:multiLevelType w:val="hybridMultilevel"/>
    <w:lvl w:ilvl="0">
      <w:lvlJc w:val="left"/>
      <w:lvlText w:val="(%1)"/>
      <w:numFmt w:val="lowerLetter"/>
      <w:start w:val="2"/>
    </w:lvl>
  </w:abstractNum>
  <w:abstractNum w:abstractNumId="27">
    <w:nsid w:val="15B5AF5C"/>
    <w:multiLevelType w:val="hybridMultilevel"/>
    <w:lvl w:ilvl="0">
      <w:lvlJc w:val="left"/>
      <w:lvlText w:val="(%1)"/>
      <w:numFmt w:val="lowerRoman"/>
      <w:start w:val="2"/>
    </w:lvl>
  </w:abstractNum>
  <w:abstractNum w:abstractNumId="28">
    <w:nsid w:val="741226BB"/>
    <w:multiLevelType w:val="hybridMultilevel"/>
    <w:lvl w:ilvl="0">
      <w:lvlJc w:val="left"/>
      <w:lvlText w:val="(%1)"/>
      <w:numFmt w:val="lowerLetter"/>
      <w:start w:val="2"/>
    </w:lvl>
  </w:abstractNum>
  <w:abstractNum w:abstractNumId="29">
    <w:nsid w:val="D34B6A8"/>
    <w:multiLevelType w:val="hybridMultilevel"/>
    <w:lvl w:ilvl="0">
      <w:lvlJc w:val="left"/>
      <w:lvlText w:val="(%1)"/>
      <w:numFmt w:val="lowerLetter"/>
      <w:start w:val="2"/>
    </w:lvl>
  </w:abstractNum>
  <w:abstractNum w:abstractNumId="30">
    <w:nsid w:val="10233C99"/>
    <w:multiLevelType w:val="hybridMultilevel"/>
    <w:lvl w:ilvl="0">
      <w:lvlJc w:val="left"/>
      <w:lvlText w:val="(%1)"/>
      <w:numFmt w:val="lowerLetter"/>
      <w:start w:val="2"/>
    </w:lvl>
  </w:abstractNum>
  <w:abstractNum w:abstractNumId="31">
    <w:nsid w:val="3F6AB60F"/>
    <w:multiLevelType w:val="hybridMultilevel"/>
    <w:lvl w:ilvl="0">
      <w:lvlJc w:val="left"/>
      <w:lvlText w:val="(%1)"/>
      <w:numFmt w:val="lowerLetter"/>
      <w:start w:val="5"/>
    </w:lvl>
  </w:abstractNum>
  <w:abstractNum w:abstractNumId="32">
    <w:nsid w:val="61574095"/>
    <w:multiLevelType w:val="hybridMultilevel"/>
    <w:lvl w:ilvl="0">
      <w:lvlJc w:val="left"/>
      <w:lvlText w:val="(%1)"/>
      <w:numFmt w:val="lowerLetter"/>
      <w:start w:val="2"/>
    </w:lvl>
  </w:abstractNum>
  <w:abstractNum w:abstractNumId="33">
    <w:nsid w:val="7E0C57B1"/>
    <w:multiLevelType w:val="hybridMultilevel"/>
    <w:lvl w:ilvl="0">
      <w:lvlJc w:val="left"/>
      <w:lvlText w:val="(%1)"/>
      <w:numFmt w:val="lowerLetter"/>
      <w:start w:val="2"/>
    </w:lvl>
  </w:abstractNum>
  <w:abstractNum w:abstractNumId="34">
    <w:nsid w:val="77AE35EB"/>
    <w:multiLevelType w:val="hybridMultilevel"/>
    <w:lvl w:ilvl="0">
      <w:lvlJc w:val="left"/>
      <w:lvlText w:val="%1"/>
      <w:numFmt w:val="lowerRoman"/>
      <w:start w:val="1"/>
    </w:lvl>
    <w:lvl w:ilvl="1">
      <w:lvlJc w:val="left"/>
      <w:lvlText w:val="(%2)"/>
      <w:numFmt w:val="lowerLetter"/>
      <w:start w:val="3"/>
    </w:lvl>
  </w:abstractNum>
  <w:abstractNum w:abstractNumId="35">
    <w:nsid w:val="579BE4F1"/>
    <w:multiLevelType w:val="hybridMultilevel"/>
    <w:lvl w:ilvl="0">
      <w:lvlJc w:val="left"/>
      <w:lvlText w:val="(%1)"/>
      <w:numFmt w:val="lowerRoman"/>
      <w:start w:val="1"/>
    </w:lvl>
    <w:lvl w:ilvl="1">
      <w:lvlJc w:val="left"/>
      <w:lvlText w:val="%2"/>
      <w:numFmt w:val="lowerLetter"/>
      <w:start w:val="1"/>
    </w:lvl>
  </w:abstractNum>
  <w:abstractNum w:abstractNumId="36">
    <w:nsid w:val="310C50B3"/>
    <w:multiLevelType w:val="hybridMultilevel"/>
    <w:lvl w:ilvl="0">
      <w:lvlJc w:val="left"/>
      <w:lvlText w:val="(%1)"/>
      <w:numFmt w:val="lowerRoman"/>
      <w:start w:val="3"/>
    </w:lvl>
  </w:abstractNum>
  <w:abstractNum w:abstractNumId="37">
    <w:nsid w:val="5FF87E05"/>
    <w:multiLevelType w:val="hybridMultilevel"/>
    <w:lvl w:ilvl="0">
      <w:lvlJc w:val="left"/>
      <w:lvlText w:val="%1"/>
      <w:numFmt w:val="lowerLetter"/>
      <w:start w:val="1"/>
    </w:lvl>
    <w:lvl w:ilvl="1">
      <w:lvlJc w:val="left"/>
      <w:lvlText w:val="(%2)"/>
      <w:numFmt w:val="lowerLetter"/>
      <w:start w:val="1"/>
    </w:lvl>
  </w:abstractNum>
  <w:abstractNum w:abstractNumId="38">
    <w:nsid w:val="2F305DEF"/>
    <w:multiLevelType w:val="hybridMultilevel"/>
    <w:lvl w:ilvl="0">
      <w:lvlJc w:val="left"/>
      <w:lvlText w:val="(%1)"/>
      <w:numFmt w:val="lowerLetter"/>
      <w:start w:val="35"/>
    </w:lvl>
    <w:lvl w:ilvl="1">
      <w:lvlJc w:val="left"/>
      <w:lvlText w:val="%2"/>
      <w:numFmt w:val="lowerLetter"/>
      <w:start w:val="1"/>
    </w:lvl>
  </w:abstractNum>
  <w:abstractNum w:abstractNumId="39">
    <w:nsid w:val="25A70BF7"/>
    <w:multiLevelType w:val="hybridMultilevel"/>
    <w:lvl w:ilvl="0">
      <w:lvlJc w:val="left"/>
      <w:lvlText w:val="(%1)"/>
      <w:numFmt w:val="lowerLetter"/>
      <w:start w:val="3"/>
    </w:lvl>
    <w:lvl w:ilvl="1">
      <w:lvlJc w:val="left"/>
      <w:lvlText w:val="(%2)"/>
      <w:numFmt w:val="lowerRoman"/>
      <w:start w:val="1"/>
    </w:lvl>
  </w:abstractNum>
  <w:abstractNum w:abstractNumId="40">
    <w:nsid w:val="1DBABF00"/>
    <w:multiLevelType w:val="hybridMultilevel"/>
    <w:lvl w:ilvl="0">
      <w:lvlJc w:val="left"/>
      <w:lvlText w:val="(%1)"/>
      <w:numFmt w:val="lowerRoman"/>
      <w:start w:val="1"/>
    </w:lvl>
  </w:abstractNum>
  <w:abstractNum w:abstractNumId="41">
    <w:nsid w:val="4AD084E9"/>
    <w:multiLevelType w:val="hybridMultilevel"/>
    <w:lvl w:ilvl="0">
      <w:lvlJc w:val="left"/>
      <w:lvlText w:val="%1"/>
      <w:numFmt w:val="lowerLetter"/>
      <w:start w:val="1"/>
    </w:lvl>
    <w:lvl w:ilvl="1">
      <w:lvlJc w:val="left"/>
      <w:lvlText w:val="(%2)"/>
      <w:numFmt w:val="lowerLetter"/>
      <w:start w:val="1"/>
    </w:lvl>
  </w:abstractNum>
  <w:abstractNum w:abstractNumId="42">
    <w:nsid w:val="1F48EAA1"/>
    <w:multiLevelType w:val="hybridMultilevel"/>
    <w:lvl w:ilvl="0">
      <w:lvlJc w:val="left"/>
      <w:lvlText w:val="(%1)"/>
      <w:numFmt w:val="lowerLetter"/>
      <w:start w:val="5"/>
    </w:lvl>
    <w:lvl w:ilvl="1">
      <w:lvlJc w:val="left"/>
      <w:lvlText w:val="(%2)"/>
      <w:numFmt w:val="lowerLetter"/>
      <w:start w:val="2"/>
    </w:lvl>
  </w:abstractNum>
  <w:abstractNum w:abstractNumId="43">
    <w:nsid w:val="1381823A"/>
    <w:multiLevelType w:val="hybridMultilevel"/>
    <w:lvl w:ilvl="0">
      <w:lvlJc w:val="left"/>
      <w:lvlText w:val="(%1)"/>
      <w:numFmt w:val="lowerLetter"/>
      <w:start w:val="1"/>
    </w:lvl>
  </w:abstractNum>
  <w:abstractNum w:abstractNumId="44">
    <w:nsid w:val="5DB70AE5"/>
    <w:multiLevelType w:val="hybridMultilevel"/>
    <w:lvl w:ilvl="0">
      <w:lvlJc w:val="left"/>
      <w:lvlText w:val="(%1)"/>
      <w:numFmt w:val="lowerLetter"/>
      <w:start w:val="7"/>
    </w:lvl>
  </w:abstractNum>
  <w:abstractNum w:abstractNumId="45">
    <w:nsid w:val="100F8FCA"/>
    <w:multiLevelType w:val="hybridMultilevel"/>
    <w:lvl w:ilvl="0">
      <w:lvlJc w:val="left"/>
      <w:lvlText w:val="(%1)"/>
      <w:numFmt w:val="lowerLetter"/>
      <w:start w:val="1"/>
    </w:lvl>
  </w:abstractNum>
  <w:abstractNum w:abstractNumId="46">
    <w:nsid w:val="6590700B"/>
    <w:multiLevelType w:val="hybridMultilevel"/>
    <w:lvl w:ilvl="0">
      <w:lvlJc w:val="left"/>
      <w:lvlText w:val="(%1)"/>
      <w:numFmt w:val="lowerLetter"/>
      <w:start w:val="3"/>
    </w:lvl>
    <w:lvl w:ilvl="1">
      <w:lvlJc w:val="left"/>
      <w:lvlText w:val="(%2)"/>
      <w:numFmt w:val="lowerRoman"/>
      <w:start w:val="1"/>
    </w:lvl>
  </w:abstractNum>
  <w:abstractNum w:abstractNumId="47">
    <w:nsid w:val="15014ACB"/>
    <w:multiLevelType w:val="hybridMultilevel"/>
    <w:lvl w:ilvl="0">
      <w:lvlJc w:val="left"/>
      <w:lvlText w:val="(%1)"/>
      <w:numFmt w:val="lowerRoman"/>
      <w:start w:val="3"/>
    </w:lvl>
  </w:abstractNum>
  <w:abstractNum w:abstractNumId="48">
    <w:nsid w:val="5F5E7FD0"/>
    <w:multiLevelType w:val="hybridMultilevel"/>
    <w:lvl w:ilvl="0">
      <w:lvlJc w:val="left"/>
      <w:lvlText w:val="(%1)"/>
      <w:numFmt w:val="lowerLetter"/>
      <w:start w:val="1"/>
    </w:lvl>
    <w:lvl w:ilvl="1">
      <w:lvlJc w:val="left"/>
      <w:lvlText w:val="(%2)"/>
      <w:numFmt w:val="lowerRoman"/>
      <w:start w:val="1"/>
    </w:lvl>
  </w:abstractNum>
  <w:abstractNum w:abstractNumId="49">
    <w:nsid w:val="98A3148"/>
    <w:multiLevelType w:val="hybridMultilevel"/>
    <w:lvl w:ilvl="0">
      <w:lvlJc w:val="left"/>
      <w:lvlText w:val="%1"/>
      <w:numFmt w:val="lowerLetter"/>
      <w:start w:val="1"/>
    </w:lvl>
    <w:lvl w:ilvl="1">
      <w:lvlJc w:val="left"/>
      <w:lvlText w:val="(%2)"/>
      <w:numFmt w:val="lowerRoman"/>
      <w:start w:val="3"/>
    </w:lvl>
  </w:abstractNum>
  <w:abstractNum w:abstractNumId="50">
    <w:nsid w:val="799D0247"/>
    <w:multiLevelType w:val="hybridMultilevel"/>
    <w:lvl w:ilvl="0">
      <w:lvlJc w:val="left"/>
      <w:lvlText w:val="(%1)"/>
      <w:numFmt w:val="lowerLetter"/>
      <w:start w:val="2"/>
    </w:lvl>
    <w:lvl w:ilvl="1">
      <w:lvlJc w:val="left"/>
      <w:lvlText w:val="(%2)"/>
      <w:numFmt w:val="lowerRoman"/>
      <w:start w:val="1"/>
    </w:lvl>
  </w:abstractNum>
  <w:abstractNum w:abstractNumId="51">
    <w:nsid w:val="6B94764"/>
    <w:multiLevelType w:val="hybridMultilevel"/>
    <w:lvl w:ilvl="0">
      <w:lvlJc w:val="left"/>
      <w:lvlText w:val="(%1)"/>
      <w:numFmt w:val="lowerLetter"/>
      <w:start w:val="4"/>
    </w:lvl>
    <w:lvl w:ilvl="1">
      <w:lvlJc w:val="left"/>
      <w:lvlText w:val="(%2)"/>
      <w:numFmt w:val="lowerRoman"/>
      <w:start w:val="1"/>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1"/>
    </w:lvl>
  </w:abstractNum>
  <w:abstractNum w:abstractNumId="54">
    <w:nsid w:val="1EBA5D23"/>
    <w:multiLevelType w:val="hybridMultilevel"/>
    <w:lvl w:ilvl="0">
      <w:lvlJc w:val="left"/>
      <w:lvlText w:val="(%1)"/>
      <w:numFmt w:val="lowerLetter"/>
      <w:start w:val="2"/>
    </w:lvl>
  </w:abstractNum>
  <w:abstractNum w:abstractNumId="55">
    <w:nsid w:val="661E3F1E"/>
    <w:multiLevelType w:val="hybridMultilevel"/>
    <w:lvl w:ilvl="0">
      <w:lvlJc w:val="left"/>
      <w:lvlText w:val="(%1)"/>
      <w:numFmt w:val="lowerLetter"/>
      <w:start w:val="7"/>
    </w:lvl>
  </w:abstractNum>
  <w:abstractNum w:abstractNumId="56">
    <w:nsid w:val="5DC79EA8"/>
    <w:multiLevelType w:val="hybridMultilevel"/>
    <w:lvl w:ilvl="0">
      <w:lvlJc w:val="left"/>
      <w:lvlText w:val="(%1)"/>
      <w:numFmt w:val="lowerLetter"/>
      <w:start w:val="2"/>
    </w:lvl>
  </w:abstractNum>
  <w:abstractNum w:abstractNumId="57">
    <w:nsid w:val="540A471C"/>
    <w:multiLevelType w:val="hybridMultilevel"/>
    <w:lvl w:ilvl="0">
      <w:lvlJc w:val="left"/>
      <w:lvlText w:val="%1"/>
      <w:numFmt w:val="lowerLetter"/>
      <w:start w:val="1"/>
    </w:lvl>
    <w:lvl w:ilvl="1">
      <w:lvlJc w:val="left"/>
      <w:lvlText w:val="(%2)"/>
      <w:numFmt w:val="lowerLetter"/>
      <w:start w:val="2"/>
    </w:lvl>
  </w:abstractNum>
  <w:abstractNum w:abstractNumId="58">
    <w:nsid w:val="7BD3EE7B"/>
    <w:multiLevelType w:val="hybridMultilevel"/>
    <w:lvl w:ilvl="0">
      <w:lvlJc w:val="left"/>
      <w:lvlText w:val="(%1)"/>
      <w:numFmt w:val="lowerLetter"/>
      <w:start w:val="61"/>
    </w:lvl>
    <w:lvl w:ilvl="1">
      <w:lvlJc w:val="left"/>
      <w:lvlText w:val="(%2)"/>
      <w:numFmt w:val="lowerLetter"/>
      <w:start w:val="3"/>
    </w:lvl>
  </w:abstractNum>
  <w:abstractNum w:abstractNumId="59">
    <w:nsid w:val="51D9C564"/>
    <w:multiLevelType w:val="hybridMultilevel"/>
    <w:lvl w:ilvl="0">
      <w:lvlJc w:val="left"/>
      <w:lvlText w:val="(%1)"/>
      <w:numFmt w:val="lowerLetter"/>
      <w:start w:val="2"/>
    </w:lvl>
  </w:abstractNum>
  <w:abstractNum w:abstractNumId="60">
    <w:nsid w:val="613EFDC5"/>
    <w:multiLevelType w:val="hybridMultilevel"/>
    <w:lvl w:ilvl="0">
      <w:lvlJc w:val="left"/>
      <w:lvlText w:val="(%1)"/>
      <w:numFmt w:val="lowerLetter"/>
      <w:start w:val="3"/>
    </w:lvl>
  </w:abstractNum>
  <w:abstractNum w:abstractNumId="61">
    <w:nsid w:val="BF72B14"/>
    <w:multiLevelType w:val="hybridMultilevel"/>
    <w:lvl w:ilvl="0">
      <w:lvlJc w:val="left"/>
      <w:lvlText w:val="(%1)"/>
      <w:numFmt w:val="lowerRoman"/>
      <w:start w:val="4"/>
    </w:lvl>
    <w:lvl w:ilvl="1">
      <w:lvlJc w:val="left"/>
      <w:lvlText w:val="(%2)"/>
      <w:numFmt w:val="lowerLetter"/>
      <w:start w:val="2"/>
    </w:lvl>
  </w:abstractNum>
  <w:abstractNum w:abstractNumId="62">
    <w:nsid w:val="11447B73"/>
    <w:multiLevelType w:val="hybridMultilevel"/>
    <w:lvl w:ilvl="0">
      <w:lvlJc w:val="left"/>
      <w:lvlText w:val="%1"/>
      <w:numFmt w:val="lowerRoman"/>
      <w:start w:val="1"/>
    </w:lvl>
    <w:lvl w:ilvl="1">
      <w:lvlJc w:val="left"/>
      <w:lvlText w:val="(%2)"/>
      <w:numFmt w:val="lowerLetter"/>
      <w:start w:val="4"/>
    </w:lvl>
  </w:abstractNum>
  <w:abstractNum w:abstractNumId="63">
    <w:nsid w:val="42963E5A"/>
    <w:multiLevelType w:val="hybridMultilevel"/>
    <w:lvl w:ilvl="0">
      <w:lvlJc w:val="left"/>
      <w:lvlText w:val="(%1)"/>
      <w:numFmt w:val="lowerRoman"/>
      <w:start w:val="6"/>
    </w:lvl>
    <w:lvl w:ilvl="1">
      <w:lvlJc w:val="left"/>
      <w:lvlText w:val="(%2)"/>
      <w:numFmt w:val="lowerLetter"/>
      <w:start w:val="6"/>
    </w:lvl>
  </w:abstractNum>
  <w:abstractNum w:abstractNumId="64">
    <w:nsid w:val="A0382C5"/>
    <w:multiLevelType w:val="hybridMultilevel"/>
    <w:lvl w:ilvl="0">
      <w:lvlJc w:val="left"/>
      <w:lvlText w:val="(%1)"/>
      <w:numFmt w:val="lowerRoman"/>
      <w:start w:val="2"/>
    </w:lvl>
    <w:lvl w:ilvl="1">
      <w:lvlJc w:val="left"/>
      <w:lvlText w:val="(%2)"/>
      <w:numFmt w:val="lowerLetter"/>
      <w:start w:val="7"/>
    </w:lvl>
  </w:abstractNum>
  <w:abstractNum w:abstractNumId="65">
    <w:nsid w:val="8F2B15E"/>
    <w:multiLevelType w:val="hybridMultilevel"/>
    <w:lvl w:ilvl="0">
      <w:lvlJc w:val="left"/>
      <w:lvlText w:val="(%1)"/>
      <w:numFmt w:val="lowerLetter"/>
      <w:start w:val="9"/>
    </w:lvl>
  </w:abstractNum>
  <w:abstractNum w:abstractNumId="66">
    <w:nsid w:val="1A32234B"/>
    <w:multiLevelType w:val="hybridMultilevel"/>
    <w:lvl w:ilvl="0">
      <w:lvlJc w:val="left"/>
      <w:lvlText w:val="(%1)"/>
      <w:numFmt w:val="lowerLetter"/>
      <w:start w:val="2"/>
    </w:lvl>
  </w:abstractNum>
  <w:abstractNum w:abstractNumId="67">
    <w:nsid w:val="3B0FD379"/>
    <w:multiLevelType w:val="hybridMultilevel"/>
    <w:lvl w:ilvl="0">
      <w:lvlJc w:val="left"/>
      <w:lvlText w:val="(%1)"/>
      <w:numFmt w:val="lowerLetter"/>
      <w:start w:val="3"/>
    </w:lvl>
  </w:abstractNum>
  <w:abstractNum w:abstractNumId="68">
    <w:nsid w:val="68EB2F63"/>
    <w:multiLevelType w:val="hybridMultilevel"/>
    <w:lvl w:ilvl="0">
      <w:lvlJc w:val="left"/>
      <w:lvlText w:val="(%1)"/>
      <w:numFmt w:val="lowerLetter"/>
      <w:start w:val="2"/>
    </w:lvl>
  </w:abstractNum>
  <w:abstractNum w:abstractNumId="69">
    <w:nsid w:val="4962813B"/>
    <w:multiLevelType w:val="hybridMultilevel"/>
    <w:lvl w:ilvl="0">
      <w:lvlJc w:val="left"/>
      <w:lvlText w:val="%1:"/>
      <w:numFmt w:val="upperLetter"/>
      <w:start w:val="20"/>
    </w:lvl>
  </w:abstractNum>
  <w:abstractNum w:abstractNumId="70">
    <w:nsid w:val="60B6DF70"/>
    <w:multiLevelType w:val="hybridMultilevel"/>
    <w:lvl w:ilvl="0">
      <w:lvlJc w:val="left"/>
      <w:lvlText w:val="%1:"/>
      <w:numFmt w:val="upperLetter"/>
      <w:start w:val="6"/>
    </w:lvl>
  </w:abstractNum>
  <w:abstractNum w:abstractNumId="71">
    <w:nsid w:val="6A5EE64"/>
    <w:multiLevelType w:val="hybridMultilevel"/>
    <w:lvl w:ilvl="0">
      <w:lvlJc w:val="left"/>
      <w:lvlText w:val="%1:"/>
      <w:numFmt w:val="upperLetter"/>
      <w:start w:val="20"/>
    </w:lvl>
  </w:abstractNum>
  <w:abstractNum w:abstractNumId="72">
    <w:nsid w:val="14330624"/>
    <w:multiLevelType w:val="hybridMultilevel"/>
    <w:lvl w:ilvl="0">
      <w:lvlJc w:val="left"/>
      <w:lvlText w:val="%1:"/>
      <w:numFmt w:val="upperLetter"/>
      <w:start w:val="6"/>
    </w:lvl>
  </w:abstractNum>
  <w:abstractNum w:abstractNumId="73">
    <w:nsid w:val="7FFFCA11"/>
    <w:multiLevelType w:val="hybridMultilevel"/>
    <w:lvl w:ilvl="0">
      <w:lvlJc w:val="left"/>
      <w:lvlText w:val="%1:"/>
      <w:numFmt w:val="upperLetter"/>
      <w:start w:val="20"/>
    </w:lvl>
  </w:abstractNum>
  <w:abstractNum w:abstractNumId="74">
    <w:nsid w:val="1A27709E"/>
    <w:multiLevelType w:val="hybridMultilevel"/>
    <w:lvl w:ilvl="0">
      <w:lvlJc w:val="left"/>
      <w:lvlText w:val="%1:"/>
      <w:numFmt w:val="upperLetter"/>
      <w:start w:val="6"/>
    </w:lvl>
  </w:abstractNum>
  <w:abstractNum w:abstractNumId="75">
    <w:nsid w:val="71EA1109"/>
    <w:multiLevelType w:val="hybridMultilevel"/>
    <w:lvl w:ilvl="0">
      <w:lvlJc w:val="left"/>
      <w:lvlText w:val="%1:"/>
      <w:numFmt w:val="upperLetter"/>
      <w:start w:val="20"/>
    </w:lvl>
  </w:abstractNum>
  <w:abstractNum w:abstractNumId="76">
    <w:nsid w:val="100F59DC"/>
    <w:multiLevelType w:val="hybridMultilevel"/>
    <w:lvl w:ilvl="0">
      <w:lvlJc w:val="left"/>
      <w:lvlText w:val="%1:"/>
      <w:numFmt w:val="upperLetter"/>
      <w:start w:val="6"/>
    </w:lvl>
  </w:abstractNum>
  <w:abstractNum w:abstractNumId="77">
    <w:nsid w:val="7FB7E0AA"/>
    <w:multiLevelType w:val="hybridMultilevel"/>
    <w:lvl w:ilvl="0">
      <w:lvlJc w:val="left"/>
      <w:lvlText w:val="%1:"/>
      <w:numFmt w:val="upperLetter"/>
      <w:start w:val="20"/>
    </w:lvl>
  </w:abstractNum>
  <w:abstractNum w:abstractNumId="78">
    <w:nsid w:val="6EB5BD4"/>
    <w:multiLevelType w:val="hybridMultilevel"/>
    <w:lvl w:ilvl="0">
      <w:lvlJc w:val="left"/>
      <w:lvlText w:val="%1:"/>
      <w:numFmt w:val="upperLetter"/>
      <w:start w:val="6"/>
    </w:lvl>
  </w:abstractNum>
  <w:abstractNum w:abstractNumId="79">
    <w:nsid w:val="6F6DD9AC"/>
    <w:multiLevelType w:val="hybridMultilevel"/>
    <w:lvl w:ilvl="0">
      <w:lvlJc w:val="left"/>
      <w:lvlText w:val="%1:"/>
      <w:numFmt w:val="upperLetter"/>
      <w:start w:val="20"/>
    </w:lvl>
  </w:abstractNum>
  <w:abstractNum w:abstractNumId="80">
    <w:nsid w:val="94211F2"/>
    <w:multiLevelType w:val="hybridMultilevel"/>
    <w:lvl w:ilvl="0">
      <w:lvlJc w:val="left"/>
      <w:lvlText w:val="%1:"/>
      <w:numFmt w:val="upperLetter"/>
      <w:start w:val="6"/>
    </w:lvl>
  </w:abstractNum>
  <w:abstractNum w:abstractNumId="81">
    <w:nsid w:val="885E1B"/>
    <w:multiLevelType w:val="hybridMultilevel"/>
    <w:lvl w:ilvl="0">
      <w:lvlJc w:val="left"/>
      <w:lvlText w:val="(%1)"/>
      <w:numFmt w:val="upperLetter"/>
      <w:start w:val="1"/>
    </w:lvl>
  </w:abstractNum>
  <w:abstractNum w:abstractNumId="82">
    <w:nsid w:val="76272110"/>
    <w:multiLevelType w:val="hybridMultilevel"/>
    <w:lvl w:ilvl="0">
      <w:lvlJc w:val="left"/>
      <w:lvlText w:val="(%1)"/>
      <w:numFmt w:val="upperLetter"/>
      <w:start w:val="2"/>
    </w:lvl>
  </w:abstractNum>
  <w:abstractNum w:abstractNumId="83">
    <w:nsid w:val="4C04A8AF"/>
    <w:multiLevelType w:val="hybridMultilevel"/>
    <w:lvl w:ilvl="0">
      <w:lvlJc w:val="left"/>
      <w:lvlText w:val="(%1)"/>
      <w:numFmt w:val="lowerLetter"/>
      <w:start w:val="1"/>
    </w:lvl>
  </w:abstractNum>
  <w:abstractNum w:abstractNumId="84">
    <w:nsid w:val="1716703B"/>
    <w:multiLevelType w:val="hybridMultilevel"/>
    <w:lvl w:ilvl="0">
      <w:lvlJc w:val="left"/>
      <w:lvlText w:val="(%1)"/>
      <w:numFmt w:val="lowerLetter"/>
      <w:start w:val="4"/>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5"/>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lvl w:ilvl="1">
      <w:lvlJc w:val="left"/>
      <w:lvlText w:val="%2."/>
      <w:numFmt w:val="decimal"/>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2019-12-20T17:53:52Z</dcterms:created>
  <dcterms:modified xsi:type="dcterms:W3CDTF">2019-12-20T17:53:52Z</dcterms:modified>
</cp:coreProperties>
</file>