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color w:val="auto"/>
        </w:rPr>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3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127" w:lineRule="exact"/>
        <w:rPr>
          <w:sz w:val="24"/>
          <w:szCs w:val="24"/>
          <w:color w:val="auto"/>
        </w:rPr>
      </w:pPr>
    </w:p>
    <w:p>
      <w:pPr>
        <w:ind w:left="640" w:hanging="632"/>
        <w:spacing w:after="0"/>
        <w:tabs>
          <w:tab w:leader="none" w:pos="6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Quarterly Report pursuant to Section 13 or 15(d) of the Securities Exchange Act of 1934 for the quarterly period ended:</w:t>
      </w:r>
    </w:p>
    <w:p>
      <w:pPr>
        <w:spacing w:after="0" w:line="124" w:lineRule="exact"/>
        <w:rPr>
          <w:rFonts w:ascii="MS PGothic" w:cs="MS PGothic" w:eastAsia="MS PGothic" w:hAnsi="MS PGothic"/>
          <w:sz w:val="16"/>
          <w:szCs w:val="16"/>
          <w:color w:val="auto"/>
        </w:rPr>
      </w:pPr>
    </w:p>
    <w:p>
      <w:pPr>
        <w:ind w:left="490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September 30, 2024</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or</w:t>
      </w:r>
    </w:p>
    <w:p>
      <w:pPr>
        <w:spacing w:after="0" w:line="127" w:lineRule="exact"/>
        <w:rPr>
          <w:sz w:val="24"/>
          <w:szCs w:val="24"/>
          <w:color w:val="auto"/>
        </w:rPr>
      </w:pPr>
    </w:p>
    <w:p>
      <w:pPr>
        <w:ind w:left="640" w:hanging="632"/>
        <w:spacing w:after="0"/>
        <w:tabs>
          <w:tab w:leader="none" w:pos="6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Transition Report pursuant to Section 13 or 15(d) of the Securities Exchange Act of 1934 for the transition period from: ______to______</w:t>
      </w:r>
    </w:p>
    <w:p>
      <w:pPr>
        <w:spacing w:after="0" w:line="126" w:lineRule="exact"/>
        <w:rPr>
          <w:rFonts w:ascii="MS PGothic" w:cs="MS PGothic" w:eastAsia="MS PGothic" w:hAnsi="MS PGothic"/>
          <w:sz w:val="16"/>
          <w:szCs w:val="16"/>
          <w:color w:val="auto"/>
        </w:rPr>
      </w:pPr>
    </w:p>
    <w:p>
      <w:pPr>
        <w:ind w:left="4500"/>
        <w:spacing w:after="0"/>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Commission file number: 1-10686</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MANPOWERGROUP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240"/>
          </w:cols>
          <w:pgMar w:left="320" w:top="1291" w:right="339" w:bottom="1440" w:gutter="0" w:footer="0" w:header="0"/>
        </w:sectPr>
      </w:pPr>
    </w:p>
    <w:p>
      <w:pPr>
        <w:spacing w:after="0" w:line="161"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5"/>
          <w:szCs w:val="15"/>
          <w:b w:val="1"/>
          <w:bCs w:val="1"/>
          <w:color w:val="auto"/>
        </w:rPr>
        <w:t>Wisconsin</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39-1672779</w:t>
      </w:r>
    </w:p>
    <w:p>
      <w:pPr>
        <w:spacing w:after="0" w:line="115" w:lineRule="exact"/>
        <w:rPr>
          <w:sz w:val="24"/>
          <w:szCs w:val="24"/>
          <w:color w:val="auto"/>
        </w:rPr>
      </w:pPr>
    </w:p>
    <w:p>
      <w:pPr>
        <w:sectPr>
          <w:pgSz w:w="11900" w:h="16838" w:orient="portrait"/>
          <w:cols w:equalWidth="0" w:num="2">
            <w:col w:w="7420" w:space="720"/>
            <w:col w:w="3100"/>
          </w:cols>
          <w:pgMar w:left="320" w:top="1291" w:right="339" w:bottom="1440" w:gutter="0" w:footer="0" w:header="0"/>
          <w:type w:val="continuous"/>
        </w:sectPr>
      </w:pPr>
    </w:p>
    <w:p>
      <w:pPr>
        <w:ind w:left="1520"/>
        <w:spacing w:after="0"/>
        <w:rPr>
          <w:sz w:val="20"/>
          <w:szCs w:val="20"/>
          <w:color w:val="auto"/>
        </w:rPr>
      </w:pPr>
      <w:r>
        <w:rPr>
          <w:rFonts w:ascii="Times New Roman" w:cs="Times New Roman" w:eastAsia="Times New Roman" w:hAnsi="Times New Roman"/>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7420" w:space="720"/>
            <w:col w:w="3100"/>
          </w:cols>
          <w:pgMar w:left="320" w:top="1291" w:right="339" w:bottom="1440" w:gutter="0" w:footer="0" w:header="0"/>
          <w:type w:val="continuous"/>
        </w:sectPr>
      </w:pPr>
    </w:p>
    <w:p>
      <w:pPr>
        <w:spacing w:after="0" w:line="208"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6"/>
          <w:szCs w:val="16"/>
          <w:b w:val="1"/>
          <w:bCs w:val="1"/>
          <w:color w:val="auto"/>
        </w:rPr>
        <w:t>100 Manpower Place</w:t>
      </w:r>
    </w:p>
    <w:p>
      <w:pPr>
        <w:sectPr>
          <w:pgSz w:w="11900" w:h="16838" w:orient="portrait"/>
          <w:cols w:equalWidth="0" w:num="1">
            <w:col w:w="11240"/>
          </w:cols>
          <w:pgMar w:left="320" w:top="1291" w:right="339" w:bottom="1440" w:gutter="0" w:footer="0" w:header="0"/>
          <w:type w:val="continuous"/>
        </w:sectPr>
      </w:pPr>
    </w:p>
    <w:p>
      <w:pPr>
        <w:spacing w:after="0" w:line="113"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6"/>
          <w:szCs w:val="16"/>
          <w:b w:val="1"/>
          <w:bCs w:val="1"/>
          <w:color w:val="auto"/>
        </w:rPr>
        <w:t>Milwaukee, Wisconsin</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53212</w:t>
      </w:r>
    </w:p>
    <w:p>
      <w:pPr>
        <w:spacing w:after="0" w:line="115" w:lineRule="exact"/>
        <w:rPr>
          <w:sz w:val="24"/>
          <w:szCs w:val="24"/>
          <w:color w:val="auto"/>
        </w:rPr>
      </w:pPr>
    </w:p>
    <w:p>
      <w:pPr>
        <w:sectPr>
          <w:pgSz w:w="11900" w:h="16838" w:orient="portrait"/>
          <w:cols w:equalWidth="0" w:num="2">
            <w:col w:w="7420" w:space="720"/>
            <w:col w:w="3100"/>
          </w:cols>
          <w:pgMar w:left="320" w:top="1291" w:right="339" w:bottom="1440" w:gutter="0" w:footer="0" w:header="0"/>
          <w:type w:val="continuous"/>
        </w:sectPr>
      </w:pPr>
    </w:p>
    <w:p>
      <w:pPr>
        <w:ind w:left="152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(Zip Code)</w:t>
      </w:r>
    </w:p>
    <w:p>
      <w:pPr>
        <w:spacing w:after="0" w:line="192" w:lineRule="exact"/>
        <w:rPr>
          <w:sz w:val="24"/>
          <w:szCs w:val="24"/>
          <w:color w:val="auto"/>
        </w:rPr>
      </w:pPr>
    </w:p>
    <w:p>
      <w:pPr>
        <w:sectPr>
          <w:pgSz w:w="11900" w:h="16838" w:orient="portrait"/>
          <w:cols w:equalWidth="0" w:num="2">
            <w:col w:w="7420" w:space="720"/>
            <w:col w:w="3100"/>
          </w:cols>
          <w:pgMar w:left="320" w:top="1291"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(414) 961-1000</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2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spacing w:after="0"/>
              <w:rPr>
                <w:sz w:val="18"/>
                <w:szCs w:val="18"/>
                <w:color w:val="auto"/>
              </w:rPr>
            </w:pPr>
          </w:p>
        </w:tc>
      </w:tr>
      <w:tr>
        <w:trPr>
          <w:trHeight w:val="350"/>
        </w:trPr>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jc w:val="center"/>
              <w:ind w:right="479"/>
              <w:spacing w:after="0"/>
              <w:rPr>
                <w:sz w:val="20"/>
                <w:szCs w:val="20"/>
                <w:color w:val="auto"/>
              </w:rPr>
            </w:pPr>
            <w:r>
              <w:rPr>
                <w:rFonts w:ascii="Times New Roman" w:cs="Times New Roman" w:eastAsia="Times New Roman" w:hAnsi="Times New Roman"/>
                <w:sz w:val="16"/>
                <w:szCs w:val="16"/>
                <w:color w:val="auto"/>
              </w:rPr>
              <w:t>Trading Symbol(s)</w:t>
            </w:r>
          </w:p>
        </w:tc>
        <w:tc>
          <w:tcPr>
            <w:tcW w:w="120" w:type="dxa"/>
            <w:vAlign w:val="bottom"/>
          </w:tcPr>
          <w:p>
            <w:pPr>
              <w:spacing w:after="0"/>
              <w:rPr>
                <w:sz w:val="24"/>
                <w:szCs w:val="24"/>
                <w:color w:val="auto"/>
              </w:rPr>
            </w:pPr>
          </w:p>
        </w:tc>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305"/>
        </w:trPr>
        <w:tc>
          <w:tcPr>
            <w:tcW w:w="4200" w:type="dxa"/>
            <w:vAlign w:val="bottom"/>
            <w:gridSpan w:val="3"/>
          </w:tcPr>
          <w:p>
            <w:pPr>
              <w:jc w:val="center"/>
              <w:ind w:right="660"/>
              <w:spacing w:after="0"/>
              <w:rPr>
                <w:sz w:val="20"/>
                <w:szCs w:val="20"/>
                <w:color w:val="auto"/>
              </w:rPr>
            </w:pPr>
            <w:r>
              <w:rPr>
                <w:rFonts w:ascii="Times New Roman" w:cs="Times New Roman" w:eastAsia="Times New Roman" w:hAnsi="Times New Roman"/>
                <w:sz w:val="16"/>
                <w:szCs w:val="16"/>
                <w:color w:val="auto"/>
              </w:rPr>
              <w:t>Common Stock, $.01 par value</w:t>
            </w:r>
          </w:p>
        </w:tc>
        <w:tc>
          <w:tcPr>
            <w:tcW w:w="2700" w:type="dxa"/>
            <w:vAlign w:val="bottom"/>
          </w:tcPr>
          <w:p>
            <w:pPr>
              <w:jc w:val="center"/>
              <w:ind w:right="479"/>
              <w:spacing w:after="0"/>
              <w:rPr>
                <w:sz w:val="20"/>
                <w:szCs w:val="20"/>
                <w:color w:val="auto"/>
              </w:rPr>
            </w:pPr>
            <w:r>
              <w:rPr>
                <w:rFonts w:ascii="Times New Roman" w:cs="Times New Roman" w:eastAsia="Times New Roman" w:hAnsi="Times New Roman"/>
                <w:sz w:val="16"/>
                <w:szCs w:val="16"/>
                <w:color w:val="auto"/>
              </w:rPr>
              <w:t>MAN</w:t>
            </w:r>
          </w:p>
        </w:tc>
        <w:tc>
          <w:tcPr>
            <w:tcW w:w="120" w:type="dxa"/>
            <w:vAlign w:val="bottom"/>
          </w:tcPr>
          <w:p>
            <w:pPr>
              <w:spacing w:after="0"/>
              <w:rPr>
                <w:sz w:val="24"/>
                <w:szCs w:val="24"/>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bl>
    <w:p>
      <w:pPr>
        <w:spacing w:after="0" w:line="127" w:lineRule="exact"/>
        <w:rPr>
          <w:sz w:val="24"/>
          <w:szCs w:val="24"/>
          <w:color w:val="auto"/>
        </w:rPr>
      </w:pPr>
    </w:p>
    <w:p>
      <w:pPr>
        <w:ind w:right="32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ind w:right="36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ind w:right="12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26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2500"/>
              <w:spacing w:after="0"/>
              <w:rPr>
                <w:sz w:val="20"/>
                <w:szCs w:val="20"/>
                <w:color w:val="auto"/>
              </w:rPr>
            </w:pPr>
            <w:r>
              <w:rPr>
                <w:rFonts w:ascii="Times New Roman" w:cs="Times New Roman" w:eastAsia="Times New Roman" w:hAnsi="Times New Roman"/>
                <w:sz w:val="16"/>
                <w:szCs w:val="16"/>
                <w:color w:val="auto"/>
              </w:rPr>
              <w:t>Accelerated filer</w:t>
            </w:r>
          </w:p>
        </w:tc>
        <w:tc>
          <w:tcPr>
            <w:tcW w:w="64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26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25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4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26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spacing w:after="0"/>
              <w:rPr>
                <w:sz w:val="23"/>
                <w:szCs w:val="23"/>
                <w:color w:val="auto"/>
              </w:rPr>
            </w:pPr>
          </w:p>
        </w:tc>
        <w:tc>
          <w:tcPr>
            <w:tcW w:w="640" w:type="dxa"/>
            <w:vAlign w:val="bottom"/>
          </w:tcPr>
          <w:p>
            <w:pPr>
              <w:spacing w:after="0"/>
              <w:rPr>
                <w:sz w:val="23"/>
                <w:szCs w:val="23"/>
                <w:color w:val="auto"/>
              </w:rPr>
            </w:pPr>
          </w:p>
        </w:tc>
      </w:tr>
    </w:tbl>
    <w:p>
      <w:pPr>
        <w:spacing w:after="0" w:line="101"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right="2880"/>
        <w:spacing w:after="0" w:line="22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the number of shares outstanding of each of the issuer’s classes of common stock, as of the latest practicable date.</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5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Outstanding</w:t>
            </w:r>
          </w:p>
        </w:tc>
      </w:tr>
      <w:tr>
        <w:trPr>
          <w:trHeight w:val="243"/>
        </w:trPr>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Class</w:t>
            </w:r>
          </w:p>
        </w:tc>
        <w:tc>
          <w:tcPr>
            <w:tcW w:w="220" w:type="dxa"/>
            <w:vAlign w:val="bottom"/>
          </w:tcPr>
          <w:p>
            <w:pPr>
              <w:spacing w:after="0"/>
              <w:rPr>
                <w:sz w:val="21"/>
                <w:szCs w:val="21"/>
                <w:color w:val="auto"/>
              </w:rPr>
            </w:pPr>
          </w:p>
        </w:tc>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at November 6, 2024</w:t>
            </w:r>
          </w:p>
        </w:tc>
      </w:tr>
      <w:tr>
        <w:trPr>
          <w:trHeight w:val="210"/>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$.01 par value</w:t>
            </w:r>
          </w:p>
        </w:tc>
        <w:tc>
          <w:tcPr>
            <w:tcW w:w="22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46,936,363</w:t>
            </w:r>
          </w:p>
        </w:tc>
      </w:tr>
      <w:tr>
        <w:trPr>
          <w:trHeight w:val="1430"/>
        </w:trPr>
        <w:tc>
          <w:tcPr>
            <w:tcW w:w="55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40" w:type="dxa"/>
            <w:vAlign w:val="bottom"/>
            <w:gridSpan w:val="9"/>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w w:val="99"/>
              </w:rPr>
              <w:t>ManpowerGroup Inc.</w:t>
            </w:r>
          </w:p>
        </w:tc>
        <w:tc>
          <w:tcPr>
            <w:tcW w:w="920" w:type="dxa"/>
            <w:vAlign w:val="bottom"/>
          </w:tcPr>
          <w:p>
            <w:pPr>
              <w:spacing w:after="0"/>
              <w:rPr>
                <w:sz w:val="17"/>
                <w:szCs w:val="17"/>
                <w:color w:val="auto"/>
              </w:rPr>
            </w:pPr>
          </w:p>
        </w:tc>
      </w:tr>
      <w:tr>
        <w:trPr>
          <w:trHeight w:val="453"/>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3860" w:type="dxa"/>
            <w:vAlign w:val="bottom"/>
            <w:gridSpan w:val="3"/>
          </w:tcPr>
          <w:p>
            <w:pPr>
              <w:spacing w:after="0"/>
              <w:rPr>
                <w:sz w:val="24"/>
                <w:szCs w:val="24"/>
                <w:color w:val="auto"/>
              </w:rPr>
            </w:pPr>
          </w:p>
        </w:tc>
        <w:tc>
          <w:tcPr>
            <w:tcW w:w="920" w:type="dxa"/>
            <w:vAlign w:val="bottom"/>
          </w:tcPr>
          <w:p>
            <w:pPr>
              <w:spacing w:after="0"/>
              <w:rPr>
                <w:sz w:val="24"/>
                <w:szCs w:val="24"/>
                <w:color w:val="auto"/>
              </w:rPr>
            </w:pPr>
          </w:p>
        </w:tc>
      </w:tr>
      <w:tr>
        <w:trPr>
          <w:trHeight w:val="353"/>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7"/>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9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183"/>
        </w:trPr>
        <w:tc>
          <w:tcPr>
            <w:tcW w:w="20" w:type="dxa"/>
            <w:vAlign w:val="bottom"/>
          </w:tcPr>
          <w:p>
            <w:pPr>
              <w:spacing w:after="0"/>
              <w:rPr>
                <w:sz w:val="15"/>
                <w:szCs w:val="15"/>
                <w:color w:val="auto"/>
              </w:rPr>
            </w:pPr>
          </w:p>
        </w:tc>
        <w:tc>
          <w:tcPr>
            <w:tcW w:w="2260" w:type="dxa"/>
            <w:vAlign w:val="bottom"/>
            <w:gridSpan w:val="6"/>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PART I</w:t>
            </w:r>
          </w:p>
        </w:tc>
        <w:tc>
          <w:tcPr>
            <w:tcW w:w="8040" w:type="dxa"/>
            <w:vAlign w:val="bottom"/>
            <w:gridSpan w:val="17"/>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FINANCIAL INFORMATION</w:t>
            </w:r>
          </w:p>
        </w:tc>
        <w:tc>
          <w:tcPr>
            <w:tcW w:w="920" w:type="dxa"/>
            <w:vAlign w:val="bottom"/>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58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680" w:type="dxa"/>
            <w:vAlign w:val="bottom"/>
            <w:gridSpan w:val="4"/>
          </w:tcPr>
          <w:p>
            <w:pPr>
              <w:spacing w:after="0"/>
              <w:rPr>
                <w:sz w:val="19"/>
                <w:szCs w:val="19"/>
                <w:color w:val="auto"/>
              </w:rPr>
            </w:pPr>
          </w:p>
        </w:tc>
        <w:tc>
          <w:tcPr>
            <w:tcW w:w="240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5640" w:type="dxa"/>
            <w:vAlign w:val="bottom"/>
            <w:gridSpan w:val="10"/>
          </w:tcPr>
          <w:p>
            <w:pPr>
              <w:spacing w:after="0"/>
              <w:rPr>
                <w:sz w:val="19"/>
                <w:szCs w:val="19"/>
                <w:color w:val="auto"/>
              </w:rPr>
            </w:pPr>
          </w:p>
        </w:tc>
        <w:tc>
          <w:tcPr>
            <w:tcW w:w="9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3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5660" w:type="dxa"/>
            <w:vAlign w:val="bottom"/>
            <w:gridSpan w:val="11"/>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Statements of Operations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EE"/>
            </w:tcBorders>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7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w:t>
            </w:r>
          </w:p>
        </w:tc>
        <w:tc>
          <w:tcPr>
            <w:tcW w:w="4300" w:type="dxa"/>
            <w:vAlign w:val="bottom"/>
            <w:gridSpan w:val="4"/>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EE"/>
            </w:tcBorders>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5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Consolidated Statements of Shareholders' Equity</w:t>
            </w:r>
          </w:p>
        </w:tc>
        <w:tc>
          <w:tcPr>
            <w:tcW w:w="4520" w:type="dxa"/>
            <w:vAlign w:val="bottom"/>
            <w:gridSpan w:val="5"/>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EE"/>
            </w:tcBorders>
            <w:gridSpan w:val="6"/>
            <w:shd w:val="clear" w:color="auto" w:fill="0000FF"/>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2</w:t>
            </w:r>
          </w:p>
        </w:tc>
        <w:tc>
          <w:tcPr>
            <w:tcW w:w="80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240" w:type="dxa"/>
            <w:vAlign w:val="bottom"/>
            <w:gridSpan w:val="10"/>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3</w:t>
            </w:r>
          </w:p>
        </w:tc>
        <w:tc>
          <w:tcPr>
            <w:tcW w:w="80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240" w:type="dxa"/>
            <w:vAlign w:val="bottom"/>
            <w:gridSpan w:val="10"/>
            <w:shd w:val="clear" w:color="auto" w:fill="0000FF"/>
          </w:tcPr>
          <w:p>
            <w:pPr>
              <w:spacing w:after="0" w:line="20" w:lineRule="exact"/>
              <w:rPr>
                <w:sz w:val="1"/>
                <w:szCs w:val="1"/>
                <w:color w:val="auto"/>
              </w:rPr>
            </w:pPr>
          </w:p>
        </w:tc>
        <w:tc>
          <w:tcPr>
            <w:tcW w:w="3700" w:type="dxa"/>
            <w:vAlign w:val="bottom"/>
            <w:tcBorders>
              <w:left w:val="single" w:sz="8" w:color="0000FF"/>
            </w:tcBorders>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4</w:t>
            </w:r>
          </w:p>
        </w:tc>
        <w:tc>
          <w:tcPr>
            <w:tcW w:w="80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40" w:type="dxa"/>
            <w:vAlign w:val="bottom"/>
            <w:gridSpan w:val="10"/>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6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4"/>
              </w:rPr>
              <w:t>PART II</w:t>
            </w:r>
          </w:p>
        </w:tc>
        <w:tc>
          <w:tcPr>
            <w:tcW w:w="1600" w:type="dxa"/>
            <w:vAlign w:val="bottom"/>
            <w:gridSpan w:val="2"/>
          </w:tcPr>
          <w:p>
            <w:pPr>
              <w:spacing w:after="0"/>
              <w:rPr>
                <w:sz w:val="24"/>
                <w:szCs w:val="24"/>
                <w:color w:val="auto"/>
              </w:rPr>
            </w:pPr>
          </w:p>
        </w:tc>
        <w:tc>
          <w:tcPr>
            <w:tcW w:w="21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5940" w:type="dxa"/>
            <w:vAlign w:val="bottom"/>
            <w:gridSpan w:val="12"/>
          </w:tcPr>
          <w:p>
            <w:pPr>
              <w:spacing w:after="0"/>
              <w:rPr>
                <w:sz w:val="24"/>
                <w:szCs w:val="24"/>
                <w:color w:val="auto"/>
              </w:rPr>
            </w:pPr>
          </w:p>
        </w:tc>
        <w:tc>
          <w:tcPr>
            <w:tcW w:w="92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7"/>
              </w:rPr>
              <w:t>Item 1A</w:t>
            </w:r>
          </w:p>
        </w:tc>
        <w:tc>
          <w:tcPr>
            <w:tcW w:w="1660" w:type="dxa"/>
            <w:vAlign w:val="bottom"/>
            <w:gridSpan w:val="3"/>
          </w:tcPr>
          <w:p>
            <w:pPr>
              <w:spacing w:after="0"/>
              <w:rPr>
                <w:sz w:val="19"/>
                <w:szCs w:val="19"/>
                <w:color w:val="auto"/>
              </w:rPr>
            </w:pPr>
          </w:p>
        </w:tc>
        <w:tc>
          <w:tcPr>
            <w:tcW w:w="80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40" w:type="dxa"/>
            <w:vAlign w:val="bottom"/>
            <w:gridSpan w:val="12"/>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1660" w:type="dxa"/>
            <w:vAlign w:val="bottom"/>
            <w:gridSpan w:val="3"/>
          </w:tcPr>
          <w:p>
            <w:pPr>
              <w:spacing w:after="0"/>
              <w:rPr>
                <w:sz w:val="19"/>
                <w:szCs w:val="19"/>
                <w:color w:val="auto"/>
              </w:rPr>
            </w:pPr>
          </w:p>
        </w:tc>
        <w:tc>
          <w:tcPr>
            <w:tcW w:w="80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40" w:type="dxa"/>
            <w:vAlign w:val="bottom"/>
            <w:gridSpan w:val="12"/>
            <w:shd w:val="clear" w:color="auto" w:fill="0000FF"/>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5</w:t>
            </w:r>
          </w:p>
        </w:tc>
        <w:tc>
          <w:tcPr>
            <w:tcW w:w="80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740" w:type="dxa"/>
            <w:vAlign w:val="bottom"/>
            <w:gridSpan w:val="1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6</w:t>
            </w:r>
          </w:p>
        </w:tc>
        <w:tc>
          <w:tcPr>
            <w:tcW w:w="80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Exhibits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22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682"/>
        </w:trPr>
        <w:tc>
          <w:tcPr>
            <w:tcW w:w="2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100" w:type="dxa"/>
            <w:vAlign w:val="bottom"/>
          </w:tcPr>
          <w:p>
            <w:pPr>
              <w:spacing w:after="0"/>
              <w:rPr>
                <w:sz w:val="24"/>
                <w:szCs w:val="24"/>
                <w:color w:val="auto"/>
              </w:rPr>
            </w:pPr>
          </w:p>
        </w:tc>
        <w:tc>
          <w:tcPr>
            <w:tcW w:w="3520" w:type="dxa"/>
            <w:vAlign w:val="bottom"/>
            <w:gridSpan w:val="12"/>
          </w:tcPr>
          <w:p>
            <w:pPr>
              <w:jc w:val="center"/>
              <w:ind w:left="3070"/>
              <w:spacing w:after="0"/>
              <w:rPr>
                <w:sz w:val="20"/>
                <w:szCs w:val="20"/>
                <w:color w:val="auto"/>
              </w:rPr>
            </w:pPr>
            <w:r>
              <w:rPr>
                <w:rFonts w:ascii="Times New Roman" w:cs="Times New Roman" w:eastAsia="Times New Roman" w:hAnsi="Times New Roman"/>
                <w:sz w:val="18"/>
                <w:szCs w:val="18"/>
                <w:color w:val="auto"/>
                <w:w w:val="88"/>
              </w:rPr>
              <w:t>2</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3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 – Financial Statements (unaudited)</w:t>
            </w:r>
          </w:p>
        </w:tc>
        <w:tc>
          <w:tcPr>
            <w:tcW w:w="312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3040" w:type="dxa"/>
            <w:vAlign w:val="bottom"/>
            <w:tcBorders>
              <w:top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36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ManpowerGroup Inc.</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3040" w:type="dxa"/>
            <w:vAlign w:val="bottom"/>
          </w:tcPr>
          <w:p>
            <w:pPr>
              <w:spacing w:after="0"/>
              <w:rPr>
                <w:sz w:val="24"/>
                <w:szCs w:val="24"/>
                <w:color w:val="auto"/>
              </w:rPr>
            </w:pPr>
          </w:p>
        </w:tc>
        <w:tc>
          <w:tcPr>
            <w:tcW w:w="470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Consolidated Balance Sheets (Unaudited)</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24"/>
                <w:szCs w:val="24"/>
                <w:color w:val="auto"/>
              </w:rPr>
            </w:pPr>
          </w:p>
        </w:tc>
        <w:tc>
          <w:tcPr>
            <w:tcW w:w="15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7"/>
        </w:trPr>
        <w:tc>
          <w:tcPr>
            <w:tcW w:w="3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0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43"/>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410.9</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581.3</w:t>
            </w:r>
          </w:p>
        </w:tc>
        <w:tc>
          <w:tcPr>
            <w:tcW w:w="0" w:type="dxa"/>
            <w:vAlign w:val="bottom"/>
          </w:tcPr>
          <w:p>
            <w:pPr>
              <w:spacing w:after="0"/>
              <w:rPr>
                <w:sz w:val="1"/>
                <w:szCs w:val="1"/>
                <w:color w:val="auto"/>
              </w:rPr>
            </w:pPr>
          </w:p>
        </w:tc>
      </w:tr>
      <w:tr>
        <w:trPr>
          <w:trHeight w:val="211"/>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Accounts receivable, less allowance for expected credit losses of</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$95.6 and $99.2, respectively</w:t>
            </w:r>
          </w:p>
        </w:tc>
        <w:tc>
          <w:tcPr>
            <w:tcW w:w="18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4,592.8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4,830.0</w:t>
            </w:r>
          </w:p>
        </w:tc>
        <w:tc>
          <w:tcPr>
            <w:tcW w:w="0" w:type="dxa"/>
            <w:vAlign w:val="bottom"/>
          </w:tcPr>
          <w:p>
            <w:pPr>
              <w:spacing w:after="0"/>
              <w:rPr>
                <w:sz w:val="1"/>
                <w:szCs w:val="1"/>
                <w:color w:val="auto"/>
              </w:rPr>
            </w:pPr>
          </w:p>
        </w:tc>
      </w:tr>
      <w:tr>
        <w:trPr>
          <w:trHeight w:val="245"/>
        </w:trPr>
        <w:tc>
          <w:tcPr>
            <w:tcW w:w="774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8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178.9</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160.8</w:t>
            </w:r>
          </w:p>
        </w:tc>
        <w:tc>
          <w:tcPr>
            <w:tcW w:w="0" w:type="dxa"/>
            <w:vAlign w:val="bottom"/>
          </w:tcPr>
          <w:p>
            <w:pPr>
              <w:spacing w:after="0"/>
              <w:rPr>
                <w:sz w:val="1"/>
                <w:szCs w:val="1"/>
                <w:color w:val="auto"/>
              </w:rPr>
            </w:pPr>
          </w:p>
        </w:tc>
      </w:tr>
      <w:tr>
        <w:trPr>
          <w:trHeight w:val="236"/>
        </w:trPr>
        <w:tc>
          <w:tcPr>
            <w:tcW w:w="774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5,182.6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5,572.1</w:t>
            </w:r>
          </w:p>
        </w:tc>
        <w:tc>
          <w:tcPr>
            <w:tcW w:w="0" w:type="dxa"/>
            <w:vAlign w:val="bottom"/>
          </w:tcPr>
          <w:p>
            <w:pPr>
              <w:spacing w:after="0"/>
              <w:rPr>
                <w:sz w:val="1"/>
                <w:szCs w:val="1"/>
                <w:color w:val="auto"/>
              </w:rPr>
            </w:pPr>
          </w:p>
        </w:tc>
      </w:tr>
      <w:tr>
        <w:trPr>
          <w:trHeight w:val="247"/>
        </w:trPr>
        <w:tc>
          <w:tcPr>
            <w:tcW w:w="30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1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1,594.1</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1,586.8</w:t>
            </w:r>
          </w:p>
        </w:tc>
        <w:tc>
          <w:tcPr>
            <w:tcW w:w="0" w:type="dxa"/>
            <w:vAlign w:val="bottom"/>
          </w:tcPr>
          <w:p>
            <w:pPr>
              <w:spacing w:after="0"/>
              <w:rPr>
                <w:sz w:val="1"/>
                <w:szCs w:val="1"/>
                <w:color w:val="auto"/>
              </w:rPr>
            </w:pPr>
          </w:p>
        </w:tc>
      </w:tr>
      <w:tr>
        <w:trPr>
          <w:trHeight w:val="211"/>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Intangible assets, less accumulated amortization of</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7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$533.0 and $507.2, respectively</w:t>
            </w:r>
          </w:p>
        </w:tc>
        <w:tc>
          <w:tcPr>
            <w:tcW w:w="18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498.1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519.6</w:t>
            </w:r>
          </w:p>
        </w:tc>
        <w:tc>
          <w:tcPr>
            <w:tcW w:w="0" w:type="dxa"/>
            <w:vAlign w:val="bottom"/>
          </w:tcPr>
          <w:p>
            <w:pPr>
              <w:spacing w:after="0"/>
              <w:rPr>
                <w:sz w:val="1"/>
                <w:szCs w:val="1"/>
                <w:color w:val="auto"/>
              </w:rPr>
            </w:pPr>
          </w:p>
        </w:tc>
      </w:tr>
      <w:tr>
        <w:trPr>
          <w:trHeight w:val="250"/>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385.6</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414.0</w:t>
            </w:r>
          </w:p>
        </w:tc>
        <w:tc>
          <w:tcPr>
            <w:tcW w:w="0" w:type="dxa"/>
            <w:vAlign w:val="bottom"/>
          </w:tcPr>
          <w:p>
            <w:pPr>
              <w:spacing w:after="0"/>
              <w:rPr>
                <w:sz w:val="1"/>
                <w:szCs w:val="1"/>
                <w:color w:val="auto"/>
              </w:rPr>
            </w:pPr>
          </w:p>
        </w:tc>
      </w:tr>
      <w:tr>
        <w:trPr>
          <w:trHeight w:val="239"/>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691.1</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607.8</w:t>
            </w:r>
          </w:p>
        </w:tc>
        <w:tc>
          <w:tcPr>
            <w:tcW w:w="0" w:type="dxa"/>
            <w:vAlign w:val="bottom"/>
          </w:tcPr>
          <w:p>
            <w:pPr>
              <w:spacing w:after="0"/>
              <w:rPr>
                <w:sz w:val="1"/>
                <w:szCs w:val="1"/>
                <w:color w:val="auto"/>
              </w:rPr>
            </w:pPr>
          </w:p>
        </w:tc>
      </w:tr>
      <w:tr>
        <w:trPr>
          <w:trHeight w:val="241"/>
        </w:trPr>
        <w:tc>
          <w:tcPr>
            <w:tcW w:w="7740" w:type="dxa"/>
            <w:vAlign w:val="bottom"/>
            <w:gridSpan w:val="4"/>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other assets</w:t>
            </w:r>
          </w:p>
        </w:tc>
        <w:tc>
          <w:tcPr>
            <w:tcW w:w="180" w:type="dxa"/>
            <w:vAlign w:val="bottom"/>
            <w:shd w:val="clear" w:color="auto" w:fill="CFF0FC"/>
          </w:tcPr>
          <w:p>
            <w:pPr>
              <w:spacing w:after="0"/>
              <w:rPr>
                <w:sz w:val="20"/>
                <w:szCs w:val="20"/>
                <w:color w:val="auto"/>
              </w:rPr>
            </w:pP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3,168.9</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3,128.2</w:t>
            </w:r>
          </w:p>
        </w:tc>
        <w:tc>
          <w:tcPr>
            <w:tcW w:w="0" w:type="dxa"/>
            <w:vAlign w:val="bottom"/>
          </w:tcPr>
          <w:p>
            <w:pPr>
              <w:spacing w:after="0"/>
              <w:rPr>
                <w:sz w:val="1"/>
                <w:szCs w:val="1"/>
                <w:color w:val="auto"/>
              </w:rPr>
            </w:pPr>
          </w:p>
        </w:tc>
      </w:tr>
      <w:tr>
        <w:trPr>
          <w:trHeight w:val="243"/>
        </w:trPr>
        <w:tc>
          <w:tcPr>
            <w:tcW w:w="30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Land, buildings, leasehold improvements and equipment</w:t>
            </w:r>
          </w:p>
        </w:tc>
        <w:tc>
          <w:tcPr>
            <w:tcW w:w="18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526.5</w:t>
            </w:r>
          </w:p>
        </w:tc>
        <w:tc>
          <w:tcPr>
            <w:tcW w:w="0" w:type="dxa"/>
            <w:vAlign w:val="bottom"/>
          </w:tcPr>
          <w:p>
            <w:pPr>
              <w:spacing w:after="0"/>
              <w:rPr>
                <w:sz w:val="1"/>
                <w:szCs w:val="1"/>
                <w:color w:val="auto"/>
              </w:rPr>
            </w:pPr>
          </w:p>
        </w:tc>
      </w:tr>
      <w:tr>
        <w:trPr>
          <w:trHeight w:val="243"/>
        </w:trPr>
        <w:tc>
          <w:tcPr>
            <w:tcW w:w="774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8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412.7</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396.6</w:t>
            </w:r>
          </w:p>
        </w:tc>
        <w:tc>
          <w:tcPr>
            <w:tcW w:w="0" w:type="dxa"/>
            <w:vAlign w:val="bottom"/>
          </w:tcPr>
          <w:p>
            <w:pPr>
              <w:spacing w:after="0"/>
              <w:rPr>
                <w:sz w:val="1"/>
                <w:szCs w:val="1"/>
                <w:color w:val="auto"/>
              </w:rPr>
            </w:pPr>
          </w:p>
        </w:tc>
      </w:tr>
      <w:tr>
        <w:trPr>
          <w:trHeight w:val="237"/>
        </w:trPr>
        <w:tc>
          <w:tcPr>
            <w:tcW w:w="774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126.8</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129.9</w:t>
            </w:r>
          </w:p>
        </w:tc>
        <w:tc>
          <w:tcPr>
            <w:tcW w:w="0" w:type="dxa"/>
            <w:vAlign w:val="bottom"/>
          </w:tcPr>
          <w:p>
            <w:pPr>
              <w:spacing w:after="0"/>
              <w:rPr>
                <w:sz w:val="1"/>
                <w:szCs w:val="1"/>
                <w:color w:val="auto"/>
              </w:rPr>
            </w:pPr>
          </w:p>
        </w:tc>
      </w:tr>
      <w:tr>
        <w:trPr>
          <w:trHeight w:val="276"/>
        </w:trPr>
        <w:tc>
          <w:tcPr>
            <w:tcW w:w="7740" w:type="dxa"/>
            <w:vAlign w:val="bottom"/>
            <w:tcBorders>
              <w:bottom w:val="single" w:sz="8" w:color="CFF0FC"/>
            </w:tcBorders>
            <w:gridSpan w:val="4"/>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8,478.3</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8,830.2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-2356485</wp:posOffset>
            </wp:positionV>
            <wp:extent cx="685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-351155</wp:posOffset>
            </wp:positionV>
            <wp:extent cx="685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-25400</wp:posOffset>
            </wp:positionV>
            <wp:extent cx="685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68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7740" w:type="dxa"/>
            <w:vAlign w:val="bottom"/>
          </w:tcPr>
          <w:p>
            <w:pPr>
              <w:jc w:val="center"/>
              <w:ind w:left="3410"/>
              <w:spacing w:after="0"/>
              <w:rPr>
                <w:sz w:val="20"/>
                <w:szCs w:val="20"/>
                <w:color w:val="auto"/>
              </w:rPr>
            </w:pPr>
            <w:r>
              <w:rPr>
                <w:rFonts w:ascii="Times New Roman" w:cs="Times New Roman" w:eastAsia="Times New Roman" w:hAnsi="Times New Roman"/>
                <w:sz w:val="18"/>
                <w:szCs w:val="18"/>
                <w:b w:val="1"/>
                <w:bCs w:val="1"/>
                <w:color w:val="auto"/>
                <w:w w:val="99"/>
              </w:rPr>
              <w:t>ManpowerGroup Inc.</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10"/>
        </w:trPr>
        <w:tc>
          <w:tcPr>
            <w:tcW w:w="7740" w:type="dxa"/>
            <w:vAlign w:val="bottom"/>
          </w:tcPr>
          <w:p>
            <w:pPr>
              <w:jc w:val="center"/>
              <w:ind w:left="3430"/>
              <w:spacing w:after="0"/>
              <w:rPr>
                <w:sz w:val="20"/>
                <w:szCs w:val="20"/>
                <w:color w:val="auto"/>
              </w:rPr>
            </w:pPr>
            <w:r>
              <w:rPr>
                <w:rFonts w:ascii="Times New Roman" w:cs="Times New Roman" w:eastAsia="Times New Roman" w:hAnsi="Times New Roman"/>
                <w:sz w:val="18"/>
                <w:szCs w:val="18"/>
                <w:b w:val="1"/>
                <w:bCs w:val="1"/>
                <w:color w:val="auto"/>
              </w:rPr>
              <w:t>Consolidated Balance Sheets (Unaudited)</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38"/>
        </w:trPr>
        <w:tc>
          <w:tcPr>
            <w:tcW w:w="7740" w:type="dxa"/>
            <w:vAlign w:val="bottom"/>
          </w:tcPr>
          <w:p>
            <w:pPr>
              <w:jc w:val="center"/>
              <w:ind w:left="3430"/>
              <w:spacing w:after="0"/>
              <w:rPr>
                <w:sz w:val="20"/>
                <w:szCs w:val="20"/>
                <w:color w:val="auto"/>
              </w:rPr>
            </w:pPr>
            <w:r>
              <w:rPr>
                <w:rFonts w:ascii="Times New Roman" w:cs="Times New Roman" w:eastAsia="Times New Roman" w:hAnsi="Times New Roman"/>
                <w:sz w:val="18"/>
                <w:szCs w:val="18"/>
                <w:b w:val="1"/>
                <w:bCs w:val="1"/>
                <w:color w:val="auto"/>
                <w:w w:val="99"/>
              </w:rPr>
              <w:t>(in millions, except share and per share data)</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92"/>
        </w:trPr>
        <w:tc>
          <w:tcPr>
            <w:tcW w:w="7740" w:type="dxa"/>
            <w:vAlign w:val="bottom"/>
          </w:tcPr>
          <w:p>
            <w:pPr>
              <w:jc w:val="center"/>
              <w:ind w:left="3430"/>
              <w:spacing w:after="0"/>
              <w:rPr>
                <w:sz w:val="20"/>
                <w:szCs w:val="20"/>
                <w:color w:val="auto"/>
              </w:rPr>
            </w:pPr>
            <w:r>
              <w:rPr>
                <w:rFonts w:ascii="Times New Roman" w:cs="Times New Roman" w:eastAsia="Times New Roman" w:hAnsi="Times New Roman"/>
                <w:sz w:val="18"/>
                <w:szCs w:val="18"/>
                <w:b w:val="1"/>
                <w:bCs w:val="1"/>
                <w:color w:val="auto"/>
                <w:w w:val="99"/>
              </w:rPr>
              <w:t>LIABILITIES AND SHAREHOLDERS’ EQUITY</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42"/>
        </w:trPr>
        <w:tc>
          <w:tcPr>
            <w:tcW w:w="7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77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2,616.1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2,723.0</w:t>
            </w: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compensation payable</w:t>
            </w: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235.3</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243.1</w:t>
            </w: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693.0</w:t>
            </w: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payroll taxes and insurance</w:t>
            </w: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618.4</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695.8</w:t>
            </w: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Value added taxes payable</w:t>
            </w:r>
          </w:p>
        </w:tc>
        <w:tc>
          <w:tcPr>
            <w:tcW w:w="18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432.7</w:t>
            </w: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borrowings and current maturities of long-term debt</w:t>
            </w:r>
          </w:p>
        </w:tc>
        <w:tc>
          <w:tcPr>
            <w:tcW w:w="18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12.1</w:t>
            </w:r>
          </w:p>
        </w:tc>
      </w:tr>
      <w:tr>
        <w:trPr>
          <w:trHeight w:val="236"/>
        </w:trPr>
        <w:tc>
          <w:tcPr>
            <w:tcW w:w="7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4,525.0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4,799.7</w:t>
            </w:r>
          </w:p>
        </w:tc>
      </w:tr>
      <w:tr>
        <w:trPr>
          <w:trHeight w:val="247"/>
        </w:trPr>
        <w:tc>
          <w:tcPr>
            <w:tcW w:w="77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r>
      <w:tr>
        <w:trPr>
          <w:trHeight w:val="241"/>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45"/>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999.7</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990.5</w:t>
            </w: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18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299.0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323.2</w:t>
            </w: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476.9</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482.7</w:t>
            </w:r>
          </w:p>
        </w:tc>
      </w:tr>
      <w:tr>
        <w:trPr>
          <w:trHeight w:val="236"/>
        </w:trPr>
        <w:tc>
          <w:tcPr>
            <w:tcW w:w="7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other liabilities</w:t>
            </w:r>
          </w:p>
        </w:tc>
        <w:tc>
          <w:tcPr>
            <w:tcW w:w="18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1,775.6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1,796.4</w:t>
            </w:r>
          </w:p>
        </w:tc>
      </w:tr>
      <w:tr>
        <w:trPr>
          <w:trHeight w:val="247"/>
        </w:trPr>
        <w:tc>
          <w:tcPr>
            <w:tcW w:w="77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r>
      <w:tr>
        <w:trPr>
          <w:trHeight w:val="241"/>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45"/>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ManpowerGroup shareholders' equity</w:t>
            </w: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r>
      <w:tr>
        <w:trPr>
          <w:trHeight w:val="239"/>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Preferred stock, $.01 par value, authorized 25,000,000 shares, none issued</w:t>
            </w:r>
          </w:p>
        </w:tc>
        <w:tc>
          <w:tcPr>
            <w:tcW w:w="18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Common stock, $.01 par value, authorized 125,000,000 shares, issued 118,847,958 and</w:t>
            </w: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r>
      <w:tr>
        <w:trPr>
          <w:trHeight w:val="248"/>
        </w:trPr>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118,387,641 shares, respectively</w:t>
            </w: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r>
      <w:tr>
        <w:trPr>
          <w:trHeight w:val="239"/>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18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3,539.5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3,514.9</w:t>
            </w:r>
          </w:p>
        </w:tc>
      </w:tr>
      <w:tr>
        <w:trPr>
          <w:trHeight w:val="247"/>
        </w:trPr>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3,862.1</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3,813.0</w:t>
            </w:r>
          </w:p>
        </w:tc>
      </w:tr>
      <w:tr>
        <w:trPr>
          <w:trHeight w:val="239"/>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(469.9 )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(466.0 )</w:t>
            </w:r>
          </w:p>
        </w:tc>
      </w:tr>
      <w:tr>
        <w:trPr>
          <w:trHeight w:val="243"/>
        </w:trPr>
        <w:tc>
          <w:tcPr>
            <w:tcW w:w="77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Treasury stock at cost, 71,551,643 and 69,963,649 shares, respectively</w:t>
            </w:r>
          </w:p>
        </w:tc>
        <w:tc>
          <w:tcPr>
            <w:tcW w:w="18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(4,756.8 )</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(4,639.8 )</w:t>
            </w:r>
          </w:p>
        </w:tc>
      </w:tr>
      <w:tr>
        <w:trPr>
          <w:trHeight w:val="236"/>
        </w:trPr>
        <w:tc>
          <w:tcPr>
            <w:tcW w:w="7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ManpowerGroup shareholders’ equity</w:t>
            </w: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2,176.1</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2,223.3</w:t>
            </w:r>
          </w:p>
        </w:tc>
      </w:tr>
      <w:tr>
        <w:trPr>
          <w:trHeight w:val="237"/>
        </w:trPr>
        <w:tc>
          <w:tcPr>
            <w:tcW w:w="77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80" w:type="dxa"/>
            <w:vAlign w:val="bottom"/>
            <w:tcBorders>
              <w:bottom w:val="single" w:sz="8" w:color="auto"/>
            </w:tcBorders>
            <w:shd w:val="clear" w:color="auto" w:fill="CFF0FC"/>
          </w:tcPr>
          <w:p>
            <w:pPr>
              <w:spacing w:after="0"/>
              <w:rPr>
                <w:sz w:val="20"/>
                <w:szCs w:val="20"/>
                <w:color w:val="auto"/>
              </w:rPr>
            </w:pPr>
          </w:p>
        </w:tc>
        <w:tc>
          <w:tcPr>
            <w:tcW w:w="15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10.8</w:t>
            </w:r>
          </w:p>
        </w:tc>
      </w:tr>
      <w:tr>
        <w:trPr>
          <w:trHeight w:val="236"/>
        </w:trPr>
        <w:tc>
          <w:tcPr>
            <w:tcW w:w="7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2,177.7</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2,234.1</w:t>
            </w:r>
          </w:p>
        </w:tc>
      </w:tr>
      <w:tr>
        <w:trPr>
          <w:trHeight w:val="277"/>
        </w:trPr>
        <w:tc>
          <w:tcPr>
            <w:tcW w:w="774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8,478.3</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8,830.2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-3299460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-2365375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-676275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-350520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408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ManpowerGroup Inc.</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69"/>
        </w:trPr>
        <w:tc>
          <w:tcPr>
            <w:tcW w:w="3160" w:type="dxa"/>
            <w:vAlign w:val="bottom"/>
          </w:tcPr>
          <w:p>
            <w:pPr>
              <w:spacing w:after="0"/>
              <w:rPr>
                <w:sz w:val="24"/>
                <w:szCs w:val="24"/>
                <w:color w:val="auto"/>
              </w:rPr>
            </w:pPr>
          </w:p>
        </w:tc>
        <w:tc>
          <w:tcPr>
            <w:tcW w:w="4500" w:type="dxa"/>
            <w:vAlign w:val="bottom"/>
            <w:gridSpan w:val="5"/>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Operations (Unaudited)</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9"/>
        </w:trPr>
        <w:tc>
          <w:tcPr>
            <w:tcW w:w="3160" w:type="dxa"/>
            <w:vAlign w:val="bottom"/>
          </w:tcPr>
          <w:p>
            <w:pPr>
              <w:spacing w:after="0"/>
              <w:rPr>
                <w:sz w:val="19"/>
                <w:szCs w:val="19"/>
                <w:color w:val="auto"/>
              </w:rPr>
            </w:pPr>
          </w:p>
        </w:tc>
        <w:tc>
          <w:tcPr>
            <w:tcW w:w="408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(in millions, except per share data)</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8"/>
        </w:trPr>
        <w:tc>
          <w:tcPr>
            <w:tcW w:w="31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4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50"/>
        </w:trPr>
        <w:tc>
          <w:tcPr>
            <w:tcW w:w="31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1"/>
        </w:trPr>
        <w:tc>
          <w:tcPr>
            <w:tcW w:w="31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9"/>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 from services</w:t>
            </w:r>
          </w:p>
        </w:tc>
        <w:tc>
          <w:tcPr>
            <w:tcW w:w="30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4,530.2</w:t>
            </w:r>
          </w:p>
        </w:tc>
        <w:tc>
          <w:tcPr>
            <w:tcW w:w="4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4,675.6</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13,454.2</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14,284.0</w:t>
            </w:r>
          </w:p>
        </w:tc>
      </w:tr>
      <w:tr>
        <w:trPr>
          <w:trHeight w:val="23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2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3,748.1</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3,853.7</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11,122.5</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11,736.7</w:t>
            </w:r>
          </w:p>
        </w:tc>
      </w:tr>
      <w:tr>
        <w:trPr>
          <w:trHeight w:val="241"/>
        </w:trPr>
        <w:tc>
          <w:tcPr>
            <w:tcW w:w="3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28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782.1</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821.9</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2,331.7</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2,547.3</w:t>
            </w:r>
          </w:p>
        </w:tc>
      </w:tr>
      <w:tr>
        <w:trPr>
          <w:trHeight w:val="239"/>
        </w:trPr>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2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711.3</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752.1</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2,093.9</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2,252.0</w:t>
            </w:r>
          </w:p>
        </w:tc>
      </w:tr>
      <w:tr>
        <w:trPr>
          <w:trHeight w:val="241"/>
        </w:trPr>
        <w:tc>
          <w:tcPr>
            <w:tcW w:w="3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profit</w:t>
            </w:r>
          </w:p>
        </w:tc>
        <w:tc>
          <w:tcPr>
            <w:tcW w:w="28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70.8</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69.8</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237.8</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295.3</w:t>
            </w:r>
          </w:p>
        </w:tc>
      </w:tr>
      <w:tr>
        <w:trPr>
          <w:trHeight w:val="23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expenses, net</w:t>
            </w:r>
          </w:p>
        </w:tc>
        <w:tc>
          <w:tcPr>
            <w:tcW w:w="2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34.4</w:t>
            </w:r>
          </w:p>
        </w:tc>
      </w:tr>
      <w:tr>
        <w:trPr>
          <w:trHeight w:val="241"/>
        </w:trPr>
        <w:tc>
          <w:tcPr>
            <w:tcW w:w="3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8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59.2</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54.7</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209.1</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260.9</w:t>
            </w:r>
          </w:p>
        </w:tc>
      </w:tr>
      <w:tr>
        <w:trPr>
          <w:trHeight w:val="23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86.5</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87.6</w:t>
            </w:r>
          </w:p>
        </w:tc>
      </w:tr>
      <w:tr>
        <w:trPr>
          <w:trHeight w:val="276"/>
        </w:trPr>
        <w:tc>
          <w:tcPr>
            <w:tcW w:w="3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earnings</w:t>
            </w:r>
          </w:p>
        </w:tc>
        <w:tc>
          <w:tcPr>
            <w:tcW w:w="28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122.6</w:t>
            </w: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173.3</w:t>
            </w:r>
          </w:p>
        </w:tc>
      </w:tr>
      <w:tr>
        <w:trPr>
          <w:trHeight w:val="224"/>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per share – basic</w:t>
            </w:r>
          </w:p>
        </w:tc>
        <w:tc>
          <w:tcPr>
            <w:tcW w:w="30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0.48</w:t>
            </w:r>
          </w:p>
        </w:tc>
        <w:tc>
          <w:tcPr>
            <w:tcW w:w="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0.61</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2.56</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3.46</w:t>
            </w:r>
          </w:p>
        </w:tc>
      </w:tr>
      <w:tr>
        <w:trPr>
          <w:trHeight w:val="20"/>
        </w:trPr>
        <w:tc>
          <w:tcPr>
            <w:tcW w:w="31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63"/>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earnings per share – diluted</w:t>
            </w:r>
          </w:p>
        </w:tc>
        <w:tc>
          <w:tcPr>
            <w:tcW w:w="30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0.47</w:t>
            </w:r>
          </w:p>
        </w:tc>
        <w:tc>
          <w:tcPr>
            <w:tcW w:w="4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0.60</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2.53</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3.42</w:t>
            </w:r>
          </w:p>
        </w:tc>
      </w:tr>
      <w:tr>
        <w:trPr>
          <w:trHeight w:val="223"/>
        </w:trPr>
        <w:tc>
          <w:tcPr>
            <w:tcW w:w="31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2820" w:type="dxa"/>
            <w:vAlign w:val="bottom"/>
            <w:tcBorders>
              <w:top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47.6</w:t>
            </w:r>
          </w:p>
        </w:tc>
        <w:tc>
          <w:tcPr>
            <w:tcW w:w="120" w:type="dxa"/>
            <w:vAlign w:val="bottom"/>
            <w:tcBorders>
              <w:top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49.5</w:t>
            </w:r>
          </w:p>
        </w:tc>
        <w:tc>
          <w:tcPr>
            <w:tcW w:w="120" w:type="dxa"/>
            <w:vAlign w:val="bottom"/>
            <w:tcBorders>
              <w:top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47.9</w:t>
            </w:r>
          </w:p>
        </w:tc>
        <w:tc>
          <w:tcPr>
            <w:tcW w:w="120" w:type="dxa"/>
            <w:vAlign w:val="bottom"/>
            <w:tcBorders>
              <w:top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50.1</w:t>
            </w:r>
          </w:p>
        </w:tc>
      </w:tr>
      <w:tr>
        <w:trPr>
          <w:trHeight w:val="20"/>
        </w:trPr>
        <w:tc>
          <w:tcPr>
            <w:tcW w:w="31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63"/>
        </w:trPr>
        <w:tc>
          <w:tcPr>
            <w:tcW w:w="3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28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48.1</w:t>
            </w:r>
          </w:p>
        </w:tc>
        <w:tc>
          <w:tcPr>
            <w:tcW w:w="1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-745490</wp:posOffset>
            </wp:positionV>
            <wp:extent cx="768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-728345</wp:posOffset>
            </wp:positionV>
            <wp:extent cx="768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-745490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-728345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-745490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-728345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-385445</wp:posOffset>
            </wp:positionV>
            <wp:extent cx="768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-368300</wp:posOffset>
            </wp:positionV>
            <wp:extent cx="768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-385445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-368300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-385445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-368300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-25400</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-8255</wp:posOffset>
            </wp:positionV>
            <wp:extent cx="768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-25400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-8255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-25400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-8255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jc w:val="center"/>
              <w:ind w:left="4370"/>
              <w:spacing w:after="0"/>
              <w:rPr>
                <w:sz w:val="20"/>
                <w:szCs w:val="20"/>
                <w:color w:val="auto"/>
              </w:rPr>
            </w:pPr>
            <w:r>
              <w:rPr>
                <w:rFonts w:ascii="Times New Roman" w:cs="Times New Roman" w:eastAsia="Times New Roman" w:hAnsi="Times New Roman"/>
                <w:sz w:val="18"/>
                <w:szCs w:val="18"/>
                <w:b w:val="1"/>
                <w:bCs w:val="1"/>
                <w:color w:val="auto"/>
                <w:w w:val="99"/>
              </w:rPr>
              <w:t>ManpowerGroup Inc.</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8160" w:type="dxa"/>
            <w:vAlign w:val="bottom"/>
            <w:gridSpan w:val="5"/>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Income (Unaudited)</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780" w:type="dxa"/>
            <w:vAlign w:val="bottom"/>
          </w:tcPr>
          <w:p>
            <w:pPr>
              <w:jc w:val="center"/>
              <w:ind w:left="437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60" w:type="dxa"/>
            <w:vAlign w:val="bottom"/>
          </w:tcPr>
          <w:p>
            <w:pPr>
              <w:spacing w:after="0"/>
              <w:rPr>
                <w:sz w:val="20"/>
                <w:szCs w:val="20"/>
                <w:color w:val="auto"/>
              </w:rPr>
            </w:pPr>
          </w:p>
        </w:tc>
        <w:tc>
          <w:tcPr>
            <w:tcW w:w="2020" w:type="dxa"/>
            <w:vAlign w:val="bottom"/>
            <w:gridSpan w:val="4"/>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gridSpan w:val="4"/>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gridSpan w:val="4"/>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7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41"/>
        </w:trPr>
        <w:tc>
          <w:tcPr>
            <w:tcW w:w="6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39"/>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22.8</w:t>
            </w:r>
          </w:p>
        </w:tc>
        <w:tc>
          <w:tcPr>
            <w:tcW w:w="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30.3</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122.6</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173.3</w:t>
            </w:r>
          </w:p>
        </w:tc>
        <w:tc>
          <w:tcPr>
            <w:tcW w:w="0" w:type="dxa"/>
            <w:vAlign w:val="bottom"/>
          </w:tcPr>
          <w:p>
            <w:pPr>
              <w:spacing w:after="0"/>
              <w:rPr>
                <w:sz w:val="1"/>
                <w:szCs w:val="1"/>
                <w:color w:val="auto"/>
              </w:rPr>
            </w:pPr>
          </w:p>
        </w:tc>
      </w:tr>
      <w:tr>
        <w:trPr>
          <w:trHeight w:val="23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(50.8 )</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9"/>
        </w:trPr>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Translation adjustments of long-term intercompany loans</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215"/>
        </w:trPr>
        <w:tc>
          <w:tcPr>
            <w:tcW w:w="6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on derivative instruments, net of income taxes of $(14.5), $8.5, $(1.5) and</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$0.5, respectively</w:t>
            </w: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(52.8 )</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(27.9 )</w:t>
            </w:r>
          </w:p>
        </w:tc>
        <w:tc>
          <w:tcPr>
            <w:tcW w:w="0" w:type="dxa"/>
            <w:vAlign w:val="bottom"/>
          </w:tcPr>
          <w:p>
            <w:pPr>
              <w:spacing w:after="0"/>
              <w:rPr>
                <w:sz w:val="1"/>
                <w:szCs w:val="1"/>
                <w:color w:val="auto"/>
              </w:rPr>
            </w:pPr>
          </w:p>
        </w:tc>
      </w:tr>
      <w:tr>
        <w:trPr>
          <w:trHeight w:val="239"/>
        </w:trPr>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adjustment on interest rate swap</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15"/>
        </w:trPr>
        <w:tc>
          <w:tcPr>
            <w:tcW w:w="6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Defined benefit pension plans and retiree health care plan, net of income taxes of $0.0,</w:t>
            </w:r>
          </w:p>
        </w:tc>
        <w:tc>
          <w:tcPr>
            <w:tcW w:w="160" w:type="dxa"/>
            <w:vAlign w:val="bottom"/>
            <w:shd w:val="clear" w:color="auto" w:fill="CFF0FC"/>
          </w:tcPr>
          <w:p>
            <w:pPr>
              <w:spacing w:after="0"/>
              <w:rPr>
                <w:sz w:val="18"/>
                <w:szCs w:val="18"/>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34"/>
        </w:trPr>
        <w:tc>
          <w:tcPr>
            <w:tcW w:w="6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$0.2, $0.3 and $0.2, respectively</w:t>
            </w:r>
          </w:p>
        </w:tc>
        <w:tc>
          <w:tcPr>
            <w:tcW w:w="1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0" w:type="dxa"/>
            <w:vAlign w:val="bottom"/>
          </w:tcPr>
          <w:p>
            <w:pPr>
              <w:spacing w:after="0"/>
              <w:rPr>
                <w:sz w:val="1"/>
                <w:szCs w:val="1"/>
                <w:color w:val="auto"/>
              </w:rPr>
            </w:pPr>
          </w:p>
        </w:tc>
      </w:tr>
      <w:tr>
        <w:trPr>
          <w:trHeight w:val="276"/>
        </w:trPr>
        <w:tc>
          <w:tcPr>
            <w:tcW w:w="6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-350520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-350520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-350520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-24765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-24765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-7620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-24765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-7620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8100" w:type="dxa"/>
            <w:vAlign w:val="bottom"/>
          </w:tcPr>
          <w:p>
            <w:pPr>
              <w:jc w:val="center"/>
              <w:ind w:left="3050"/>
              <w:spacing w:after="0"/>
              <w:rPr>
                <w:sz w:val="20"/>
                <w:szCs w:val="20"/>
                <w:color w:val="auto"/>
              </w:rPr>
            </w:pPr>
            <w:r>
              <w:rPr>
                <w:rFonts w:ascii="Times New Roman" w:cs="Times New Roman" w:eastAsia="Times New Roman" w:hAnsi="Times New Roman"/>
                <w:sz w:val="18"/>
                <w:szCs w:val="18"/>
                <w:b w:val="1"/>
                <w:bCs w:val="1"/>
                <w:color w:val="auto"/>
                <w:w w:val="99"/>
              </w:rPr>
              <w:t>ManpowerGroup Inc.</w:t>
            </w:r>
          </w:p>
        </w:tc>
        <w:tc>
          <w:tcPr>
            <w:tcW w:w="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8100" w:type="dxa"/>
            <w:vAlign w:val="bottom"/>
          </w:tcPr>
          <w:p>
            <w:pPr>
              <w:jc w:val="center"/>
              <w:ind w:left="30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 (Unaudited)</w:t>
            </w: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100" w:type="dxa"/>
            <w:vAlign w:val="bottom"/>
          </w:tcPr>
          <w:p>
            <w:pPr>
              <w:jc w:val="center"/>
              <w:ind w:left="305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540" w:type="dxa"/>
            <w:vAlign w:val="bottom"/>
            <w:gridSpan w:val="4"/>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100" w:type="dxa"/>
            <w:vAlign w:val="bottom"/>
          </w:tcPr>
          <w:p>
            <w:pPr>
              <w:spacing w:after="0"/>
              <w:rPr>
                <w:sz w:val="19"/>
                <w:szCs w:val="19"/>
                <w:color w:val="auto"/>
              </w:rPr>
            </w:pPr>
          </w:p>
        </w:tc>
        <w:tc>
          <w:tcPr>
            <w:tcW w:w="2540" w:type="dxa"/>
            <w:vAlign w:val="bottom"/>
            <w:gridSpan w:val="4"/>
            <w:vMerge w:val="continue"/>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10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8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0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earnings</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122.6</w:t>
            </w:r>
          </w:p>
        </w:tc>
        <w:tc>
          <w:tcPr>
            <w:tcW w:w="102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173.3</w:t>
            </w:r>
          </w:p>
        </w:tc>
        <w:tc>
          <w:tcPr>
            <w:tcW w:w="0" w:type="dxa"/>
            <w:vAlign w:val="bottom"/>
          </w:tcPr>
          <w:p>
            <w:pPr>
              <w:spacing w:after="0"/>
              <w:rPr>
                <w:sz w:val="1"/>
                <w:szCs w:val="1"/>
                <w:color w:val="auto"/>
              </w:rPr>
            </w:pPr>
          </w:p>
        </w:tc>
      </w:tr>
      <w:tr>
        <w:trPr>
          <w:trHeight w:val="247"/>
        </w:trPr>
        <w:tc>
          <w:tcPr>
            <w:tcW w:w="8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9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1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47"/>
        </w:trPr>
        <w:tc>
          <w:tcPr>
            <w:tcW w:w="81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Loss on sales of subsidiaries, net</w:t>
            </w:r>
          </w:p>
        </w:tc>
        <w:tc>
          <w:tcPr>
            <w:tcW w:w="90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9"/>
        </w:trPr>
        <w:tc>
          <w:tcPr>
            <w:tcW w:w="81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Deferred income taxes</w:t>
            </w:r>
          </w:p>
        </w:tc>
        <w:tc>
          <w:tcPr>
            <w:tcW w:w="90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47"/>
        </w:trPr>
        <w:tc>
          <w:tcPr>
            <w:tcW w:w="81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90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9"/>
        </w:trPr>
        <w:tc>
          <w:tcPr>
            <w:tcW w:w="81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Share-based compensation</w:t>
            </w:r>
          </w:p>
        </w:tc>
        <w:tc>
          <w:tcPr>
            <w:tcW w:w="90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47"/>
        </w:trPr>
        <w:tc>
          <w:tcPr>
            <w:tcW w:w="81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90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237.8</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460.2</w:t>
            </w:r>
          </w:p>
        </w:tc>
        <w:tc>
          <w:tcPr>
            <w:tcW w:w="0" w:type="dxa"/>
            <w:vAlign w:val="bottom"/>
          </w:tcPr>
          <w:p>
            <w:pPr>
              <w:spacing w:after="0"/>
              <w:rPr>
                <w:sz w:val="1"/>
                <w:szCs w:val="1"/>
                <w:color w:val="auto"/>
              </w:rPr>
            </w:pPr>
          </w:p>
        </w:tc>
      </w:tr>
      <w:tr>
        <w:trPr>
          <w:trHeight w:val="247"/>
        </w:trPr>
        <w:tc>
          <w:tcPr>
            <w:tcW w:w="810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Other assets</w:t>
            </w:r>
          </w:p>
        </w:tc>
        <w:tc>
          <w:tcPr>
            <w:tcW w:w="9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(108.7 )</w:t>
            </w: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(51.3 )</w:t>
            </w:r>
          </w:p>
        </w:tc>
        <w:tc>
          <w:tcPr>
            <w:tcW w:w="0" w:type="dxa"/>
            <w:vAlign w:val="bottom"/>
          </w:tcPr>
          <w:p>
            <w:pPr>
              <w:spacing w:after="0"/>
              <w:rPr>
                <w:sz w:val="1"/>
                <w:szCs w:val="1"/>
                <w:color w:val="auto"/>
              </w:rPr>
            </w:pPr>
          </w:p>
        </w:tc>
      </w:tr>
      <w:tr>
        <w:trPr>
          <w:trHeight w:val="239"/>
        </w:trPr>
        <w:tc>
          <w:tcPr>
            <w:tcW w:w="81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Other liabilities</w:t>
            </w:r>
          </w:p>
        </w:tc>
        <w:tc>
          <w:tcPr>
            <w:tcW w:w="9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(284.9 )</w:t>
            </w:r>
          </w:p>
        </w:tc>
        <w:tc>
          <w:tcPr>
            <w:tcW w:w="1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(451.0 )</w:t>
            </w:r>
          </w:p>
        </w:tc>
        <w:tc>
          <w:tcPr>
            <w:tcW w:w="0" w:type="dxa"/>
            <w:vAlign w:val="bottom"/>
          </w:tcPr>
          <w:p>
            <w:pPr>
              <w:spacing w:after="0"/>
              <w:rPr>
                <w:sz w:val="1"/>
                <w:szCs w:val="1"/>
                <w:color w:val="auto"/>
              </w:rPr>
            </w:pPr>
          </w:p>
        </w:tc>
      </w:tr>
      <w:tr>
        <w:trPr>
          <w:trHeight w:val="237"/>
        </w:trPr>
        <w:tc>
          <w:tcPr>
            <w:tcW w:w="8100" w:type="dxa"/>
            <w:vAlign w:val="bottom"/>
            <w:tcBorders>
              <w:bottom w:val="single" w:sz="8" w:color="CFF0FC"/>
            </w:tcBorders>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9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234.5</w:t>
            </w:r>
          </w:p>
        </w:tc>
        <w:tc>
          <w:tcPr>
            <w:tcW w:w="0" w:type="dxa"/>
            <w:vAlign w:val="bottom"/>
          </w:tcPr>
          <w:p>
            <w:pPr>
              <w:spacing w:after="0"/>
              <w:rPr>
                <w:sz w:val="1"/>
                <w:szCs w:val="1"/>
                <w:color w:val="auto"/>
              </w:rPr>
            </w:pPr>
          </w:p>
        </w:tc>
      </w:tr>
      <w:tr>
        <w:trPr>
          <w:trHeight w:val="241"/>
        </w:trPr>
        <w:tc>
          <w:tcPr>
            <w:tcW w:w="8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 expenditures</w:t>
            </w:r>
          </w:p>
        </w:tc>
        <w:tc>
          <w:tcPr>
            <w:tcW w:w="9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(39.8 )</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(55.1 )</w:t>
            </w:r>
          </w:p>
        </w:tc>
        <w:tc>
          <w:tcPr>
            <w:tcW w:w="0" w:type="dxa"/>
            <w:vAlign w:val="bottom"/>
          </w:tcPr>
          <w:p>
            <w:pPr>
              <w:spacing w:after="0"/>
              <w:rPr>
                <w:sz w:val="1"/>
                <w:szCs w:val="1"/>
                <w:color w:val="auto"/>
              </w:rPr>
            </w:pPr>
          </w:p>
        </w:tc>
      </w:tr>
      <w:tr>
        <w:trPr>
          <w:trHeight w:val="247"/>
        </w:trPr>
        <w:tc>
          <w:tcPr>
            <w:tcW w:w="8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Acquisition of businesses, net of cash acquired</w:t>
            </w:r>
          </w:p>
        </w:tc>
        <w:tc>
          <w:tcPr>
            <w:tcW w:w="9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proceeds from the sales of subsidiaries and property and equipment</w:t>
            </w:r>
          </w:p>
        </w:tc>
        <w:tc>
          <w:tcPr>
            <w:tcW w:w="9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7"/>
        </w:trPr>
        <w:tc>
          <w:tcPr>
            <w:tcW w:w="8100" w:type="dxa"/>
            <w:vAlign w:val="bottom"/>
            <w:tcBorders>
              <w:bottom w:val="single" w:sz="8" w:color="CFF0FC"/>
            </w:tcBorders>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9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(41.9 )</w:t>
            </w:r>
          </w:p>
        </w:tc>
        <w:tc>
          <w:tcPr>
            <w:tcW w:w="10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(52.5 )</w:t>
            </w:r>
          </w:p>
        </w:tc>
        <w:tc>
          <w:tcPr>
            <w:tcW w:w="0" w:type="dxa"/>
            <w:vAlign w:val="bottom"/>
          </w:tcPr>
          <w:p>
            <w:pPr>
              <w:spacing w:after="0"/>
              <w:rPr>
                <w:sz w:val="1"/>
                <w:szCs w:val="1"/>
                <w:color w:val="auto"/>
              </w:rPr>
            </w:pPr>
          </w:p>
        </w:tc>
      </w:tr>
      <w:tr>
        <w:trPr>
          <w:trHeight w:val="241"/>
        </w:trPr>
        <w:tc>
          <w:tcPr>
            <w:tcW w:w="8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change in short-term borrowings</w:t>
            </w:r>
          </w:p>
        </w:tc>
        <w:tc>
          <w:tcPr>
            <w:tcW w:w="90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0" w:type="dxa"/>
            <w:vAlign w:val="bottom"/>
          </w:tcPr>
          <w:p>
            <w:pPr>
              <w:spacing w:after="0"/>
              <w:rPr>
                <w:sz w:val="1"/>
                <w:szCs w:val="1"/>
                <w:color w:val="auto"/>
              </w:rPr>
            </w:pPr>
          </w:p>
        </w:tc>
      </w:tr>
      <w:tr>
        <w:trPr>
          <w:trHeight w:val="247"/>
        </w:trPr>
        <w:tc>
          <w:tcPr>
            <w:tcW w:w="8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90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9"/>
        </w:trPr>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9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47"/>
        </w:trPr>
        <w:tc>
          <w:tcPr>
            <w:tcW w:w="8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Payments of contingent consideration for acquisitions</w:t>
            </w:r>
          </w:p>
        </w:tc>
        <w:tc>
          <w:tcPr>
            <w:tcW w:w="9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share-based awards</w:t>
            </w:r>
          </w:p>
        </w:tc>
        <w:tc>
          <w:tcPr>
            <w:tcW w:w="90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7"/>
        </w:trPr>
        <w:tc>
          <w:tcPr>
            <w:tcW w:w="8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Payments to noncontrolling interests</w:t>
            </w:r>
          </w:p>
        </w:tc>
        <w:tc>
          <w:tcPr>
            <w:tcW w:w="9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239"/>
        </w:trPr>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share-based award transactions</w:t>
            </w:r>
          </w:p>
        </w:tc>
        <w:tc>
          <w:tcPr>
            <w:tcW w:w="9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0" w:type="dxa"/>
            <w:vAlign w:val="bottom"/>
          </w:tcPr>
          <w:p>
            <w:pPr>
              <w:spacing w:after="0"/>
              <w:rPr>
                <w:sz w:val="1"/>
                <w:szCs w:val="1"/>
                <w:color w:val="auto"/>
              </w:rPr>
            </w:pPr>
          </w:p>
        </w:tc>
      </w:tr>
      <w:tr>
        <w:trPr>
          <w:trHeight w:val="247"/>
        </w:trPr>
        <w:tc>
          <w:tcPr>
            <w:tcW w:w="8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9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(106.0 )</w:t>
            </w: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(129.8 )</w:t>
            </w:r>
          </w:p>
        </w:tc>
        <w:tc>
          <w:tcPr>
            <w:tcW w:w="0" w:type="dxa"/>
            <w:vAlign w:val="bottom"/>
          </w:tcPr>
          <w:p>
            <w:pPr>
              <w:spacing w:after="0"/>
              <w:rPr>
                <w:sz w:val="1"/>
                <w:szCs w:val="1"/>
                <w:color w:val="auto"/>
              </w:rPr>
            </w:pPr>
          </w:p>
        </w:tc>
      </w:tr>
      <w:tr>
        <w:trPr>
          <w:trHeight w:val="239"/>
        </w:trPr>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Dividends paid</w:t>
            </w:r>
          </w:p>
        </w:tc>
        <w:tc>
          <w:tcPr>
            <w:tcW w:w="9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(73.5 )</w:t>
            </w:r>
          </w:p>
        </w:tc>
        <w:tc>
          <w:tcPr>
            <w:tcW w:w="1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(73.1 )</w:t>
            </w:r>
          </w:p>
        </w:tc>
        <w:tc>
          <w:tcPr>
            <w:tcW w:w="0" w:type="dxa"/>
            <w:vAlign w:val="bottom"/>
          </w:tcPr>
          <w:p>
            <w:pPr>
              <w:spacing w:after="0"/>
              <w:rPr>
                <w:sz w:val="1"/>
                <w:szCs w:val="1"/>
                <w:color w:val="auto"/>
              </w:rPr>
            </w:pPr>
          </w:p>
        </w:tc>
      </w:tr>
      <w:tr>
        <w:trPr>
          <w:trHeight w:val="237"/>
        </w:trPr>
        <w:tc>
          <w:tcPr>
            <w:tcW w:w="8100" w:type="dxa"/>
            <w:vAlign w:val="bottom"/>
            <w:tcBorders>
              <w:bottom w:val="single" w:sz="8" w:color="CFF0FC"/>
            </w:tcBorders>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9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(178.8 )</w:t>
            </w:r>
          </w:p>
        </w:tc>
        <w:tc>
          <w:tcPr>
            <w:tcW w:w="10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(225.7 )</w:t>
            </w:r>
          </w:p>
        </w:tc>
        <w:tc>
          <w:tcPr>
            <w:tcW w:w="0" w:type="dxa"/>
            <w:vAlign w:val="bottom"/>
          </w:tcPr>
          <w:p>
            <w:pPr>
              <w:spacing w:after="0"/>
              <w:rPr>
                <w:sz w:val="1"/>
                <w:szCs w:val="1"/>
                <w:color w:val="auto"/>
              </w:rPr>
            </w:pPr>
          </w:p>
        </w:tc>
      </w:tr>
      <w:tr>
        <w:trPr>
          <w:trHeight w:val="241"/>
        </w:trPr>
        <w:tc>
          <w:tcPr>
            <w:tcW w:w="8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9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10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(24.2 )</w:t>
            </w:r>
          </w:p>
        </w:tc>
        <w:tc>
          <w:tcPr>
            <w:tcW w:w="0" w:type="dxa"/>
            <w:vAlign w:val="bottom"/>
          </w:tcPr>
          <w:p>
            <w:pPr>
              <w:spacing w:after="0"/>
              <w:rPr>
                <w:sz w:val="1"/>
                <w:szCs w:val="1"/>
                <w:color w:val="auto"/>
              </w:rPr>
            </w:pPr>
          </w:p>
        </w:tc>
      </w:tr>
      <w:tr>
        <w:trPr>
          <w:trHeight w:val="237"/>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cash and cash equivalents</w:t>
            </w:r>
          </w:p>
        </w:tc>
        <w:tc>
          <w:tcPr>
            <w:tcW w:w="9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(170.4 )</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(67.9 )</w:t>
            </w:r>
          </w:p>
        </w:tc>
        <w:tc>
          <w:tcPr>
            <w:tcW w:w="0" w:type="dxa"/>
            <w:vAlign w:val="bottom"/>
          </w:tcPr>
          <w:p>
            <w:pPr>
              <w:spacing w:after="0"/>
              <w:rPr>
                <w:sz w:val="1"/>
                <w:szCs w:val="1"/>
                <w:color w:val="auto"/>
              </w:rPr>
            </w:pPr>
          </w:p>
        </w:tc>
      </w:tr>
      <w:tr>
        <w:trPr>
          <w:trHeight w:val="247"/>
        </w:trPr>
        <w:tc>
          <w:tcPr>
            <w:tcW w:w="81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9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581.3</w:t>
            </w:r>
          </w:p>
        </w:tc>
        <w:tc>
          <w:tcPr>
            <w:tcW w:w="1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639.0</w:t>
            </w:r>
          </w:p>
        </w:tc>
        <w:tc>
          <w:tcPr>
            <w:tcW w:w="0" w:type="dxa"/>
            <w:vAlign w:val="bottom"/>
          </w:tcPr>
          <w:p>
            <w:pPr>
              <w:spacing w:after="0"/>
              <w:rPr>
                <w:sz w:val="1"/>
                <w:szCs w:val="1"/>
                <w:color w:val="auto"/>
              </w:rPr>
            </w:pPr>
          </w:p>
        </w:tc>
      </w:tr>
      <w:tr>
        <w:trPr>
          <w:trHeight w:val="277"/>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900" w:type="dxa"/>
            <w:vAlign w:val="bottom"/>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410.9</w:t>
            </w:r>
          </w:p>
        </w:tc>
        <w:tc>
          <w:tcPr>
            <w:tcW w:w="1020" w:type="dxa"/>
            <w:vAlign w:val="bottom"/>
            <w:gridSpan w:val="2"/>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571.1</w:t>
            </w:r>
          </w:p>
        </w:tc>
        <w:tc>
          <w:tcPr>
            <w:tcW w:w="0" w:type="dxa"/>
            <w:vAlign w:val="bottom"/>
          </w:tcPr>
          <w:p>
            <w:pPr>
              <w:spacing w:after="0"/>
              <w:rPr>
                <w:sz w:val="1"/>
                <w:szCs w:val="1"/>
                <w:color w:val="auto"/>
              </w:rPr>
            </w:pPr>
          </w:p>
        </w:tc>
      </w:tr>
      <w:tr>
        <w:trPr>
          <w:trHeight w:val="228"/>
        </w:trPr>
        <w:tc>
          <w:tcPr>
            <w:tcW w:w="8100" w:type="dxa"/>
            <w:vAlign w:val="bottom"/>
            <w:tcBorders>
              <w:top w:val="single" w:sz="8" w:color="CFF0FC"/>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9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69.9</w:t>
            </w:r>
          </w:p>
        </w:tc>
        <w:tc>
          <w:tcPr>
            <w:tcW w:w="102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taxes paid, net</w:t>
            </w:r>
          </w:p>
        </w:tc>
        <w:tc>
          <w:tcPr>
            <w:tcW w:w="900" w:type="dxa"/>
            <w:vAlign w:val="bottom"/>
            <w:tcBorders>
              <w:bottom w:val="single" w:sz="8" w:color="auto"/>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140.9</w:t>
            </w:r>
          </w:p>
        </w:tc>
        <w:tc>
          <w:tcPr>
            <w:tcW w:w="10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141.7</w:t>
            </w:r>
          </w:p>
        </w:tc>
        <w:tc>
          <w:tcPr>
            <w:tcW w:w="0" w:type="dxa"/>
            <w:vAlign w:val="bottom"/>
          </w:tcPr>
          <w:p>
            <w:pPr>
              <w:spacing w:after="0"/>
              <w:rPr>
                <w:sz w:val="1"/>
                <w:szCs w:val="1"/>
                <w:color w:val="auto"/>
              </w:rPr>
            </w:pPr>
          </w:p>
        </w:tc>
      </w:tr>
      <w:tr>
        <w:trPr>
          <w:trHeight w:val="196"/>
        </w:trPr>
        <w:tc>
          <w:tcPr>
            <w:tcW w:w="81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Non-cash operating activity:</w:t>
            </w:r>
          </w:p>
        </w:tc>
        <w:tc>
          <w:tcPr>
            <w:tcW w:w="900" w:type="dxa"/>
            <w:vAlign w:val="bottom"/>
            <w:vMerge w:val="restart"/>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52.9</w:t>
            </w:r>
          </w:p>
        </w:tc>
        <w:tc>
          <w:tcPr>
            <w:tcW w:w="1020" w:type="dxa"/>
            <w:vAlign w:val="bottom"/>
            <w:gridSpan w:val="2"/>
            <w:vMerge w:val="restart"/>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107.2</w:t>
            </w:r>
          </w:p>
        </w:tc>
        <w:tc>
          <w:tcPr>
            <w:tcW w:w="0" w:type="dxa"/>
            <w:vAlign w:val="bottom"/>
          </w:tcPr>
          <w:p>
            <w:pPr>
              <w:spacing w:after="0"/>
              <w:rPr>
                <w:sz w:val="1"/>
                <w:szCs w:val="1"/>
                <w:color w:val="auto"/>
              </w:rPr>
            </w:pPr>
          </w:p>
        </w:tc>
      </w:tr>
      <w:tr>
        <w:trPr>
          <w:trHeight w:val="207"/>
        </w:trPr>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90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6108700</wp:posOffset>
            </wp:positionH>
            <wp:positionV relativeFrom="paragraph">
              <wp:posOffset>-4748530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-3805555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-1936750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-1619250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-984885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-967740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-316230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-299720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ind w:left="4780"/>
        <w:spacing w:after="0"/>
        <w:rPr>
          <w:sz w:val="20"/>
          <w:szCs w:val="20"/>
          <w:color w:val="auto"/>
        </w:rPr>
      </w:pPr>
      <w:r>
        <w:rPr>
          <w:rFonts w:ascii="Times New Roman" w:cs="Times New Roman" w:eastAsia="Times New Roman" w:hAnsi="Times New Roman"/>
          <w:sz w:val="18"/>
          <w:szCs w:val="18"/>
          <w:b w:val="1"/>
          <w:bCs w:val="1"/>
          <w:color w:val="auto"/>
        </w:rPr>
        <w:t>ManpowerGroup Inc.</w:t>
      </w:r>
    </w:p>
    <w:p>
      <w:pPr>
        <w:spacing w:after="0" w:line="18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and per share data)</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78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ManpowerGroup Shareholders</w:t>
            </w: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780" w:type="dxa"/>
            <w:vAlign w:val="bottom"/>
          </w:tcPr>
          <w:p>
            <w:pPr>
              <w:spacing w:after="0"/>
              <w:rPr>
                <w:sz w:val="14"/>
                <w:szCs w:val="14"/>
                <w:color w:val="auto"/>
              </w:rPr>
            </w:pPr>
          </w:p>
        </w:tc>
        <w:tc>
          <w:tcPr>
            <w:tcW w:w="1680" w:type="dxa"/>
            <w:vAlign w:val="bottom"/>
            <w:tcBorders>
              <w:bottom w:val="single" w:sz="8" w:color="auto"/>
            </w:tcBorders>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Non-</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9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Par</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2"/>
                <w:szCs w:val="12"/>
                <w:color w:val="auto"/>
              </w:rPr>
            </w:pPr>
          </w:p>
        </w:tc>
        <w:tc>
          <w:tcPr>
            <w:tcW w:w="122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7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Excess of</w:t>
            </w:r>
          </w:p>
        </w:tc>
        <w:tc>
          <w:tcPr>
            <w:tcW w:w="1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240" w:type="dxa"/>
            <w:vAlign w:val="bottom"/>
          </w:tcPr>
          <w:p>
            <w:pPr>
              <w:spacing w:after="0"/>
              <w:rPr>
                <w:sz w:val="12"/>
                <w:szCs w:val="12"/>
                <w:color w:val="auto"/>
              </w:rPr>
            </w:pPr>
          </w:p>
        </w:tc>
        <w:tc>
          <w:tcPr>
            <w:tcW w:w="78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27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w w:val="99"/>
              </w:rPr>
              <w:t>Par Value</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78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color w:val="auto"/>
              </w:rPr>
              <w:t>Balance, December 31, 2023</w:t>
            </w:r>
          </w:p>
        </w:tc>
        <w:tc>
          <w:tcPr>
            <w:tcW w:w="960" w:type="dxa"/>
            <w:vAlign w:val="bottom"/>
            <w:shd w:val="clear" w:color="auto" w:fill="CFF0FC"/>
          </w:tcPr>
          <w:p>
            <w:pPr>
              <w:jc w:val="right"/>
              <w:ind w:right="68"/>
              <w:spacing w:after="0" w:line="133" w:lineRule="exact"/>
              <w:rPr>
                <w:sz w:val="20"/>
                <w:szCs w:val="20"/>
                <w:color w:val="auto"/>
              </w:rPr>
            </w:pPr>
            <w:r>
              <w:rPr>
                <w:rFonts w:ascii="Times New Roman" w:cs="Times New Roman" w:eastAsia="Times New Roman" w:hAnsi="Times New Roman"/>
                <w:sz w:val="14"/>
                <w:szCs w:val="14"/>
                <w:color w:val="auto"/>
              </w:rPr>
              <w:t>118,387,64</w:t>
            </w:r>
          </w:p>
        </w:tc>
        <w:tc>
          <w:tcPr>
            <w:tcW w:w="720" w:type="dxa"/>
            <w:vAlign w:val="bottom"/>
            <w:vMerge w:val="restart"/>
            <w:shd w:val="clear" w:color="auto" w:fill="CFF0FC"/>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3,514.9</w:t>
            </w: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3,813.0</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(466.0 )</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(4,639.8 )</w:t>
            </w:r>
          </w:p>
        </w:tc>
        <w:tc>
          <w:tcPr>
            <w:tcW w:w="220" w:type="dxa"/>
            <w:vAlign w:val="bottom"/>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10.8</w:t>
            </w:r>
          </w:p>
        </w:tc>
        <w:tc>
          <w:tcPr>
            <w:tcW w:w="24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2,234.1</w:t>
            </w:r>
          </w:p>
        </w:tc>
        <w:tc>
          <w:tcPr>
            <w:tcW w:w="0" w:type="dxa"/>
            <w:vAlign w:val="bottom"/>
          </w:tcPr>
          <w:p>
            <w:pPr>
              <w:spacing w:after="0"/>
              <w:rPr>
                <w:sz w:val="1"/>
                <w:szCs w:val="1"/>
                <w:color w:val="auto"/>
              </w:rPr>
            </w:pPr>
          </w:p>
        </w:tc>
      </w:tr>
      <w:tr>
        <w:trPr>
          <w:trHeight w:val="185"/>
        </w:trPr>
        <w:tc>
          <w:tcPr>
            <w:tcW w:w="278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720" w:type="dxa"/>
            <w:vAlign w:val="bottom"/>
            <w:vMerge w:val="continue"/>
            <w:shd w:val="clear" w:color="auto" w:fill="CFF0FC"/>
          </w:tcPr>
          <w:p>
            <w:pPr>
              <w:spacing w:after="0"/>
              <w:rPr>
                <w:sz w:val="16"/>
                <w:szCs w:val="16"/>
                <w:color w:val="auto"/>
              </w:rPr>
            </w:pPr>
          </w:p>
        </w:tc>
        <w:tc>
          <w:tcPr>
            <w:tcW w:w="320" w:type="dxa"/>
            <w:vAlign w:val="bottom"/>
            <w:vMerge w:val="continue"/>
            <w:shd w:val="clear" w:color="auto" w:fill="CFF0FC"/>
          </w:tcPr>
          <w:p>
            <w:pPr>
              <w:spacing w:after="0"/>
              <w:rPr>
                <w:sz w:val="16"/>
                <w:szCs w:val="16"/>
                <w:color w:val="auto"/>
              </w:rPr>
            </w:pPr>
          </w:p>
        </w:tc>
        <w:tc>
          <w:tcPr>
            <w:tcW w:w="220" w:type="dxa"/>
            <w:vAlign w:val="bottom"/>
            <w:vMerge w:val="continue"/>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180" w:type="dxa"/>
            <w:vAlign w:val="bottom"/>
            <w:vMerge w:val="continue"/>
            <w:shd w:val="clear" w:color="auto" w:fill="CFF0FC"/>
          </w:tcPr>
          <w:p>
            <w:pPr>
              <w:spacing w:after="0"/>
              <w:rPr>
                <w:sz w:val="16"/>
                <w:szCs w:val="16"/>
                <w:color w:val="auto"/>
              </w:rPr>
            </w:pPr>
          </w:p>
        </w:tc>
        <w:tc>
          <w:tcPr>
            <w:tcW w:w="880" w:type="dxa"/>
            <w:vAlign w:val="bottom"/>
            <w:vMerge w:val="continue"/>
            <w:shd w:val="clear" w:color="auto" w:fill="CFF0FC"/>
          </w:tcPr>
          <w:p>
            <w:pPr>
              <w:spacing w:after="0"/>
              <w:rPr>
                <w:sz w:val="16"/>
                <w:szCs w:val="16"/>
                <w:color w:val="auto"/>
              </w:rPr>
            </w:pPr>
          </w:p>
        </w:tc>
        <w:tc>
          <w:tcPr>
            <w:tcW w:w="100" w:type="dxa"/>
            <w:vAlign w:val="bottom"/>
            <w:vMerge w:val="continue"/>
            <w:shd w:val="clear" w:color="auto" w:fill="CFF0FC"/>
          </w:tcPr>
          <w:p>
            <w:pPr>
              <w:spacing w:after="0"/>
              <w:rPr>
                <w:sz w:val="16"/>
                <w:szCs w:val="16"/>
                <w:color w:val="auto"/>
              </w:rPr>
            </w:pPr>
          </w:p>
        </w:tc>
        <w:tc>
          <w:tcPr>
            <w:tcW w:w="1220" w:type="dxa"/>
            <w:vAlign w:val="bottom"/>
            <w:vMerge w:val="continue"/>
            <w:shd w:val="clear" w:color="auto" w:fill="CFF0FC"/>
          </w:tcPr>
          <w:p>
            <w:pPr>
              <w:spacing w:after="0"/>
              <w:rPr>
                <w:sz w:val="16"/>
                <w:szCs w:val="16"/>
                <w:color w:val="auto"/>
              </w:rPr>
            </w:pPr>
          </w:p>
        </w:tc>
        <w:tc>
          <w:tcPr>
            <w:tcW w:w="160" w:type="dxa"/>
            <w:vAlign w:val="bottom"/>
            <w:vMerge w:val="continue"/>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220" w:type="dxa"/>
            <w:vAlign w:val="bottom"/>
            <w:vMerge w:val="continue"/>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240" w:type="dxa"/>
            <w:vAlign w:val="bottom"/>
            <w:vMerge w:val="continue"/>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earnings</w:t>
            </w:r>
          </w:p>
        </w:tc>
        <w:tc>
          <w:tcPr>
            <w:tcW w:w="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39.7</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39.7</w:t>
            </w:r>
          </w:p>
        </w:tc>
        <w:tc>
          <w:tcPr>
            <w:tcW w:w="0" w:type="dxa"/>
            <w:vAlign w:val="bottom"/>
          </w:tcPr>
          <w:p>
            <w:pPr>
              <w:spacing w:after="0"/>
              <w:rPr>
                <w:sz w:val="1"/>
                <w:szCs w:val="1"/>
                <w:color w:val="auto"/>
              </w:rPr>
            </w:pPr>
          </w:p>
        </w:tc>
      </w:tr>
      <w:tr>
        <w:trPr>
          <w:trHeight w:val="175"/>
        </w:trPr>
        <w:tc>
          <w:tcPr>
            <w:tcW w:w="2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comprehensive loss</w:t>
            </w:r>
          </w:p>
        </w:tc>
        <w:tc>
          <w:tcPr>
            <w:tcW w:w="9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(29.5 )</w:t>
            </w: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(29.5 )</w:t>
            </w:r>
          </w:p>
        </w:tc>
        <w:tc>
          <w:tcPr>
            <w:tcW w:w="0" w:type="dxa"/>
            <w:vAlign w:val="bottom"/>
          </w:tcPr>
          <w:p>
            <w:pPr>
              <w:spacing w:after="0"/>
              <w:rPr>
                <w:sz w:val="1"/>
                <w:szCs w:val="1"/>
                <w:color w:val="auto"/>
              </w:rPr>
            </w:pPr>
          </w:p>
        </w:tc>
      </w:tr>
      <w:tr>
        <w:trPr>
          <w:trHeight w:val="176"/>
        </w:trPr>
        <w:tc>
          <w:tcPr>
            <w:tcW w:w="2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Issuances under equity plans</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420,210</w:t>
            </w: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(10.3 )</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(10.3 )</w:t>
            </w:r>
          </w:p>
        </w:tc>
        <w:tc>
          <w:tcPr>
            <w:tcW w:w="0" w:type="dxa"/>
            <w:vAlign w:val="bottom"/>
          </w:tcPr>
          <w:p>
            <w:pPr>
              <w:spacing w:after="0"/>
              <w:rPr>
                <w:sz w:val="1"/>
                <w:szCs w:val="1"/>
                <w:color w:val="auto"/>
              </w:rPr>
            </w:pPr>
          </w:p>
        </w:tc>
      </w:tr>
      <w:tr>
        <w:trPr>
          <w:trHeight w:val="175"/>
        </w:trPr>
        <w:tc>
          <w:tcPr>
            <w:tcW w:w="2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9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7.5</w:t>
            </w: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39"/>
        </w:trPr>
        <w:tc>
          <w:tcPr>
            <w:tcW w:w="278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Repurchases of common stock, including</w:t>
            </w:r>
          </w:p>
        </w:tc>
        <w:tc>
          <w:tcPr>
            <w:tcW w:w="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(50.3 )</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(50.3 )</w:t>
            </w:r>
          </w:p>
        </w:tc>
        <w:tc>
          <w:tcPr>
            <w:tcW w:w="0" w:type="dxa"/>
            <w:vAlign w:val="bottom"/>
          </w:tcPr>
          <w:p>
            <w:pPr>
              <w:spacing w:after="0"/>
              <w:rPr>
                <w:sz w:val="1"/>
                <w:szCs w:val="1"/>
                <w:color w:val="auto"/>
              </w:rPr>
            </w:pPr>
          </w:p>
        </w:tc>
      </w:tr>
      <w:tr>
        <w:trPr>
          <w:trHeight w:val="185"/>
        </w:trPr>
        <w:tc>
          <w:tcPr>
            <w:tcW w:w="2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excise tax</w:t>
            </w: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78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Noncontrolling interest transactions</w:t>
            </w:r>
          </w:p>
        </w:tc>
        <w:tc>
          <w:tcPr>
            <w:tcW w:w="96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(3.7 )</w:t>
            </w:r>
          </w:p>
        </w:tc>
        <w:tc>
          <w:tcPr>
            <w:tcW w:w="18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0.2</w:t>
            </w:r>
          </w:p>
        </w:tc>
        <w:tc>
          <w:tcPr>
            <w:tcW w:w="24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0" w:type="dxa"/>
            <w:vAlign w:val="bottom"/>
          </w:tcPr>
          <w:p>
            <w:pPr>
              <w:spacing w:after="0"/>
              <w:rPr>
                <w:sz w:val="1"/>
                <w:szCs w:val="1"/>
                <w:color w:val="auto"/>
              </w:rPr>
            </w:pPr>
          </w:p>
        </w:tc>
      </w:tr>
      <w:tr>
        <w:trPr>
          <w:trHeight w:val="133"/>
        </w:trPr>
        <w:tc>
          <w:tcPr>
            <w:tcW w:w="278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auto"/>
              </w:rPr>
              <w:t>Balance, March 31, 2024</w:t>
            </w:r>
          </w:p>
        </w:tc>
        <w:tc>
          <w:tcPr>
            <w:tcW w:w="960" w:type="dxa"/>
            <w:vAlign w:val="bottom"/>
          </w:tcPr>
          <w:p>
            <w:pPr>
              <w:jc w:val="right"/>
              <w:ind w:right="68"/>
              <w:spacing w:after="0" w:line="133" w:lineRule="exact"/>
              <w:rPr>
                <w:sz w:val="20"/>
                <w:szCs w:val="20"/>
                <w:color w:val="auto"/>
              </w:rPr>
            </w:pPr>
            <w:r>
              <w:rPr>
                <w:rFonts w:ascii="Times New Roman" w:cs="Times New Roman" w:eastAsia="Times New Roman" w:hAnsi="Times New Roman"/>
                <w:sz w:val="14"/>
                <w:szCs w:val="14"/>
                <w:color w:val="auto"/>
              </w:rPr>
              <w:t>118,807,85</w:t>
            </w:r>
          </w:p>
        </w:tc>
        <w:tc>
          <w:tcPr>
            <w:tcW w:w="720" w:type="dxa"/>
            <w:vAlign w:val="bottom"/>
            <w:vMerge w:val="restart"/>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3,518.7</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3,852.7</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(495.5 )</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(4,700.4 )</w:t>
            </w:r>
          </w:p>
        </w:tc>
        <w:tc>
          <w:tcPr>
            <w:tcW w:w="2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11.0</w:t>
            </w:r>
          </w:p>
        </w:tc>
        <w:tc>
          <w:tcPr>
            <w:tcW w:w="2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2,187.7</w:t>
            </w:r>
          </w:p>
        </w:tc>
        <w:tc>
          <w:tcPr>
            <w:tcW w:w="0" w:type="dxa"/>
            <w:vAlign w:val="bottom"/>
          </w:tcPr>
          <w:p>
            <w:pPr>
              <w:spacing w:after="0"/>
              <w:rPr>
                <w:sz w:val="1"/>
                <w:szCs w:val="1"/>
                <w:color w:val="auto"/>
              </w:rPr>
            </w:pPr>
          </w:p>
        </w:tc>
      </w:tr>
      <w:tr>
        <w:trPr>
          <w:trHeight w:val="185"/>
        </w:trPr>
        <w:tc>
          <w:tcPr>
            <w:tcW w:w="27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7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earnings</w:t>
            </w:r>
          </w:p>
        </w:tc>
        <w:tc>
          <w:tcPr>
            <w:tcW w:w="9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60.1</w:t>
            </w: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60.1</w:t>
            </w:r>
          </w:p>
        </w:tc>
        <w:tc>
          <w:tcPr>
            <w:tcW w:w="0" w:type="dxa"/>
            <w:vAlign w:val="bottom"/>
          </w:tcPr>
          <w:p>
            <w:pPr>
              <w:spacing w:after="0"/>
              <w:rPr>
                <w:sz w:val="1"/>
                <w:szCs w:val="1"/>
                <w:color w:val="auto"/>
              </w:rPr>
            </w:pPr>
          </w:p>
        </w:tc>
      </w:tr>
      <w:tr>
        <w:trPr>
          <w:trHeight w:val="176"/>
        </w:trPr>
        <w:tc>
          <w:tcPr>
            <w:tcW w:w="2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comprehensive loss</w:t>
            </w:r>
          </w:p>
        </w:tc>
        <w:tc>
          <w:tcPr>
            <w:tcW w:w="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(4.9 )</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0" w:type="dxa"/>
            <w:vAlign w:val="bottom"/>
          </w:tcPr>
          <w:p>
            <w:pPr>
              <w:spacing w:after="0"/>
              <w:rPr>
                <w:sz w:val="1"/>
                <w:szCs w:val="1"/>
                <w:color w:val="auto"/>
              </w:rPr>
            </w:pPr>
          </w:p>
        </w:tc>
      </w:tr>
      <w:tr>
        <w:trPr>
          <w:trHeight w:val="176"/>
        </w:trPr>
        <w:tc>
          <w:tcPr>
            <w:tcW w:w="2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Issuances under equity plans</w:t>
            </w: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36,195</w:t>
            </w:r>
          </w:p>
        </w:tc>
        <w:tc>
          <w:tcPr>
            <w:tcW w:w="7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(0.1 )</w:t>
            </w: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0" w:type="dxa"/>
            <w:vAlign w:val="bottom"/>
          </w:tcPr>
          <w:p>
            <w:pPr>
              <w:spacing w:after="0"/>
              <w:rPr>
                <w:sz w:val="1"/>
                <w:szCs w:val="1"/>
                <w:color w:val="auto"/>
              </w:rPr>
            </w:pPr>
          </w:p>
        </w:tc>
      </w:tr>
      <w:tr>
        <w:trPr>
          <w:trHeight w:val="175"/>
        </w:trPr>
        <w:tc>
          <w:tcPr>
            <w:tcW w:w="2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7.5</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76"/>
        </w:trPr>
        <w:tc>
          <w:tcPr>
            <w:tcW w:w="2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Dividends</w:t>
            </w:r>
          </w:p>
        </w:tc>
        <w:tc>
          <w:tcPr>
            <w:tcW w:w="9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(73.5 )</w:t>
            </w:r>
          </w:p>
        </w:tc>
        <w:tc>
          <w:tcPr>
            <w:tcW w:w="1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(73.5 )</w:t>
            </w:r>
          </w:p>
        </w:tc>
        <w:tc>
          <w:tcPr>
            <w:tcW w:w="0" w:type="dxa"/>
            <w:vAlign w:val="bottom"/>
          </w:tcPr>
          <w:p>
            <w:pPr>
              <w:spacing w:after="0"/>
              <w:rPr>
                <w:sz w:val="1"/>
                <w:szCs w:val="1"/>
                <w:color w:val="auto"/>
              </w:rPr>
            </w:pPr>
          </w:p>
        </w:tc>
      </w:tr>
      <w:tr>
        <w:trPr>
          <w:trHeight w:val="139"/>
        </w:trPr>
        <w:tc>
          <w:tcPr>
            <w:tcW w:w="278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Repurchases of common stock, including</w:t>
            </w:r>
          </w:p>
        </w:tc>
        <w:tc>
          <w:tcPr>
            <w:tcW w:w="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(27.0 )</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(27.0 )</w:t>
            </w:r>
          </w:p>
        </w:tc>
        <w:tc>
          <w:tcPr>
            <w:tcW w:w="0" w:type="dxa"/>
            <w:vAlign w:val="bottom"/>
          </w:tcPr>
          <w:p>
            <w:pPr>
              <w:spacing w:after="0"/>
              <w:rPr>
                <w:sz w:val="1"/>
                <w:szCs w:val="1"/>
                <w:color w:val="auto"/>
              </w:rPr>
            </w:pPr>
          </w:p>
        </w:tc>
      </w:tr>
      <w:tr>
        <w:trPr>
          <w:trHeight w:val="185"/>
        </w:trPr>
        <w:tc>
          <w:tcPr>
            <w:tcW w:w="2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excise tax</w:t>
            </w: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78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Noncontrolling interest transactions</w:t>
            </w:r>
          </w:p>
        </w:tc>
        <w:tc>
          <w:tcPr>
            <w:tcW w:w="96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(1.8 )</w:t>
            </w:r>
          </w:p>
        </w:tc>
        <w:tc>
          <w:tcPr>
            <w:tcW w:w="18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(2.0 )</w:t>
            </w:r>
          </w:p>
        </w:tc>
        <w:tc>
          <w:tcPr>
            <w:tcW w:w="24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0" w:type="dxa"/>
            <w:vAlign w:val="bottom"/>
          </w:tcPr>
          <w:p>
            <w:pPr>
              <w:spacing w:after="0"/>
              <w:rPr>
                <w:sz w:val="1"/>
                <w:szCs w:val="1"/>
                <w:color w:val="auto"/>
              </w:rPr>
            </w:pPr>
          </w:p>
        </w:tc>
      </w:tr>
      <w:tr>
        <w:trPr>
          <w:trHeight w:val="133"/>
        </w:trPr>
        <w:tc>
          <w:tcPr>
            <w:tcW w:w="278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auto"/>
              </w:rPr>
              <w:t>Balance, June 30, 2024</w:t>
            </w:r>
          </w:p>
        </w:tc>
        <w:tc>
          <w:tcPr>
            <w:tcW w:w="960" w:type="dxa"/>
            <w:vAlign w:val="bottom"/>
          </w:tcPr>
          <w:p>
            <w:pPr>
              <w:jc w:val="right"/>
              <w:ind w:right="68"/>
              <w:spacing w:after="0" w:line="133" w:lineRule="exact"/>
              <w:rPr>
                <w:sz w:val="20"/>
                <w:szCs w:val="20"/>
                <w:color w:val="auto"/>
              </w:rPr>
            </w:pPr>
            <w:r>
              <w:rPr>
                <w:rFonts w:ascii="Times New Roman" w:cs="Times New Roman" w:eastAsia="Times New Roman" w:hAnsi="Times New Roman"/>
                <w:sz w:val="14"/>
                <w:szCs w:val="14"/>
                <w:color w:val="auto"/>
              </w:rPr>
              <w:t>118,844,04</w:t>
            </w:r>
          </w:p>
        </w:tc>
        <w:tc>
          <w:tcPr>
            <w:tcW w:w="720" w:type="dxa"/>
            <w:vAlign w:val="bottom"/>
            <w:vMerge w:val="restart"/>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3,524.3</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3,839.3</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(500.4 )</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(4,727.5 )</w:t>
            </w:r>
          </w:p>
        </w:tc>
        <w:tc>
          <w:tcPr>
            <w:tcW w:w="2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9.0</w:t>
            </w:r>
          </w:p>
        </w:tc>
        <w:tc>
          <w:tcPr>
            <w:tcW w:w="2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2,145.9</w:t>
            </w:r>
          </w:p>
        </w:tc>
        <w:tc>
          <w:tcPr>
            <w:tcW w:w="0" w:type="dxa"/>
            <w:vAlign w:val="bottom"/>
          </w:tcPr>
          <w:p>
            <w:pPr>
              <w:spacing w:after="0"/>
              <w:rPr>
                <w:sz w:val="1"/>
                <w:szCs w:val="1"/>
                <w:color w:val="auto"/>
              </w:rPr>
            </w:pPr>
          </w:p>
        </w:tc>
      </w:tr>
      <w:tr>
        <w:trPr>
          <w:trHeight w:val="185"/>
        </w:trPr>
        <w:tc>
          <w:tcPr>
            <w:tcW w:w="27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7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earnings</w:t>
            </w:r>
          </w:p>
        </w:tc>
        <w:tc>
          <w:tcPr>
            <w:tcW w:w="9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22.8</w:t>
            </w:r>
          </w:p>
        </w:tc>
        <w:tc>
          <w:tcPr>
            <w:tcW w:w="0" w:type="dxa"/>
            <w:vAlign w:val="bottom"/>
          </w:tcPr>
          <w:p>
            <w:pPr>
              <w:spacing w:after="0"/>
              <w:rPr>
                <w:sz w:val="1"/>
                <w:szCs w:val="1"/>
                <w:color w:val="auto"/>
              </w:rPr>
            </w:pPr>
          </w:p>
        </w:tc>
      </w:tr>
      <w:tr>
        <w:trPr>
          <w:trHeight w:val="175"/>
        </w:trPr>
        <w:tc>
          <w:tcPr>
            <w:tcW w:w="2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30.5</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30.5</w:t>
            </w:r>
          </w:p>
        </w:tc>
        <w:tc>
          <w:tcPr>
            <w:tcW w:w="0" w:type="dxa"/>
            <w:vAlign w:val="bottom"/>
          </w:tcPr>
          <w:p>
            <w:pPr>
              <w:spacing w:after="0"/>
              <w:rPr>
                <w:sz w:val="1"/>
                <w:szCs w:val="1"/>
                <w:color w:val="auto"/>
              </w:rPr>
            </w:pPr>
          </w:p>
        </w:tc>
      </w:tr>
      <w:tr>
        <w:trPr>
          <w:trHeight w:val="175"/>
        </w:trPr>
        <w:tc>
          <w:tcPr>
            <w:tcW w:w="2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Issuances under equity plans</w:t>
            </w: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3,912</w:t>
            </w:r>
          </w:p>
        </w:tc>
        <w:tc>
          <w:tcPr>
            <w:tcW w:w="7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(0.2 )</w:t>
            </w: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0" w:type="dxa"/>
            <w:vAlign w:val="bottom"/>
          </w:tcPr>
          <w:p>
            <w:pPr>
              <w:spacing w:after="0"/>
              <w:rPr>
                <w:sz w:val="1"/>
                <w:szCs w:val="1"/>
                <w:color w:val="auto"/>
              </w:rPr>
            </w:pPr>
          </w:p>
        </w:tc>
      </w:tr>
      <w:tr>
        <w:trPr>
          <w:trHeight w:val="175"/>
        </w:trPr>
        <w:tc>
          <w:tcPr>
            <w:tcW w:w="2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7.0</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39"/>
        </w:trPr>
        <w:tc>
          <w:tcPr>
            <w:tcW w:w="278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Repurchases of common stock, including</w:t>
            </w:r>
          </w:p>
        </w:tc>
        <w:tc>
          <w:tcPr>
            <w:tcW w:w="9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(29.3 )</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(29.3 )</w:t>
            </w:r>
          </w:p>
        </w:tc>
        <w:tc>
          <w:tcPr>
            <w:tcW w:w="0" w:type="dxa"/>
            <w:vAlign w:val="bottom"/>
          </w:tcPr>
          <w:p>
            <w:pPr>
              <w:spacing w:after="0"/>
              <w:rPr>
                <w:sz w:val="1"/>
                <w:szCs w:val="1"/>
                <w:color w:val="auto"/>
              </w:rPr>
            </w:pPr>
          </w:p>
        </w:tc>
      </w:tr>
      <w:tr>
        <w:trPr>
          <w:trHeight w:val="185"/>
        </w:trPr>
        <w:tc>
          <w:tcPr>
            <w:tcW w:w="2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excise tax</w:t>
            </w:r>
          </w:p>
        </w:tc>
        <w:tc>
          <w:tcPr>
            <w:tcW w:w="9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7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Noncontrolling interest transactions</w:t>
            </w:r>
          </w:p>
        </w:tc>
        <w:tc>
          <w:tcPr>
            <w:tcW w:w="9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8.4</w:t>
            </w: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(7.4 )</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33"/>
        </w:trPr>
        <w:tc>
          <w:tcPr>
            <w:tcW w:w="278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color w:val="auto"/>
              </w:rPr>
              <w:t>Balance, September 30, 2024</w:t>
            </w:r>
          </w:p>
        </w:tc>
        <w:tc>
          <w:tcPr>
            <w:tcW w:w="960" w:type="dxa"/>
            <w:vAlign w:val="bottom"/>
            <w:shd w:val="clear" w:color="auto" w:fill="CFF0FC"/>
          </w:tcPr>
          <w:p>
            <w:pPr>
              <w:jc w:val="right"/>
              <w:ind w:right="68"/>
              <w:spacing w:after="0" w:line="133" w:lineRule="exact"/>
              <w:rPr>
                <w:sz w:val="20"/>
                <w:szCs w:val="20"/>
                <w:color w:val="auto"/>
              </w:rPr>
            </w:pPr>
            <w:r>
              <w:rPr>
                <w:rFonts w:ascii="Times New Roman" w:cs="Times New Roman" w:eastAsia="Times New Roman" w:hAnsi="Times New Roman"/>
                <w:sz w:val="14"/>
                <w:szCs w:val="14"/>
                <w:color w:val="auto"/>
              </w:rPr>
              <w:t>118,847,95</w:t>
            </w:r>
          </w:p>
        </w:tc>
        <w:tc>
          <w:tcPr>
            <w:tcW w:w="720" w:type="dxa"/>
            <w:vAlign w:val="bottom"/>
            <w:vMerge w:val="restart"/>
            <w:shd w:val="clear" w:color="auto" w:fill="CFF0FC"/>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3,539.5</w:t>
            </w: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3,862.1</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(469.9 )</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(4,756.8 )</w:t>
            </w:r>
          </w:p>
        </w:tc>
        <w:tc>
          <w:tcPr>
            <w:tcW w:w="220" w:type="dxa"/>
            <w:vAlign w:val="bottom"/>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1.6</w:t>
            </w:r>
          </w:p>
        </w:tc>
        <w:tc>
          <w:tcPr>
            <w:tcW w:w="24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2,177.7</w:t>
            </w:r>
          </w:p>
        </w:tc>
        <w:tc>
          <w:tcPr>
            <w:tcW w:w="0" w:type="dxa"/>
            <w:vAlign w:val="bottom"/>
          </w:tcPr>
          <w:p>
            <w:pPr>
              <w:spacing w:after="0"/>
              <w:rPr>
                <w:sz w:val="1"/>
                <w:szCs w:val="1"/>
                <w:color w:val="auto"/>
              </w:rPr>
            </w:pPr>
          </w:p>
        </w:tc>
      </w:tr>
      <w:tr>
        <w:trPr>
          <w:trHeight w:val="185"/>
        </w:trPr>
        <w:tc>
          <w:tcPr>
            <w:tcW w:w="278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720" w:type="dxa"/>
            <w:vAlign w:val="bottom"/>
            <w:tcBorders>
              <w:bottom w:val="single" w:sz="8" w:color="auto"/>
            </w:tcBorders>
            <w:vMerge w:val="continue"/>
            <w:shd w:val="clear" w:color="auto" w:fill="CFF0FC"/>
          </w:tcPr>
          <w:p>
            <w:pPr>
              <w:spacing w:after="0"/>
              <w:rPr>
                <w:sz w:val="16"/>
                <w:szCs w:val="16"/>
                <w:color w:val="auto"/>
              </w:rPr>
            </w:pPr>
          </w:p>
        </w:tc>
        <w:tc>
          <w:tcPr>
            <w:tcW w:w="320" w:type="dxa"/>
            <w:vAlign w:val="bottom"/>
            <w:tcBorders>
              <w:bottom w:val="single" w:sz="8" w:color="auto"/>
            </w:tcBorders>
            <w:vMerge w:val="continue"/>
            <w:shd w:val="clear" w:color="auto" w:fill="CFF0FC"/>
          </w:tcPr>
          <w:p>
            <w:pPr>
              <w:spacing w:after="0"/>
              <w:rPr>
                <w:sz w:val="16"/>
                <w:szCs w:val="16"/>
                <w:color w:val="auto"/>
              </w:rPr>
            </w:pPr>
          </w:p>
        </w:tc>
        <w:tc>
          <w:tcPr>
            <w:tcW w:w="220" w:type="dxa"/>
            <w:vAlign w:val="bottom"/>
            <w:tcBorders>
              <w:bottom w:val="single" w:sz="8" w:color="auto"/>
            </w:tcBorders>
            <w:vMerge w:val="continue"/>
            <w:shd w:val="clear" w:color="auto" w:fill="CFF0FC"/>
          </w:tcPr>
          <w:p>
            <w:pPr>
              <w:spacing w:after="0"/>
              <w:rPr>
                <w:sz w:val="16"/>
                <w:szCs w:val="16"/>
                <w:color w:val="auto"/>
              </w:rPr>
            </w:pPr>
          </w:p>
        </w:tc>
        <w:tc>
          <w:tcPr>
            <w:tcW w:w="860" w:type="dxa"/>
            <w:vAlign w:val="bottom"/>
            <w:tcBorders>
              <w:bottom w:val="single" w:sz="8" w:color="auto"/>
            </w:tcBorders>
            <w:vMerge w:val="continue"/>
            <w:shd w:val="clear" w:color="auto" w:fill="CFF0FC"/>
          </w:tcPr>
          <w:p>
            <w:pPr>
              <w:spacing w:after="0"/>
              <w:rPr>
                <w:sz w:val="16"/>
                <w:szCs w:val="16"/>
                <w:color w:val="auto"/>
              </w:rPr>
            </w:pPr>
          </w:p>
        </w:tc>
        <w:tc>
          <w:tcPr>
            <w:tcW w:w="180" w:type="dxa"/>
            <w:vAlign w:val="bottom"/>
            <w:tcBorders>
              <w:bottom w:val="single" w:sz="8" w:color="auto"/>
            </w:tcBorders>
            <w:vMerge w:val="continue"/>
            <w:shd w:val="clear" w:color="auto" w:fill="CFF0FC"/>
          </w:tcPr>
          <w:p>
            <w:pPr>
              <w:spacing w:after="0"/>
              <w:rPr>
                <w:sz w:val="16"/>
                <w:szCs w:val="16"/>
                <w:color w:val="auto"/>
              </w:rPr>
            </w:pPr>
          </w:p>
        </w:tc>
        <w:tc>
          <w:tcPr>
            <w:tcW w:w="880" w:type="dxa"/>
            <w:vAlign w:val="bottom"/>
            <w:tcBorders>
              <w:bottom w:val="single" w:sz="8" w:color="auto"/>
            </w:tcBorders>
            <w:vMerge w:val="continue"/>
            <w:shd w:val="clear" w:color="auto" w:fill="CFF0FC"/>
          </w:tcPr>
          <w:p>
            <w:pPr>
              <w:spacing w:after="0"/>
              <w:rPr>
                <w:sz w:val="16"/>
                <w:szCs w:val="16"/>
                <w:color w:val="auto"/>
              </w:rPr>
            </w:pPr>
          </w:p>
        </w:tc>
        <w:tc>
          <w:tcPr>
            <w:tcW w:w="100" w:type="dxa"/>
            <w:vAlign w:val="bottom"/>
            <w:tcBorders>
              <w:bottom w:val="single" w:sz="8" w:color="auto"/>
            </w:tcBorders>
            <w:vMerge w:val="continue"/>
            <w:shd w:val="clear" w:color="auto" w:fill="CFF0FC"/>
          </w:tcPr>
          <w:p>
            <w:pPr>
              <w:spacing w:after="0"/>
              <w:rPr>
                <w:sz w:val="16"/>
                <w:szCs w:val="16"/>
                <w:color w:val="auto"/>
              </w:rPr>
            </w:pPr>
          </w:p>
        </w:tc>
        <w:tc>
          <w:tcPr>
            <w:tcW w:w="1220" w:type="dxa"/>
            <w:vAlign w:val="bottom"/>
            <w:tcBorders>
              <w:bottom w:val="single" w:sz="8" w:color="auto"/>
            </w:tcBorders>
            <w:vMerge w:val="continue"/>
            <w:shd w:val="clear" w:color="auto" w:fill="CFF0FC"/>
          </w:tcPr>
          <w:p>
            <w:pPr>
              <w:spacing w:after="0"/>
              <w:rPr>
                <w:sz w:val="16"/>
                <w:szCs w:val="16"/>
                <w:color w:val="auto"/>
              </w:rPr>
            </w:pPr>
          </w:p>
        </w:tc>
        <w:tc>
          <w:tcPr>
            <w:tcW w:w="160" w:type="dxa"/>
            <w:vAlign w:val="bottom"/>
            <w:tcBorders>
              <w:bottom w:val="single" w:sz="8" w:color="auto"/>
            </w:tcBorders>
            <w:vMerge w:val="continue"/>
            <w:shd w:val="clear" w:color="auto" w:fill="CFF0FC"/>
          </w:tcPr>
          <w:p>
            <w:pPr>
              <w:spacing w:after="0"/>
              <w:rPr>
                <w:sz w:val="16"/>
                <w:szCs w:val="16"/>
                <w:color w:val="auto"/>
              </w:rPr>
            </w:pPr>
          </w:p>
        </w:tc>
        <w:tc>
          <w:tcPr>
            <w:tcW w:w="780" w:type="dxa"/>
            <w:vAlign w:val="bottom"/>
            <w:tcBorders>
              <w:bottom w:val="single" w:sz="8" w:color="auto"/>
            </w:tcBorders>
            <w:vMerge w:val="continue"/>
            <w:shd w:val="clear" w:color="auto" w:fill="CFF0FC"/>
          </w:tcPr>
          <w:p>
            <w:pPr>
              <w:spacing w:after="0"/>
              <w:rPr>
                <w:sz w:val="16"/>
                <w:szCs w:val="16"/>
                <w:color w:val="auto"/>
              </w:rPr>
            </w:pPr>
          </w:p>
        </w:tc>
        <w:tc>
          <w:tcPr>
            <w:tcW w:w="220" w:type="dxa"/>
            <w:vAlign w:val="bottom"/>
            <w:tcBorders>
              <w:bottom w:val="single" w:sz="8" w:color="auto"/>
            </w:tcBorders>
            <w:vMerge w:val="continue"/>
            <w:shd w:val="clear" w:color="auto" w:fill="CFF0FC"/>
          </w:tcPr>
          <w:p>
            <w:pPr>
              <w:spacing w:after="0"/>
              <w:rPr>
                <w:sz w:val="16"/>
                <w:szCs w:val="16"/>
                <w:color w:val="auto"/>
              </w:rPr>
            </w:pPr>
          </w:p>
        </w:tc>
        <w:tc>
          <w:tcPr>
            <w:tcW w:w="820" w:type="dxa"/>
            <w:vAlign w:val="bottom"/>
            <w:tcBorders>
              <w:bottom w:val="single" w:sz="8" w:color="auto"/>
            </w:tcBorders>
            <w:vMerge w:val="continue"/>
            <w:shd w:val="clear" w:color="auto" w:fill="CFF0FC"/>
          </w:tcPr>
          <w:p>
            <w:pPr>
              <w:spacing w:after="0"/>
              <w:rPr>
                <w:sz w:val="16"/>
                <w:szCs w:val="16"/>
                <w:color w:val="auto"/>
              </w:rPr>
            </w:pPr>
          </w:p>
        </w:tc>
        <w:tc>
          <w:tcPr>
            <w:tcW w:w="240" w:type="dxa"/>
            <w:vAlign w:val="bottom"/>
            <w:tcBorders>
              <w:bottom w:val="single" w:sz="8" w:color="auto"/>
            </w:tcBorders>
            <w:vMerge w:val="continue"/>
            <w:shd w:val="clear" w:color="auto" w:fill="CFF0FC"/>
          </w:tcPr>
          <w:p>
            <w:pPr>
              <w:spacing w:after="0"/>
              <w:rPr>
                <w:sz w:val="16"/>
                <w:szCs w:val="16"/>
                <w:color w:val="auto"/>
              </w:rPr>
            </w:pPr>
          </w:p>
        </w:tc>
        <w:tc>
          <w:tcPr>
            <w:tcW w:w="780" w:type="dxa"/>
            <w:vAlign w:val="bottom"/>
            <w:tcBorders>
              <w:bottom w:val="single" w:sz="8" w:color="auto"/>
            </w:tcBorders>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ind w:left="4900"/>
        <w:spacing w:after="0"/>
        <w:rPr>
          <w:sz w:val="20"/>
          <w:szCs w:val="20"/>
          <w:color w:val="auto"/>
        </w:rPr>
      </w:pPr>
      <w:r>
        <w:rPr>
          <w:rFonts w:ascii="Times New Roman" w:cs="Times New Roman" w:eastAsia="Times New Roman" w:hAnsi="Times New Roman"/>
          <w:sz w:val="15"/>
          <w:szCs w:val="15"/>
          <w:b w:val="1"/>
          <w:bCs w:val="1"/>
          <w:color w:val="auto"/>
        </w:rPr>
        <w:t>ManpowerGroup Shareholders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780" w:type="dxa"/>
            <w:vAlign w:val="bottom"/>
          </w:tcPr>
          <w:p>
            <w:pPr>
              <w:spacing w:after="0"/>
              <w:rPr>
                <w:sz w:val="14"/>
                <w:szCs w:val="14"/>
                <w:color w:val="auto"/>
              </w:rPr>
            </w:pPr>
          </w:p>
        </w:tc>
        <w:tc>
          <w:tcPr>
            <w:tcW w:w="1680" w:type="dxa"/>
            <w:vAlign w:val="bottom"/>
            <w:tcBorders>
              <w:top w:val="single" w:sz="8" w:color="auto"/>
              <w:bottom w:val="single" w:sz="8" w:color="auto"/>
            </w:tcBorders>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20" w:type="dxa"/>
            <w:vAlign w:val="bottom"/>
            <w:tcBorders>
              <w:top w:val="single" w:sz="8" w:color="auto"/>
              <w:bottom w:val="single" w:sz="8" w:color="auto"/>
            </w:tcBorders>
            <w:vMerge w:val="restart"/>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Non-</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9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Par</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2"/>
                <w:szCs w:val="12"/>
                <w:color w:val="auto"/>
              </w:rPr>
            </w:pPr>
          </w:p>
        </w:tc>
        <w:tc>
          <w:tcPr>
            <w:tcW w:w="122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7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Excess of</w:t>
            </w:r>
          </w:p>
        </w:tc>
        <w:tc>
          <w:tcPr>
            <w:tcW w:w="1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240" w:type="dxa"/>
            <w:vAlign w:val="bottom"/>
          </w:tcPr>
          <w:p>
            <w:pPr>
              <w:spacing w:after="0"/>
              <w:rPr>
                <w:sz w:val="12"/>
                <w:szCs w:val="12"/>
                <w:color w:val="auto"/>
              </w:rPr>
            </w:pPr>
          </w:p>
        </w:tc>
        <w:tc>
          <w:tcPr>
            <w:tcW w:w="78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27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w w:val="99"/>
              </w:rPr>
              <w:t>Par Value</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78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color w:val="auto"/>
              </w:rPr>
              <w:t>Balance, December 31, 2022</w:t>
            </w:r>
          </w:p>
        </w:tc>
        <w:tc>
          <w:tcPr>
            <w:tcW w:w="960" w:type="dxa"/>
            <w:vAlign w:val="bottom"/>
            <w:shd w:val="clear" w:color="auto" w:fill="CFF0FC"/>
          </w:tcPr>
          <w:p>
            <w:pPr>
              <w:jc w:val="right"/>
              <w:ind w:right="68"/>
              <w:spacing w:after="0" w:line="133" w:lineRule="exact"/>
              <w:rPr>
                <w:sz w:val="20"/>
                <w:szCs w:val="20"/>
                <w:color w:val="auto"/>
              </w:rPr>
            </w:pPr>
            <w:r>
              <w:rPr>
                <w:rFonts w:ascii="Times New Roman" w:cs="Times New Roman" w:eastAsia="Times New Roman" w:hAnsi="Times New Roman"/>
                <w:sz w:val="14"/>
                <w:szCs w:val="14"/>
                <w:color w:val="auto"/>
              </w:rPr>
              <w:t>118,028,00</w:t>
            </w:r>
          </w:p>
        </w:tc>
        <w:tc>
          <w:tcPr>
            <w:tcW w:w="720" w:type="dxa"/>
            <w:vAlign w:val="bottom"/>
            <w:vMerge w:val="restart"/>
            <w:shd w:val="clear" w:color="auto" w:fill="CFF0FC"/>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3,484.2</w:t>
            </w: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3,868.5</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(458.7 )</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(4,447.9 )</w:t>
            </w:r>
          </w:p>
        </w:tc>
        <w:tc>
          <w:tcPr>
            <w:tcW w:w="220" w:type="dxa"/>
            <w:vAlign w:val="bottom"/>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10.8</w:t>
            </w:r>
          </w:p>
        </w:tc>
        <w:tc>
          <w:tcPr>
            <w:tcW w:w="24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2,458.1</w:t>
            </w:r>
          </w:p>
        </w:tc>
        <w:tc>
          <w:tcPr>
            <w:tcW w:w="0" w:type="dxa"/>
            <w:vAlign w:val="bottom"/>
          </w:tcPr>
          <w:p>
            <w:pPr>
              <w:spacing w:after="0"/>
              <w:rPr>
                <w:sz w:val="1"/>
                <w:szCs w:val="1"/>
                <w:color w:val="auto"/>
              </w:rPr>
            </w:pPr>
          </w:p>
        </w:tc>
      </w:tr>
      <w:tr>
        <w:trPr>
          <w:trHeight w:val="185"/>
        </w:trPr>
        <w:tc>
          <w:tcPr>
            <w:tcW w:w="278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720" w:type="dxa"/>
            <w:vAlign w:val="bottom"/>
            <w:vMerge w:val="continue"/>
            <w:shd w:val="clear" w:color="auto" w:fill="CFF0FC"/>
          </w:tcPr>
          <w:p>
            <w:pPr>
              <w:spacing w:after="0"/>
              <w:rPr>
                <w:sz w:val="16"/>
                <w:szCs w:val="16"/>
                <w:color w:val="auto"/>
              </w:rPr>
            </w:pPr>
          </w:p>
        </w:tc>
        <w:tc>
          <w:tcPr>
            <w:tcW w:w="320" w:type="dxa"/>
            <w:vAlign w:val="bottom"/>
            <w:vMerge w:val="continue"/>
            <w:shd w:val="clear" w:color="auto" w:fill="CFF0FC"/>
          </w:tcPr>
          <w:p>
            <w:pPr>
              <w:spacing w:after="0"/>
              <w:rPr>
                <w:sz w:val="16"/>
                <w:szCs w:val="16"/>
                <w:color w:val="auto"/>
              </w:rPr>
            </w:pPr>
          </w:p>
        </w:tc>
        <w:tc>
          <w:tcPr>
            <w:tcW w:w="220" w:type="dxa"/>
            <w:vAlign w:val="bottom"/>
            <w:vMerge w:val="continue"/>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180" w:type="dxa"/>
            <w:vAlign w:val="bottom"/>
            <w:vMerge w:val="continue"/>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160" w:type="dxa"/>
            <w:vAlign w:val="bottom"/>
            <w:vMerge w:val="continue"/>
            <w:shd w:val="clear" w:color="auto" w:fill="CFF0FC"/>
          </w:tcPr>
          <w:p>
            <w:pPr>
              <w:spacing w:after="0"/>
              <w:rPr>
                <w:sz w:val="16"/>
                <w:szCs w:val="16"/>
                <w:color w:val="auto"/>
              </w:rPr>
            </w:pPr>
          </w:p>
        </w:tc>
        <w:tc>
          <w:tcPr>
            <w:tcW w:w="1220" w:type="dxa"/>
            <w:vAlign w:val="bottom"/>
            <w:vMerge w:val="continue"/>
            <w:shd w:val="clear" w:color="auto" w:fill="CFF0FC"/>
          </w:tcPr>
          <w:p>
            <w:pPr>
              <w:spacing w:after="0"/>
              <w:rPr>
                <w:sz w:val="16"/>
                <w:szCs w:val="16"/>
                <w:color w:val="auto"/>
              </w:rPr>
            </w:pPr>
          </w:p>
        </w:tc>
        <w:tc>
          <w:tcPr>
            <w:tcW w:w="160" w:type="dxa"/>
            <w:vAlign w:val="bottom"/>
            <w:vMerge w:val="continue"/>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220" w:type="dxa"/>
            <w:vAlign w:val="bottom"/>
            <w:vMerge w:val="continue"/>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240" w:type="dxa"/>
            <w:vAlign w:val="bottom"/>
            <w:vMerge w:val="continue"/>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earnings</w:t>
            </w:r>
          </w:p>
        </w:tc>
        <w:tc>
          <w:tcPr>
            <w:tcW w:w="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77.8</w:t>
            </w: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77.8</w:t>
            </w:r>
          </w:p>
        </w:tc>
        <w:tc>
          <w:tcPr>
            <w:tcW w:w="0" w:type="dxa"/>
            <w:vAlign w:val="bottom"/>
          </w:tcPr>
          <w:p>
            <w:pPr>
              <w:spacing w:after="0"/>
              <w:rPr>
                <w:sz w:val="1"/>
                <w:szCs w:val="1"/>
                <w:color w:val="auto"/>
              </w:rPr>
            </w:pPr>
          </w:p>
        </w:tc>
      </w:tr>
      <w:tr>
        <w:trPr>
          <w:trHeight w:val="175"/>
        </w:trPr>
        <w:tc>
          <w:tcPr>
            <w:tcW w:w="2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9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7.1</w:t>
            </w: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76"/>
        </w:trPr>
        <w:tc>
          <w:tcPr>
            <w:tcW w:w="2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Issuances under equity plans</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336,079</w:t>
            </w: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1.3</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(9.9 )</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(8.6 )</w:t>
            </w:r>
          </w:p>
        </w:tc>
        <w:tc>
          <w:tcPr>
            <w:tcW w:w="0" w:type="dxa"/>
            <w:vAlign w:val="bottom"/>
          </w:tcPr>
          <w:p>
            <w:pPr>
              <w:spacing w:after="0"/>
              <w:rPr>
                <w:sz w:val="1"/>
                <w:szCs w:val="1"/>
                <w:color w:val="auto"/>
              </w:rPr>
            </w:pPr>
          </w:p>
        </w:tc>
      </w:tr>
      <w:tr>
        <w:trPr>
          <w:trHeight w:val="175"/>
        </w:trPr>
        <w:tc>
          <w:tcPr>
            <w:tcW w:w="2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9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5.1</w:t>
            </w: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39"/>
        </w:trPr>
        <w:tc>
          <w:tcPr>
            <w:tcW w:w="278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Repurchases of common stock, including</w:t>
            </w:r>
          </w:p>
        </w:tc>
        <w:tc>
          <w:tcPr>
            <w:tcW w:w="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(30.3 )</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(30.3 )</w:t>
            </w:r>
          </w:p>
        </w:tc>
        <w:tc>
          <w:tcPr>
            <w:tcW w:w="0" w:type="dxa"/>
            <w:vAlign w:val="bottom"/>
          </w:tcPr>
          <w:p>
            <w:pPr>
              <w:spacing w:after="0"/>
              <w:rPr>
                <w:sz w:val="1"/>
                <w:szCs w:val="1"/>
                <w:color w:val="auto"/>
              </w:rPr>
            </w:pPr>
          </w:p>
        </w:tc>
      </w:tr>
      <w:tr>
        <w:trPr>
          <w:trHeight w:val="185"/>
        </w:trPr>
        <w:tc>
          <w:tcPr>
            <w:tcW w:w="2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excise tax</w:t>
            </w: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78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Noncontrolling interest transactions</w:t>
            </w:r>
          </w:p>
        </w:tc>
        <w:tc>
          <w:tcPr>
            <w:tcW w:w="96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0.2</w:t>
            </w:r>
          </w:p>
        </w:tc>
        <w:tc>
          <w:tcPr>
            <w:tcW w:w="24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33"/>
        </w:trPr>
        <w:tc>
          <w:tcPr>
            <w:tcW w:w="278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auto"/>
              </w:rPr>
              <w:t>Balance, March 31, 2023</w:t>
            </w:r>
          </w:p>
        </w:tc>
        <w:tc>
          <w:tcPr>
            <w:tcW w:w="960" w:type="dxa"/>
            <w:vAlign w:val="bottom"/>
          </w:tcPr>
          <w:p>
            <w:pPr>
              <w:jc w:val="right"/>
              <w:ind w:right="68"/>
              <w:spacing w:after="0" w:line="133" w:lineRule="exact"/>
              <w:rPr>
                <w:sz w:val="20"/>
                <w:szCs w:val="20"/>
                <w:color w:val="auto"/>
              </w:rPr>
            </w:pPr>
            <w:r>
              <w:rPr>
                <w:rFonts w:ascii="Times New Roman" w:cs="Times New Roman" w:eastAsia="Times New Roman" w:hAnsi="Times New Roman"/>
                <w:sz w:val="14"/>
                <w:szCs w:val="14"/>
                <w:color w:val="auto"/>
              </w:rPr>
              <w:t>118,364,08</w:t>
            </w:r>
          </w:p>
        </w:tc>
        <w:tc>
          <w:tcPr>
            <w:tcW w:w="720" w:type="dxa"/>
            <w:vAlign w:val="bottom"/>
            <w:vMerge w:val="restart"/>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3,490.6</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3,946.3</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(451.6 )</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(4,488.1 )</w:t>
            </w:r>
          </w:p>
        </w:tc>
        <w:tc>
          <w:tcPr>
            <w:tcW w:w="2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11.0</w:t>
            </w:r>
          </w:p>
        </w:tc>
        <w:tc>
          <w:tcPr>
            <w:tcW w:w="2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2,509.4</w:t>
            </w:r>
          </w:p>
        </w:tc>
        <w:tc>
          <w:tcPr>
            <w:tcW w:w="0" w:type="dxa"/>
            <w:vAlign w:val="bottom"/>
          </w:tcPr>
          <w:p>
            <w:pPr>
              <w:spacing w:after="0"/>
              <w:rPr>
                <w:sz w:val="1"/>
                <w:szCs w:val="1"/>
                <w:color w:val="auto"/>
              </w:rPr>
            </w:pPr>
          </w:p>
        </w:tc>
      </w:tr>
      <w:tr>
        <w:trPr>
          <w:trHeight w:val="185"/>
        </w:trPr>
        <w:tc>
          <w:tcPr>
            <w:tcW w:w="27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7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earnings</w:t>
            </w:r>
          </w:p>
        </w:tc>
        <w:tc>
          <w:tcPr>
            <w:tcW w:w="9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65.2</w:t>
            </w:r>
          </w:p>
        </w:tc>
        <w:tc>
          <w:tcPr>
            <w:tcW w:w="1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65.2</w:t>
            </w:r>
          </w:p>
        </w:tc>
        <w:tc>
          <w:tcPr>
            <w:tcW w:w="0" w:type="dxa"/>
            <w:vAlign w:val="bottom"/>
          </w:tcPr>
          <w:p>
            <w:pPr>
              <w:spacing w:after="0"/>
              <w:rPr>
                <w:sz w:val="1"/>
                <w:szCs w:val="1"/>
                <w:color w:val="auto"/>
              </w:rPr>
            </w:pPr>
          </w:p>
        </w:tc>
      </w:tr>
      <w:tr>
        <w:trPr>
          <w:trHeight w:val="175"/>
        </w:trPr>
        <w:tc>
          <w:tcPr>
            <w:tcW w:w="2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comprehensive loss</w:t>
            </w:r>
          </w:p>
        </w:tc>
        <w:tc>
          <w:tcPr>
            <w:tcW w:w="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(7.9 )</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(7.9 )</w:t>
            </w:r>
          </w:p>
        </w:tc>
        <w:tc>
          <w:tcPr>
            <w:tcW w:w="0" w:type="dxa"/>
            <w:vAlign w:val="bottom"/>
          </w:tcPr>
          <w:p>
            <w:pPr>
              <w:spacing w:after="0"/>
              <w:rPr>
                <w:sz w:val="1"/>
                <w:szCs w:val="1"/>
                <w:color w:val="auto"/>
              </w:rPr>
            </w:pPr>
          </w:p>
        </w:tc>
      </w:tr>
      <w:tr>
        <w:trPr>
          <w:trHeight w:val="176"/>
        </w:trPr>
        <w:tc>
          <w:tcPr>
            <w:tcW w:w="2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Issuances under equity plans</w:t>
            </w: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854</w:t>
            </w:r>
          </w:p>
        </w:tc>
        <w:tc>
          <w:tcPr>
            <w:tcW w:w="7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(0.2 )</w:t>
            </w: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0.1</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0" w:type="dxa"/>
            <w:vAlign w:val="bottom"/>
          </w:tcPr>
          <w:p>
            <w:pPr>
              <w:spacing w:after="0"/>
              <w:rPr>
                <w:sz w:val="1"/>
                <w:szCs w:val="1"/>
                <w:color w:val="auto"/>
              </w:rPr>
            </w:pPr>
          </w:p>
        </w:tc>
      </w:tr>
      <w:tr>
        <w:trPr>
          <w:trHeight w:val="175"/>
        </w:trPr>
        <w:tc>
          <w:tcPr>
            <w:tcW w:w="2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6.9</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76"/>
        </w:trPr>
        <w:tc>
          <w:tcPr>
            <w:tcW w:w="2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Dividends</w:t>
            </w:r>
          </w:p>
        </w:tc>
        <w:tc>
          <w:tcPr>
            <w:tcW w:w="9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(73.1 )</w:t>
            </w: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(73.1 )</w:t>
            </w:r>
          </w:p>
        </w:tc>
        <w:tc>
          <w:tcPr>
            <w:tcW w:w="0" w:type="dxa"/>
            <w:vAlign w:val="bottom"/>
          </w:tcPr>
          <w:p>
            <w:pPr>
              <w:spacing w:after="0"/>
              <w:rPr>
                <w:sz w:val="1"/>
                <w:szCs w:val="1"/>
                <w:color w:val="auto"/>
              </w:rPr>
            </w:pPr>
          </w:p>
        </w:tc>
      </w:tr>
      <w:tr>
        <w:trPr>
          <w:trHeight w:val="139"/>
        </w:trPr>
        <w:tc>
          <w:tcPr>
            <w:tcW w:w="278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Repurchases of common stock, including</w:t>
            </w:r>
          </w:p>
        </w:tc>
        <w:tc>
          <w:tcPr>
            <w:tcW w:w="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(50.2 )</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(50.2 )</w:t>
            </w:r>
          </w:p>
        </w:tc>
        <w:tc>
          <w:tcPr>
            <w:tcW w:w="0" w:type="dxa"/>
            <w:vAlign w:val="bottom"/>
          </w:tcPr>
          <w:p>
            <w:pPr>
              <w:spacing w:after="0"/>
              <w:rPr>
                <w:sz w:val="1"/>
                <w:szCs w:val="1"/>
                <w:color w:val="auto"/>
              </w:rPr>
            </w:pPr>
          </w:p>
        </w:tc>
      </w:tr>
      <w:tr>
        <w:trPr>
          <w:trHeight w:val="185"/>
        </w:trPr>
        <w:tc>
          <w:tcPr>
            <w:tcW w:w="2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excise tax</w:t>
            </w: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78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Noncontrolling interest transactions</w:t>
            </w:r>
          </w:p>
        </w:tc>
        <w:tc>
          <w:tcPr>
            <w:tcW w:w="96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(0.4 )</w:t>
            </w:r>
          </w:p>
        </w:tc>
        <w:tc>
          <w:tcPr>
            <w:tcW w:w="24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(0.4 )</w:t>
            </w:r>
          </w:p>
        </w:tc>
        <w:tc>
          <w:tcPr>
            <w:tcW w:w="0" w:type="dxa"/>
            <w:vAlign w:val="bottom"/>
          </w:tcPr>
          <w:p>
            <w:pPr>
              <w:spacing w:after="0"/>
              <w:rPr>
                <w:sz w:val="1"/>
                <w:szCs w:val="1"/>
                <w:color w:val="auto"/>
              </w:rPr>
            </w:pPr>
          </w:p>
        </w:tc>
      </w:tr>
      <w:tr>
        <w:trPr>
          <w:trHeight w:val="133"/>
        </w:trPr>
        <w:tc>
          <w:tcPr>
            <w:tcW w:w="278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auto"/>
              </w:rPr>
              <w:t>Balance, June 30, 2023</w:t>
            </w:r>
          </w:p>
        </w:tc>
        <w:tc>
          <w:tcPr>
            <w:tcW w:w="960" w:type="dxa"/>
            <w:vAlign w:val="bottom"/>
          </w:tcPr>
          <w:p>
            <w:pPr>
              <w:jc w:val="right"/>
              <w:ind w:right="68"/>
              <w:spacing w:after="0" w:line="133" w:lineRule="exact"/>
              <w:rPr>
                <w:sz w:val="20"/>
                <w:szCs w:val="20"/>
                <w:color w:val="auto"/>
              </w:rPr>
            </w:pPr>
            <w:r>
              <w:rPr>
                <w:rFonts w:ascii="Times New Roman" w:cs="Times New Roman" w:eastAsia="Times New Roman" w:hAnsi="Times New Roman"/>
                <w:sz w:val="14"/>
                <w:szCs w:val="14"/>
                <w:color w:val="auto"/>
              </w:rPr>
              <w:t>118,364,94</w:t>
            </w:r>
          </w:p>
        </w:tc>
        <w:tc>
          <w:tcPr>
            <w:tcW w:w="720" w:type="dxa"/>
            <w:vAlign w:val="bottom"/>
            <w:vMerge w:val="restart"/>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3,497.3</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3,938.4</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(459.5 )</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(4,538.2 )</w:t>
            </w:r>
          </w:p>
        </w:tc>
        <w:tc>
          <w:tcPr>
            <w:tcW w:w="2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10.6</w:t>
            </w:r>
          </w:p>
        </w:tc>
        <w:tc>
          <w:tcPr>
            <w:tcW w:w="2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2,449.8</w:t>
            </w:r>
          </w:p>
        </w:tc>
        <w:tc>
          <w:tcPr>
            <w:tcW w:w="0" w:type="dxa"/>
            <w:vAlign w:val="bottom"/>
          </w:tcPr>
          <w:p>
            <w:pPr>
              <w:spacing w:after="0"/>
              <w:rPr>
                <w:sz w:val="1"/>
                <w:szCs w:val="1"/>
                <w:color w:val="auto"/>
              </w:rPr>
            </w:pPr>
          </w:p>
        </w:tc>
      </w:tr>
      <w:tr>
        <w:trPr>
          <w:trHeight w:val="185"/>
        </w:trPr>
        <w:tc>
          <w:tcPr>
            <w:tcW w:w="27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7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earnings</w:t>
            </w:r>
          </w:p>
        </w:tc>
        <w:tc>
          <w:tcPr>
            <w:tcW w:w="9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30.3</w:t>
            </w:r>
          </w:p>
        </w:tc>
        <w:tc>
          <w:tcPr>
            <w:tcW w:w="1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30.3</w:t>
            </w:r>
          </w:p>
        </w:tc>
        <w:tc>
          <w:tcPr>
            <w:tcW w:w="0" w:type="dxa"/>
            <w:vAlign w:val="bottom"/>
          </w:tcPr>
          <w:p>
            <w:pPr>
              <w:spacing w:after="0"/>
              <w:rPr>
                <w:sz w:val="1"/>
                <w:szCs w:val="1"/>
                <w:color w:val="auto"/>
              </w:rPr>
            </w:pPr>
          </w:p>
        </w:tc>
      </w:tr>
      <w:tr>
        <w:trPr>
          <w:trHeight w:val="176"/>
        </w:trPr>
        <w:tc>
          <w:tcPr>
            <w:tcW w:w="2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comprehensive loss</w:t>
            </w:r>
          </w:p>
        </w:tc>
        <w:tc>
          <w:tcPr>
            <w:tcW w:w="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(23.6 )</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(23.6 )</w:t>
            </w:r>
          </w:p>
        </w:tc>
        <w:tc>
          <w:tcPr>
            <w:tcW w:w="0" w:type="dxa"/>
            <w:vAlign w:val="bottom"/>
          </w:tcPr>
          <w:p>
            <w:pPr>
              <w:spacing w:after="0"/>
              <w:rPr>
                <w:sz w:val="1"/>
                <w:szCs w:val="1"/>
                <w:color w:val="auto"/>
              </w:rPr>
            </w:pPr>
          </w:p>
        </w:tc>
      </w:tr>
      <w:tr>
        <w:trPr>
          <w:trHeight w:val="175"/>
        </w:trPr>
        <w:tc>
          <w:tcPr>
            <w:tcW w:w="2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Issuances under equity plans</w:t>
            </w: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13,472</w:t>
            </w:r>
          </w:p>
        </w:tc>
        <w:tc>
          <w:tcPr>
            <w:tcW w:w="7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(0.3 )</w:t>
            </w: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(0.5 )</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(0.8 )</w:t>
            </w:r>
          </w:p>
        </w:tc>
        <w:tc>
          <w:tcPr>
            <w:tcW w:w="0" w:type="dxa"/>
            <w:vAlign w:val="bottom"/>
          </w:tcPr>
          <w:p>
            <w:pPr>
              <w:spacing w:after="0"/>
              <w:rPr>
                <w:sz w:val="1"/>
                <w:szCs w:val="1"/>
                <w:color w:val="auto"/>
              </w:rPr>
            </w:pPr>
          </w:p>
        </w:tc>
      </w:tr>
      <w:tr>
        <w:trPr>
          <w:trHeight w:val="176"/>
        </w:trPr>
        <w:tc>
          <w:tcPr>
            <w:tcW w:w="2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8.0</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39"/>
        </w:trPr>
        <w:tc>
          <w:tcPr>
            <w:tcW w:w="278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Repurchases of common stock, including</w:t>
            </w:r>
          </w:p>
        </w:tc>
        <w:tc>
          <w:tcPr>
            <w:tcW w:w="9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(50.4 )</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(50.4 )</w:t>
            </w:r>
          </w:p>
        </w:tc>
        <w:tc>
          <w:tcPr>
            <w:tcW w:w="0" w:type="dxa"/>
            <w:vAlign w:val="bottom"/>
          </w:tcPr>
          <w:p>
            <w:pPr>
              <w:spacing w:after="0"/>
              <w:rPr>
                <w:sz w:val="1"/>
                <w:szCs w:val="1"/>
                <w:color w:val="auto"/>
              </w:rPr>
            </w:pPr>
          </w:p>
        </w:tc>
      </w:tr>
      <w:tr>
        <w:trPr>
          <w:trHeight w:val="185"/>
        </w:trPr>
        <w:tc>
          <w:tcPr>
            <w:tcW w:w="2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excise tax</w:t>
            </w:r>
          </w:p>
        </w:tc>
        <w:tc>
          <w:tcPr>
            <w:tcW w:w="9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7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Noncontrolling interest transactions</w:t>
            </w:r>
          </w:p>
        </w:tc>
        <w:tc>
          <w:tcPr>
            <w:tcW w:w="9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3"/>
        </w:trPr>
        <w:tc>
          <w:tcPr>
            <w:tcW w:w="278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color w:val="auto"/>
              </w:rPr>
              <w:t>Balance, September 30, 2023</w:t>
            </w:r>
          </w:p>
        </w:tc>
        <w:tc>
          <w:tcPr>
            <w:tcW w:w="960" w:type="dxa"/>
            <w:vAlign w:val="bottom"/>
            <w:shd w:val="clear" w:color="auto" w:fill="CFF0FC"/>
          </w:tcPr>
          <w:p>
            <w:pPr>
              <w:jc w:val="right"/>
              <w:ind w:right="68"/>
              <w:spacing w:after="0" w:line="133" w:lineRule="exact"/>
              <w:rPr>
                <w:sz w:val="20"/>
                <w:szCs w:val="20"/>
                <w:color w:val="auto"/>
              </w:rPr>
            </w:pPr>
            <w:r>
              <w:rPr>
                <w:rFonts w:ascii="Times New Roman" w:cs="Times New Roman" w:eastAsia="Times New Roman" w:hAnsi="Times New Roman"/>
                <w:sz w:val="14"/>
                <w:szCs w:val="14"/>
                <w:color w:val="auto"/>
              </w:rPr>
              <w:t>118,378,41</w:t>
            </w:r>
          </w:p>
        </w:tc>
        <w:tc>
          <w:tcPr>
            <w:tcW w:w="720" w:type="dxa"/>
            <w:vAlign w:val="bottom"/>
            <w:vMerge w:val="restart"/>
            <w:shd w:val="clear" w:color="auto" w:fill="CFF0FC"/>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3,505.0</w:t>
            </w: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3,968.7</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(483.1 )</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(4,589.1 )</w:t>
            </w:r>
          </w:p>
        </w:tc>
        <w:tc>
          <w:tcPr>
            <w:tcW w:w="220" w:type="dxa"/>
            <w:vAlign w:val="bottom"/>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10.6</w:t>
            </w:r>
          </w:p>
        </w:tc>
        <w:tc>
          <w:tcPr>
            <w:tcW w:w="24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2,413.3</w:t>
            </w:r>
          </w:p>
        </w:tc>
        <w:tc>
          <w:tcPr>
            <w:tcW w:w="0" w:type="dxa"/>
            <w:vAlign w:val="bottom"/>
          </w:tcPr>
          <w:p>
            <w:pPr>
              <w:spacing w:after="0"/>
              <w:rPr>
                <w:sz w:val="1"/>
                <w:szCs w:val="1"/>
                <w:color w:val="auto"/>
              </w:rPr>
            </w:pPr>
          </w:p>
        </w:tc>
      </w:tr>
      <w:tr>
        <w:trPr>
          <w:trHeight w:val="185"/>
        </w:trPr>
        <w:tc>
          <w:tcPr>
            <w:tcW w:w="278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720" w:type="dxa"/>
            <w:vAlign w:val="bottom"/>
            <w:tcBorders>
              <w:bottom w:val="single" w:sz="8" w:color="auto"/>
            </w:tcBorders>
            <w:vMerge w:val="continue"/>
            <w:shd w:val="clear" w:color="auto" w:fill="CFF0FC"/>
          </w:tcPr>
          <w:p>
            <w:pPr>
              <w:spacing w:after="0"/>
              <w:rPr>
                <w:sz w:val="16"/>
                <w:szCs w:val="16"/>
                <w:color w:val="auto"/>
              </w:rPr>
            </w:pPr>
          </w:p>
        </w:tc>
        <w:tc>
          <w:tcPr>
            <w:tcW w:w="320" w:type="dxa"/>
            <w:vAlign w:val="bottom"/>
            <w:tcBorders>
              <w:bottom w:val="single" w:sz="8" w:color="auto"/>
            </w:tcBorders>
            <w:vMerge w:val="continue"/>
            <w:shd w:val="clear" w:color="auto" w:fill="CFF0FC"/>
          </w:tcPr>
          <w:p>
            <w:pPr>
              <w:spacing w:after="0"/>
              <w:rPr>
                <w:sz w:val="16"/>
                <w:szCs w:val="16"/>
                <w:color w:val="auto"/>
              </w:rPr>
            </w:pPr>
          </w:p>
        </w:tc>
        <w:tc>
          <w:tcPr>
            <w:tcW w:w="220" w:type="dxa"/>
            <w:vAlign w:val="bottom"/>
            <w:tcBorders>
              <w:bottom w:val="single" w:sz="8" w:color="auto"/>
            </w:tcBorders>
            <w:vMerge w:val="continue"/>
            <w:shd w:val="clear" w:color="auto" w:fill="CFF0FC"/>
          </w:tcPr>
          <w:p>
            <w:pPr>
              <w:spacing w:after="0"/>
              <w:rPr>
                <w:sz w:val="16"/>
                <w:szCs w:val="16"/>
                <w:color w:val="auto"/>
              </w:rPr>
            </w:pPr>
          </w:p>
        </w:tc>
        <w:tc>
          <w:tcPr>
            <w:tcW w:w="860" w:type="dxa"/>
            <w:vAlign w:val="bottom"/>
            <w:tcBorders>
              <w:bottom w:val="single" w:sz="8" w:color="auto"/>
            </w:tcBorders>
            <w:vMerge w:val="continue"/>
            <w:shd w:val="clear" w:color="auto" w:fill="CFF0FC"/>
          </w:tcPr>
          <w:p>
            <w:pPr>
              <w:spacing w:after="0"/>
              <w:rPr>
                <w:sz w:val="16"/>
                <w:szCs w:val="16"/>
                <w:color w:val="auto"/>
              </w:rPr>
            </w:pPr>
          </w:p>
        </w:tc>
        <w:tc>
          <w:tcPr>
            <w:tcW w:w="180" w:type="dxa"/>
            <w:vAlign w:val="bottom"/>
            <w:tcBorders>
              <w:bottom w:val="single" w:sz="8" w:color="auto"/>
            </w:tcBorders>
            <w:vMerge w:val="continue"/>
            <w:shd w:val="clear" w:color="auto" w:fill="CFF0FC"/>
          </w:tcPr>
          <w:p>
            <w:pPr>
              <w:spacing w:after="0"/>
              <w:rPr>
                <w:sz w:val="16"/>
                <w:szCs w:val="16"/>
                <w:color w:val="auto"/>
              </w:rPr>
            </w:pPr>
          </w:p>
        </w:tc>
        <w:tc>
          <w:tcPr>
            <w:tcW w:w="820" w:type="dxa"/>
            <w:vAlign w:val="bottom"/>
            <w:tcBorders>
              <w:bottom w:val="single" w:sz="8" w:color="auto"/>
            </w:tcBorders>
            <w:vMerge w:val="continue"/>
            <w:shd w:val="clear" w:color="auto" w:fill="CFF0FC"/>
          </w:tcPr>
          <w:p>
            <w:pPr>
              <w:spacing w:after="0"/>
              <w:rPr>
                <w:sz w:val="16"/>
                <w:szCs w:val="16"/>
                <w:color w:val="auto"/>
              </w:rPr>
            </w:pPr>
          </w:p>
        </w:tc>
        <w:tc>
          <w:tcPr>
            <w:tcW w:w="160" w:type="dxa"/>
            <w:vAlign w:val="bottom"/>
            <w:tcBorders>
              <w:bottom w:val="single" w:sz="8" w:color="auto"/>
            </w:tcBorders>
            <w:vMerge w:val="continue"/>
            <w:shd w:val="clear" w:color="auto" w:fill="CFF0FC"/>
          </w:tcPr>
          <w:p>
            <w:pPr>
              <w:spacing w:after="0"/>
              <w:rPr>
                <w:sz w:val="16"/>
                <w:szCs w:val="16"/>
                <w:color w:val="auto"/>
              </w:rPr>
            </w:pPr>
          </w:p>
        </w:tc>
        <w:tc>
          <w:tcPr>
            <w:tcW w:w="1220" w:type="dxa"/>
            <w:vAlign w:val="bottom"/>
            <w:tcBorders>
              <w:bottom w:val="single" w:sz="8" w:color="auto"/>
            </w:tcBorders>
            <w:vMerge w:val="continue"/>
            <w:shd w:val="clear" w:color="auto" w:fill="CFF0FC"/>
          </w:tcPr>
          <w:p>
            <w:pPr>
              <w:spacing w:after="0"/>
              <w:rPr>
                <w:sz w:val="16"/>
                <w:szCs w:val="16"/>
                <w:color w:val="auto"/>
              </w:rPr>
            </w:pPr>
          </w:p>
        </w:tc>
        <w:tc>
          <w:tcPr>
            <w:tcW w:w="160" w:type="dxa"/>
            <w:vAlign w:val="bottom"/>
            <w:tcBorders>
              <w:bottom w:val="single" w:sz="8" w:color="auto"/>
            </w:tcBorders>
            <w:vMerge w:val="continue"/>
            <w:shd w:val="clear" w:color="auto" w:fill="CFF0FC"/>
          </w:tcPr>
          <w:p>
            <w:pPr>
              <w:spacing w:after="0"/>
              <w:rPr>
                <w:sz w:val="16"/>
                <w:szCs w:val="16"/>
                <w:color w:val="auto"/>
              </w:rPr>
            </w:pPr>
          </w:p>
        </w:tc>
        <w:tc>
          <w:tcPr>
            <w:tcW w:w="780" w:type="dxa"/>
            <w:vAlign w:val="bottom"/>
            <w:tcBorders>
              <w:bottom w:val="single" w:sz="8" w:color="auto"/>
            </w:tcBorders>
            <w:vMerge w:val="continue"/>
            <w:shd w:val="clear" w:color="auto" w:fill="CFF0FC"/>
          </w:tcPr>
          <w:p>
            <w:pPr>
              <w:spacing w:after="0"/>
              <w:rPr>
                <w:sz w:val="16"/>
                <w:szCs w:val="16"/>
                <w:color w:val="auto"/>
              </w:rPr>
            </w:pPr>
          </w:p>
        </w:tc>
        <w:tc>
          <w:tcPr>
            <w:tcW w:w="220" w:type="dxa"/>
            <w:vAlign w:val="bottom"/>
            <w:tcBorders>
              <w:bottom w:val="single" w:sz="8" w:color="auto"/>
            </w:tcBorders>
            <w:vMerge w:val="continue"/>
            <w:shd w:val="clear" w:color="auto" w:fill="CFF0FC"/>
          </w:tcPr>
          <w:p>
            <w:pPr>
              <w:spacing w:after="0"/>
              <w:rPr>
                <w:sz w:val="16"/>
                <w:szCs w:val="16"/>
                <w:color w:val="auto"/>
              </w:rPr>
            </w:pPr>
          </w:p>
        </w:tc>
        <w:tc>
          <w:tcPr>
            <w:tcW w:w="820" w:type="dxa"/>
            <w:vAlign w:val="bottom"/>
            <w:tcBorders>
              <w:bottom w:val="single" w:sz="8" w:color="auto"/>
            </w:tcBorders>
            <w:vMerge w:val="continue"/>
            <w:shd w:val="clear" w:color="auto" w:fill="CFF0FC"/>
          </w:tcPr>
          <w:p>
            <w:pPr>
              <w:spacing w:after="0"/>
              <w:rPr>
                <w:sz w:val="16"/>
                <w:szCs w:val="16"/>
                <w:color w:val="auto"/>
              </w:rPr>
            </w:pPr>
          </w:p>
        </w:tc>
        <w:tc>
          <w:tcPr>
            <w:tcW w:w="240" w:type="dxa"/>
            <w:vAlign w:val="bottom"/>
            <w:tcBorders>
              <w:bottom w:val="single" w:sz="8" w:color="auto"/>
            </w:tcBorders>
            <w:vMerge w:val="continue"/>
            <w:shd w:val="clear" w:color="auto" w:fill="CFF0FC"/>
          </w:tcPr>
          <w:p>
            <w:pPr>
              <w:spacing w:after="0"/>
              <w:rPr>
                <w:sz w:val="16"/>
                <w:szCs w:val="16"/>
                <w:color w:val="auto"/>
              </w:rPr>
            </w:pPr>
          </w:p>
        </w:tc>
        <w:tc>
          <w:tcPr>
            <w:tcW w:w="780" w:type="dxa"/>
            <w:vAlign w:val="bottom"/>
            <w:tcBorders>
              <w:bottom w:val="single" w:sz="8" w:color="auto"/>
            </w:tcBorders>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and per share data)</w:t>
      </w:r>
    </w:p>
    <w:p>
      <w:pPr>
        <w:spacing w:after="0" w:line="203"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Basis of Presentation and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the financial statements prepared in accordance with United States Generally Accepted Accounting Principles ("GAAP") have been condensed or omitted pursuant to the rules and regulations of the Securities and Exchange Commission, although we believe that the disclosures are adequate to make the information presented not misleading. These Consolidated Financial Statements should be read in conjunction with the Consolidated Financial Statements included in our 2023 Annual Report on Form 10-K.</w:t>
      </w:r>
    </w:p>
    <w:p>
      <w:pPr>
        <w:spacing w:after="0" w:line="18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information furnished reflects all adjustments that, in the opinion of management, were necessary for a fair statement of the Consolidated Financial Statements for the periods presented. Such adjustments were of a normal recurring nature, unless otherwise disclosed.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Expected Credit Losses</w:t>
      </w:r>
    </w:p>
    <w:p>
      <w:pPr>
        <w:spacing w:after="0" w:line="227" w:lineRule="exact"/>
        <w:rPr>
          <w:sz w:val="20"/>
          <w:szCs w:val="20"/>
          <w:color w:val="auto"/>
        </w:rPr>
      </w:pPr>
    </w:p>
    <w:p>
      <w:pPr>
        <w:jc w:val="both"/>
        <w:ind w:right="140"/>
        <w:spacing w:after="0" w:line="289" w:lineRule="auto"/>
        <w:rPr>
          <w:sz w:val="20"/>
          <w:szCs w:val="20"/>
          <w:color w:val="auto"/>
        </w:rPr>
      </w:pPr>
      <w:r>
        <w:rPr>
          <w:rFonts w:ascii="Times New Roman" w:cs="Times New Roman" w:eastAsia="Times New Roman" w:hAnsi="Times New Roman"/>
          <w:sz w:val="17"/>
          <w:szCs w:val="17"/>
          <w:color w:val="auto"/>
        </w:rPr>
        <w:t>We have an allowance for expected credit losses recorded as an estimate of the accounts receivable that may not be collected. This allowance is calculated on an entity-by-entity basis with consideration of historical write-off experience, age of receivables, market conditions, and a specific review for expected credit losses. Items that affect this balance mainly include provision for expected credit losses and the write-off of accounts receivable balances.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A rollforward of our allowance for expected credit losses is shown below:</w:t>
            </w:r>
          </w:p>
        </w:tc>
        <w:tc>
          <w:tcPr>
            <w:tcW w:w="540" w:type="dxa"/>
            <w:vAlign w:val="bottom"/>
          </w:tcPr>
          <w:p>
            <w:pPr>
              <w:spacing w:after="0"/>
              <w:rPr>
                <w:sz w:val="20"/>
                <w:szCs w:val="20"/>
                <w:color w:val="auto"/>
              </w:rPr>
            </w:pPr>
          </w:p>
        </w:tc>
        <w:tc>
          <w:tcPr>
            <w:tcW w:w="3100" w:type="dxa"/>
            <w:vAlign w:val="bottom"/>
            <w:vMerge w:val="restart"/>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07"/>
        </w:trPr>
        <w:tc>
          <w:tcPr>
            <w:tcW w:w="7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60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310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0" w:type="dxa"/>
            <w:vAlign w:val="bottom"/>
          </w:tcPr>
          <w:p>
            <w:pPr>
              <w:spacing w:after="0"/>
              <w:rPr>
                <w:sz w:val="1"/>
                <w:szCs w:val="1"/>
                <w:color w:val="auto"/>
              </w:rPr>
            </w:pPr>
          </w:p>
        </w:tc>
      </w:tr>
      <w:tr>
        <w:trPr>
          <w:trHeight w:val="243"/>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3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23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charged to earnings</w:t>
            </w:r>
          </w:p>
        </w:tc>
        <w:tc>
          <w:tcPr>
            <w:tcW w:w="540" w:type="dxa"/>
            <w:vAlign w:val="bottom"/>
          </w:tcPr>
          <w:p>
            <w:pPr>
              <w:spacing w:after="0"/>
              <w:rPr>
                <w:sz w:val="20"/>
                <w:szCs w:val="20"/>
                <w:color w:val="auto"/>
              </w:rPr>
            </w:pPr>
          </w:p>
        </w:tc>
        <w:tc>
          <w:tcPr>
            <w:tcW w:w="3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47"/>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540" w:type="dxa"/>
            <w:vAlign w:val="bottom"/>
            <w:shd w:val="clear" w:color="auto" w:fill="CFF0FC"/>
          </w:tcPr>
          <w:p>
            <w:pPr>
              <w:spacing w:after="0"/>
              <w:rPr>
                <w:sz w:val="21"/>
                <w:szCs w:val="21"/>
                <w:color w:val="auto"/>
              </w:rPr>
            </w:pPr>
          </w:p>
        </w:tc>
        <w:tc>
          <w:tcPr>
            <w:tcW w:w="3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3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impact and other</w:t>
            </w:r>
          </w:p>
        </w:tc>
        <w:tc>
          <w:tcPr>
            <w:tcW w:w="5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7"/>
        </w:trPr>
        <w:tc>
          <w:tcPr>
            <w:tcW w:w="7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September 30, 2024</w:t>
            </w: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3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95.6</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determine whether a contract is or contains a lease at contract inception. Right-of-use (“ROU”) assets and long-term lease liabilities are presented as separate line items on our Consolidated Balance Sheets. Short-term lease liabilities are included in accrued liabilities on our Consolidated Balance Sheets.</w:t>
      </w:r>
    </w:p>
    <w:p>
      <w:pPr>
        <w:spacing w:after="0" w:line="16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ROU assets represent our right to use an underlying asset for the lease term and lease liabilities represent our obligation to make lease payments arising from the lease. Lease liabilities are recognized at commencement date based on the present value of remaining lease payments over the lease term. As the rate implicit in the lease is not readily determinable in most of our leases, we use our incremental borrowing rate. We determine our incremental borrowing rate at the commencement date using our unsecured borrowing rate, adjusted for collateralization, lease term, economic environment, currency and other factors. ROU assets are recognized at commencement date at the value of the related lease liabilities, adjusted for any prepayments, lease incentives received, and initial direct costs incurred. Our lease terms include options to renew or not terminate the lease when it is reasonably certain that we will exercise that option.</w:t>
      </w:r>
    </w:p>
    <w:p>
      <w:pPr>
        <w:spacing w:after="0" w:line="18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Lease expenses for operating leases are recognized on a straight-line basis over the lease term and recorded in selling and administrative expenses on the Consolidated Statements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Impairment</w:t>
      </w:r>
    </w:p>
    <w:p>
      <w:pPr>
        <w:spacing w:after="0" w:line="22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In accordance with the accounting guidance on goodwill, we perform an annual impairment test of goodwill at our reporting unit level during the third quarter, or more frequently if events or circumstances change that would more likely than not reduce the fair value of our reporting units below their carrying value.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ind w:right="40"/>
        <w:spacing w:after="0" w:line="261" w:lineRule="auto"/>
        <w:rPr>
          <w:sz w:val="20"/>
          <w:szCs w:val="20"/>
          <w:color w:val="auto"/>
        </w:rPr>
      </w:pPr>
      <w:r>
        <w:rPr>
          <w:rFonts w:ascii="Times New Roman" w:cs="Times New Roman" w:eastAsia="Times New Roman" w:hAnsi="Times New Roman"/>
          <w:sz w:val="18"/>
          <w:szCs w:val="18"/>
          <w:color w:val="auto"/>
        </w:rPr>
        <w:t>We evaluate the recoverability of goodwill utilizing an income approach that estimates the fair value of the future discounted cash flows to which the goodwill relates. This approach reflects management’s internal outlook of the reporting units, which is believed to be the best determination of value due to management’s insight and experience with the reporting units. Significant assumptions used in our goodwill impairment tests include: expected future revenue growth rates, operating unit profit margins, working capital levels, discount rates, and a terminal value multiple.</w:t>
      </w:r>
    </w:p>
    <w:p>
      <w:pPr>
        <w:spacing w:after="0" w:line="180"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During the third quarter of 2024, we performed our annual impairment test of our goodwill and indefinite-lived intangible assets. The excess of fair value over carrying amount for our reporting units, which exceeded 15% or more of the respective carrying amounts, was sufficient to conclude that no impairment was indicated. While the excess of fair value over carrying amount exceeded 15% for our reporting units, we did see a lower level of excess cushion year over year in many of our North America and Europe reporting units. Given the current macroeconomic conditions in these regions, our assumptions on near-term expected future revenue growth rates and operating profit margins were lower than in the prior year assessment. Market conditions in North America and Europe continue to remain challenging given the economic uncertainty including the uncertainty surrounding the timing of an inflection point for improving market conditions. Management closely monitors the results of the reporting units and comparisons to the key assumptions used in our fair value estimate at the time of our annual impairment test, in addition to operational initiatives and macroeconomic conditions, which may impact the results of the reporting units.</w:t>
      </w:r>
    </w:p>
    <w:p>
      <w:pPr>
        <w:spacing w:after="0" w:line="18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There could be significant further decreases in the operating results of our reporting units for a sustained period, which may result in a recognition of goodwill impairment that could be material to the Consolidated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Subsequent Event</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November 1, 2024, the Company sold 100% of its shares of its subsidiary Manpower Korea, Inc. for consideration of $20.6 and simultaneously entered into a licensing agreement under which the new ownership will operate Manpower Korea under the Manpower brand. This transaction is part of our ongoing efforts to optimize our global strategic and geographic footprint and overall efficiency. Manpower Korea, Inc. which is part of our APME reporting segment, contributed $83.2 and $244.7 of revenues for the three and nine month periods ended September 30, 2024 within our Consolidated Statements of Operations.</w:t>
      </w:r>
    </w:p>
    <w:p>
      <w:pPr>
        <w:spacing w:after="0" w:line="179"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Recent Accounting Standards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Effective as of January 1, 2024</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March 2020, the FASB issued new guidance on accounting for contract modifications, including hedging relationships, due to the transition from LIBOR and other interbank offerings related to alternative reference interest rates. The guidance was effective upon issuance and can be applied to applicable contract modifications through December 31, 2024. The adoption of this guidance has not had any impact on our Consolidated Financial Statements, and we do not expect it to have a material impact going forward.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22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new guidance on segment reporting. The guidance requires an annual and interim disclosure of significant segment expenses that are (1) regularly provided to the chief operating decision maker and (2) included in the reported measure of segment profit or loss. The guidance also allows companies to disclose multiple measures of segment profit or loss if those measures are used to assess performance and allocate resources. The new guidance is effective for our 2024 annual disclosures and subsequent quarters, and should be adopted retrospectively. The adoption of this guidance will not have a material impact on our Consolidated Financial Statements.</w:t>
      </w:r>
    </w:p>
    <w:p>
      <w:pPr>
        <w:spacing w:after="0" w:line="183" w:lineRule="exact"/>
        <w:rPr>
          <w:sz w:val="20"/>
          <w:szCs w:val="20"/>
          <w:color w:val="auto"/>
        </w:rPr>
      </w:pPr>
    </w:p>
    <w:p>
      <w:pPr>
        <w:ind w:right="260"/>
        <w:spacing w:after="0" w:line="289" w:lineRule="auto"/>
        <w:rPr>
          <w:sz w:val="20"/>
          <w:szCs w:val="20"/>
          <w:color w:val="auto"/>
        </w:rPr>
      </w:pPr>
      <w:r>
        <w:rPr>
          <w:rFonts w:ascii="Times New Roman" w:cs="Times New Roman" w:eastAsia="Times New Roman" w:hAnsi="Times New Roman"/>
          <w:sz w:val="17"/>
          <w:szCs w:val="17"/>
          <w:color w:val="auto"/>
        </w:rPr>
        <w:t>In December 2023, the FASB issued a final standard on improvements to income tax disclosures. The guidance requires that public entities on an annual basis disclose disaggregated information about the rate reconciliation as well as income taxes paid. The new standard is effective for our 2025 annual disclosures and will be adopted prospectively. The adoption of this guidance will not have a material impact on our Consolidated Financial Statements.</w:t>
      </w:r>
    </w:p>
    <w:p>
      <w:pPr>
        <w:spacing w:after="0" w:line="154" w:lineRule="exact"/>
        <w:rPr>
          <w:sz w:val="20"/>
          <w:szCs w:val="20"/>
          <w:color w:val="auto"/>
        </w:rPr>
      </w:pPr>
    </w:p>
    <w:p>
      <w:pPr>
        <w:ind w:left="300" w:hanging="247"/>
        <w:spacing w:after="0"/>
        <w:tabs>
          <w:tab w:leader="none" w:pos="3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Revenue Recognition</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For certain client contracts where we recognize revenues over time, we recognize the amount that we have the right to invoice, which corresponds directly to the value provided to the client of our performance to date.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 w:name="page11"/>
    <w:bookmarkEnd w:id="10"/>
    <w:p>
      <w:pPr>
        <w:ind w:right="120"/>
        <w:spacing w:after="0" w:line="266" w:lineRule="auto"/>
        <w:rPr>
          <w:sz w:val="20"/>
          <w:szCs w:val="20"/>
          <w:color w:val="auto"/>
        </w:rPr>
      </w:pPr>
      <w:r>
        <w:rPr>
          <w:rFonts w:ascii="Times New Roman" w:cs="Times New Roman" w:eastAsia="Times New Roman" w:hAnsi="Times New Roman"/>
          <w:sz w:val="18"/>
          <w:szCs w:val="18"/>
          <w:color w:val="auto"/>
        </w:rPr>
        <w:t>We do not disclose the amount of unsatisfied performance obligations for client contracts with an original expected length of one year or less and those client contracts for which we recognize revenues at the amount to which we have the right to invoice for services performed. We have other contracts with revenues expected to be recognized subsequent to September 30, 2024, related to remaining performance obligations, which are not material.</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record accounts receivable when our right to consideration becomes unconditional. Contract assets primarily relate to our rights to consideration for services provided that they are conditional on satisfaction of future performance obligations. We record contract liabilities (deferred revenue) when payments are made or due prior to the related performance obligations being satisfied. The current portion of our contract liabilities is included in accrued liabilities in our Consolidated Balance Sheets. We do not have any material contract assets or long-term contract liabilities.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deferred revenue was $44.0 as of September 30, 2024 and $31.9 as of December 31, 2023.</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the following table, revenue is disaggregated by service types for each of our reportable segments. See Note 2 to the Consolidated Financial Statements in our 2023 Annual Report on Form 10-K for descriptions of revenue service types.</w:t>
      </w:r>
    </w:p>
    <w:p>
      <w:pPr>
        <w:spacing w:after="0" w:line="22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16510</wp:posOffset>
            </wp:positionV>
            <wp:extent cx="58635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30" w:lineRule="exact"/>
        <w:rPr>
          <w:sz w:val="20"/>
          <w:szCs w:val="20"/>
          <w:color w:val="auto"/>
        </w:rPr>
      </w:pPr>
    </w:p>
    <w:p>
      <w:pPr>
        <w:ind w:left="4140"/>
        <w:spacing w:after="0"/>
        <w:tabs>
          <w:tab w:leader="none" w:pos="874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r>
        <w:rPr>
          <w:rFonts w:ascii="Times New Roman" w:cs="Times New Roman" w:eastAsia="Times New Roman" w:hAnsi="Times New Roman"/>
          <w:sz w:val="19"/>
          <w:szCs w:val="19"/>
          <w:b w:val="1"/>
          <w:bCs w:val="1"/>
          <w:color w:val="auto"/>
          <w:vertAlign w:val="superscript"/>
        </w:rPr>
        <w:t>(a)</w:t>
      </w:r>
    </w:p>
    <w:p>
      <w:pPr>
        <w:sectPr>
          <w:pgSz w:w="11900" w:h="16838" w:orient="portrait"/>
          <w:cols w:equalWidth="0" w:num="1">
            <w:col w:w="11240"/>
          </w:cols>
          <w:pgMar w:left="320" w:top="985" w:right="339" w:bottom="1440" w:gutter="0" w:footer="0" w:header="0"/>
        </w:sectPr>
      </w:pPr>
    </w:p>
    <w:tbl>
      <w:tblPr>
        <w:tblLayout w:type="fixed"/>
        <w:tblInd w:w="2000" w:type="dxa"/>
        <w:tblCellMar>
          <w:top w:w="0" w:type="dxa"/>
          <w:left w:w="0" w:type="dxa"/>
          <w:bottom w:w="0" w:type="dxa"/>
          <w:right w:w="0" w:type="dxa"/>
        </w:tblCellMar>
      </w:tblPr>
      <w:tr>
        <w:trPr>
          <w:trHeight w:val="131"/>
        </w:trPr>
        <w:tc>
          <w:tcPr>
            <w:tcW w:w="7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Outcome-</w:t>
            </w:r>
          </w:p>
        </w:tc>
        <w:tc>
          <w:tcPr>
            <w:tcW w:w="10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8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Staffing</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Based</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Permanent</w:t>
            </w: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106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Recruitme</w:t>
            </w:r>
          </w:p>
        </w:tc>
        <w:tc>
          <w:tcPr>
            <w:tcW w:w="9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Interim</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nt</w:t>
            </w:r>
          </w:p>
        </w:tc>
        <w:tc>
          <w:tcPr>
            <w:tcW w:w="90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1"/>
        </w:trPr>
        <w:tc>
          <w:tcPr>
            <w:tcW w:w="7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Outcome-</w:t>
            </w:r>
          </w:p>
        </w:tc>
        <w:tc>
          <w:tcPr>
            <w:tcW w:w="9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Permanen</w:t>
            </w:r>
          </w:p>
        </w:tc>
        <w:tc>
          <w:tcPr>
            <w:tcW w:w="8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6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Staffing</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Based</w:t>
            </w:r>
          </w:p>
        </w:tc>
        <w:tc>
          <w:tcPr>
            <w:tcW w:w="96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vMerge w:val="continue"/>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84"/>
              </w:rPr>
              <w:t>t</w:t>
            </w:r>
          </w:p>
        </w:tc>
        <w:tc>
          <w:tcPr>
            <w:tcW w:w="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Recruitme</w:t>
            </w:r>
          </w:p>
        </w:tc>
        <w:tc>
          <w:tcPr>
            <w:tcW w:w="8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7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Interim</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nt</w:t>
            </w:r>
          </w:p>
        </w:tc>
        <w:tc>
          <w:tcPr>
            <w:tcW w:w="8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660" w:space="120"/>
            <w:col w:w="4460"/>
          </w:cols>
          <w:pgMar w:left="320" w:top="985" w:right="339"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20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Americas:</w:t>
            </w:r>
          </w:p>
        </w:tc>
        <w:tc>
          <w:tcPr>
            <w:tcW w:w="18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c>
          <w:tcPr>
            <w:tcW w:w="38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r>
      <w:tr>
        <w:trPr>
          <w:trHeight w:val="175"/>
        </w:trPr>
        <w:tc>
          <w:tcPr>
            <w:tcW w:w="2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United States</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615.0</w:t>
            </w:r>
          </w:p>
        </w:tc>
        <w:tc>
          <w:tcPr>
            <w:tcW w:w="3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w:t>
            </w:r>
          </w:p>
        </w:tc>
        <w:tc>
          <w:tcPr>
            <w:tcW w:w="3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34.0</w:t>
            </w:r>
          </w:p>
        </w:tc>
        <w:tc>
          <w:tcPr>
            <w:tcW w:w="3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45.6</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697.4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651.2</w:t>
            </w: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5.3</w:t>
            </w: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33.7</w:t>
            </w:r>
          </w:p>
        </w:tc>
        <w:tc>
          <w:tcPr>
            <w:tcW w:w="3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40.0</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730.2</w:t>
            </w:r>
          </w:p>
        </w:tc>
      </w:tr>
      <w:tr>
        <w:trPr>
          <w:trHeight w:val="176"/>
        </w:trPr>
        <w:tc>
          <w:tcPr>
            <w:tcW w:w="20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Americas</w:t>
            </w:r>
          </w:p>
        </w:tc>
        <w:tc>
          <w:tcPr>
            <w:tcW w:w="18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328.0</w:t>
            </w:r>
          </w:p>
        </w:tc>
        <w:tc>
          <w:tcPr>
            <w:tcW w:w="36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13.5</w:t>
            </w:r>
          </w:p>
        </w:tc>
        <w:tc>
          <w:tcPr>
            <w:tcW w:w="38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9.5</w:t>
            </w:r>
          </w:p>
        </w:tc>
        <w:tc>
          <w:tcPr>
            <w:tcW w:w="36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2.1</w:t>
            </w:r>
          </w:p>
        </w:tc>
        <w:tc>
          <w:tcPr>
            <w:tcW w:w="16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353.1</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355.1</w:t>
            </w:r>
          </w:p>
        </w:tc>
        <w:tc>
          <w:tcPr>
            <w:tcW w:w="34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11.5</w:t>
            </w:r>
          </w:p>
        </w:tc>
        <w:tc>
          <w:tcPr>
            <w:tcW w:w="34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12.0</w:t>
            </w:r>
          </w:p>
        </w:tc>
        <w:tc>
          <w:tcPr>
            <w:tcW w:w="30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2.5</w:t>
            </w:r>
          </w:p>
        </w:tc>
        <w:tc>
          <w:tcPr>
            <w:tcW w:w="20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381.1</w:t>
            </w:r>
          </w:p>
        </w:tc>
      </w:tr>
      <w:tr>
        <w:trPr>
          <w:trHeight w:val="169"/>
        </w:trPr>
        <w:tc>
          <w:tcPr>
            <w:tcW w:w="2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943.0</w:t>
            </w: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16.3</w:t>
            </w:r>
          </w:p>
        </w:tc>
        <w:tc>
          <w:tcPr>
            <w:tcW w:w="3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43.5</w:t>
            </w: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47.7</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1,050.5</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1,006.3</w:t>
            </w:r>
          </w:p>
        </w:tc>
        <w:tc>
          <w:tcPr>
            <w:tcW w:w="3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16.8</w:t>
            </w:r>
          </w:p>
        </w:tc>
        <w:tc>
          <w:tcPr>
            <w:tcW w:w="3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45.7</w:t>
            </w: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42.5</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1,111.3</w:t>
            </w:r>
          </w:p>
        </w:tc>
      </w:tr>
      <w:tr>
        <w:trPr>
          <w:trHeight w:val="169"/>
        </w:trPr>
        <w:tc>
          <w:tcPr>
            <w:tcW w:w="2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Southern Europe:</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r>
      <w:tr>
        <w:trPr>
          <w:trHeight w:val="175"/>
        </w:trPr>
        <w:tc>
          <w:tcPr>
            <w:tcW w:w="2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France</w:t>
            </w:r>
          </w:p>
        </w:tc>
        <w:tc>
          <w:tcPr>
            <w:tcW w:w="180" w:type="dxa"/>
            <w:vAlign w:val="bottom"/>
          </w:tcPr>
          <w:p>
            <w:pPr>
              <w:spacing w:after="0"/>
              <w:rPr>
                <w:sz w:val="15"/>
                <w:szCs w:val="15"/>
                <w:color w:val="auto"/>
              </w:rPr>
            </w:pP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1,077.0</w:t>
            </w:r>
          </w:p>
        </w:tc>
        <w:tc>
          <w:tcPr>
            <w:tcW w:w="360" w:type="dxa"/>
            <w:vAlign w:val="bottom"/>
          </w:tcPr>
          <w:p>
            <w:pPr>
              <w:spacing w:after="0"/>
              <w:rPr>
                <w:sz w:val="15"/>
                <w:szCs w:val="15"/>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70.4</w:t>
            </w:r>
          </w:p>
        </w:tc>
        <w:tc>
          <w:tcPr>
            <w:tcW w:w="380" w:type="dxa"/>
            <w:vAlign w:val="bottom"/>
          </w:tcPr>
          <w:p>
            <w:pPr>
              <w:spacing w:after="0"/>
              <w:rPr>
                <w:sz w:val="15"/>
                <w:szCs w:val="15"/>
                <w:color w:val="auto"/>
              </w:rPr>
            </w:pPr>
          </w:p>
        </w:tc>
        <w:tc>
          <w:tcPr>
            <w:tcW w:w="6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11.3</w:t>
            </w:r>
          </w:p>
        </w:tc>
        <w:tc>
          <w:tcPr>
            <w:tcW w:w="360" w:type="dxa"/>
            <w:vAlign w:val="bottom"/>
          </w:tcPr>
          <w:p>
            <w:pPr>
              <w:spacing w:after="0"/>
              <w:rPr>
                <w:sz w:val="15"/>
                <w:szCs w:val="15"/>
                <w:color w:val="auto"/>
              </w:rPr>
            </w:pPr>
          </w:p>
        </w:tc>
        <w:tc>
          <w:tcPr>
            <w:tcW w:w="7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21.0</w:t>
            </w:r>
          </w:p>
        </w:tc>
        <w:tc>
          <w:tcPr>
            <w:tcW w:w="16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1,179.7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1,113.8</w:t>
            </w:r>
          </w:p>
        </w:tc>
        <w:tc>
          <w:tcPr>
            <w:tcW w:w="340" w:type="dxa"/>
            <w:vAlign w:val="bottom"/>
          </w:tcPr>
          <w:p>
            <w:pPr>
              <w:spacing w:after="0"/>
              <w:rPr>
                <w:sz w:val="15"/>
                <w:szCs w:val="15"/>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67.9</w:t>
            </w:r>
          </w:p>
        </w:tc>
        <w:tc>
          <w:tcPr>
            <w:tcW w:w="340" w:type="dxa"/>
            <w:vAlign w:val="bottom"/>
          </w:tcPr>
          <w:p>
            <w:pPr>
              <w:spacing w:after="0"/>
              <w:rPr>
                <w:sz w:val="15"/>
                <w:szCs w:val="15"/>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12.7</w:t>
            </w:r>
          </w:p>
        </w:tc>
        <w:tc>
          <w:tcPr>
            <w:tcW w:w="300" w:type="dxa"/>
            <w:vAlign w:val="bottom"/>
          </w:tcPr>
          <w:p>
            <w:pPr>
              <w:spacing w:after="0"/>
              <w:rPr>
                <w:sz w:val="15"/>
                <w:szCs w:val="15"/>
                <w:color w:val="auto"/>
              </w:rPr>
            </w:pPr>
          </w:p>
        </w:tc>
        <w:tc>
          <w:tcPr>
            <w:tcW w:w="6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15.5</w:t>
            </w:r>
          </w:p>
        </w:tc>
        <w:tc>
          <w:tcPr>
            <w:tcW w:w="20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1,209.9</w:t>
            </w:r>
          </w:p>
        </w:tc>
      </w:tr>
      <w:tr>
        <w:trPr>
          <w:trHeight w:val="176"/>
        </w:trPr>
        <w:tc>
          <w:tcPr>
            <w:tcW w:w="2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Italy</w:t>
            </w: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394.1</w:t>
            </w:r>
          </w:p>
        </w:tc>
        <w:tc>
          <w:tcPr>
            <w:tcW w:w="36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8.5</w:t>
            </w:r>
          </w:p>
        </w:tc>
        <w:tc>
          <w:tcPr>
            <w:tcW w:w="38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10.3</w:t>
            </w:r>
          </w:p>
        </w:tc>
        <w:tc>
          <w:tcPr>
            <w:tcW w:w="36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6.2</w:t>
            </w: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419.1</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388.8</w:t>
            </w:r>
          </w:p>
        </w:tc>
        <w:tc>
          <w:tcPr>
            <w:tcW w:w="34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8.0</w:t>
            </w:r>
          </w:p>
        </w:tc>
        <w:tc>
          <w:tcPr>
            <w:tcW w:w="34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12.0</w:t>
            </w:r>
          </w:p>
        </w:tc>
        <w:tc>
          <w:tcPr>
            <w:tcW w:w="30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4.9</w:t>
            </w: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413.7</w:t>
            </w:r>
          </w:p>
        </w:tc>
      </w:tr>
      <w:tr>
        <w:trPr>
          <w:trHeight w:val="175"/>
        </w:trPr>
        <w:tc>
          <w:tcPr>
            <w:tcW w:w="2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Southern Europe</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402.2</w:t>
            </w:r>
          </w:p>
        </w:tc>
        <w:tc>
          <w:tcPr>
            <w:tcW w:w="3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74.5</w:t>
            </w:r>
          </w:p>
        </w:tc>
        <w:tc>
          <w:tcPr>
            <w:tcW w:w="3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12.2</w:t>
            </w: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7.9</w:t>
            </w: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496.8</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390.4</w:t>
            </w:r>
          </w:p>
        </w:tc>
        <w:tc>
          <w:tcPr>
            <w:tcW w:w="3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73.5</w:t>
            </w:r>
          </w:p>
        </w:tc>
        <w:tc>
          <w:tcPr>
            <w:tcW w:w="3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14.5</w:t>
            </w:r>
          </w:p>
        </w:tc>
        <w:tc>
          <w:tcPr>
            <w:tcW w:w="3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6.7</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485.1</w:t>
            </w:r>
          </w:p>
        </w:tc>
      </w:tr>
      <w:tr>
        <w:trPr>
          <w:trHeight w:val="169"/>
        </w:trPr>
        <w:tc>
          <w:tcPr>
            <w:tcW w:w="20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1,873.3</w:t>
            </w:r>
          </w:p>
        </w:tc>
        <w:tc>
          <w:tcPr>
            <w:tcW w:w="36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153.4</w:t>
            </w:r>
          </w:p>
        </w:tc>
        <w:tc>
          <w:tcPr>
            <w:tcW w:w="38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33.8</w:t>
            </w:r>
          </w:p>
        </w:tc>
        <w:tc>
          <w:tcPr>
            <w:tcW w:w="36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35.1</w:t>
            </w:r>
          </w:p>
        </w:tc>
        <w:tc>
          <w:tcPr>
            <w:tcW w:w="16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2,095.6</w:t>
            </w: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1,893.0</w:t>
            </w:r>
          </w:p>
        </w:tc>
        <w:tc>
          <w:tcPr>
            <w:tcW w:w="34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149.4</w:t>
            </w:r>
          </w:p>
        </w:tc>
        <w:tc>
          <w:tcPr>
            <w:tcW w:w="34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39.2</w:t>
            </w:r>
          </w:p>
        </w:tc>
        <w:tc>
          <w:tcPr>
            <w:tcW w:w="3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27.1</w:t>
            </w:r>
          </w:p>
        </w:tc>
        <w:tc>
          <w:tcPr>
            <w:tcW w:w="20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2,108.7</w:t>
            </w:r>
          </w:p>
        </w:tc>
      </w:tr>
      <w:tr>
        <w:trPr>
          <w:trHeight w:val="169"/>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Northern Europe</w:t>
            </w:r>
          </w:p>
        </w:tc>
        <w:tc>
          <w:tcPr>
            <w:tcW w:w="18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709.4</w:t>
            </w:r>
          </w:p>
        </w:tc>
        <w:tc>
          <w:tcPr>
            <w:tcW w:w="36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58.3</w:t>
            </w:r>
          </w:p>
        </w:tc>
        <w:tc>
          <w:tcPr>
            <w:tcW w:w="380" w:type="dxa"/>
            <w:vAlign w:val="bottom"/>
          </w:tcPr>
          <w:p>
            <w:pPr>
              <w:spacing w:after="0"/>
              <w:rPr>
                <w:sz w:val="14"/>
                <w:szCs w:val="14"/>
                <w:color w:val="auto"/>
              </w:rPr>
            </w:pPr>
          </w:p>
        </w:tc>
        <w:tc>
          <w:tcPr>
            <w:tcW w:w="6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28.7</w:t>
            </w:r>
          </w:p>
        </w:tc>
        <w:tc>
          <w:tcPr>
            <w:tcW w:w="360" w:type="dxa"/>
            <w:vAlign w:val="bottom"/>
          </w:tcPr>
          <w:p>
            <w:pPr>
              <w:spacing w:after="0"/>
              <w:rPr>
                <w:sz w:val="14"/>
                <w:szCs w:val="14"/>
                <w:color w:val="auto"/>
              </w:rPr>
            </w:pPr>
          </w:p>
        </w:tc>
        <w:tc>
          <w:tcPr>
            <w:tcW w:w="7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31.9</w:t>
            </w:r>
          </w:p>
        </w:tc>
        <w:tc>
          <w:tcPr>
            <w:tcW w:w="16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828.3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773.8</w:t>
            </w:r>
          </w:p>
        </w:tc>
        <w:tc>
          <w:tcPr>
            <w:tcW w:w="340" w:type="dxa"/>
            <w:vAlign w:val="bottom"/>
          </w:tcPr>
          <w:p>
            <w:pPr>
              <w:spacing w:after="0"/>
              <w:rPr>
                <w:sz w:val="14"/>
                <w:szCs w:val="14"/>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78.4</w:t>
            </w:r>
          </w:p>
        </w:tc>
        <w:tc>
          <w:tcPr>
            <w:tcW w:w="340" w:type="dxa"/>
            <w:vAlign w:val="bottom"/>
          </w:tcPr>
          <w:p>
            <w:pPr>
              <w:spacing w:after="0"/>
              <w:rPr>
                <w:sz w:val="14"/>
                <w:szCs w:val="14"/>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36.5</w:t>
            </w:r>
          </w:p>
        </w:tc>
        <w:tc>
          <w:tcPr>
            <w:tcW w:w="30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25.5</w:t>
            </w:r>
          </w:p>
        </w:tc>
        <w:tc>
          <w:tcPr>
            <w:tcW w:w="20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914.2</w:t>
            </w:r>
          </w:p>
        </w:tc>
      </w:tr>
      <w:tr>
        <w:trPr>
          <w:trHeight w:val="175"/>
        </w:trPr>
        <w:tc>
          <w:tcPr>
            <w:tcW w:w="2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APME</w:t>
            </w:r>
          </w:p>
        </w:tc>
        <w:tc>
          <w:tcPr>
            <w:tcW w:w="18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455.7</w:t>
            </w:r>
          </w:p>
        </w:tc>
        <w:tc>
          <w:tcPr>
            <w:tcW w:w="36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82.4</w:t>
            </w:r>
          </w:p>
        </w:tc>
        <w:tc>
          <w:tcPr>
            <w:tcW w:w="38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13.6</w:t>
            </w:r>
          </w:p>
        </w:tc>
        <w:tc>
          <w:tcPr>
            <w:tcW w:w="36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11.1</w:t>
            </w:r>
          </w:p>
        </w:tc>
        <w:tc>
          <w:tcPr>
            <w:tcW w:w="16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562.8</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438.3</w:t>
            </w:r>
          </w:p>
        </w:tc>
        <w:tc>
          <w:tcPr>
            <w:tcW w:w="34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93.7</w:t>
            </w:r>
          </w:p>
        </w:tc>
        <w:tc>
          <w:tcPr>
            <w:tcW w:w="34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21.4</w:t>
            </w:r>
          </w:p>
        </w:tc>
        <w:tc>
          <w:tcPr>
            <w:tcW w:w="30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11.4</w:t>
            </w:r>
          </w:p>
        </w:tc>
        <w:tc>
          <w:tcPr>
            <w:tcW w:w="20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564.8</w:t>
            </w:r>
          </w:p>
        </w:tc>
      </w:tr>
      <w:tr>
        <w:trPr>
          <w:trHeight w:val="169"/>
        </w:trPr>
        <w:tc>
          <w:tcPr>
            <w:tcW w:w="2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3,981.4</w:t>
            </w: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310.4</w:t>
            </w:r>
          </w:p>
        </w:tc>
        <w:tc>
          <w:tcPr>
            <w:tcW w:w="3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119.6</w:t>
            </w: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125.8</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4,537.2</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4,111.4</w:t>
            </w:r>
          </w:p>
        </w:tc>
        <w:tc>
          <w:tcPr>
            <w:tcW w:w="3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338.3</w:t>
            </w:r>
          </w:p>
        </w:tc>
        <w:tc>
          <w:tcPr>
            <w:tcW w:w="3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142.8</w:t>
            </w: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106.5</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4,699.0</w:t>
            </w:r>
          </w:p>
        </w:tc>
      </w:tr>
      <w:tr>
        <w:trPr>
          <w:trHeight w:val="169"/>
        </w:trPr>
        <w:tc>
          <w:tcPr>
            <w:tcW w:w="2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Intercompany Eliminations</w:t>
            </w:r>
          </w:p>
        </w:tc>
        <w:tc>
          <w:tcPr>
            <w:tcW w:w="18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CFF0FC"/>
            </w:tcBorders>
            <w:shd w:val="clear" w:color="auto" w:fill="CFF0FC"/>
          </w:tcPr>
          <w:p>
            <w:pPr>
              <w:spacing w:after="0"/>
              <w:rPr>
                <w:sz w:val="14"/>
                <w:szCs w:val="14"/>
                <w:color w:val="auto"/>
              </w:rPr>
            </w:pPr>
          </w:p>
        </w:tc>
        <w:tc>
          <w:tcPr>
            <w:tcW w:w="60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CFF0FC"/>
            </w:tcBorders>
            <w:shd w:val="clear" w:color="auto" w:fill="CFF0FC"/>
          </w:tcPr>
          <w:p>
            <w:pPr>
              <w:spacing w:after="0"/>
              <w:rPr>
                <w:sz w:val="14"/>
                <w:szCs w:val="14"/>
                <w:color w:val="auto"/>
              </w:rPr>
            </w:pPr>
          </w:p>
        </w:tc>
        <w:tc>
          <w:tcPr>
            <w:tcW w:w="60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(7.0 )</w:t>
            </w: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(23.4 )</w:t>
            </w:r>
          </w:p>
        </w:tc>
      </w:tr>
      <w:tr>
        <w:trPr>
          <w:trHeight w:val="169"/>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4,530.2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4,675.6</w:t>
            </w:r>
          </w:p>
        </w:tc>
      </w:tr>
      <w:tr>
        <w:trPr>
          <w:trHeight w:val="20"/>
        </w:trPr>
        <w:tc>
          <w:tcPr>
            <w:tcW w:w="2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-1310640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-616585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-385445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-145415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left="520" w:right="460" w:hanging="512"/>
        <w:spacing w:after="0" w:line="280" w:lineRule="auto"/>
        <w:tabs>
          <w:tab w:leader="none" w:pos="5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January 1, 2024, our segment reporting was realigned to include our Puerto Rico business within Other Americas. Accordingly, United States is now adjusted to exclude Puerto Rico. All previously reported results have been restated to conform to the current year presentation.</w:t>
      </w:r>
    </w:p>
    <w:p>
      <w:pPr>
        <w:spacing w:after="0" w:line="221" w:lineRule="exact"/>
        <w:rPr>
          <w:sz w:val="20"/>
          <w:szCs w:val="20"/>
          <w:color w:val="auto"/>
        </w:rPr>
      </w:pPr>
    </w:p>
    <w:p>
      <w:pPr>
        <w:jc w:val="center"/>
        <w:ind w:left="18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16510</wp:posOffset>
            </wp:positionV>
            <wp:extent cx="58635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30" w:lineRule="exact"/>
        <w:rPr>
          <w:sz w:val="20"/>
          <w:szCs w:val="20"/>
          <w:color w:val="auto"/>
        </w:rPr>
      </w:pPr>
    </w:p>
    <w:p>
      <w:pPr>
        <w:ind w:left="4140"/>
        <w:spacing w:after="0"/>
        <w:tabs>
          <w:tab w:leader="none" w:pos="874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r>
        <w:rPr>
          <w:rFonts w:ascii="Times New Roman" w:cs="Times New Roman" w:eastAsia="Times New Roman" w:hAnsi="Times New Roman"/>
          <w:sz w:val="19"/>
          <w:szCs w:val="19"/>
          <w:b w:val="1"/>
          <w:bCs w:val="1"/>
          <w:color w:val="auto"/>
          <w:vertAlign w:val="superscript"/>
        </w:rPr>
        <w:t>(a)</w:t>
      </w:r>
    </w:p>
    <w:p>
      <w:pPr>
        <w:sectPr>
          <w:pgSz w:w="11900" w:h="16838" w:orient="portrait"/>
          <w:cols w:equalWidth="0" w:num="1">
            <w:col w:w="11240"/>
          </w:cols>
          <w:pgMar w:left="320" w:top="985" w:right="339" w:bottom="1440" w:gutter="0" w:footer="0" w:header="0"/>
          <w:type w:val="continuous"/>
        </w:sectPr>
      </w:pPr>
    </w:p>
    <w:tbl>
      <w:tblPr>
        <w:tblLayout w:type="fixed"/>
        <w:tblInd w:w="2000" w:type="dxa"/>
        <w:tblCellMar>
          <w:top w:w="0" w:type="dxa"/>
          <w:left w:w="0" w:type="dxa"/>
          <w:bottom w:w="0" w:type="dxa"/>
          <w:right w:w="0" w:type="dxa"/>
        </w:tblCellMar>
      </w:tblPr>
      <w:tr>
        <w:trPr>
          <w:trHeight w:val="131"/>
        </w:trPr>
        <w:tc>
          <w:tcPr>
            <w:tcW w:w="7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Outcome-</w:t>
            </w:r>
          </w:p>
        </w:tc>
        <w:tc>
          <w:tcPr>
            <w:tcW w:w="10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8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Staffing</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Based</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Permanent</w:t>
            </w: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106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Recruitme</w:t>
            </w:r>
          </w:p>
        </w:tc>
        <w:tc>
          <w:tcPr>
            <w:tcW w:w="9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Interim</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nt</w:t>
            </w:r>
          </w:p>
        </w:tc>
        <w:tc>
          <w:tcPr>
            <w:tcW w:w="90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1"/>
        </w:trPr>
        <w:tc>
          <w:tcPr>
            <w:tcW w:w="7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Outcome-</w:t>
            </w:r>
          </w:p>
        </w:tc>
        <w:tc>
          <w:tcPr>
            <w:tcW w:w="9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Permanen</w:t>
            </w:r>
          </w:p>
        </w:tc>
        <w:tc>
          <w:tcPr>
            <w:tcW w:w="8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6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Staffing</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Based</w:t>
            </w:r>
          </w:p>
        </w:tc>
        <w:tc>
          <w:tcPr>
            <w:tcW w:w="96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vMerge w:val="continue"/>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84"/>
              </w:rPr>
              <w:t>t</w:t>
            </w:r>
          </w:p>
        </w:tc>
        <w:tc>
          <w:tcPr>
            <w:tcW w:w="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Recruitme</w:t>
            </w:r>
          </w:p>
        </w:tc>
        <w:tc>
          <w:tcPr>
            <w:tcW w:w="8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7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Interim</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nt</w:t>
            </w:r>
          </w:p>
        </w:tc>
        <w:tc>
          <w:tcPr>
            <w:tcW w:w="8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660" w:space="120"/>
            <w:col w:w="4460"/>
          </w:cols>
          <w:pgMar w:left="320" w:top="985" w:right="339"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20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Americas:</w:t>
            </w:r>
          </w:p>
        </w:tc>
        <w:tc>
          <w:tcPr>
            <w:tcW w:w="14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r>
      <w:tr>
        <w:trPr>
          <w:trHeight w:val="175"/>
        </w:trPr>
        <w:tc>
          <w:tcPr>
            <w:tcW w:w="2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United States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1,846.2</w:t>
            </w:r>
          </w:p>
        </w:tc>
        <w:tc>
          <w:tcPr>
            <w:tcW w:w="3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8.6</w:t>
            </w:r>
          </w:p>
        </w:tc>
        <w:tc>
          <w:tcPr>
            <w:tcW w:w="3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91.2</w:t>
            </w:r>
          </w:p>
        </w:tc>
        <w:tc>
          <w:tcPr>
            <w:tcW w:w="3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128.8</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2,074.8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1,940.6</w:t>
            </w: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14.5</w:t>
            </w: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103.4</w:t>
            </w:r>
          </w:p>
        </w:tc>
        <w:tc>
          <w:tcPr>
            <w:tcW w:w="3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122.4</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2,180.9</w:t>
            </w:r>
          </w:p>
        </w:tc>
      </w:tr>
      <w:tr>
        <w:trPr>
          <w:trHeight w:val="176"/>
        </w:trPr>
        <w:tc>
          <w:tcPr>
            <w:tcW w:w="20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Americas</w:t>
            </w:r>
          </w:p>
        </w:tc>
        <w:tc>
          <w:tcPr>
            <w:tcW w:w="14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997.9</w:t>
            </w:r>
          </w:p>
        </w:tc>
        <w:tc>
          <w:tcPr>
            <w:tcW w:w="36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37.1</w:t>
            </w:r>
          </w:p>
        </w:tc>
        <w:tc>
          <w:tcPr>
            <w:tcW w:w="36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33.6</w:t>
            </w:r>
          </w:p>
        </w:tc>
        <w:tc>
          <w:tcPr>
            <w:tcW w:w="36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1,076.5</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1,082.9</w:t>
            </w:r>
          </w:p>
        </w:tc>
        <w:tc>
          <w:tcPr>
            <w:tcW w:w="28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34.1</w:t>
            </w:r>
          </w:p>
        </w:tc>
        <w:tc>
          <w:tcPr>
            <w:tcW w:w="34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35.5</w:t>
            </w:r>
          </w:p>
        </w:tc>
        <w:tc>
          <w:tcPr>
            <w:tcW w:w="30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6.8</w:t>
            </w:r>
          </w:p>
        </w:tc>
        <w:tc>
          <w:tcPr>
            <w:tcW w:w="18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1,159.3</w:t>
            </w:r>
          </w:p>
        </w:tc>
      </w:tr>
      <w:tr>
        <w:trPr>
          <w:trHeight w:val="169"/>
        </w:trPr>
        <w:tc>
          <w:tcPr>
            <w:tcW w:w="20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2,844.1</w:t>
            </w: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45.7</w:t>
            </w:r>
          </w:p>
        </w:tc>
        <w:tc>
          <w:tcPr>
            <w:tcW w:w="3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124.8</w:t>
            </w: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136.7</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3,151.3</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3,023.5</w:t>
            </w: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48.6</w:t>
            </w:r>
          </w:p>
        </w:tc>
        <w:tc>
          <w:tcPr>
            <w:tcW w:w="3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138.9</w:t>
            </w: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129.2</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3,340.2</w:t>
            </w:r>
          </w:p>
        </w:tc>
      </w:tr>
      <w:tr>
        <w:trPr>
          <w:trHeight w:val="169"/>
        </w:trPr>
        <w:tc>
          <w:tcPr>
            <w:tcW w:w="2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Southern Europe:</w:t>
            </w: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r>
      <w:tr>
        <w:trPr>
          <w:trHeight w:val="175"/>
        </w:trPr>
        <w:tc>
          <w:tcPr>
            <w:tcW w:w="2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France</w:t>
            </w:r>
          </w:p>
        </w:tc>
        <w:tc>
          <w:tcPr>
            <w:tcW w:w="140" w:type="dxa"/>
            <w:vAlign w:val="bottom"/>
          </w:tcPr>
          <w:p>
            <w:pPr>
              <w:spacing w:after="0"/>
              <w:rPr>
                <w:sz w:val="15"/>
                <w:szCs w:val="15"/>
                <w:color w:val="auto"/>
              </w:rPr>
            </w:pP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3,170.2</w:t>
            </w:r>
          </w:p>
        </w:tc>
        <w:tc>
          <w:tcPr>
            <w:tcW w:w="360" w:type="dxa"/>
            <w:vAlign w:val="bottom"/>
          </w:tcPr>
          <w:p>
            <w:pPr>
              <w:spacing w:after="0"/>
              <w:rPr>
                <w:sz w:val="15"/>
                <w:szCs w:val="15"/>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211.4</w:t>
            </w:r>
          </w:p>
        </w:tc>
        <w:tc>
          <w:tcPr>
            <w:tcW w:w="360" w:type="dxa"/>
            <w:vAlign w:val="bottom"/>
          </w:tcPr>
          <w:p>
            <w:pPr>
              <w:spacing w:after="0"/>
              <w:rPr>
                <w:sz w:val="15"/>
                <w:szCs w:val="15"/>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39.9</w:t>
            </w:r>
          </w:p>
        </w:tc>
        <w:tc>
          <w:tcPr>
            <w:tcW w:w="360" w:type="dxa"/>
            <w:vAlign w:val="bottom"/>
          </w:tcPr>
          <w:p>
            <w:pPr>
              <w:spacing w:after="0"/>
              <w:rPr>
                <w:sz w:val="15"/>
                <w:szCs w:val="15"/>
                <w:color w:val="auto"/>
              </w:rPr>
            </w:pPr>
          </w:p>
        </w:tc>
        <w:tc>
          <w:tcPr>
            <w:tcW w:w="7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62.4</w:t>
            </w:r>
          </w:p>
        </w:tc>
        <w:tc>
          <w:tcPr>
            <w:tcW w:w="12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3,483.9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3,348.3</w:t>
            </w:r>
          </w:p>
        </w:tc>
        <w:tc>
          <w:tcPr>
            <w:tcW w:w="28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212.3</w:t>
            </w:r>
          </w:p>
        </w:tc>
        <w:tc>
          <w:tcPr>
            <w:tcW w:w="340" w:type="dxa"/>
            <w:vAlign w:val="bottom"/>
          </w:tcPr>
          <w:p>
            <w:pPr>
              <w:spacing w:after="0"/>
              <w:rPr>
                <w:sz w:val="15"/>
                <w:szCs w:val="15"/>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45.4</w:t>
            </w:r>
          </w:p>
        </w:tc>
        <w:tc>
          <w:tcPr>
            <w:tcW w:w="300" w:type="dxa"/>
            <w:vAlign w:val="bottom"/>
          </w:tcPr>
          <w:p>
            <w:pPr>
              <w:spacing w:after="0"/>
              <w:rPr>
                <w:sz w:val="15"/>
                <w:szCs w:val="15"/>
                <w:color w:val="auto"/>
              </w:rPr>
            </w:pPr>
          </w:p>
        </w:tc>
        <w:tc>
          <w:tcPr>
            <w:tcW w:w="6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51.4</w:t>
            </w:r>
          </w:p>
        </w:tc>
        <w:tc>
          <w:tcPr>
            <w:tcW w:w="18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3,657.4</w:t>
            </w:r>
          </w:p>
        </w:tc>
      </w:tr>
      <w:tr>
        <w:trPr>
          <w:trHeight w:val="175"/>
        </w:trPr>
        <w:tc>
          <w:tcPr>
            <w:tcW w:w="2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Italy</w:t>
            </w: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1,171.9</w:t>
            </w:r>
          </w:p>
        </w:tc>
        <w:tc>
          <w:tcPr>
            <w:tcW w:w="36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26.0</w:t>
            </w:r>
          </w:p>
        </w:tc>
        <w:tc>
          <w:tcPr>
            <w:tcW w:w="36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37.0</w:t>
            </w:r>
          </w:p>
        </w:tc>
        <w:tc>
          <w:tcPr>
            <w:tcW w:w="36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23.4</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1,258.3</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1,207.1</w:t>
            </w:r>
          </w:p>
        </w:tc>
        <w:tc>
          <w:tcPr>
            <w:tcW w:w="28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27.6</w:t>
            </w:r>
          </w:p>
        </w:tc>
        <w:tc>
          <w:tcPr>
            <w:tcW w:w="34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42.3</w:t>
            </w:r>
          </w:p>
        </w:tc>
        <w:tc>
          <w:tcPr>
            <w:tcW w:w="30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16.7</w:t>
            </w: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1,293.7</w:t>
            </w:r>
          </w:p>
        </w:tc>
      </w:tr>
      <w:tr>
        <w:trPr>
          <w:trHeight w:val="175"/>
        </w:trPr>
        <w:tc>
          <w:tcPr>
            <w:tcW w:w="2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Southern Europe</w:t>
            </w: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1,148.2</w:t>
            </w:r>
          </w:p>
        </w:tc>
        <w:tc>
          <w:tcPr>
            <w:tcW w:w="3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223.6</w:t>
            </w:r>
          </w:p>
        </w:tc>
        <w:tc>
          <w:tcPr>
            <w:tcW w:w="3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38.7</w:t>
            </w: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22.2</w:t>
            </w: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1,432.7</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1,153.6</w:t>
            </w:r>
          </w:p>
        </w:tc>
        <w:tc>
          <w:tcPr>
            <w:tcW w:w="2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231.4</w:t>
            </w:r>
          </w:p>
        </w:tc>
        <w:tc>
          <w:tcPr>
            <w:tcW w:w="3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45.9</w:t>
            </w:r>
          </w:p>
        </w:tc>
        <w:tc>
          <w:tcPr>
            <w:tcW w:w="3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21.5</w:t>
            </w: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1,452.4</w:t>
            </w:r>
          </w:p>
        </w:tc>
      </w:tr>
      <w:tr>
        <w:trPr>
          <w:trHeight w:val="169"/>
        </w:trPr>
        <w:tc>
          <w:tcPr>
            <w:tcW w:w="20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5,490.3</w:t>
            </w:r>
          </w:p>
        </w:tc>
        <w:tc>
          <w:tcPr>
            <w:tcW w:w="36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461.0</w:t>
            </w:r>
          </w:p>
        </w:tc>
        <w:tc>
          <w:tcPr>
            <w:tcW w:w="3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115.6</w:t>
            </w:r>
          </w:p>
        </w:tc>
        <w:tc>
          <w:tcPr>
            <w:tcW w:w="36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108.0</w:t>
            </w:r>
          </w:p>
        </w:tc>
        <w:tc>
          <w:tcPr>
            <w:tcW w:w="12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6,174.9</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5,709.0</w:t>
            </w:r>
          </w:p>
        </w:tc>
        <w:tc>
          <w:tcPr>
            <w:tcW w:w="2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471.3</w:t>
            </w:r>
          </w:p>
        </w:tc>
        <w:tc>
          <w:tcPr>
            <w:tcW w:w="34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133.6</w:t>
            </w:r>
          </w:p>
        </w:tc>
        <w:tc>
          <w:tcPr>
            <w:tcW w:w="3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89.6</w:t>
            </w:r>
          </w:p>
        </w:tc>
        <w:tc>
          <w:tcPr>
            <w:tcW w:w="1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6,403.5</w:t>
            </w:r>
          </w:p>
        </w:tc>
      </w:tr>
      <w:tr>
        <w:trPr>
          <w:trHeight w:val="169"/>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Northern Europe</w:t>
            </w:r>
          </w:p>
        </w:tc>
        <w:tc>
          <w:tcPr>
            <w:tcW w:w="14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2,161.6</w:t>
            </w:r>
          </w:p>
        </w:tc>
        <w:tc>
          <w:tcPr>
            <w:tcW w:w="36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196.0</w:t>
            </w:r>
          </w:p>
        </w:tc>
        <w:tc>
          <w:tcPr>
            <w:tcW w:w="36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94.3</w:t>
            </w:r>
          </w:p>
        </w:tc>
        <w:tc>
          <w:tcPr>
            <w:tcW w:w="360" w:type="dxa"/>
            <w:vAlign w:val="bottom"/>
          </w:tcPr>
          <w:p>
            <w:pPr>
              <w:spacing w:after="0"/>
              <w:rPr>
                <w:sz w:val="14"/>
                <w:szCs w:val="14"/>
                <w:color w:val="auto"/>
              </w:rPr>
            </w:pPr>
          </w:p>
        </w:tc>
        <w:tc>
          <w:tcPr>
            <w:tcW w:w="7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84.0</w:t>
            </w:r>
          </w:p>
        </w:tc>
        <w:tc>
          <w:tcPr>
            <w:tcW w:w="12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2,535.9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2,389.2</w:t>
            </w:r>
          </w:p>
        </w:tc>
        <w:tc>
          <w:tcPr>
            <w:tcW w:w="28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250.7</w:t>
            </w:r>
          </w:p>
        </w:tc>
        <w:tc>
          <w:tcPr>
            <w:tcW w:w="340" w:type="dxa"/>
            <w:vAlign w:val="bottom"/>
          </w:tcPr>
          <w:p>
            <w:pPr>
              <w:spacing w:after="0"/>
              <w:rPr>
                <w:sz w:val="14"/>
                <w:szCs w:val="14"/>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119.5</w:t>
            </w:r>
          </w:p>
        </w:tc>
        <w:tc>
          <w:tcPr>
            <w:tcW w:w="30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74.9</w:t>
            </w:r>
          </w:p>
        </w:tc>
        <w:tc>
          <w:tcPr>
            <w:tcW w:w="18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2,834.3</w:t>
            </w:r>
          </w:p>
        </w:tc>
      </w:tr>
      <w:tr>
        <w:trPr>
          <w:trHeight w:val="176"/>
        </w:trPr>
        <w:tc>
          <w:tcPr>
            <w:tcW w:w="2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APME</w:t>
            </w:r>
          </w:p>
        </w:tc>
        <w:tc>
          <w:tcPr>
            <w:tcW w:w="14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1,313.5</w:t>
            </w:r>
          </w:p>
        </w:tc>
        <w:tc>
          <w:tcPr>
            <w:tcW w:w="36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253.1</w:t>
            </w:r>
          </w:p>
        </w:tc>
        <w:tc>
          <w:tcPr>
            <w:tcW w:w="36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41.0</w:t>
            </w:r>
          </w:p>
        </w:tc>
        <w:tc>
          <w:tcPr>
            <w:tcW w:w="36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31.7</w:t>
            </w:r>
          </w:p>
        </w:tc>
        <w:tc>
          <w:tcPr>
            <w:tcW w:w="12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1,639.3</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1,346.4</w:t>
            </w:r>
          </w:p>
        </w:tc>
        <w:tc>
          <w:tcPr>
            <w:tcW w:w="28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292.1</w:t>
            </w:r>
          </w:p>
        </w:tc>
        <w:tc>
          <w:tcPr>
            <w:tcW w:w="34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96.9</w:t>
            </w:r>
          </w:p>
        </w:tc>
        <w:tc>
          <w:tcPr>
            <w:tcW w:w="30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34.7</w:t>
            </w:r>
          </w:p>
        </w:tc>
        <w:tc>
          <w:tcPr>
            <w:tcW w:w="18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1,770.1</w:t>
            </w:r>
          </w:p>
        </w:tc>
      </w:tr>
      <w:tr>
        <w:trPr>
          <w:trHeight w:val="169"/>
        </w:trPr>
        <w:tc>
          <w:tcPr>
            <w:tcW w:w="20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11,809.5</w:t>
            </w: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955.8</w:t>
            </w:r>
          </w:p>
        </w:tc>
        <w:tc>
          <w:tcPr>
            <w:tcW w:w="3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375.7</w:t>
            </w: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360.4</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13,501.4</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12,468.1</w:t>
            </w: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1,062.7</w:t>
            </w:r>
          </w:p>
        </w:tc>
        <w:tc>
          <w:tcPr>
            <w:tcW w:w="3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488.9</w:t>
            </w: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328.4</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14,348.1</w:t>
            </w:r>
          </w:p>
        </w:tc>
      </w:tr>
      <w:tr>
        <w:trPr>
          <w:trHeight w:val="169"/>
        </w:trPr>
        <w:tc>
          <w:tcPr>
            <w:tcW w:w="2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Intercompany Eliminations</w:t>
            </w:r>
          </w:p>
        </w:tc>
        <w:tc>
          <w:tcPr>
            <w:tcW w:w="140" w:type="dxa"/>
            <w:vAlign w:val="bottom"/>
            <w:tcBorders>
              <w:bottom w:val="single" w:sz="8" w:color="CFF0FC"/>
            </w:tcBorders>
            <w:shd w:val="clear" w:color="auto" w:fill="CFF0FC"/>
          </w:tcPr>
          <w:p>
            <w:pPr>
              <w:spacing w:after="0"/>
              <w:rPr>
                <w:sz w:val="14"/>
                <w:szCs w:val="14"/>
                <w:color w:val="auto"/>
              </w:rPr>
            </w:pPr>
          </w:p>
        </w:tc>
        <w:tc>
          <w:tcPr>
            <w:tcW w:w="68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CFF0FC"/>
            </w:tcBorders>
            <w:shd w:val="clear" w:color="auto" w:fill="CFF0FC"/>
          </w:tcPr>
          <w:p>
            <w:pPr>
              <w:spacing w:after="0"/>
              <w:rPr>
                <w:sz w:val="14"/>
                <w:szCs w:val="14"/>
                <w:color w:val="auto"/>
              </w:rPr>
            </w:pPr>
          </w:p>
        </w:tc>
        <w:tc>
          <w:tcPr>
            <w:tcW w:w="60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(47.2 )</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68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(64.1 )</w:t>
            </w:r>
          </w:p>
        </w:tc>
      </w:tr>
      <w:tr>
        <w:trPr>
          <w:trHeight w:val="169"/>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13,454.2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14,284.0</w:t>
            </w:r>
          </w:p>
        </w:tc>
      </w:tr>
      <w:tr>
        <w:trPr>
          <w:trHeight w:val="20"/>
        </w:trPr>
        <w:tc>
          <w:tcPr>
            <w:tcW w:w="2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-1310640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-616585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-385445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-145415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left="520" w:right="460" w:hanging="512"/>
        <w:spacing w:after="0" w:line="280" w:lineRule="auto"/>
        <w:tabs>
          <w:tab w:leader="none" w:pos="5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January 1, 2024, our segment reporting was realigned to include our Puerto Rico business within Other Americas. Accordingly, United States is now adjusted to exclude Puerto Rico. All previously reported results have been restated to conform to the current year presentation.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In the following table, revenue is disaggregated by timing of revenue recognition for each of our reportable segments: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08"/>
              <w:spacing w:after="0" w:line="169" w:lineRule="exact"/>
              <w:rPr>
                <w:sz w:val="20"/>
                <w:szCs w:val="20"/>
                <w:color w:val="auto"/>
              </w:rPr>
            </w:pPr>
            <w:r>
              <w:rPr>
                <w:rFonts w:ascii="Times New Roman" w:cs="Times New Roman" w:eastAsia="Times New Roman" w:hAnsi="Times New Roman"/>
                <w:sz w:val="14"/>
                <w:szCs w:val="14"/>
                <w:b w:val="1"/>
                <w:bCs w:val="1"/>
                <w:color w:val="auto"/>
              </w:rPr>
              <w:t>2023</w:t>
            </w:r>
            <w:r>
              <w:rPr>
                <w:rFonts w:ascii="Times New Roman" w:cs="Times New Roman" w:eastAsia="Times New Roman" w:hAnsi="Times New Roman"/>
                <w:sz w:val="19"/>
                <w:szCs w:val="19"/>
                <w:b w:val="1"/>
                <w:bCs w:val="1"/>
                <w:color w:val="auto"/>
                <w:vertAlign w:val="superscript"/>
              </w:rPr>
              <w:t>(a)</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vMerge w:val="restart"/>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80" w:type="dxa"/>
            <w:vAlign w:val="bottom"/>
          </w:tcPr>
          <w:p>
            <w:pPr>
              <w:spacing w:after="0"/>
              <w:rPr>
                <w:sz w:val="11"/>
                <w:szCs w:val="11"/>
                <w:color w:val="auto"/>
              </w:rPr>
            </w:pPr>
          </w:p>
        </w:tc>
        <w:tc>
          <w:tcPr>
            <w:tcW w:w="1260" w:type="dxa"/>
            <w:vAlign w:val="bottom"/>
          </w:tcPr>
          <w:p>
            <w:pPr>
              <w:jc w:val="center"/>
              <w:ind w:right="328"/>
              <w:spacing w:after="0" w:line="131"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vMerge w:val="restart"/>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80" w:type="dxa"/>
            <w:vAlign w:val="bottom"/>
          </w:tcPr>
          <w:p>
            <w:pPr>
              <w:spacing w:after="0"/>
              <w:rPr>
                <w:sz w:val="11"/>
                <w:szCs w:val="11"/>
                <w:color w:val="auto"/>
              </w:rPr>
            </w:pPr>
          </w:p>
        </w:tc>
        <w:tc>
          <w:tcPr>
            <w:tcW w:w="1220" w:type="dxa"/>
            <w:vAlign w:val="bottom"/>
          </w:tcPr>
          <w:p>
            <w:pPr>
              <w:jc w:val="center"/>
              <w:ind w:right="328"/>
              <w:spacing w:after="0" w:line="131"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jc w:val="center"/>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transferred</w:t>
            </w: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jc w:val="center"/>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transferred</w:t>
            </w: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transferred</w:t>
            </w:r>
          </w:p>
        </w:tc>
        <w:tc>
          <w:tcPr>
            <w:tcW w:w="280" w:type="dxa"/>
            <w:vAlign w:val="bottom"/>
          </w:tcPr>
          <w:p>
            <w:pPr>
              <w:spacing w:after="0"/>
              <w:rPr>
                <w:sz w:val="12"/>
                <w:szCs w:val="12"/>
                <w:color w:val="auto"/>
              </w:rPr>
            </w:pPr>
          </w:p>
        </w:tc>
        <w:tc>
          <w:tcPr>
            <w:tcW w:w="1260" w:type="dxa"/>
            <w:vAlign w:val="bottom"/>
          </w:tcPr>
          <w:p>
            <w:pPr>
              <w:jc w:val="center"/>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at a point</w:t>
            </w:r>
          </w:p>
        </w:tc>
        <w:tc>
          <w:tcPr>
            <w:tcW w:w="140" w:type="dxa"/>
            <w:vAlign w:val="bottom"/>
          </w:tcPr>
          <w:p>
            <w:pPr>
              <w:spacing w:after="0"/>
              <w:rPr>
                <w:sz w:val="12"/>
                <w:szCs w:val="12"/>
                <w:color w:val="auto"/>
              </w:rPr>
            </w:pPr>
          </w:p>
        </w:tc>
        <w:tc>
          <w:tcPr>
            <w:tcW w:w="114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transferred</w:t>
            </w:r>
          </w:p>
        </w:tc>
        <w:tc>
          <w:tcPr>
            <w:tcW w:w="280" w:type="dxa"/>
            <w:vAlign w:val="bottom"/>
          </w:tcPr>
          <w:p>
            <w:pPr>
              <w:spacing w:after="0"/>
              <w:rPr>
                <w:sz w:val="12"/>
                <w:szCs w:val="12"/>
                <w:color w:val="auto"/>
              </w:rPr>
            </w:pPr>
          </w:p>
        </w:tc>
        <w:tc>
          <w:tcPr>
            <w:tcW w:w="1220" w:type="dxa"/>
            <w:vAlign w:val="bottom"/>
          </w:tcPr>
          <w:p>
            <w:pPr>
              <w:jc w:val="center"/>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at a point</w:t>
            </w:r>
          </w:p>
        </w:tc>
        <w:tc>
          <w:tcPr>
            <w:tcW w:w="260" w:type="dxa"/>
            <w:vAlign w:val="bottom"/>
          </w:tcPr>
          <w:p>
            <w:pPr>
              <w:spacing w:after="0"/>
              <w:rPr>
                <w:sz w:val="12"/>
                <w:szCs w:val="12"/>
                <w:color w:val="auto"/>
              </w:rPr>
            </w:pPr>
          </w:p>
        </w:tc>
        <w:tc>
          <w:tcPr>
            <w:tcW w:w="1040" w:type="dxa"/>
            <w:vAlign w:val="bottom"/>
            <w:vMerge w:val="restart"/>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3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over time</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in time</w:t>
            </w: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over time</w:t>
            </w: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in time</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Americas:</w:t>
            </w: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United States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678.5</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18.9</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697.4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710.5</w:t>
            </w: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19.7</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730.2</w:t>
            </w:r>
          </w:p>
        </w:tc>
        <w:tc>
          <w:tcPr>
            <w:tcW w:w="0" w:type="dxa"/>
            <w:vAlign w:val="bottom"/>
          </w:tcPr>
          <w:p>
            <w:pPr>
              <w:spacing w:after="0"/>
              <w:rPr>
                <w:sz w:val="1"/>
                <w:szCs w:val="1"/>
                <w:color w:val="auto"/>
              </w:rPr>
            </w:pPr>
          </w:p>
        </w:tc>
      </w:tr>
      <w:tr>
        <w:trPr>
          <w:trHeight w:val="175"/>
        </w:trPr>
        <w:tc>
          <w:tcPr>
            <w:tcW w:w="30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Americas</w:t>
            </w:r>
          </w:p>
        </w:tc>
        <w:tc>
          <w:tcPr>
            <w:tcW w:w="14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347.8</w:t>
            </w:r>
          </w:p>
        </w:tc>
        <w:tc>
          <w:tcPr>
            <w:tcW w:w="28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5.3</w:t>
            </w:r>
          </w:p>
        </w:tc>
        <w:tc>
          <w:tcPr>
            <w:tcW w:w="14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353.1</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373.3</w:t>
            </w:r>
          </w:p>
        </w:tc>
        <w:tc>
          <w:tcPr>
            <w:tcW w:w="28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7.8</w:t>
            </w:r>
          </w:p>
        </w:tc>
        <w:tc>
          <w:tcPr>
            <w:tcW w:w="26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381.1</w:t>
            </w:r>
          </w:p>
        </w:tc>
        <w:tc>
          <w:tcPr>
            <w:tcW w:w="0" w:type="dxa"/>
            <w:vAlign w:val="bottom"/>
          </w:tcPr>
          <w:p>
            <w:pPr>
              <w:spacing w:after="0"/>
              <w:rPr>
                <w:sz w:val="1"/>
                <w:szCs w:val="1"/>
                <w:color w:val="auto"/>
              </w:rPr>
            </w:pPr>
          </w:p>
        </w:tc>
      </w:tr>
      <w:tr>
        <w:trPr>
          <w:trHeight w:val="169"/>
        </w:trPr>
        <w:tc>
          <w:tcPr>
            <w:tcW w:w="30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1,026.3</w:t>
            </w: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24.2</w:t>
            </w: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1,050.5</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1,083.8</w:t>
            </w: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27.5</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1,111.3</w:t>
            </w:r>
          </w:p>
        </w:tc>
        <w:tc>
          <w:tcPr>
            <w:tcW w:w="0" w:type="dxa"/>
            <w:vAlign w:val="bottom"/>
          </w:tcPr>
          <w:p>
            <w:pPr>
              <w:spacing w:after="0"/>
              <w:rPr>
                <w:sz w:val="1"/>
                <w:szCs w:val="1"/>
                <w:color w:val="auto"/>
              </w:rPr>
            </w:pPr>
          </w:p>
        </w:tc>
      </w:tr>
      <w:tr>
        <w:trPr>
          <w:trHeight w:val="169"/>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Southern Europe:</w:t>
            </w: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France</w:t>
            </w:r>
          </w:p>
        </w:tc>
        <w:tc>
          <w:tcPr>
            <w:tcW w:w="140" w:type="dxa"/>
            <w:vAlign w:val="bottom"/>
          </w:tcPr>
          <w:p>
            <w:pPr>
              <w:spacing w:after="0"/>
              <w:rPr>
                <w:sz w:val="15"/>
                <w:szCs w:val="15"/>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1,169.5</w:t>
            </w:r>
          </w:p>
        </w:tc>
        <w:tc>
          <w:tcPr>
            <w:tcW w:w="280" w:type="dxa"/>
            <w:vAlign w:val="bottom"/>
          </w:tcPr>
          <w:p>
            <w:pPr>
              <w:spacing w:after="0"/>
              <w:rPr>
                <w:sz w:val="15"/>
                <w:szCs w:val="15"/>
                <w:color w:val="auto"/>
              </w:rPr>
            </w:pPr>
          </w:p>
        </w:tc>
        <w:tc>
          <w:tcPr>
            <w:tcW w:w="12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10.2</w:t>
            </w:r>
          </w:p>
        </w:tc>
        <w:tc>
          <w:tcPr>
            <w:tcW w:w="14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1,179.7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1,198.6</w:t>
            </w:r>
          </w:p>
        </w:tc>
        <w:tc>
          <w:tcPr>
            <w:tcW w:w="280" w:type="dxa"/>
            <w:vAlign w:val="bottom"/>
          </w:tcPr>
          <w:p>
            <w:pPr>
              <w:spacing w:after="0"/>
              <w:rPr>
                <w:sz w:val="15"/>
                <w:szCs w:val="15"/>
                <w:color w:val="auto"/>
              </w:rPr>
            </w:pPr>
          </w:p>
        </w:tc>
        <w:tc>
          <w:tcPr>
            <w:tcW w:w="12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11.3</w:t>
            </w:r>
          </w:p>
        </w:tc>
        <w:tc>
          <w:tcPr>
            <w:tcW w:w="26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1,209.9</w:t>
            </w:r>
          </w:p>
        </w:tc>
        <w:tc>
          <w:tcPr>
            <w:tcW w:w="0" w:type="dxa"/>
            <w:vAlign w:val="bottom"/>
          </w:tcPr>
          <w:p>
            <w:pPr>
              <w:spacing w:after="0"/>
              <w:rPr>
                <w:sz w:val="1"/>
                <w:szCs w:val="1"/>
                <w:color w:val="auto"/>
              </w:rPr>
            </w:pPr>
          </w:p>
        </w:tc>
      </w:tr>
      <w:tr>
        <w:trPr>
          <w:trHeight w:val="176"/>
        </w:trPr>
        <w:tc>
          <w:tcPr>
            <w:tcW w:w="3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Italy</w:t>
            </w: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409.7</w:t>
            </w:r>
          </w:p>
        </w:tc>
        <w:tc>
          <w:tcPr>
            <w:tcW w:w="28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9.4</w:t>
            </w:r>
          </w:p>
        </w:tc>
        <w:tc>
          <w:tcPr>
            <w:tcW w:w="14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419.1</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402.7</w:t>
            </w:r>
          </w:p>
        </w:tc>
        <w:tc>
          <w:tcPr>
            <w:tcW w:w="28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11.0</w:t>
            </w: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413.7</w:t>
            </w:r>
          </w:p>
        </w:tc>
        <w:tc>
          <w:tcPr>
            <w:tcW w:w="0" w:type="dxa"/>
            <w:vAlign w:val="bottom"/>
          </w:tcPr>
          <w:p>
            <w:pPr>
              <w:spacing w:after="0"/>
              <w:rPr>
                <w:sz w:val="1"/>
                <w:szCs w:val="1"/>
                <w:color w:val="auto"/>
              </w:rPr>
            </w:pPr>
          </w:p>
        </w:tc>
      </w:tr>
      <w:tr>
        <w:trPr>
          <w:trHeight w:val="175"/>
        </w:trPr>
        <w:tc>
          <w:tcPr>
            <w:tcW w:w="3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Southern Europe</w:t>
            </w: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486.7</w:t>
            </w: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10.1</w:t>
            </w: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496.8</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473.1</w:t>
            </w: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12.0</w:t>
            </w: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485.1</w:t>
            </w:r>
          </w:p>
        </w:tc>
        <w:tc>
          <w:tcPr>
            <w:tcW w:w="0" w:type="dxa"/>
            <w:vAlign w:val="bottom"/>
          </w:tcPr>
          <w:p>
            <w:pPr>
              <w:spacing w:after="0"/>
              <w:rPr>
                <w:sz w:val="1"/>
                <w:szCs w:val="1"/>
                <w:color w:val="auto"/>
              </w:rPr>
            </w:pPr>
          </w:p>
        </w:tc>
      </w:tr>
      <w:tr>
        <w:trPr>
          <w:trHeight w:val="169"/>
        </w:trPr>
        <w:tc>
          <w:tcPr>
            <w:tcW w:w="30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2,065.9</w:t>
            </w:r>
          </w:p>
        </w:tc>
        <w:tc>
          <w:tcPr>
            <w:tcW w:w="280" w:type="dxa"/>
            <w:vAlign w:val="bottom"/>
            <w:tcBorders>
              <w:bottom w:val="single" w:sz="8" w:color="auto"/>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29.7</w:t>
            </w:r>
          </w:p>
        </w:tc>
        <w:tc>
          <w:tcPr>
            <w:tcW w:w="14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2,095.6</w:t>
            </w: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2,074.4</w:t>
            </w:r>
          </w:p>
        </w:tc>
        <w:tc>
          <w:tcPr>
            <w:tcW w:w="28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34.3</w:t>
            </w:r>
          </w:p>
        </w:tc>
        <w:tc>
          <w:tcPr>
            <w:tcW w:w="26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2,108.7</w:t>
            </w:r>
          </w:p>
        </w:tc>
        <w:tc>
          <w:tcPr>
            <w:tcW w:w="0" w:type="dxa"/>
            <w:vAlign w:val="bottom"/>
          </w:tcPr>
          <w:p>
            <w:pPr>
              <w:spacing w:after="0"/>
              <w:rPr>
                <w:sz w:val="1"/>
                <w:szCs w:val="1"/>
                <w:color w:val="auto"/>
              </w:rPr>
            </w:pPr>
          </w:p>
        </w:tc>
      </w:tr>
      <w:tr>
        <w:trPr>
          <w:trHeight w:val="169"/>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Northern Europe</w:t>
            </w:r>
          </w:p>
        </w:tc>
        <w:tc>
          <w:tcPr>
            <w:tcW w:w="140" w:type="dxa"/>
            <w:vAlign w:val="bottom"/>
          </w:tcPr>
          <w:p>
            <w:pPr>
              <w:spacing w:after="0"/>
              <w:rPr>
                <w:sz w:val="14"/>
                <w:szCs w:val="14"/>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806.3</w:t>
            </w:r>
          </w:p>
        </w:tc>
        <w:tc>
          <w:tcPr>
            <w:tcW w:w="28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22.0</w:t>
            </w:r>
          </w:p>
        </w:tc>
        <w:tc>
          <w:tcPr>
            <w:tcW w:w="14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828.3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885.7</w:t>
            </w:r>
          </w:p>
        </w:tc>
        <w:tc>
          <w:tcPr>
            <w:tcW w:w="280" w:type="dxa"/>
            <w:vAlign w:val="bottom"/>
          </w:tcPr>
          <w:p>
            <w:pPr>
              <w:spacing w:after="0"/>
              <w:rPr>
                <w:sz w:val="14"/>
                <w:szCs w:val="14"/>
                <w:color w:val="auto"/>
              </w:rPr>
            </w:pPr>
          </w:p>
        </w:tc>
        <w:tc>
          <w:tcPr>
            <w:tcW w:w="12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28.5</w:t>
            </w:r>
          </w:p>
        </w:tc>
        <w:tc>
          <w:tcPr>
            <w:tcW w:w="26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914.2</w:t>
            </w:r>
          </w:p>
        </w:tc>
        <w:tc>
          <w:tcPr>
            <w:tcW w:w="0" w:type="dxa"/>
            <w:vAlign w:val="bottom"/>
          </w:tcPr>
          <w:p>
            <w:pPr>
              <w:spacing w:after="0"/>
              <w:rPr>
                <w:sz w:val="1"/>
                <w:szCs w:val="1"/>
                <w:color w:val="auto"/>
              </w:rPr>
            </w:pPr>
          </w:p>
        </w:tc>
      </w:tr>
      <w:tr>
        <w:trPr>
          <w:trHeight w:val="176"/>
        </w:trPr>
        <w:tc>
          <w:tcPr>
            <w:tcW w:w="3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APME</w:t>
            </w:r>
          </w:p>
        </w:tc>
        <w:tc>
          <w:tcPr>
            <w:tcW w:w="14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551.0</w:t>
            </w:r>
          </w:p>
        </w:tc>
        <w:tc>
          <w:tcPr>
            <w:tcW w:w="28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11.8</w:t>
            </w:r>
          </w:p>
        </w:tc>
        <w:tc>
          <w:tcPr>
            <w:tcW w:w="14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562.8</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550.3</w:t>
            </w:r>
          </w:p>
        </w:tc>
        <w:tc>
          <w:tcPr>
            <w:tcW w:w="28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14.5</w:t>
            </w:r>
          </w:p>
        </w:tc>
        <w:tc>
          <w:tcPr>
            <w:tcW w:w="26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564.8</w:t>
            </w:r>
          </w:p>
        </w:tc>
        <w:tc>
          <w:tcPr>
            <w:tcW w:w="0" w:type="dxa"/>
            <w:vAlign w:val="bottom"/>
          </w:tcPr>
          <w:p>
            <w:pPr>
              <w:spacing w:after="0"/>
              <w:rPr>
                <w:sz w:val="1"/>
                <w:szCs w:val="1"/>
                <w:color w:val="auto"/>
              </w:rPr>
            </w:pPr>
          </w:p>
        </w:tc>
      </w:tr>
      <w:tr>
        <w:trPr>
          <w:trHeight w:val="169"/>
        </w:trPr>
        <w:tc>
          <w:tcPr>
            <w:tcW w:w="30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4,449.5</w:t>
            </w: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87.7</w:t>
            </w: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4,537.2</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4,594.2</w:t>
            </w: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104.8</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4,699.0</w:t>
            </w:r>
          </w:p>
        </w:tc>
        <w:tc>
          <w:tcPr>
            <w:tcW w:w="0" w:type="dxa"/>
            <w:vAlign w:val="bottom"/>
          </w:tcPr>
          <w:p>
            <w:pPr>
              <w:spacing w:after="0"/>
              <w:rPr>
                <w:sz w:val="1"/>
                <w:szCs w:val="1"/>
                <w:color w:val="auto"/>
              </w:rPr>
            </w:pPr>
          </w:p>
        </w:tc>
      </w:tr>
      <w:tr>
        <w:trPr>
          <w:trHeight w:val="169"/>
        </w:trPr>
        <w:tc>
          <w:tcPr>
            <w:tcW w:w="3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Intercompany Eliminations</w:t>
            </w:r>
          </w:p>
        </w:tc>
        <w:tc>
          <w:tcPr>
            <w:tcW w:w="140" w:type="dxa"/>
            <w:vAlign w:val="bottom"/>
            <w:tcBorders>
              <w:bottom w:val="single" w:sz="8" w:color="CFF0FC"/>
            </w:tcBorders>
            <w:shd w:val="clear" w:color="auto" w:fill="CFF0FC"/>
          </w:tcPr>
          <w:p>
            <w:pPr>
              <w:spacing w:after="0"/>
              <w:rPr>
                <w:sz w:val="14"/>
                <w:szCs w:val="14"/>
                <w:color w:val="auto"/>
              </w:rPr>
            </w:pPr>
          </w:p>
        </w:tc>
        <w:tc>
          <w:tcPr>
            <w:tcW w:w="110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CFF0FC"/>
            </w:tcBorders>
            <w:shd w:val="clear" w:color="auto" w:fill="CFF0FC"/>
          </w:tcPr>
          <w:p>
            <w:pPr>
              <w:spacing w:after="0"/>
              <w:rPr>
                <w:sz w:val="14"/>
                <w:szCs w:val="14"/>
                <w:color w:val="auto"/>
              </w:rPr>
            </w:pPr>
          </w:p>
        </w:tc>
        <w:tc>
          <w:tcPr>
            <w:tcW w:w="12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(7.0 )</w:t>
            </w: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10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CFF0FC"/>
            </w:tcBorders>
            <w:shd w:val="clear" w:color="auto" w:fill="CFF0FC"/>
          </w:tcPr>
          <w:p>
            <w:pPr>
              <w:spacing w:after="0"/>
              <w:rPr>
                <w:sz w:val="14"/>
                <w:szCs w:val="14"/>
                <w:color w:val="auto"/>
              </w:rPr>
            </w:pPr>
          </w:p>
        </w:tc>
        <w:tc>
          <w:tcPr>
            <w:tcW w:w="12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(23.4 )</w:t>
            </w:r>
          </w:p>
        </w:tc>
        <w:tc>
          <w:tcPr>
            <w:tcW w:w="0" w:type="dxa"/>
            <w:vAlign w:val="bottom"/>
          </w:tcPr>
          <w:p>
            <w:pPr>
              <w:spacing w:after="0"/>
              <w:rPr>
                <w:sz w:val="1"/>
                <w:szCs w:val="1"/>
                <w:color w:val="auto"/>
              </w:rPr>
            </w:pPr>
          </w:p>
        </w:tc>
      </w:tr>
      <w:tr>
        <w:trPr>
          <w:trHeight w:val="169"/>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4,530.2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4,675.6</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-1311275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-616585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-385445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-145415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520" w:right="460" w:hanging="512"/>
        <w:spacing w:after="0" w:line="280" w:lineRule="auto"/>
        <w:tabs>
          <w:tab w:leader="none" w:pos="5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January 1, 2024, our segment reporting was realigned to include our Puerto Rico business within Other Americas. Accordingly, United States is now adjusted to exclude Puerto Rico. All previously reported results have been restated to conform to the current year presentation.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0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08"/>
              <w:spacing w:after="0" w:line="169" w:lineRule="exact"/>
              <w:rPr>
                <w:sz w:val="20"/>
                <w:szCs w:val="20"/>
                <w:color w:val="auto"/>
              </w:rPr>
            </w:pPr>
            <w:r>
              <w:rPr>
                <w:rFonts w:ascii="Times New Roman" w:cs="Times New Roman" w:eastAsia="Times New Roman" w:hAnsi="Times New Roman"/>
                <w:sz w:val="14"/>
                <w:szCs w:val="14"/>
                <w:b w:val="1"/>
                <w:bCs w:val="1"/>
                <w:color w:val="auto"/>
              </w:rPr>
              <w:t>2023</w:t>
            </w:r>
            <w:r>
              <w:rPr>
                <w:rFonts w:ascii="Times New Roman" w:cs="Times New Roman" w:eastAsia="Times New Roman" w:hAnsi="Times New Roman"/>
                <w:sz w:val="19"/>
                <w:szCs w:val="19"/>
                <w:b w:val="1"/>
                <w:bCs w:val="1"/>
                <w:color w:val="auto"/>
                <w:vertAlign w:val="superscript"/>
              </w:rPr>
              <w:t>(a)</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vMerge w:val="restart"/>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80" w:type="dxa"/>
            <w:vAlign w:val="bottom"/>
          </w:tcPr>
          <w:p>
            <w:pPr>
              <w:spacing w:after="0"/>
              <w:rPr>
                <w:sz w:val="11"/>
                <w:szCs w:val="11"/>
                <w:color w:val="auto"/>
              </w:rPr>
            </w:pPr>
          </w:p>
        </w:tc>
        <w:tc>
          <w:tcPr>
            <w:tcW w:w="1260" w:type="dxa"/>
            <w:vAlign w:val="bottom"/>
          </w:tcPr>
          <w:p>
            <w:pPr>
              <w:jc w:val="center"/>
              <w:ind w:right="328"/>
              <w:spacing w:after="0" w:line="131"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vMerge w:val="restart"/>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80" w:type="dxa"/>
            <w:vAlign w:val="bottom"/>
          </w:tcPr>
          <w:p>
            <w:pPr>
              <w:spacing w:after="0"/>
              <w:rPr>
                <w:sz w:val="11"/>
                <w:szCs w:val="11"/>
                <w:color w:val="auto"/>
              </w:rPr>
            </w:pPr>
          </w:p>
        </w:tc>
        <w:tc>
          <w:tcPr>
            <w:tcW w:w="1220" w:type="dxa"/>
            <w:vAlign w:val="bottom"/>
          </w:tcPr>
          <w:p>
            <w:pPr>
              <w:jc w:val="center"/>
              <w:ind w:right="328"/>
              <w:spacing w:after="0" w:line="131"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jc w:val="center"/>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transferred</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jc w:val="center"/>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transferred</w:t>
            </w: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transferred</w:t>
            </w:r>
          </w:p>
        </w:tc>
        <w:tc>
          <w:tcPr>
            <w:tcW w:w="280" w:type="dxa"/>
            <w:vAlign w:val="bottom"/>
          </w:tcPr>
          <w:p>
            <w:pPr>
              <w:spacing w:after="0"/>
              <w:rPr>
                <w:sz w:val="12"/>
                <w:szCs w:val="12"/>
                <w:color w:val="auto"/>
              </w:rPr>
            </w:pPr>
          </w:p>
        </w:tc>
        <w:tc>
          <w:tcPr>
            <w:tcW w:w="1260" w:type="dxa"/>
            <w:vAlign w:val="bottom"/>
          </w:tcPr>
          <w:p>
            <w:pPr>
              <w:jc w:val="center"/>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at a point</w:t>
            </w:r>
          </w:p>
        </w:tc>
        <w:tc>
          <w:tcPr>
            <w:tcW w:w="160" w:type="dxa"/>
            <w:vAlign w:val="bottom"/>
          </w:tcPr>
          <w:p>
            <w:pPr>
              <w:spacing w:after="0"/>
              <w:rPr>
                <w:sz w:val="12"/>
                <w:szCs w:val="12"/>
                <w:color w:val="auto"/>
              </w:rPr>
            </w:pPr>
          </w:p>
        </w:tc>
        <w:tc>
          <w:tcPr>
            <w:tcW w:w="112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transferred</w:t>
            </w:r>
          </w:p>
        </w:tc>
        <w:tc>
          <w:tcPr>
            <w:tcW w:w="280" w:type="dxa"/>
            <w:vAlign w:val="bottom"/>
          </w:tcPr>
          <w:p>
            <w:pPr>
              <w:spacing w:after="0"/>
              <w:rPr>
                <w:sz w:val="12"/>
                <w:szCs w:val="12"/>
                <w:color w:val="auto"/>
              </w:rPr>
            </w:pPr>
          </w:p>
        </w:tc>
        <w:tc>
          <w:tcPr>
            <w:tcW w:w="1220" w:type="dxa"/>
            <w:vAlign w:val="bottom"/>
          </w:tcPr>
          <w:p>
            <w:pPr>
              <w:jc w:val="center"/>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at a point</w:t>
            </w:r>
          </w:p>
        </w:tc>
        <w:tc>
          <w:tcPr>
            <w:tcW w:w="260" w:type="dxa"/>
            <w:vAlign w:val="bottom"/>
          </w:tcPr>
          <w:p>
            <w:pPr>
              <w:spacing w:after="0"/>
              <w:rPr>
                <w:sz w:val="12"/>
                <w:szCs w:val="12"/>
                <w:color w:val="auto"/>
              </w:rPr>
            </w:pPr>
          </w:p>
        </w:tc>
        <w:tc>
          <w:tcPr>
            <w:tcW w:w="1040" w:type="dxa"/>
            <w:vAlign w:val="bottom"/>
            <w:vMerge w:val="restart"/>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3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over time</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in time</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over time</w:t>
            </w: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in time</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Americas:</w:t>
            </w: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United States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2,022.4</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52.4</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2,074.8</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2,120.4</w:t>
            </w: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60.5</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2,180.9</w:t>
            </w:r>
          </w:p>
        </w:tc>
        <w:tc>
          <w:tcPr>
            <w:tcW w:w="0" w:type="dxa"/>
            <w:vAlign w:val="bottom"/>
          </w:tcPr>
          <w:p>
            <w:pPr>
              <w:spacing w:after="0"/>
              <w:rPr>
                <w:sz w:val="1"/>
                <w:szCs w:val="1"/>
                <w:color w:val="auto"/>
              </w:rPr>
            </w:pPr>
          </w:p>
        </w:tc>
      </w:tr>
      <w:tr>
        <w:trPr>
          <w:trHeight w:val="175"/>
        </w:trPr>
        <w:tc>
          <w:tcPr>
            <w:tcW w:w="30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Americas</w:t>
            </w:r>
          </w:p>
        </w:tc>
        <w:tc>
          <w:tcPr>
            <w:tcW w:w="14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1,055.3</w:t>
            </w:r>
          </w:p>
        </w:tc>
        <w:tc>
          <w:tcPr>
            <w:tcW w:w="28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21.2</w:t>
            </w:r>
          </w:p>
        </w:tc>
        <w:tc>
          <w:tcPr>
            <w:tcW w:w="16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1,076.5</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1,136.5</w:t>
            </w:r>
          </w:p>
        </w:tc>
        <w:tc>
          <w:tcPr>
            <w:tcW w:w="28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22.8</w:t>
            </w:r>
          </w:p>
        </w:tc>
        <w:tc>
          <w:tcPr>
            <w:tcW w:w="26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1,159.3</w:t>
            </w:r>
          </w:p>
        </w:tc>
        <w:tc>
          <w:tcPr>
            <w:tcW w:w="0" w:type="dxa"/>
            <w:vAlign w:val="bottom"/>
          </w:tcPr>
          <w:p>
            <w:pPr>
              <w:spacing w:after="0"/>
              <w:rPr>
                <w:sz w:val="1"/>
                <w:szCs w:val="1"/>
                <w:color w:val="auto"/>
              </w:rPr>
            </w:pPr>
          </w:p>
        </w:tc>
      </w:tr>
      <w:tr>
        <w:trPr>
          <w:trHeight w:val="169"/>
        </w:trPr>
        <w:tc>
          <w:tcPr>
            <w:tcW w:w="30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3,077.7</w:t>
            </w: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73.6</w:t>
            </w: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3,151.3</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3,256.9</w:t>
            </w: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83.3</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3,340.2</w:t>
            </w:r>
          </w:p>
        </w:tc>
        <w:tc>
          <w:tcPr>
            <w:tcW w:w="0" w:type="dxa"/>
            <w:vAlign w:val="bottom"/>
          </w:tcPr>
          <w:p>
            <w:pPr>
              <w:spacing w:after="0"/>
              <w:rPr>
                <w:sz w:val="1"/>
                <w:szCs w:val="1"/>
                <w:color w:val="auto"/>
              </w:rPr>
            </w:pPr>
          </w:p>
        </w:tc>
      </w:tr>
      <w:tr>
        <w:trPr>
          <w:trHeight w:val="169"/>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Southern Europe:</w:t>
            </w: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France</w:t>
            </w:r>
          </w:p>
        </w:tc>
        <w:tc>
          <w:tcPr>
            <w:tcW w:w="140" w:type="dxa"/>
            <w:vAlign w:val="bottom"/>
          </w:tcPr>
          <w:p>
            <w:pPr>
              <w:spacing w:after="0"/>
              <w:rPr>
                <w:sz w:val="15"/>
                <w:szCs w:val="15"/>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3,447.7</w:t>
            </w:r>
          </w:p>
        </w:tc>
        <w:tc>
          <w:tcPr>
            <w:tcW w:w="280" w:type="dxa"/>
            <w:vAlign w:val="bottom"/>
          </w:tcPr>
          <w:p>
            <w:pPr>
              <w:spacing w:after="0"/>
              <w:rPr>
                <w:sz w:val="15"/>
                <w:szCs w:val="15"/>
                <w:color w:val="auto"/>
              </w:rPr>
            </w:pPr>
          </w:p>
        </w:tc>
        <w:tc>
          <w:tcPr>
            <w:tcW w:w="12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36.2</w:t>
            </w:r>
          </w:p>
        </w:tc>
        <w:tc>
          <w:tcPr>
            <w:tcW w:w="16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3,483.9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3,616.2</w:t>
            </w:r>
          </w:p>
        </w:tc>
        <w:tc>
          <w:tcPr>
            <w:tcW w:w="280" w:type="dxa"/>
            <w:vAlign w:val="bottom"/>
          </w:tcPr>
          <w:p>
            <w:pPr>
              <w:spacing w:after="0"/>
              <w:rPr>
                <w:sz w:val="15"/>
                <w:szCs w:val="15"/>
                <w:color w:val="auto"/>
              </w:rPr>
            </w:pPr>
          </w:p>
        </w:tc>
        <w:tc>
          <w:tcPr>
            <w:tcW w:w="12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41.2</w:t>
            </w:r>
          </w:p>
        </w:tc>
        <w:tc>
          <w:tcPr>
            <w:tcW w:w="26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3,657.4</w:t>
            </w:r>
          </w:p>
        </w:tc>
        <w:tc>
          <w:tcPr>
            <w:tcW w:w="0" w:type="dxa"/>
            <w:vAlign w:val="bottom"/>
          </w:tcPr>
          <w:p>
            <w:pPr>
              <w:spacing w:after="0"/>
              <w:rPr>
                <w:sz w:val="1"/>
                <w:szCs w:val="1"/>
                <w:color w:val="auto"/>
              </w:rPr>
            </w:pPr>
          </w:p>
        </w:tc>
      </w:tr>
      <w:tr>
        <w:trPr>
          <w:trHeight w:val="175"/>
        </w:trPr>
        <w:tc>
          <w:tcPr>
            <w:tcW w:w="3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Italy</w:t>
            </w: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1,224.1</w:t>
            </w:r>
          </w:p>
        </w:tc>
        <w:tc>
          <w:tcPr>
            <w:tcW w:w="28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34.2</w:t>
            </w:r>
          </w:p>
        </w:tc>
        <w:tc>
          <w:tcPr>
            <w:tcW w:w="16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1,258.3</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1,254.4</w:t>
            </w:r>
          </w:p>
        </w:tc>
        <w:tc>
          <w:tcPr>
            <w:tcW w:w="28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39.3</w:t>
            </w: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1,293.7</w:t>
            </w:r>
          </w:p>
        </w:tc>
        <w:tc>
          <w:tcPr>
            <w:tcW w:w="0" w:type="dxa"/>
            <w:vAlign w:val="bottom"/>
          </w:tcPr>
          <w:p>
            <w:pPr>
              <w:spacing w:after="0"/>
              <w:rPr>
                <w:sz w:val="1"/>
                <w:szCs w:val="1"/>
                <w:color w:val="auto"/>
              </w:rPr>
            </w:pPr>
          </w:p>
        </w:tc>
      </w:tr>
      <w:tr>
        <w:trPr>
          <w:trHeight w:val="175"/>
        </w:trPr>
        <w:tc>
          <w:tcPr>
            <w:tcW w:w="3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Southern Europe</w:t>
            </w: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1,400.3</w:t>
            </w: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32.4</w:t>
            </w: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1,432.7</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1,414.7</w:t>
            </w: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37.7</w:t>
            </w: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1,452.4</w:t>
            </w:r>
          </w:p>
        </w:tc>
        <w:tc>
          <w:tcPr>
            <w:tcW w:w="0" w:type="dxa"/>
            <w:vAlign w:val="bottom"/>
          </w:tcPr>
          <w:p>
            <w:pPr>
              <w:spacing w:after="0"/>
              <w:rPr>
                <w:sz w:val="1"/>
                <w:szCs w:val="1"/>
                <w:color w:val="auto"/>
              </w:rPr>
            </w:pPr>
          </w:p>
        </w:tc>
      </w:tr>
      <w:tr>
        <w:trPr>
          <w:trHeight w:val="169"/>
        </w:trPr>
        <w:tc>
          <w:tcPr>
            <w:tcW w:w="30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6,072.1</w:t>
            </w:r>
          </w:p>
        </w:tc>
        <w:tc>
          <w:tcPr>
            <w:tcW w:w="280" w:type="dxa"/>
            <w:vAlign w:val="bottom"/>
            <w:tcBorders>
              <w:bottom w:val="single" w:sz="8" w:color="auto"/>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102.8</w:t>
            </w:r>
          </w:p>
        </w:tc>
        <w:tc>
          <w:tcPr>
            <w:tcW w:w="16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6,174.9</w:t>
            </w: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6,285.3</w:t>
            </w:r>
          </w:p>
        </w:tc>
        <w:tc>
          <w:tcPr>
            <w:tcW w:w="28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118.2</w:t>
            </w:r>
          </w:p>
        </w:tc>
        <w:tc>
          <w:tcPr>
            <w:tcW w:w="26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6,403.5</w:t>
            </w:r>
          </w:p>
        </w:tc>
        <w:tc>
          <w:tcPr>
            <w:tcW w:w="0" w:type="dxa"/>
            <w:vAlign w:val="bottom"/>
          </w:tcPr>
          <w:p>
            <w:pPr>
              <w:spacing w:after="0"/>
              <w:rPr>
                <w:sz w:val="1"/>
                <w:szCs w:val="1"/>
                <w:color w:val="auto"/>
              </w:rPr>
            </w:pPr>
          </w:p>
        </w:tc>
      </w:tr>
      <w:tr>
        <w:trPr>
          <w:trHeight w:val="169"/>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Northern Europe</w:t>
            </w:r>
          </w:p>
        </w:tc>
        <w:tc>
          <w:tcPr>
            <w:tcW w:w="140" w:type="dxa"/>
            <w:vAlign w:val="bottom"/>
          </w:tcPr>
          <w:p>
            <w:pPr>
              <w:spacing w:after="0"/>
              <w:rPr>
                <w:sz w:val="14"/>
                <w:szCs w:val="14"/>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2,461.8</w:t>
            </w:r>
          </w:p>
        </w:tc>
        <w:tc>
          <w:tcPr>
            <w:tcW w:w="28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74.1</w:t>
            </w:r>
          </w:p>
        </w:tc>
        <w:tc>
          <w:tcPr>
            <w:tcW w:w="16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2,535.9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2,740.1</w:t>
            </w:r>
          </w:p>
        </w:tc>
        <w:tc>
          <w:tcPr>
            <w:tcW w:w="280" w:type="dxa"/>
            <w:vAlign w:val="bottom"/>
          </w:tcPr>
          <w:p>
            <w:pPr>
              <w:spacing w:after="0"/>
              <w:rPr>
                <w:sz w:val="14"/>
                <w:szCs w:val="14"/>
                <w:color w:val="auto"/>
              </w:rPr>
            </w:pPr>
          </w:p>
        </w:tc>
        <w:tc>
          <w:tcPr>
            <w:tcW w:w="12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94.2</w:t>
            </w:r>
          </w:p>
        </w:tc>
        <w:tc>
          <w:tcPr>
            <w:tcW w:w="26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2,834.3</w:t>
            </w:r>
          </w:p>
        </w:tc>
        <w:tc>
          <w:tcPr>
            <w:tcW w:w="0" w:type="dxa"/>
            <w:vAlign w:val="bottom"/>
          </w:tcPr>
          <w:p>
            <w:pPr>
              <w:spacing w:after="0"/>
              <w:rPr>
                <w:sz w:val="1"/>
                <w:szCs w:val="1"/>
                <w:color w:val="auto"/>
              </w:rPr>
            </w:pPr>
          </w:p>
        </w:tc>
      </w:tr>
      <w:tr>
        <w:trPr>
          <w:trHeight w:val="176"/>
        </w:trPr>
        <w:tc>
          <w:tcPr>
            <w:tcW w:w="3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APME</w:t>
            </w:r>
          </w:p>
        </w:tc>
        <w:tc>
          <w:tcPr>
            <w:tcW w:w="14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1,604.4</w:t>
            </w:r>
          </w:p>
        </w:tc>
        <w:tc>
          <w:tcPr>
            <w:tcW w:w="28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34.9</w:t>
            </w:r>
          </w:p>
        </w:tc>
        <w:tc>
          <w:tcPr>
            <w:tcW w:w="16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1,639.3</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1,713.3</w:t>
            </w:r>
          </w:p>
        </w:tc>
        <w:tc>
          <w:tcPr>
            <w:tcW w:w="28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56.8</w:t>
            </w:r>
          </w:p>
        </w:tc>
        <w:tc>
          <w:tcPr>
            <w:tcW w:w="26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1,770.1</w:t>
            </w:r>
          </w:p>
        </w:tc>
        <w:tc>
          <w:tcPr>
            <w:tcW w:w="0" w:type="dxa"/>
            <w:vAlign w:val="bottom"/>
          </w:tcPr>
          <w:p>
            <w:pPr>
              <w:spacing w:after="0"/>
              <w:rPr>
                <w:sz w:val="1"/>
                <w:szCs w:val="1"/>
                <w:color w:val="auto"/>
              </w:rPr>
            </w:pPr>
          </w:p>
        </w:tc>
      </w:tr>
      <w:tr>
        <w:trPr>
          <w:trHeight w:val="169"/>
        </w:trPr>
        <w:tc>
          <w:tcPr>
            <w:tcW w:w="30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13,216.0</w:t>
            </w: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285.4</w:t>
            </w: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13,501.4</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13,995.6</w:t>
            </w: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352.5</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14,348.1</w:t>
            </w:r>
          </w:p>
        </w:tc>
        <w:tc>
          <w:tcPr>
            <w:tcW w:w="0" w:type="dxa"/>
            <w:vAlign w:val="bottom"/>
          </w:tcPr>
          <w:p>
            <w:pPr>
              <w:spacing w:after="0"/>
              <w:rPr>
                <w:sz w:val="1"/>
                <w:szCs w:val="1"/>
                <w:color w:val="auto"/>
              </w:rPr>
            </w:pPr>
          </w:p>
        </w:tc>
      </w:tr>
      <w:tr>
        <w:trPr>
          <w:trHeight w:val="169"/>
        </w:trPr>
        <w:tc>
          <w:tcPr>
            <w:tcW w:w="3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Intercompany Eliminations</w:t>
            </w:r>
          </w:p>
        </w:tc>
        <w:tc>
          <w:tcPr>
            <w:tcW w:w="140" w:type="dxa"/>
            <w:vAlign w:val="bottom"/>
            <w:tcBorders>
              <w:bottom w:val="single" w:sz="8" w:color="CFF0FC"/>
            </w:tcBorders>
            <w:shd w:val="clear" w:color="auto" w:fill="CFF0FC"/>
          </w:tcPr>
          <w:p>
            <w:pPr>
              <w:spacing w:after="0"/>
              <w:rPr>
                <w:sz w:val="14"/>
                <w:szCs w:val="14"/>
                <w:color w:val="auto"/>
              </w:rPr>
            </w:pPr>
          </w:p>
        </w:tc>
        <w:tc>
          <w:tcPr>
            <w:tcW w:w="110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CFF0FC"/>
            </w:tcBorders>
            <w:shd w:val="clear" w:color="auto" w:fill="CFF0FC"/>
          </w:tcPr>
          <w:p>
            <w:pPr>
              <w:spacing w:after="0"/>
              <w:rPr>
                <w:sz w:val="14"/>
                <w:szCs w:val="14"/>
                <w:color w:val="auto"/>
              </w:rPr>
            </w:pPr>
          </w:p>
        </w:tc>
        <w:tc>
          <w:tcPr>
            <w:tcW w:w="12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(47.2 )</w:t>
            </w: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10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CFF0FC"/>
            </w:tcBorders>
            <w:shd w:val="clear" w:color="auto" w:fill="CFF0FC"/>
          </w:tcPr>
          <w:p>
            <w:pPr>
              <w:spacing w:after="0"/>
              <w:rPr>
                <w:sz w:val="14"/>
                <w:szCs w:val="14"/>
                <w:color w:val="auto"/>
              </w:rPr>
            </w:pPr>
          </w:p>
        </w:tc>
        <w:tc>
          <w:tcPr>
            <w:tcW w:w="12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(64.1 )</w:t>
            </w:r>
          </w:p>
        </w:tc>
        <w:tc>
          <w:tcPr>
            <w:tcW w:w="0" w:type="dxa"/>
            <w:vAlign w:val="bottom"/>
          </w:tcPr>
          <w:p>
            <w:pPr>
              <w:spacing w:after="0"/>
              <w:rPr>
                <w:sz w:val="1"/>
                <w:szCs w:val="1"/>
                <w:color w:val="auto"/>
              </w:rPr>
            </w:pPr>
          </w:p>
        </w:tc>
      </w:tr>
      <w:tr>
        <w:trPr>
          <w:trHeight w:val="169"/>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13,454.2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14,284.0</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-1310640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-616585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-384810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-144780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520" w:right="460" w:hanging="512"/>
        <w:spacing w:after="0" w:line="280" w:lineRule="auto"/>
        <w:tabs>
          <w:tab w:leader="none" w:pos="5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January 1, 2024, our segment reporting was realigned to include our Puerto Rico business within Other Americas. Accordingly, United States is now adjusted to exclude Puerto Rico. All previously reported results have been restated to conform to the current year presentation.</w:t>
      </w:r>
    </w:p>
    <w:p>
      <w:pPr>
        <w:spacing w:after="0" w:line="156" w:lineRule="exact"/>
        <w:rPr>
          <w:sz w:val="20"/>
          <w:szCs w:val="20"/>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Share-Based Compensation Plans</w:t>
      </w:r>
    </w:p>
    <w:p>
      <w:pPr>
        <w:spacing w:after="0" w:line="229"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During the three months ended September 30, 2024 and 2023, we recognized share-based compensation expense of $7.0 and $8.0, respectively, and $22.0 and $20.0 for the nine months ended September 30, 2024 and 2023, respectively. The expense relates to stock options, deferred stock units, restricted stock units and performance share units. We recognize share-based compensation expense in selling and administrative expenses on a straight-line basis over the service period of each award. Consideration received from share-based awards was $0.8 and $1.8 for the nine months ended September 30, 2024 and 2023, respectively.</w:t>
      </w:r>
    </w:p>
    <w:p>
      <w:pPr>
        <w:spacing w:after="0" w:line="179" w:lineRule="exact"/>
        <w:rPr>
          <w:sz w:val="20"/>
          <w:szCs w:val="20"/>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Acquisitions and Dispositions</w:t>
      </w:r>
    </w:p>
    <w:p>
      <w:pPr>
        <w:spacing w:after="0" w:line="2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From time to time, we acquire and invest in companies throughout the world, including franchises. For the nine months ended September 30, 2024, total cash consideration paid for acquisitions, net of cash acquired, was $7.7, which represents a consideration payment for a franchise in the United States and contingent consideration payments related to a previous acquisition. No cash consideration was paid during the nine months ended September 30, 2023.</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 w:name="page13"/>
    <w:bookmarkEnd w:id="12"/>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Occasionally, we dispose of parts of our operations based on risk considerations and to optimize our global strategic and geographic footprint and overall efficiency. On September 29, 2023, we disposed of our Philippines business in our APME segment for total consideration of $6.5. In connection with the disposition, we recognized a one-time net loss on disposition of $1.3.</w:t>
      </w:r>
    </w:p>
    <w:p>
      <w:pPr>
        <w:spacing w:after="0" w:line="172" w:lineRule="exact"/>
        <w:rPr>
          <w:sz w:val="20"/>
          <w:szCs w:val="20"/>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Restructuring Costs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2024, we recorded $37.6 in restructuring costs. During the three and nine months ended September 30, 2023, we recorded $38.1 and $59.2, respectively, in restructuring costs. Payments made from the restructuring reserve were $19.7 and $70.7 during the three and nine months ended September 30, 2024, respectively. We use our restructuring reserve for severance, office closures, office consolidations, and professional and other fees related to restructuring in multiple countries and territories.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a majority of the remaining $53.9 reserve will be paid by the end of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restructuring reserve by reportable segment and Corporate are shown below:</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Southern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Northern</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72"/>
        </w:trPr>
        <w:tc>
          <w:tcPr>
            <w:tcW w:w="3760" w:type="dxa"/>
            <w:vAlign w:val="bottom"/>
          </w:tcPr>
          <w:p>
            <w:pPr>
              <w:spacing w:after="0"/>
              <w:rPr>
                <w:sz w:val="23"/>
                <w:szCs w:val="23"/>
                <w:color w:val="auto"/>
              </w:rPr>
            </w:pPr>
          </w:p>
        </w:tc>
        <w:tc>
          <w:tcPr>
            <w:tcW w:w="1180" w:type="dxa"/>
            <w:vAlign w:val="bottom"/>
            <w:tcBorders>
              <w:bottom w:val="single" w:sz="8" w:color="auto"/>
            </w:tcBorders>
            <w:gridSpan w:val="2"/>
          </w:tcPr>
          <w:p>
            <w:pPr>
              <w:jc w:val="right"/>
              <w:ind w:right="130"/>
              <w:spacing w:after="0" w:line="272" w:lineRule="exact"/>
              <w:rPr>
                <w:sz w:val="20"/>
                <w:szCs w:val="20"/>
                <w:color w:val="auto"/>
              </w:rPr>
            </w:pPr>
            <w:r>
              <w:rPr>
                <w:rFonts w:ascii="Times New Roman" w:cs="Times New Roman" w:eastAsia="Times New Roman" w:hAnsi="Times New Roman"/>
                <w:sz w:val="18"/>
                <w:szCs w:val="18"/>
                <w:b w:val="1"/>
                <w:bCs w:val="1"/>
                <w:color w:val="auto"/>
              </w:rPr>
              <w:t>Americas</w:t>
            </w:r>
            <w:r>
              <w:rPr>
                <w:rFonts w:ascii="Times New Roman" w:cs="Times New Roman" w:eastAsia="Times New Roman" w:hAnsi="Times New Roman"/>
                <w:sz w:val="24"/>
                <w:szCs w:val="24"/>
                <w:b w:val="1"/>
                <w:bCs w:val="1"/>
                <w:color w:val="auto"/>
                <w:vertAlign w:val="superscript"/>
              </w:rPr>
              <w:t>(a)</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10"/>
              <w:spacing w:after="0" w:line="272" w:lineRule="exact"/>
              <w:rPr>
                <w:sz w:val="20"/>
                <w:szCs w:val="20"/>
                <w:color w:val="auto"/>
              </w:rPr>
            </w:pPr>
            <w:r>
              <w:rPr>
                <w:rFonts w:ascii="Times New Roman" w:cs="Times New Roman" w:eastAsia="Times New Roman" w:hAnsi="Times New Roman"/>
                <w:sz w:val="18"/>
                <w:szCs w:val="18"/>
                <w:b w:val="1"/>
                <w:bCs w:val="1"/>
                <w:color w:val="auto"/>
                <w:w w:val="93"/>
              </w:rPr>
              <w:t>Europe</w:t>
            </w:r>
            <w:r>
              <w:rPr>
                <w:rFonts w:ascii="Times New Roman" w:cs="Times New Roman" w:eastAsia="Times New Roman" w:hAnsi="Times New Roman"/>
                <w:sz w:val="24"/>
                <w:szCs w:val="24"/>
                <w:b w:val="1"/>
                <w:bCs w:val="1"/>
                <w:color w:val="auto"/>
                <w:w w:val="93"/>
                <w:vertAlign w:val="superscript"/>
              </w:rPr>
              <w:t>(b)</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APME</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7"/>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78.9</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90.0</w:t>
            </w:r>
          </w:p>
        </w:tc>
      </w:tr>
      <w:tr>
        <w:trPr>
          <w:trHeight w:val="239"/>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Severance costs</w:t>
            </w:r>
          </w:p>
        </w:tc>
        <w:tc>
          <w:tcPr>
            <w:tcW w:w="440" w:type="dxa"/>
            <w:vAlign w:val="bottom"/>
          </w:tcPr>
          <w:p>
            <w:pPr>
              <w:spacing w:after="0"/>
              <w:rPr>
                <w:sz w:val="20"/>
                <w:szCs w:val="20"/>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34.1</w:t>
            </w:r>
          </w:p>
        </w:tc>
      </w:tr>
      <w:tr>
        <w:trPr>
          <w:trHeight w:val="247"/>
        </w:trPr>
        <w:tc>
          <w:tcPr>
            <w:tcW w:w="3760" w:type="dxa"/>
            <w:vAlign w:val="bottom"/>
            <w:shd w:val="clear" w:color="auto" w:fill="CFF0FC"/>
          </w:tcPr>
          <w:p>
            <w:pPr>
              <w:ind w:left="120"/>
              <w:spacing w:after="0" w:line="248" w:lineRule="exact"/>
              <w:rPr>
                <w:sz w:val="20"/>
                <w:szCs w:val="20"/>
                <w:color w:val="auto"/>
              </w:rPr>
            </w:pPr>
            <w:r>
              <w:rPr>
                <w:rFonts w:ascii="Times New Roman" w:cs="Times New Roman" w:eastAsia="Times New Roman" w:hAnsi="Times New Roman"/>
                <w:sz w:val="18"/>
                <w:szCs w:val="18"/>
                <w:color w:val="auto"/>
              </w:rPr>
              <w:t>Lease costs</w:t>
            </w:r>
            <w:r>
              <w:rPr>
                <w:rFonts w:ascii="Times New Roman" w:cs="Times New Roman" w:eastAsia="Times New Roman" w:hAnsi="Times New Roman"/>
                <w:sz w:val="24"/>
                <w:szCs w:val="24"/>
                <w:color w:val="auto"/>
                <w:vertAlign w:val="superscript"/>
              </w:rPr>
              <w:t>(c)</w:t>
            </w:r>
          </w:p>
        </w:tc>
        <w:tc>
          <w:tcPr>
            <w:tcW w:w="44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r>
      <w:tr>
        <w:trPr>
          <w:trHeight w:val="239"/>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costs</w:t>
            </w:r>
          </w:p>
        </w:tc>
        <w:tc>
          <w:tcPr>
            <w:tcW w:w="440" w:type="dxa"/>
            <w:vAlign w:val="bottom"/>
          </w:tcPr>
          <w:p>
            <w:pPr>
              <w:spacing w:after="0"/>
              <w:rPr>
                <w:sz w:val="20"/>
                <w:szCs w:val="20"/>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r>
      <w:tr>
        <w:trPr>
          <w:trHeight w:val="247"/>
        </w:trPr>
        <w:tc>
          <w:tcPr>
            <w:tcW w:w="3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Non-cash charges</w:t>
            </w:r>
          </w:p>
        </w:tc>
        <w:tc>
          <w:tcPr>
            <w:tcW w:w="4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39"/>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Costs paid</w:t>
            </w:r>
          </w:p>
        </w:tc>
        <w:tc>
          <w:tcPr>
            <w:tcW w:w="4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(61.6 )</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(70.7 )</w:t>
            </w:r>
          </w:p>
        </w:tc>
      </w:tr>
      <w:tr>
        <w:trPr>
          <w:trHeight w:val="277"/>
        </w:trPr>
        <w:tc>
          <w:tcPr>
            <w:tcW w:w="3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September 30, 2024</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-24765</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-7620</wp:posOffset>
            </wp:positionV>
            <wp:extent cx="774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-24765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-24765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-24765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-24765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520" w:hanging="512"/>
        <w:spacing w:after="0"/>
        <w:tabs>
          <w:tab w:leader="none" w:pos="5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Balances related to the United States were $3.7 and $3.2 as of December 31, 2023 and September 30, 2024, respectively.</w:t>
      </w:r>
    </w:p>
    <w:p>
      <w:pPr>
        <w:spacing w:after="0" w:line="12" w:lineRule="exact"/>
        <w:rPr>
          <w:rFonts w:ascii="Times New Roman" w:cs="Times New Roman" w:eastAsia="Times New Roman" w:hAnsi="Times New Roman"/>
          <w:sz w:val="16"/>
          <w:szCs w:val="16"/>
          <w:color w:val="auto"/>
        </w:rPr>
      </w:pPr>
    </w:p>
    <w:p>
      <w:pPr>
        <w:ind w:right="320" w:firstLine="8"/>
        <w:spacing w:after="0" w:line="264" w:lineRule="auto"/>
        <w:tabs>
          <w:tab w:leader="none" w:pos="50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Balances related to France were $2.5 and $3.0 as of December 31, 2023 and September 30, 2024, respectively. Balances related to Italy were $1.0 and $0.5 as of December 31, 2023 and September 30, 2024, respectively.</w:t>
      </w:r>
    </w:p>
    <w:p>
      <w:pPr>
        <w:ind w:left="340" w:hanging="332"/>
        <w:spacing w:after="0"/>
        <w:tabs>
          <w:tab w:leader="none" w:pos="3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Liabilities related to exited leased facilities are recorded within our short-term and long-term operating lease liabilities within our Consolidated Balance Sheets.</w:t>
      </w:r>
    </w:p>
    <w:p>
      <w:pPr>
        <w:spacing w:after="0" w:line="205" w:lineRule="exact"/>
        <w:rPr>
          <w:sz w:val="20"/>
          <w:szCs w:val="20"/>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Income Taxes</w:t>
      </w:r>
    </w:p>
    <w:p>
      <w:pPr>
        <w:spacing w:after="0" w:line="22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recorded income tax expense at an effective rate of 61.5% for the three months ended September 30, 2024, as compared to an effective rate of 44.7% for the three months ended September 30, 2023. The 2024 rate was unfavorably impacted by the lower level and overall mix of earnings, a discrete valuation allowance recorded against deferred tax assets in Sweden, and a 2023 rate that included benefits from the effective settlement of an income tax audit. The higher 2024 rate was partially offset by the scheduled reduction in the French business tax rate from 0.38% to 0.28% effective January 1, 2024. The 61.5% effective tax rate for the third quarter of 2024 was higher than the United States Federal statutory rate of 21% primarily due to tax losses in certain countries for which we did not recognize a corresponding tax benefit due to valuation allowance, the French business tax, and the overall mix of earnings.</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recorded income tax expense at an effective rate of 41.4% for the nine months ended September 30, 2024, as compared to an effective rate of 33.6% for the nine months ended September 30, 2023. The 2024 rate was unfavorably impacted by the lower level and overall mix of earnings, a discrete valuation allowance recorded against deferred tax assets in Sweden, and a 2023 rate that included benefits from the effective settlement of an income tax audit. The higher 2024 rate was partially offset by the scheduled reduction in the French business tax rate from 0.38% to 0.28% effective January 1, 2024. The 41.4% effective tax rate for the nine months ended September 30, 2024 was higher than the United States Federal statutory rate of 21% primarily due to tax losses in certain countries for which we did not recognize a corresponding tax benefit due to valuation allowances, the French business tax, and the overall mix of earnings.</w:t>
      </w:r>
    </w:p>
    <w:p>
      <w:pPr>
        <w:spacing w:after="0" w:line="189"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We had gross unrecognized tax benefits related to various tax jurisdictions, including interest and penalties, of $39.7 as of September 30, 2024. If recognized, the entire amount would favorably affect the effective tax rate except for $9.8. As of December 31, 2023, we had gross unrecognized tax benefits related to various tax jurisdictions, including interest and penalties, of $32.8.</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 business globally in various countries and territories. We are routinely audited by the tax authorities of the various tax jurisdictions in which we operate. Generally, the tax years that could be subject to examination are 2017 through 2024 for our major operations in France, Italy, the United Kingdom and the United States. As of September 30, 2024, we were subject to tax audits 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 w:name="page14"/>
    <w:bookmarkEnd w:id="13"/>
    <w:p>
      <w:pPr>
        <w:spacing w:after="0" w:line="282" w:lineRule="auto"/>
        <w:rPr>
          <w:sz w:val="20"/>
          <w:szCs w:val="20"/>
          <w:color w:val="auto"/>
        </w:rPr>
      </w:pPr>
      <w:r>
        <w:rPr>
          <w:rFonts w:ascii="Times New Roman" w:cs="Times New Roman" w:eastAsia="Times New Roman" w:hAnsi="Times New Roman"/>
          <w:sz w:val="18"/>
          <w:szCs w:val="18"/>
          <w:color w:val="auto"/>
        </w:rPr>
        <w:t>Australia, Austria, France, Germany, India, Israel, Spain and the United States. We believe that the resolution of these audits will not have a material impact on earnings.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(8) Net Earnings Per Share</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26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544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44"/>
        </w:trPr>
        <w:tc>
          <w:tcPr>
            <w:tcW w:w="75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calculations of net earnings per share - basic and net earnings per share - diluted were as follows: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8"/>
        </w:trPr>
        <w:tc>
          <w:tcPr>
            <w:tcW w:w="2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50"/>
        </w:trPr>
        <w:tc>
          <w:tcPr>
            <w:tcW w:w="2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1"/>
        </w:trPr>
        <w:tc>
          <w:tcPr>
            <w:tcW w:w="2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4"/>
        </w:trPr>
        <w:tc>
          <w:tcPr>
            <w:tcW w:w="58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earnings available to common shareholders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22.8</w:t>
            </w:r>
          </w:p>
        </w:tc>
        <w:tc>
          <w:tcPr>
            <w:tcW w:w="3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30.3</w:t>
            </w:r>
          </w:p>
        </w:tc>
        <w:tc>
          <w:tcPr>
            <w:tcW w:w="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122.6</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173.3</w:t>
            </w:r>
          </w:p>
        </w:tc>
      </w:tr>
      <w:tr>
        <w:trPr>
          <w:trHeight w:val="224"/>
        </w:trPr>
        <w:tc>
          <w:tcPr>
            <w:tcW w:w="5860" w:type="dxa"/>
            <w:vAlign w:val="bottom"/>
            <w:tcBorders>
              <w:top w:val="single" w:sz="8" w:color="CFF0FC"/>
            </w:tcBorders>
            <w:gridSpan w:val="3"/>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(in millions)</w:t>
            </w:r>
          </w:p>
        </w:tc>
        <w:tc>
          <w:tcPr>
            <w:tcW w:w="2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r>
      <w:tr>
        <w:trPr>
          <w:trHeight w:val="247"/>
        </w:trPr>
        <w:tc>
          <w:tcPr>
            <w:tcW w:w="586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47.6</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47.9</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50.1</w:t>
            </w:r>
          </w:p>
        </w:tc>
      </w:tr>
      <w:tr>
        <w:trPr>
          <w:trHeight w:val="239"/>
        </w:trPr>
        <w:tc>
          <w:tcPr>
            <w:tcW w:w="5860" w:type="dxa"/>
            <w:vAlign w:val="bottom"/>
            <w:tcBorders>
              <w:bottom w:val="single" w:sz="8" w:color="CFF0FC"/>
            </w:tcBorders>
            <w:gridSpan w:val="3"/>
          </w:tcPr>
          <w:p>
            <w:pPr>
              <w:ind w:left="200"/>
              <w:spacing w:after="0"/>
              <w:rPr>
                <w:sz w:val="20"/>
                <w:szCs w:val="20"/>
                <w:color w:val="auto"/>
              </w:rPr>
            </w:pPr>
            <w:r>
              <w:rPr>
                <w:rFonts w:ascii="Times New Roman" w:cs="Times New Roman" w:eastAsia="Times New Roman" w:hAnsi="Times New Roman"/>
                <w:sz w:val="18"/>
                <w:szCs w:val="18"/>
                <w:color w:val="auto"/>
              </w:rPr>
              <w:t>Effect of dilutive securities - share-based awards</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0.6</w:t>
            </w:r>
          </w:p>
        </w:tc>
      </w:tr>
      <w:tr>
        <w:trPr>
          <w:trHeight w:val="277"/>
        </w:trPr>
        <w:tc>
          <w:tcPr>
            <w:tcW w:w="5860" w:type="dxa"/>
            <w:vAlign w:val="bottom"/>
            <w:tcBorders>
              <w:bottom w:val="single" w:sz="8" w:color="CFF0FC"/>
            </w:tcBorders>
            <w:gridSpan w:val="3"/>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260" w:type="dxa"/>
            <w:vAlign w:val="bottom"/>
            <w:tcBorders>
              <w:bottom w:val="single" w:sz="8" w:color="auto"/>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48.1</w:t>
            </w: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50.7</w:t>
            </w:r>
          </w:p>
        </w:tc>
      </w:tr>
      <w:tr>
        <w:trPr>
          <w:trHeight w:val="223"/>
        </w:trPr>
        <w:tc>
          <w:tcPr>
            <w:tcW w:w="5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earnings per share - basic</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0.48</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0.61</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2.56</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3.46</w:t>
            </w:r>
          </w:p>
        </w:tc>
      </w:tr>
      <w:tr>
        <w:trPr>
          <w:trHeight w:val="20"/>
        </w:trPr>
        <w:tc>
          <w:tcPr>
            <w:tcW w:w="2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63"/>
        </w:trPr>
        <w:tc>
          <w:tcPr>
            <w:tcW w:w="586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earnings per share - diluted</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0.47</w:t>
            </w:r>
          </w:p>
        </w:tc>
        <w:tc>
          <w:tcPr>
            <w:tcW w:w="1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-1036320</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-1019810</wp:posOffset>
            </wp:positionV>
            <wp:extent cx="774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-1036320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-1019810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-1036320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-1019810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-385445</wp:posOffset>
            </wp:positionV>
            <wp:extent cx="77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-368300</wp:posOffset>
            </wp:positionV>
            <wp:extent cx="774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-548005</wp:posOffset>
            </wp:positionV>
            <wp:extent cx="774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-385445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-368300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-548005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-385445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-368300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-548005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-25400</wp:posOffset>
            </wp:positionV>
            <wp:extent cx="774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-7620</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-25400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-25400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There were 0.8 million share-based awards excluded from the calculation of net earnings per share - diluted for both the three and nine months ended September 30, 2024, because their impact was anti-dilutive. There were 0.6 million share-based awards excluded from the calculation of net earnings per share - diluted for both the three and nine months ended September 30, 2023, because their impact was anti-dilutive.</w:t>
      </w:r>
    </w:p>
    <w:p>
      <w:pPr>
        <w:spacing w:after="0" w:line="172" w:lineRule="exact"/>
        <w:rPr>
          <w:sz w:val="20"/>
          <w:szCs w:val="20"/>
          <w:color w:val="auto"/>
        </w:rPr>
      </w:pPr>
    </w:p>
    <w:p>
      <w:pPr>
        <w:ind w:left="260" w:hanging="252"/>
        <w:spacing w:after="0"/>
        <w:tabs>
          <w:tab w:leader="none" w:pos="2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Goodwill and Other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goodwill, finite-lived intangible assets and indefinite-lived intangible assets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03"/>
        </w:trPr>
        <w:tc>
          <w:tcPr>
            <w:tcW w:w="2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3"/>
          </w:tcPr>
          <w:p>
            <w:pPr>
              <w:jc w:val="center"/>
              <w:ind w:right="280"/>
              <w:spacing w:after="0" w:line="203"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3"/>
          </w:tcPr>
          <w:p>
            <w:pPr>
              <w:jc w:val="center"/>
              <w:ind w:right="240"/>
              <w:spacing w:after="0" w:line="203"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45"/>
        </w:trPr>
        <w:tc>
          <w:tcPr>
            <w:tcW w:w="28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8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Borders>
              <w:bottom w:val="single" w:sz="8" w:color="auto"/>
            </w:tcBorders>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Net</w:t>
            </w: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83"/>
        </w:trPr>
        <w:tc>
          <w:tcPr>
            <w:tcW w:w="284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Goodwill</w:t>
            </w:r>
            <w:r>
              <w:rPr>
                <w:rFonts w:ascii="Times New Roman" w:cs="Times New Roman" w:eastAsia="Times New Roman" w:hAnsi="Times New Roman"/>
                <w:sz w:val="24"/>
                <w:szCs w:val="24"/>
                <w:color w:val="auto"/>
                <w:vertAlign w:val="superscript"/>
              </w:rPr>
              <w:t>(a)</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1,594.1</w:t>
            </w:r>
          </w:p>
        </w:tc>
        <w:tc>
          <w:tcPr>
            <w:tcW w:w="660" w:type="dxa"/>
            <w:vAlign w:val="bottom"/>
            <w:gridSpan w:val="3"/>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1,594.1</w:t>
            </w:r>
          </w:p>
        </w:tc>
        <w:tc>
          <w:tcPr>
            <w:tcW w:w="3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1,586.8</w:t>
            </w:r>
          </w:p>
        </w:tc>
        <w:tc>
          <w:tcPr>
            <w:tcW w:w="640" w:type="dxa"/>
            <w:vAlign w:val="bottom"/>
            <w:gridSpan w:val="3"/>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1,586.8</w:t>
            </w:r>
          </w:p>
        </w:tc>
      </w:tr>
      <w:tr>
        <w:trPr>
          <w:trHeight w:val="219"/>
        </w:trPr>
        <w:tc>
          <w:tcPr>
            <w:tcW w:w="28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r>
      <w:tr>
        <w:trPr>
          <w:trHeight w:val="247"/>
        </w:trPr>
        <w:tc>
          <w:tcPr>
            <w:tcW w:w="2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Finite-lived:</w:t>
            </w: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r>
      <w:tr>
        <w:trPr>
          <w:trHeight w:val="239"/>
        </w:trPr>
        <w:tc>
          <w:tcPr>
            <w:tcW w:w="2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825.8</w:t>
            </w:r>
          </w:p>
        </w:tc>
        <w:tc>
          <w:tcPr>
            <w:tcW w:w="66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511.3</w:t>
            </w:r>
          </w:p>
        </w:tc>
        <w:tc>
          <w:tcPr>
            <w:tcW w:w="1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314.5</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824.9</w:t>
            </w:r>
          </w:p>
        </w:tc>
        <w:tc>
          <w:tcPr>
            <w:tcW w:w="64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486.0</w:t>
            </w:r>
          </w:p>
        </w:tc>
        <w:tc>
          <w:tcPr>
            <w:tcW w:w="1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338.9</w:t>
            </w:r>
          </w:p>
        </w:tc>
      </w:tr>
      <w:tr>
        <w:trPr>
          <w:trHeight w:val="243"/>
        </w:trPr>
        <w:tc>
          <w:tcPr>
            <w:tcW w:w="28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8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21.7</w:t>
            </w: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21.2</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r>
      <w:tr>
        <w:trPr>
          <w:trHeight w:val="237"/>
        </w:trPr>
        <w:tc>
          <w:tcPr>
            <w:tcW w:w="2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851.0</w:t>
            </w:r>
          </w:p>
        </w:tc>
        <w:tc>
          <w:tcPr>
            <w:tcW w:w="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533.0</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318.0</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846.4</w:t>
            </w:r>
          </w:p>
        </w:tc>
        <w:tc>
          <w:tcPr>
            <w:tcW w:w="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507.2</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339.2</w:t>
            </w:r>
          </w:p>
        </w:tc>
      </w:tr>
      <w:tr>
        <w:trPr>
          <w:trHeight w:val="241"/>
        </w:trPr>
        <w:tc>
          <w:tcPr>
            <w:tcW w:w="2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Indefinite-lived:</w:t>
            </w:r>
          </w:p>
        </w:tc>
        <w:tc>
          <w:tcPr>
            <w:tcW w:w="2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r>
      <w:tr>
        <w:trPr>
          <w:trHeight w:val="243"/>
        </w:trPr>
        <w:tc>
          <w:tcPr>
            <w:tcW w:w="2840" w:type="dxa"/>
            <w:vAlign w:val="bottom"/>
          </w:tcPr>
          <w:p>
            <w:pPr>
              <w:ind w:left="380"/>
              <w:spacing w:after="0" w:line="243" w:lineRule="exact"/>
              <w:rPr>
                <w:sz w:val="20"/>
                <w:szCs w:val="20"/>
                <w:color w:val="auto"/>
              </w:rPr>
            </w:pPr>
            <w:r>
              <w:rPr>
                <w:rFonts w:ascii="Times New Roman" w:cs="Times New Roman" w:eastAsia="Times New Roman" w:hAnsi="Times New Roman"/>
                <w:sz w:val="18"/>
                <w:szCs w:val="18"/>
                <w:color w:val="auto"/>
              </w:rPr>
              <w:t>Tradenames</w:t>
            </w:r>
            <w:r>
              <w:rPr>
                <w:rFonts w:ascii="Times New Roman" w:cs="Times New Roman" w:eastAsia="Times New Roman" w:hAnsi="Times New Roman"/>
                <w:sz w:val="24"/>
                <w:szCs w:val="24"/>
                <w:color w:val="auto"/>
                <w:vertAlign w:val="superscript"/>
              </w:rPr>
              <w:t>(b)</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52.0</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52.0</w:t>
            </w:r>
          </w:p>
        </w:tc>
      </w:tr>
      <w:tr>
        <w:trPr>
          <w:trHeight w:val="239"/>
        </w:trPr>
        <w:tc>
          <w:tcPr>
            <w:tcW w:w="28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Reacquired franchise rights</w:t>
            </w:r>
          </w:p>
        </w:tc>
        <w:tc>
          <w:tcPr>
            <w:tcW w:w="2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8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128.1</w:t>
            </w: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8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128.4</w:t>
            </w:r>
          </w:p>
        </w:tc>
      </w:tr>
      <w:tr>
        <w:trPr>
          <w:trHeight w:val="236"/>
        </w:trPr>
        <w:tc>
          <w:tcPr>
            <w:tcW w:w="2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180.1</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180.4</w:t>
            </w:r>
          </w:p>
        </w:tc>
      </w:tr>
      <w:tr>
        <w:trPr>
          <w:trHeight w:val="277"/>
        </w:trPr>
        <w:tc>
          <w:tcPr>
            <w:tcW w:w="2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1,031.1</w:t>
            </w:r>
          </w:p>
        </w:tc>
        <w:tc>
          <w:tcPr>
            <w:tcW w:w="8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533.0</w:t>
            </w:r>
          </w:p>
        </w:tc>
        <w:tc>
          <w:tcPr>
            <w:tcW w:w="1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498.1</w:t>
            </w: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1,026.8</w:t>
            </w:r>
          </w:p>
        </w:tc>
        <w:tc>
          <w:tcPr>
            <w:tcW w:w="8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507.2</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-1628140</wp:posOffset>
            </wp:positionV>
            <wp:extent cx="9461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-1610995</wp:posOffset>
            </wp:positionV>
            <wp:extent cx="9461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-1628140</wp:posOffset>
            </wp:positionV>
            <wp:extent cx="939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-1610995</wp:posOffset>
            </wp:positionV>
            <wp:extent cx="939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-1628140</wp:posOffset>
            </wp:positionV>
            <wp:extent cx="857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-1610995</wp:posOffset>
            </wp:positionV>
            <wp:extent cx="857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-1628140</wp:posOffset>
            </wp:positionV>
            <wp:extent cx="857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-1610995</wp:posOffset>
            </wp:positionV>
            <wp:extent cx="857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-1628140</wp:posOffset>
            </wp:positionV>
            <wp:extent cx="857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-1610995</wp:posOffset>
            </wp:positionV>
            <wp:extent cx="857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-985520</wp:posOffset>
            </wp:positionV>
            <wp:extent cx="9461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-985520</wp:posOffset>
            </wp:positionV>
            <wp:extent cx="939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-985520</wp:posOffset>
            </wp:positionV>
            <wp:extent cx="857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-985520</wp:posOffset>
            </wp:positionV>
            <wp:extent cx="857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-985520</wp:posOffset>
            </wp:positionV>
            <wp:extent cx="857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-350520</wp:posOffset>
            </wp:positionV>
            <wp:extent cx="946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-350520</wp:posOffset>
            </wp:positionV>
            <wp:extent cx="939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-350520</wp:posOffset>
            </wp:positionV>
            <wp:extent cx="857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-350520</wp:posOffset>
            </wp:positionV>
            <wp:extent cx="857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-350520</wp:posOffset>
            </wp:positionV>
            <wp:extent cx="857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-24765</wp:posOffset>
            </wp:positionV>
            <wp:extent cx="9461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-7620</wp:posOffset>
            </wp:positionV>
            <wp:extent cx="9461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-24765</wp:posOffset>
            </wp:positionV>
            <wp:extent cx="939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-7620</wp:posOffset>
            </wp:positionV>
            <wp:extent cx="939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-24765</wp:posOffset>
            </wp:positionV>
            <wp:extent cx="857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-7620</wp:posOffset>
            </wp:positionV>
            <wp:extent cx="857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-24765</wp:posOffset>
            </wp:positionV>
            <wp:extent cx="857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-7620</wp:posOffset>
            </wp:positionV>
            <wp:extent cx="857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857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857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ind w:left="520" w:hanging="512"/>
        <w:spacing w:after="0"/>
        <w:tabs>
          <w:tab w:leader="none" w:pos="5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Balances were net of accumulated impairment loss of $749.3 as of both September 30, 2024 and December 31, 2023.</w:t>
      </w:r>
    </w:p>
    <w:p>
      <w:pPr>
        <w:spacing w:after="0" w:line="12"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Balances were net of accumulated impairment loss of $139.5 as of both September 30, 2024 and December 31, 2023.</w:t>
      </w:r>
    </w:p>
    <w:p>
      <w:pPr>
        <w:spacing w:after="0" w:line="22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Total consolidated amortization expense related to intangible assets for the remainder of 2024 is expected to be $8.3 and in each of the next five years as follows: 2025 - $31.3, 2026 - $27.6, 2027 - $27.0, 2028 - $27.0 and 2029 - $26.6.</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Changes in the carrying value of goodwill by reportable segment and Corporate were as follows:</w:t>
      </w:r>
    </w:p>
    <w:p>
      <w:pPr>
        <w:spacing w:after="0" w:line="223"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Southern</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Northern</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72"/>
        </w:trPr>
        <w:tc>
          <w:tcPr>
            <w:tcW w:w="27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50"/>
              <w:spacing w:after="0" w:line="272" w:lineRule="exact"/>
              <w:rPr>
                <w:sz w:val="20"/>
                <w:szCs w:val="20"/>
                <w:color w:val="auto"/>
              </w:rPr>
            </w:pPr>
            <w:r>
              <w:rPr>
                <w:rFonts w:ascii="Times New Roman" w:cs="Times New Roman" w:eastAsia="Times New Roman" w:hAnsi="Times New Roman"/>
                <w:sz w:val="18"/>
                <w:szCs w:val="18"/>
                <w:b w:val="1"/>
                <w:bCs w:val="1"/>
                <w:color w:val="auto"/>
                <w:w w:val="93"/>
              </w:rPr>
              <w:t>Americas</w:t>
            </w:r>
            <w:r>
              <w:rPr>
                <w:rFonts w:ascii="Times New Roman" w:cs="Times New Roman" w:eastAsia="Times New Roman" w:hAnsi="Times New Roman"/>
                <w:sz w:val="24"/>
                <w:szCs w:val="24"/>
                <w:b w:val="1"/>
                <w:bCs w:val="1"/>
                <w:color w:val="auto"/>
                <w:w w:val="93"/>
                <w:vertAlign w:val="superscript"/>
              </w:rPr>
              <w:t>(a)</w:t>
            </w:r>
          </w:p>
        </w:tc>
        <w:tc>
          <w:tcPr>
            <w:tcW w:w="1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10"/>
              <w:spacing w:after="0" w:line="272" w:lineRule="exact"/>
              <w:rPr>
                <w:sz w:val="20"/>
                <w:szCs w:val="20"/>
                <w:color w:val="auto"/>
              </w:rPr>
            </w:pPr>
            <w:r>
              <w:rPr>
                <w:rFonts w:ascii="Times New Roman" w:cs="Times New Roman" w:eastAsia="Times New Roman" w:hAnsi="Times New Roman"/>
                <w:sz w:val="18"/>
                <w:szCs w:val="18"/>
                <w:b w:val="1"/>
                <w:bCs w:val="1"/>
                <w:color w:val="auto"/>
                <w:w w:val="96"/>
              </w:rPr>
              <w:t>Europe</w:t>
            </w:r>
            <w:r>
              <w:rPr>
                <w:rFonts w:ascii="Times New Roman" w:cs="Times New Roman" w:eastAsia="Times New Roman" w:hAnsi="Times New Roman"/>
                <w:sz w:val="24"/>
                <w:szCs w:val="24"/>
                <w:b w:val="1"/>
                <w:bCs w:val="1"/>
                <w:color w:val="auto"/>
                <w:w w:val="96"/>
                <w:vertAlign w:val="superscript"/>
              </w:rPr>
              <w:t>(b)</w:t>
            </w:r>
          </w:p>
        </w:tc>
        <w:tc>
          <w:tcPr>
            <w:tcW w:w="1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1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APME</w:t>
            </w:r>
          </w:p>
        </w:tc>
        <w:tc>
          <w:tcPr>
            <w:tcW w:w="160" w:type="dxa"/>
            <w:vAlign w:val="bottom"/>
          </w:tcPr>
          <w:p>
            <w:pPr>
              <w:spacing w:after="0"/>
              <w:rPr>
                <w:sz w:val="23"/>
                <w:szCs w:val="23"/>
                <w:color w:val="auto"/>
              </w:rPr>
            </w:pPr>
          </w:p>
        </w:tc>
        <w:tc>
          <w:tcPr>
            <w:tcW w:w="1200" w:type="dxa"/>
            <w:vAlign w:val="bottom"/>
            <w:tcBorders>
              <w:bottom w:val="single" w:sz="8" w:color="auto"/>
            </w:tcBorders>
            <w:gridSpan w:val="2"/>
          </w:tcPr>
          <w:p>
            <w:pPr>
              <w:jc w:val="right"/>
              <w:ind w:right="90"/>
              <w:spacing w:after="0" w:line="272" w:lineRule="exact"/>
              <w:rPr>
                <w:sz w:val="20"/>
                <w:szCs w:val="20"/>
                <w:color w:val="auto"/>
              </w:rPr>
            </w:pPr>
            <w:r>
              <w:rPr>
                <w:rFonts w:ascii="Times New Roman" w:cs="Times New Roman" w:eastAsia="Times New Roman" w:hAnsi="Times New Roman"/>
                <w:sz w:val="18"/>
                <w:szCs w:val="18"/>
                <w:b w:val="1"/>
                <w:bCs w:val="1"/>
                <w:color w:val="auto"/>
              </w:rPr>
              <w:t>Corporate</w:t>
            </w:r>
            <w:r>
              <w:rPr>
                <w:rFonts w:ascii="Times New Roman" w:cs="Times New Roman" w:eastAsia="Times New Roman" w:hAnsi="Times New Roman"/>
                <w:sz w:val="24"/>
                <w:szCs w:val="24"/>
                <w:b w:val="1"/>
                <w:bCs w:val="1"/>
                <w:color w:val="auto"/>
                <w:vertAlign w:val="superscript"/>
              </w:rPr>
              <w:t>(c)</w:t>
            </w:r>
          </w:p>
        </w:tc>
        <w:tc>
          <w:tcPr>
            <w:tcW w:w="14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7"/>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1,050.4</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154.7</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188.0</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67.7</w:t>
            </w:r>
          </w:p>
        </w:tc>
        <w:tc>
          <w:tcPr>
            <w:tcW w:w="56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126.0</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1,586.8</w:t>
            </w:r>
          </w:p>
        </w:tc>
      </w:tr>
      <w:tr>
        <w:trPr>
          <w:trHeight w:val="239"/>
        </w:trPr>
        <w:tc>
          <w:tcPr>
            <w:tcW w:w="2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Acquisitions</w:t>
            </w:r>
          </w:p>
        </w:tc>
        <w:tc>
          <w:tcPr>
            <w:tcW w:w="12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2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Currency impact</w:t>
            </w:r>
          </w:p>
        </w:tc>
        <w:tc>
          <w:tcPr>
            <w:tcW w:w="1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6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r>
      <w:tr>
        <w:trPr>
          <w:trHeight w:val="232"/>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September 30,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1,050.9</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155.2</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194.5</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67.5</w:t>
            </w:r>
          </w:p>
        </w:tc>
        <w:tc>
          <w:tcPr>
            <w:tcW w:w="5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126.0</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-156845</wp:posOffset>
            </wp:positionV>
            <wp:extent cx="946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-156845</wp:posOffset>
            </wp:positionV>
            <wp:extent cx="939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-156845</wp:posOffset>
            </wp:positionV>
            <wp:extent cx="9461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-156845</wp:posOffset>
            </wp:positionV>
            <wp:extent cx="939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-156845</wp:posOffset>
            </wp:positionV>
            <wp:extent cx="857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5715</wp:posOffset>
            </wp:positionV>
            <wp:extent cx="510921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09210" cy="8255"/>
                    </a:xfrm>
                    <a:prstGeom prst="rect">
                      <a:avLst/>
                    </a:prstGeom>
                    <a:noFill/>
                  </pic:spPr>
                </pic:pic>
              </a:graphicData>
            </a:graphic>
          </wp:anchor>
        </w:drawing>
      </w:r>
    </w:p>
    <w:p>
      <w:pPr>
        <w:spacing w:after="0" w:line="15" w:lineRule="exact"/>
        <w:rPr>
          <w:sz w:val="20"/>
          <w:szCs w:val="20"/>
          <w:color w:val="auto"/>
        </w:rPr>
      </w:pPr>
    </w:p>
    <w:p>
      <w:pPr>
        <w:jc w:val="both"/>
        <w:ind w:left="600" w:right="220" w:hanging="292"/>
        <w:spacing w:after="0" w:line="267" w:lineRule="auto"/>
        <w:tabs>
          <w:tab w:leader="none" w:pos="60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Balances related to the United States were $1,005.8 and $1,007.2 as of December 31, 2023 and September 30, 2024, respectively. Effective January 1, 2024, our segment reporting was realigned to include our Puerto Rico business within Other Americas. Accordingly, United States is now adjusted to exclude Puerto Rico. All previously reported results have been restated to conform to the current year presentation.</w:t>
      </w:r>
    </w:p>
    <w:p>
      <w:pPr>
        <w:spacing w:after="0" w:line="1" w:lineRule="exact"/>
        <w:rPr>
          <w:rFonts w:ascii="Times New Roman" w:cs="Times New Roman" w:eastAsia="Times New Roman" w:hAnsi="Times New Roman"/>
          <w:sz w:val="16"/>
          <w:szCs w:val="16"/>
          <w:color w:val="auto"/>
        </w:rPr>
      </w:pPr>
    </w:p>
    <w:p>
      <w:pPr>
        <w:ind w:left="600" w:right="340" w:hanging="292"/>
        <w:spacing w:after="0" w:line="264" w:lineRule="auto"/>
        <w:tabs>
          <w:tab w:leader="none" w:pos="60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Balances related to France were $75.6 and $76.3 as of December 31, 2023 and September 30, 2024, respectively. Balances related to Italy were $3.8 as of both December 31, 2023 and September 30, 2024.</w:t>
      </w:r>
    </w:p>
    <w:p>
      <w:pPr>
        <w:ind w:left="600" w:right="20" w:hanging="292"/>
        <w:spacing w:after="0" w:line="272" w:lineRule="auto"/>
        <w:tabs>
          <w:tab w:leader="none" w:pos="60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majority of the Corporate balance relates to goodwill attributable to our acquisitions of Right Management ($62.1) and Jefferson Wells ($55.5). Jefferson Wells is part of the United States reporting unit. Right Management is allocated to the reporting units of the countries in which Right Management operates. For purposes of monitoring our total assets by segment, we do not allocate the Corporate balances to the respective reportable segments as this is commensurate with how we operate our business. We do, however, include these balances within the appropriate reporting units for our goodwill impairment testing.</w:t>
      </w:r>
    </w:p>
    <w:p>
      <w:pPr>
        <w:spacing w:after="0" w:line="391"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Retirement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-1557020</wp:posOffset>
            </wp:positionV>
            <wp:extent cx="510921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0921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net periodic benefit cost (credit) for our plans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8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gridSpan w:val="6"/>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Defined Benefit Pension Plan</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5780" w:type="dxa"/>
            <w:vAlign w:val="bottom"/>
          </w:tcPr>
          <w:p>
            <w:pPr>
              <w:spacing w:after="0"/>
              <w:rPr>
                <w:sz w:val="20"/>
                <w:szCs w:val="20"/>
                <w:color w:val="auto"/>
              </w:rPr>
            </w:pPr>
          </w:p>
        </w:tc>
        <w:tc>
          <w:tcPr>
            <w:tcW w:w="224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gridSpan w:val="4"/>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00" w:type="dxa"/>
            <w:vAlign w:val="bottom"/>
          </w:tcPr>
          <w:p>
            <w:pPr>
              <w:spacing w:after="0"/>
              <w:rPr>
                <w:sz w:val="20"/>
                <w:szCs w:val="20"/>
                <w:color w:val="auto"/>
              </w:rPr>
            </w:pPr>
          </w:p>
        </w:tc>
      </w:tr>
      <w:tr>
        <w:trPr>
          <w:trHeight w:val="245"/>
        </w:trPr>
        <w:tc>
          <w:tcPr>
            <w:tcW w:w="5780" w:type="dxa"/>
            <w:vAlign w:val="bottom"/>
          </w:tcPr>
          <w:p>
            <w:pPr>
              <w:spacing w:after="0"/>
              <w:rPr>
                <w:sz w:val="21"/>
                <w:szCs w:val="21"/>
                <w:color w:val="auto"/>
              </w:rPr>
            </w:pPr>
          </w:p>
        </w:tc>
        <w:tc>
          <w:tcPr>
            <w:tcW w:w="224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80" w:type="dxa"/>
            <w:vAlign w:val="bottom"/>
            <w:gridSpan w:val="5"/>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41"/>
        </w:trPr>
        <w:tc>
          <w:tcPr>
            <w:tcW w:w="57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Borders>
              <w:top w:val="single" w:sz="8" w:color="auto"/>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9"/>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82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FF0FC"/>
          </w:tcPr>
          <w:p>
            <w:pPr>
              <w:spacing w:after="0"/>
              <w:rPr>
                <w:sz w:val="20"/>
                <w:szCs w:val="20"/>
                <w:color w:val="auto"/>
              </w:rPr>
            </w:pPr>
          </w:p>
        </w:tc>
      </w:tr>
      <w:tr>
        <w:trPr>
          <w:trHeight w:val="23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8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20"/>
                <w:szCs w:val="20"/>
                <w:color w:val="auto"/>
              </w:rPr>
            </w:pPr>
          </w:p>
        </w:tc>
      </w:tr>
      <w:tr>
        <w:trPr>
          <w:trHeight w:val="247"/>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return on assets</w:t>
            </w:r>
          </w:p>
        </w:tc>
        <w:tc>
          <w:tcPr>
            <w:tcW w:w="82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(4.8 )</w:t>
            </w:r>
          </w:p>
        </w:tc>
        <w:tc>
          <w:tcPr>
            <w:tcW w:w="80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(4.8 )</w:t>
            </w: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(14.1 )</w:t>
            </w:r>
          </w:p>
        </w:tc>
        <w:tc>
          <w:tcPr>
            <w:tcW w:w="2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(14.2 )</w:t>
            </w:r>
          </w:p>
        </w:tc>
      </w:tr>
      <w:tr>
        <w:trPr>
          <w:trHeight w:val="23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Curtailments</w:t>
            </w:r>
          </w:p>
        </w:tc>
        <w:tc>
          <w:tcPr>
            <w:tcW w:w="820" w:type="dxa"/>
            <w:vAlign w:val="bottom"/>
          </w:tcPr>
          <w:p>
            <w:pPr>
              <w:spacing w:after="0"/>
              <w:rPr>
                <w:sz w:val="20"/>
                <w:szCs w:val="20"/>
                <w:color w:val="auto"/>
              </w:rPr>
            </w:pPr>
          </w:p>
        </w:tc>
        <w:tc>
          <w:tcPr>
            <w:tcW w:w="6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0"/>
                <w:szCs w:val="20"/>
                <w:color w:val="auto"/>
              </w:rPr>
            </w:pPr>
          </w:p>
        </w:tc>
        <w:tc>
          <w:tcPr>
            <w:tcW w:w="6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(1.3 )</w:t>
            </w:r>
          </w:p>
        </w:tc>
        <w:tc>
          <w:tcPr>
            <w:tcW w:w="240" w:type="dxa"/>
            <w:vAlign w:val="bottom"/>
          </w:tcPr>
          <w:p>
            <w:pPr>
              <w:spacing w:after="0"/>
              <w:rPr>
                <w:sz w:val="20"/>
                <w:szCs w:val="20"/>
                <w:color w:val="auto"/>
              </w:rPr>
            </w:pPr>
          </w:p>
        </w:tc>
        <w:tc>
          <w:tcPr>
            <w:tcW w:w="10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gain</w:t>
            </w:r>
          </w:p>
        </w:tc>
        <w:tc>
          <w:tcPr>
            <w:tcW w:w="82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(0.3 )</w:t>
            </w:r>
          </w:p>
        </w:tc>
        <w:tc>
          <w:tcPr>
            <w:tcW w:w="80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(0.8 )</w:t>
            </w: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(1.1 )</w:t>
            </w:r>
          </w:p>
        </w:tc>
        <w:tc>
          <w:tcPr>
            <w:tcW w:w="2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3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service cost</w:t>
            </w:r>
          </w:p>
        </w:tc>
        <w:tc>
          <w:tcPr>
            <w:tcW w:w="8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0"/>
                <w:szCs w:val="20"/>
                <w:color w:val="auto"/>
              </w:rPr>
            </w:pPr>
          </w:p>
        </w:tc>
      </w:tr>
      <w:tr>
        <w:trPr>
          <w:trHeight w:val="276"/>
        </w:trPr>
        <w:tc>
          <w:tcPr>
            <w:tcW w:w="5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benefit cost</w:t>
            </w: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auto"/>
            </w:tcBorders>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707"/>
        </w:trPr>
        <w:tc>
          <w:tcPr>
            <w:tcW w:w="57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Retiree Health Care Plan</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5780" w:type="dxa"/>
            <w:vAlign w:val="bottom"/>
          </w:tcPr>
          <w:p>
            <w:pPr>
              <w:spacing w:after="0"/>
              <w:rPr>
                <w:sz w:val="20"/>
                <w:szCs w:val="20"/>
                <w:color w:val="auto"/>
              </w:rPr>
            </w:pPr>
          </w:p>
        </w:tc>
        <w:tc>
          <w:tcPr>
            <w:tcW w:w="224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gridSpan w:val="4"/>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00" w:type="dxa"/>
            <w:vAlign w:val="bottom"/>
          </w:tcPr>
          <w:p>
            <w:pPr>
              <w:spacing w:after="0"/>
              <w:rPr>
                <w:sz w:val="20"/>
                <w:szCs w:val="20"/>
                <w:color w:val="auto"/>
              </w:rPr>
            </w:pPr>
          </w:p>
        </w:tc>
      </w:tr>
      <w:tr>
        <w:trPr>
          <w:trHeight w:val="245"/>
        </w:trPr>
        <w:tc>
          <w:tcPr>
            <w:tcW w:w="5780" w:type="dxa"/>
            <w:vAlign w:val="bottom"/>
          </w:tcPr>
          <w:p>
            <w:pPr>
              <w:spacing w:after="0"/>
              <w:rPr>
                <w:sz w:val="21"/>
                <w:szCs w:val="21"/>
                <w:color w:val="auto"/>
              </w:rPr>
            </w:pPr>
          </w:p>
        </w:tc>
        <w:tc>
          <w:tcPr>
            <w:tcW w:w="224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80" w:type="dxa"/>
            <w:vAlign w:val="bottom"/>
            <w:gridSpan w:val="5"/>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41"/>
        </w:trPr>
        <w:tc>
          <w:tcPr>
            <w:tcW w:w="57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Borders>
              <w:top w:val="single" w:sz="8" w:color="auto"/>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9"/>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82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FF0FC"/>
          </w:tcPr>
          <w:p>
            <w:pPr>
              <w:spacing w:after="0"/>
              <w:rPr>
                <w:sz w:val="20"/>
                <w:szCs w:val="20"/>
                <w:color w:val="auto"/>
              </w:rPr>
            </w:pPr>
          </w:p>
        </w:tc>
      </w:tr>
      <w:tr>
        <w:trPr>
          <w:trHeight w:val="23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service credit</w:t>
            </w:r>
          </w:p>
        </w:tc>
        <w:tc>
          <w:tcPr>
            <w:tcW w:w="820" w:type="dxa"/>
            <w:vAlign w:val="bottom"/>
          </w:tcPr>
          <w:p>
            <w:pPr>
              <w:spacing w:after="0"/>
              <w:rPr>
                <w:sz w:val="20"/>
                <w:szCs w:val="20"/>
                <w:color w:val="auto"/>
              </w:rPr>
            </w:pPr>
          </w:p>
        </w:tc>
        <w:tc>
          <w:tcPr>
            <w:tcW w:w="6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(0.2 )</w:t>
            </w:r>
          </w:p>
        </w:tc>
        <w:tc>
          <w:tcPr>
            <w:tcW w:w="800" w:type="dxa"/>
            <w:vAlign w:val="bottom"/>
          </w:tcPr>
          <w:p>
            <w:pPr>
              <w:spacing w:after="0"/>
              <w:rPr>
                <w:sz w:val="20"/>
                <w:szCs w:val="20"/>
                <w:color w:val="auto"/>
              </w:rPr>
            </w:pPr>
          </w:p>
        </w:tc>
        <w:tc>
          <w:tcPr>
            <w:tcW w:w="6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(0.2 )</w:t>
            </w:r>
          </w:p>
        </w:tc>
        <w:tc>
          <w:tcPr>
            <w:tcW w:w="240" w:type="dxa"/>
            <w:vAlign w:val="bottom"/>
          </w:tcPr>
          <w:p>
            <w:pPr>
              <w:spacing w:after="0"/>
              <w:rPr>
                <w:sz w:val="20"/>
                <w:szCs w:val="20"/>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(0.6 )</w:t>
            </w:r>
          </w:p>
        </w:tc>
        <w:tc>
          <w:tcPr>
            <w:tcW w:w="2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76"/>
        </w:trPr>
        <w:tc>
          <w:tcPr>
            <w:tcW w:w="5780" w:type="dxa"/>
            <w:vAlign w:val="bottom"/>
            <w:tcBorders>
              <w:top w:val="single" w:sz="8" w:color="CFF0FC"/>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benefit credit</w:t>
            </w:r>
          </w:p>
        </w:tc>
        <w:tc>
          <w:tcPr>
            <w:tcW w:w="820" w:type="dxa"/>
            <w:vAlign w:val="bottom"/>
            <w:tcBorders>
              <w:top w:val="single" w:sz="8" w:color="auto"/>
              <w:bottom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Borders>
              <w:top w:val="single" w:sz="8" w:color="CFF0FC"/>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tcBorders>
              <w:top w:val="single" w:sz="8" w:color="auto"/>
              <w:bottom w:val="single" w:sz="8" w:color="auto"/>
            </w:tcBorders>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Borders>
              <w:top w:val="single" w:sz="8" w:color="CFF0FC"/>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Borders>
              <w:top w:val="single" w:sz="8" w:color="CFF0FC"/>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-1473835</wp:posOffset>
            </wp:positionV>
            <wp:extent cx="7747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-1456690</wp:posOffset>
            </wp:positionV>
            <wp:extent cx="7747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-1473835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-1456690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-1473835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-1456690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-1473835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-1456690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-24765</wp:posOffset>
            </wp:positionV>
            <wp:extent cx="774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-8255</wp:posOffset>
            </wp:positionV>
            <wp:extent cx="7747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-187960</wp:posOffset>
            </wp:positionV>
            <wp:extent cx="774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2024, contributions made to our pension plans were $4.2 and $13.7, respectively, and contributions made to our retiree health care plan were $0.2 and $0.8, respectively. During 2024, we expect to make total contributions of approximately $19.0 to our pension plans and to fund our retiree health care payments as incurred.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8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(11) Shareholders’ Equity</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loss, net of tax, were as follows:</w:t>
            </w:r>
          </w:p>
        </w:tc>
        <w:tc>
          <w:tcPr>
            <w:tcW w:w="100" w:type="dxa"/>
            <w:vAlign w:val="bottom"/>
          </w:tcPr>
          <w:p>
            <w:pPr>
              <w:spacing w:after="0"/>
              <w:rPr>
                <w:sz w:val="24"/>
                <w:szCs w:val="24"/>
                <w:color w:val="auto"/>
              </w:rPr>
            </w:pPr>
          </w:p>
        </w:tc>
        <w:tc>
          <w:tcPr>
            <w:tcW w:w="14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40" w:type="dxa"/>
            <w:vAlign w:val="bottom"/>
          </w:tcPr>
          <w:p>
            <w:pPr>
              <w:spacing w:after="0"/>
              <w:rPr>
                <w:sz w:val="24"/>
                <w:szCs w:val="24"/>
                <w:color w:val="auto"/>
              </w:rPr>
            </w:pPr>
          </w:p>
        </w:tc>
        <w:tc>
          <w:tcPr>
            <w:tcW w:w="13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6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(255.4 )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(261.2 )</w:t>
            </w:r>
          </w:p>
        </w:tc>
        <w:tc>
          <w:tcPr>
            <w:tcW w:w="0" w:type="dxa"/>
            <w:vAlign w:val="bottom"/>
          </w:tcPr>
          <w:p>
            <w:pPr>
              <w:spacing w:after="0"/>
              <w:rPr>
                <w:sz w:val="1"/>
                <w:szCs w:val="1"/>
                <w:color w:val="auto"/>
              </w:rPr>
            </w:pPr>
          </w:p>
        </w:tc>
      </w:tr>
      <w:tr>
        <w:trPr>
          <w:trHeight w:val="239"/>
        </w:trPr>
        <w:tc>
          <w:tcPr>
            <w:tcW w:w="8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Translation loss on long-term intercompany loans, net of income taxes of $19.2 and $19.1, respectively</w:t>
            </w:r>
          </w:p>
        </w:tc>
        <w:tc>
          <w:tcPr>
            <w:tcW w:w="10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(133.8 )</w:t>
            </w:r>
          </w:p>
        </w:tc>
        <w:tc>
          <w:tcPr>
            <w:tcW w:w="14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(133.6 )</w:t>
            </w:r>
          </w:p>
        </w:tc>
        <w:tc>
          <w:tcPr>
            <w:tcW w:w="0" w:type="dxa"/>
            <w:vAlign w:val="bottom"/>
          </w:tcPr>
          <w:p>
            <w:pPr>
              <w:spacing w:after="0"/>
              <w:rPr>
                <w:sz w:val="1"/>
                <w:szCs w:val="1"/>
                <w:color w:val="auto"/>
              </w:rPr>
            </w:pPr>
          </w:p>
        </w:tc>
      </w:tr>
      <w:tr>
        <w:trPr>
          <w:trHeight w:val="247"/>
        </w:trPr>
        <w:tc>
          <w:tcPr>
            <w:tcW w:w="82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derivative instruments, net of income tax benefit of $(24.2) and $(22.7), respectively</w:t>
            </w:r>
          </w:p>
        </w:tc>
        <w:tc>
          <w:tcPr>
            <w:tcW w:w="10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(45.1 )</w:t>
            </w:r>
          </w:p>
        </w:tc>
        <w:tc>
          <w:tcPr>
            <w:tcW w:w="1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(37.6 )</w:t>
            </w:r>
          </w:p>
        </w:tc>
        <w:tc>
          <w:tcPr>
            <w:tcW w:w="0" w:type="dxa"/>
            <w:vAlign w:val="bottom"/>
          </w:tcPr>
          <w:p>
            <w:pPr>
              <w:spacing w:after="0"/>
              <w:rPr>
                <w:sz w:val="1"/>
                <w:szCs w:val="1"/>
                <w:color w:val="auto"/>
              </w:rPr>
            </w:pPr>
          </w:p>
        </w:tc>
      </w:tr>
      <w:tr>
        <w:trPr>
          <w:trHeight w:val="239"/>
        </w:trPr>
        <w:tc>
          <w:tcPr>
            <w:tcW w:w="8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Gain on interest rate swap, net of income taxes of $0.3 on both dates</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2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Defined benefit pension plans, net of income tax benefit of $(22.6) and $(23.0), respectively</w:t>
            </w:r>
          </w:p>
        </w:tc>
        <w:tc>
          <w:tcPr>
            <w:tcW w:w="10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(37.2 )</w:t>
            </w:r>
          </w:p>
        </w:tc>
        <w:tc>
          <w:tcPr>
            <w:tcW w:w="1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(36.0 )</w:t>
            </w:r>
          </w:p>
        </w:tc>
        <w:tc>
          <w:tcPr>
            <w:tcW w:w="0" w:type="dxa"/>
            <w:vAlign w:val="bottom"/>
          </w:tcPr>
          <w:p>
            <w:pPr>
              <w:spacing w:after="0"/>
              <w:rPr>
                <w:sz w:val="1"/>
                <w:szCs w:val="1"/>
                <w:color w:val="auto"/>
              </w:rPr>
            </w:pPr>
          </w:p>
        </w:tc>
      </w:tr>
      <w:tr>
        <w:trPr>
          <w:trHeight w:val="239"/>
        </w:trPr>
        <w:tc>
          <w:tcPr>
            <w:tcW w:w="8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Retiree health care plan, net of income taxes of $1.9 and $2.0, respectively</w:t>
            </w: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20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(469.9 )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(466.0 )</w:t>
            </w:r>
          </w:p>
        </w:tc>
        <w:tc>
          <w:tcPr>
            <w:tcW w:w="0" w:type="dxa"/>
            <w:vAlign w:val="bottom"/>
          </w:tcPr>
          <w:p>
            <w:pPr>
              <w:spacing w:after="0"/>
              <w:rPr>
                <w:sz w:val="1"/>
                <w:szCs w:val="1"/>
                <w:color w:val="auto"/>
              </w:rPr>
            </w:pPr>
          </w:p>
        </w:tc>
      </w:tr>
      <w:tr>
        <w:trPr>
          <w:trHeight w:val="20"/>
        </w:trPr>
        <w:tc>
          <w:tcPr>
            <w:tcW w:w="340" w:type="dxa"/>
            <w:vAlign w:val="bottom"/>
            <w:tcBorders>
              <w:top w:val="single" w:sz="8" w:color="CFF0FC"/>
            </w:tcBorders>
            <w:shd w:val="clear" w:color="auto" w:fill="CFF0FC"/>
          </w:tcPr>
          <w:p>
            <w:pPr>
              <w:spacing w:after="0" w:line="20" w:lineRule="exact"/>
              <w:rPr>
                <w:sz w:val="1"/>
                <w:szCs w:val="1"/>
                <w:color w:val="auto"/>
              </w:rPr>
            </w:pPr>
          </w:p>
        </w:tc>
        <w:tc>
          <w:tcPr>
            <w:tcW w:w="1640" w:type="dxa"/>
            <w:vAlign w:val="bottom"/>
            <w:tcBorders>
              <w:top w:val="single" w:sz="8" w:color="CFF0FC"/>
            </w:tcBorders>
            <w:shd w:val="clear" w:color="auto" w:fill="CFF0FC"/>
          </w:tcPr>
          <w:p>
            <w:pPr>
              <w:spacing w:after="0" w:line="20" w:lineRule="exact"/>
              <w:rPr>
                <w:sz w:val="1"/>
                <w:szCs w:val="1"/>
                <w:color w:val="auto"/>
              </w:rPr>
            </w:pPr>
          </w:p>
        </w:tc>
        <w:tc>
          <w:tcPr>
            <w:tcW w:w="6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-24765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Noncontrolling interests, reported in total shareholders' equity in our Consolidated Balance Sheets, represent amounts related to majority-owned subsidiaries in which we have a controlling financial interest. Net earnings attributable to these noncontrolling interests are recorded in interest and other expenses, net in our Consolidated Statements of Operations. During both the three and nine months ended September 30, 2024, we recorded expenses of $0.1. During the three and nine months ended September 30, 2023, we recorded expenses of $0.1 and $0.2, respectively.</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Board of Directors declared a semi-annual dividend of $1.54 and $1.47 per share on November 8, 2024 and November 10, 2023, respectively. The 2024 dividends are payable on December 16, 2024 to shareholders of record as of December 2, 2024. The 2023 dividends were paid on December 15, 2023 to shareholders of record as of December 1, 2023.</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August 2023 and August 2021, the Board of Directors authorized the repurchase of 5.0 million shares and 4.0 million shares of our common stock, respectively. We conduct share repurchases from time to time through a variety of methods, including open market purchases, block transactions, privately negotiated transactions or similar facilities. During the nine months ended September 30, 2024, we repurchased a total of 1.5 million shares under the 2023 authorization at a cost of $106.0. During the nine months ended September 30, 2023, we repurchased a total of 1.7 million shares under the 2021 authorization at a cost of $129.8. As of September 30, 2024, there were 3.1 million shares remaining authorized for repurchase under the 2023 authorization and no shares remaining authorized for repurchase under the 2021 authorization.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(12) Interest and Other Expenses, Net</w:t>
            </w: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and other expenses, net consisted of the following:</w:t>
            </w:r>
          </w:p>
        </w:tc>
        <w:tc>
          <w:tcPr>
            <w:tcW w:w="1160" w:type="dxa"/>
            <w:vAlign w:val="bottom"/>
          </w:tcPr>
          <w:p>
            <w:pPr>
              <w:spacing w:after="0"/>
              <w:rPr>
                <w:sz w:val="24"/>
                <w:szCs w:val="24"/>
                <w:color w:val="auto"/>
              </w:rPr>
            </w:pPr>
          </w:p>
        </w:tc>
        <w:tc>
          <w:tcPr>
            <w:tcW w:w="21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4"/>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100" w:type="dxa"/>
            <w:vAlign w:val="bottom"/>
            <w:gridSpan w:val="4"/>
            <w:vMerge w:val="continue"/>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0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10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41"/>
        </w:trPr>
        <w:tc>
          <w:tcPr>
            <w:tcW w:w="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39"/>
        </w:trPr>
        <w:tc>
          <w:tcPr>
            <w:tcW w:w="48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920" w:type="dxa"/>
            <w:vAlign w:val="bottom"/>
            <w:gridSpan w:val="2"/>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24.6</w:t>
            </w:r>
          </w:p>
        </w:tc>
        <w:tc>
          <w:tcPr>
            <w:tcW w:w="860" w:type="dxa"/>
            <w:vAlign w:val="bottom"/>
            <w:gridSpan w:val="2"/>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21.0</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67.0</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39"/>
        </w:trPr>
        <w:tc>
          <w:tcPr>
            <w:tcW w:w="4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0" w:type="dxa"/>
            <w:vAlign w:val="bottom"/>
          </w:tcPr>
          <w:p>
            <w:pPr>
              <w:spacing w:after="0"/>
              <w:rPr>
                <w:sz w:val="1"/>
                <w:szCs w:val="1"/>
                <w:color w:val="auto"/>
              </w:rPr>
            </w:pPr>
          </w:p>
        </w:tc>
      </w:tr>
      <w:tr>
        <w:trPr>
          <w:trHeight w:val="247"/>
        </w:trPr>
        <w:tc>
          <w:tcPr>
            <w:tcW w:w="48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 loss</w:t>
            </w:r>
          </w:p>
        </w:tc>
        <w:tc>
          <w:tcPr>
            <w:tcW w:w="11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39"/>
        </w:trPr>
        <w:tc>
          <w:tcPr>
            <w:tcW w:w="4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Miscellaneous income, net</w:t>
            </w:r>
          </w:p>
        </w:tc>
        <w:tc>
          <w:tcPr>
            <w:tcW w:w="116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0" w:type="dxa"/>
            <w:vAlign w:val="bottom"/>
          </w:tcPr>
          <w:p>
            <w:pPr>
              <w:spacing w:after="0"/>
              <w:rPr>
                <w:sz w:val="1"/>
                <w:szCs w:val="1"/>
                <w:color w:val="auto"/>
              </w:rPr>
            </w:pPr>
          </w:p>
        </w:tc>
      </w:tr>
      <w:tr>
        <w:trPr>
          <w:trHeight w:val="277"/>
        </w:trPr>
        <w:tc>
          <w:tcPr>
            <w:tcW w:w="488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and other expenses, net</w:t>
            </w:r>
          </w:p>
        </w:tc>
        <w:tc>
          <w:tcPr>
            <w:tcW w:w="1920" w:type="dxa"/>
            <w:vAlign w:val="bottom"/>
            <w:gridSpan w:val="2"/>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11.6</w:t>
            </w:r>
          </w:p>
        </w:tc>
        <w:tc>
          <w:tcPr>
            <w:tcW w:w="860" w:type="dxa"/>
            <w:vAlign w:val="bottom"/>
            <w:gridSpan w:val="2"/>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15.1</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28.7</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633"/>
        </w:trPr>
        <w:tc>
          <w:tcPr>
            <w:tcW w:w="360" w:type="dxa"/>
            <w:vAlign w:val="bottom"/>
            <w:tcBorders>
              <w:top w:val="single" w:sz="8" w:color="CFF0FC"/>
            </w:tcBorders>
          </w:tcPr>
          <w:p>
            <w:pPr>
              <w:spacing w:after="0"/>
              <w:rPr>
                <w:sz w:val="24"/>
                <w:szCs w:val="24"/>
                <w:color w:val="auto"/>
              </w:rPr>
            </w:pPr>
          </w:p>
        </w:tc>
        <w:tc>
          <w:tcPr>
            <w:tcW w:w="2540" w:type="dxa"/>
            <w:vAlign w:val="bottom"/>
            <w:tcBorders>
              <w:top w:val="single" w:sz="8" w:color="CFF0FC"/>
            </w:tcBorders>
          </w:tcPr>
          <w:p>
            <w:pPr>
              <w:spacing w:after="0"/>
              <w:rPr>
                <w:sz w:val="24"/>
                <w:szCs w:val="24"/>
                <w:color w:val="auto"/>
              </w:rPr>
            </w:pPr>
          </w:p>
        </w:tc>
        <w:tc>
          <w:tcPr>
            <w:tcW w:w="1980" w:type="dxa"/>
            <w:vAlign w:val="bottom"/>
            <w:tcBorders>
              <w:top w:val="single" w:sz="8" w:color="CFF0FC"/>
            </w:tcBorders>
          </w:tcPr>
          <w:p>
            <w:pPr>
              <w:spacing w:after="0"/>
              <w:rPr>
                <w:sz w:val="24"/>
                <w:szCs w:val="24"/>
                <w:color w:val="auto"/>
              </w:rPr>
            </w:pPr>
          </w:p>
        </w:tc>
        <w:tc>
          <w:tcPr>
            <w:tcW w:w="1160" w:type="dxa"/>
            <w:vAlign w:val="bottom"/>
            <w:tcBorders>
              <w:top w:val="single" w:sz="8" w:color="CFF0FC"/>
            </w:tcBorders>
          </w:tcPr>
          <w:p>
            <w:pPr>
              <w:jc w:val="right"/>
              <w:ind w:right="230"/>
              <w:spacing w:after="0"/>
              <w:rPr>
                <w:sz w:val="20"/>
                <w:szCs w:val="20"/>
                <w:color w:val="auto"/>
              </w:rPr>
            </w:pPr>
            <w:r>
              <w:rPr>
                <w:rFonts w:ascii="Times New Roman" w:cs="Times New Roman" w:eastAsia="Times New Roman" w:hAnsi="Times New Roman"/>
                <w:sz w:val="18"/>
                <w:szCs w:val="18"/>
                <w:color w:val="auto"/>
              </w:rPr>
              <w:t>16</w:t>
            </w:r>
          </w:p>
        </w:tc>
        <w:tc>
          <w:tcPr>
            <w:tcW w:w="7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6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-933450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-916305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-933450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-916305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-933450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-916305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16" w:name="page17"/>
    <w:bookmarkEnd w:id="16"/>
    <w:p>
      <w:pPr>
        <w:ind w:left="360" w:hanging="352"/>
        <w:spacing w:after="0"/>
        <w:tabs>
          <w:tab w:leader="none" w:pos="3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Derivative Financial Instruments and Fair Value Measurements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227"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18"/>
          <w:szCs w:val="18"/>
          <w:color w:val="auto"/>
        </w:rPr>
        <w:t>We are exposed to various market risks relating to our ongoing business operations. The primary market risks, which are managed using derivative instruments, are foreign currency exchange rate risk and interest rate risk. In certain circumstances, we enter into foreign currency forward exchange contracts and cross-currency swaps to reduce the effects of fluctuating foreign currency exchange rates on our cash flows denominated in foreign currencies. Our exposure to market risk for changes in interest rates relates primarily to our long-term debt obligations. We have historically managed interest rate risk through the use of a combination of fixed and variable rate borrowings.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Investment Hedges</w:t>
      </w:r>
    </w:p>
    <w:p>
      <w:pPr>
        <w:spacing w:after="0" w:line="22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use cross currency swaps, forward contracts and a portion of our foreign currency denominated debt, a non-derivative financial instrument, to protect the value of our net investments in certain of our foreign subsidiaries. For derivative instruments that are designated and qualify as hedges of our net investments in foreign operations, the changes in fair values of the derivative instruments are recognized in foreign currency translation, a component of accumulated other comprehensive income (“AOCI”), to offset the changes in the values of the net investments being hedged. For non-derivative financial instruments that are designated and qualify as hedges of net investments in foreign operations, the change in the carrying value of the designated portion of the non-derivative financial instrument due to changes in foreign currency exchange rates is also recorded in foreign currency translation.</w:t>
      </w:r>
    </w:p>
    <w:p>
      <w:pPr>
        <w:spacing w:after="0" w:line="18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€400.0 ($442.7) notes due June 2027 and the €500.0 ($555.5) notes due June 2026 were designated as a hedge of our net investment in our foreign subsidiaries with a Euro-functional currency as of September 30, 2024.</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September 2022, we entered into a cross currency swap agreement that net converts fixed-rate Swiss franc (“CHF”) payments to fixed-rate United States dollar payments. This swap was designated as a net investment hedge of our foreign subsidiary with CHF functional currency.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our net investment hedges on AOCI for the three and nine months ended September 30, 2024 and 2023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300" w:type="dxa"/>
            <w:vAlign w:val="bottom"/>
            <w:tcBorders>
              <w:bottom w:val="single" w:sz="8" w:color="auto"/>
            </w:tcBorders>
            <w:gridSpan w:val="9"/>
          </w:tcPr>
          <w:p>
            <w:pPr>
              <w:ind w:left="1500"/>
              <w:spacing w:after="0"/>
              <w:rPr>
                <w:sz w:val="20"/>
                <w:szCs w:val="20"/>
                <w:color w:val="auto"/>
              </w:rPr>
            </w:pPr>
            <w:r>
              <w:rPr>
                <w:rFonts w:ascii="Times New Roman" w:cs="Times New Roman" w:eastAsia="Times New Roman" w:hAnsi="Times New Roman"/>
                <w:sz w:val="18"/>
                <w:szCs w:val="18"/>
                <w:b w:val="1"/>
                <w:bCs w:val="1"/>
                <w:color w:val="auto"/>
              </w:rPr>
              <w:t>Gain (Loss) Recognized in Other Comprehensive Income</w:t>
            </w:r>
          </w:p>
        </w:tc>
        <w:tc>
          <w:tcPr>
            <w:tcW w:w="1520" w:type="dxa"/>
            <w:vAlign w:val="bottom"/>
            <w:tcBorders>
              <w:bottom w:val="single" w:sz="8" w:color="auto"/>
            </w:tcBorders>
          </w:tcPr>
          <w:p>
            <w:pPr>
              <w:spacing w:after="0"/>
              <w:rPr>
                <w:sz w:val="21"/>
                <w:szCs w:val="21"/>
                <w:color w:val="auto"/>
              </w:rPr>
            </w:pPr>
          </w:p>
        </w:tc>
      </w:tr>
      <w:tr>
        <w:trPr>
          <w:trHeight w:val="238"/>
        </w:trPr>
        <w:tc>
          <w:tcPr>
            <w:tcW w:w="2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9"/>
        </w:trPr>
        <w:tc>
          <w:tcPr>
            <w:tcW w:w="296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rPr>
              <w:t>Instrument</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9"/>
        </w:trPr>
        <w:tc>
          <w:tcPr>
            <w:tcW w:w="30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Euro Notes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gridSpan w:val="3"/>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(37.8 )  $</w:t>
            </w: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30.6</w:t>
            </w: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(8.8 )  $</w:t>
            </w: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11.9</w:t>
            </w:r>
          </w:p>
        </w:tc>
      </w:tr>
      <w:tr>
        <w:trPr>
          <w:trHeight w:val="234"/>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Cross-currency swaps</w:t>
            </w:r>
          </w:p>
        </w:tc>
        <w:tc>
          <w:tcPr>
            <w:tcW w:w="340" w:type="dxa"/>
            <w:vAlign w:val="bottom"/>
          </w:tcPr>
          <w:p>
            <w:pPr>
              <w:spacing w:after="0"/>
              <w:rPr>
                <w:sz w:val="20"/>
                <w:szCs w:val="20"/>
                <w:color w:val="auto"/>
              </w:rPr>
            </w:pPr>
          </w:p>
        </w:tc>
        <w:tc>
          <w:tcPr>
            <w:tcW w:w="16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(26.8 )</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(10.6 )</w:t>
            </w: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Hedges</w:t>
      </w:r>
    </w:p>
    <w:p>
      <w:pPr>
        <w:spacing w:after="0" w:line="227"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We use forward currency exchange contracts to hedge the changes in cash flows of certain operational expenses denominated in foreign currency due to changes in foreign currency exchange rates. The changes in fair value of the forward currency exchange contracts derivatives are recorded in AOCI and reclassified into earnings when the underlying operating expense is recognized in earnings.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June 9, 2022, we entered into a forward starting interest rate swap agreement with a notional amount of €300.0 and a fixed rate of 1.936%, which was accounted for as a cash flow hedge, to hedge the interest rate exposure related to our anticipated issuance of €400.0 notes to repay our existing €400.0 notes maturing in September 2022. Upon the issuance of the notes on June 30, 2022, we settled this forward starting interest rate swap, resulting in a gain of $2.0, which was recorded in AOCI and is being amortized over the term of the notes as an offset to interest expense.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 w:name="page18"/>
    <w:bookmarkEnd w:id="17"/>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impact that changes in the fair values of derivatives designated as cash flow hedges had on other comprehensive income (“OCI”), AOCI and earnings for the three and nine months ended September 30, 2024 and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4"/>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Gain (Loss) Reclassified from</w:t>
            </w:r>
          </w:p>
        </w:tc>
      </w:tr>
      <w:tr>
        <w:trPr>
          <w:trHeight w:val="245"/>
        </w:trPr>
        <w:tc>
          <w:tcPr>
            <w:tcW w:w="2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4"/>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Gain (Loss) Recognized in OCI</w:t>
            </w:r>
          </w:p>
        </w:tc>
        <w:tc>
          <w:tcPr>
            <w:tcW w:w="12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4"/>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AOCI into Income</w:t>
            </w:r>
          </w:p>
        </w:tc>
      </w:tr>
      <w:tr>
        <w:trPr>
          <w:trHeight w:val="207"/>
        </w:trPr>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20" w:type="dxa"/>
            <w:vAlign w:val="bottom"/>
            <w:gridSpan w:val="5"/>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5"/>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r>
      <w:tr>
        <w:trPr>
          <w:trHeight w:val="252"/>
        </w:trPr>
        <w:tc>
          <w:tcPr>
            <w:tcW w:w="2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rPr>
              <w:t>30,</w:t>
            </w: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Location of Gain (Loss) Reclassified</w:t>
            </w:r>
          </w:p>
        </w:tc>
        <w:tc>
          <w:tcPr>
            <w:tcW w:w="1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r>
      <w:tr>
        <w:trPr>
          <w:trHeight w:val="234"/>
        </w:trPr>
        <w:tc>
          <w:tcPr>
            <w:tcW w:w="26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rPr>
              <w:t>Instrument</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28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from AOCI into Income</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9"/>
        </w:trPr>
        <w:tc>
          <w:tcPr>
            <w:tcW w:w="2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Forward starting interest swap</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3"/>
            <w:shd w:val="clear" w:color="auto" w:fill="CFF0FC"/>
          </w:tcPr>
          <w:p>
            <w:pPr>
              <w:ind w:left="12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29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and other expenses, net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r>
      <w:tr>
        <w:trPr>
          <w:trHeight w:val="450"/>
        </w:trPr>
        <w:tc>
          <w:tcPr>
            <w:tcW w:w="2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4"/>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Gain (Loss) Reclassified from</w:t>
            </w:r>
          </w:p>
        </w:tc>
      </w:tr>
      <w:tr>
        <w:trPr>
          <w:trHeight w:val="245"/>
        </w:trPr>
        <w:tc>
          <w:tcPr>
            <w:tcW w:w="2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4"/>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Gain (Loss) Recognized in OCI</w:t>
            </w:r>
          </w:p>
        </w:tc>
        <w:tc>
          <w:tcPr>
            <w:tcW w:w="12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4"/>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AOCI into Income</w:t>
            </w:r>
          </w:p>
        </w:tc>
      </w:tr>
      <w:tr>
        <w:trPr>
          <w:trHeight w:val="207"/>
        </w:trPr>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5"/>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w:t>
            </w:r>
          </w:p>
        </w:tc>
      </w:tr>
      <w:tr>
        <w:trPr>
          <w:trHeight w:val="252"/>
        </w:trPr>
        <w:tc>
          <w:tcPr>
            <w:tcW w:w="2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20" w:type="dxa"/>
            <w:vAlign w:val="bottom"/>
            <w:tcBorders>
              <w:bottom w:val="single" w:sz="8" w:color="auto"/>
            </w:tcBorders>
            <w:gridSpan w:val="5"/>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120" w:type="dxa"/>
            <w:vAlign w:val="bottom"/>
          </w:tcPr>
          <w:p>
            <w:pPr>
              <w:spacing w:after="0"/>
              <w:rPr>
                <w:sz w:val="21"/>
                <w:szCs w:val="21"/>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Location of Gain (Loss) Reclassified</w:t>
            </w:r>
          </w:p>
        </w:tc>
        <w:tc>
          <w:tcPr>
            <w:tcW w:w="1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r>
      <w:tr>
        <w:trPr>
          <w:trHeight w:val="234"/>
        </w:trPr>
        <w:tc>
          <w:tcPr>
            <w:tcW w:w="26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rPr>
              <w:t>Instrument</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28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from AOCI into Income</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9"/>
        </w:trPr>
        <w:tc>
          <w:tcPr>
            <w:tcW w:w="2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Forward starting interest swap</w:t>
            </w:r>
          </w:p>
        </w:tc>
        <w:tc>
          <w:tcPr>
            <w:tcW w:w="120" w:type="dxa"/>
            <w:vAlign w:val="bottom"/>
            <w:shd w:val="clear" w:color="auto" w:fill="CFF0FC"/>
          </w:tcPr>
          <w:p>
            <w:pPr>
              <w:spacing w:after="0"/>
              <w:rPr>
                <w:sz w:val="20"/>
                <w:szCs w:val="20"/>
                <w:color w:val="auto"/>
              </w:rPr>
            </w:pPr>
          </w:p>
        </w:tc>
        <w:tc>
          <w:tcPr>
            <w:tcW w:w="1880" w:type="dxa"/>
            <w:vAlign w:val="bottom"/>
            <w:gridSpan w:val="3"/>
            <w:shd w:val="clear" w:color="auto" w:fill="CFF0FC"/>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29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and other expenses, net</w:t>
            </w:r>
          </w:p>
        </w:tc>
        <w:tc>
          <w:tcPr>
            <w:tcW w:w="10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r>
    </w:tbl>
    <w:p>
      <w:pPr>
        <w:spacing w:after="0" w:line="198"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We expect the net amount of pre-tax derivative gains included in AOCI at September 30, 2024 to be reclassified into earnings within the next 12 months will not be significant. The actual amount that will be reclassified to earnings over the next 12 months will vary due to future currency exchange rates.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Hedges</w:t>
      </w:r>
    </w:p>
    <w:p>
      <w:pPr>
        <w:spacing w:after="0" w:line="227"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We account for derivatives as fair value hedges when the hedged item is a recognized asset, liability, or firm commitment. We use cross currency swaps to hedge the changes in cash flows of certain of our foreign currency denominated intercompany notes due to changes in foreign currency exchange rates. We record the change in carrying value of the foreign currency denominated notes due to changes in exchange rates into earnings each period. The changes in fair value of the cross-currency swap derivatives are recorded in other comprehensive income (“OCI”) with an immediate reclassification into earnings for the change in fair value attributable to fluctuations in foreign currency exchange rates.</w:t>
      </w:r>
    </w:p>
    <w:p>
      <w:pPr>
        <w:spacing w:after="0" w:line="183"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In March 2022, we entered into a cross currency swap agreement to hedge an intercompany fixed-rate CHF denominated note, including the annual interest payment, to a fixed-rate Euro denominated note. On April 18, 2024, we settled the swaps at maturity for a net cash inflow of $14.9 and entered into a new cross currency swap with a maturity date of April 2027. The cross currency swaps convert our intercompany fixed-rate CHF denominated note, including the annual interest payment and the payment of remaining principal at maturity, to a fixed-rate Euro denominated note. The economic effect of the swaps is to eliminate the uncertainty of cash flows in CHF associated with the note by fixing the principal at €236.9 with a fixed annual interest rate of 3.45%.</w:t>
      </w:r>
    </w:p>
    <w:p>
      <w:pPr>
        <w:spacing w:after="0" w:line="16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September 2022, we entered into a cross currency swap agreement to hedge an intercompany fixed-rate CHF denominated note, including the annual interest payment, to a fixed-rate Euro denominated note. On September 26, 2024, we settled the swaps at maturity for a net cash inflow of $1.6 and entered into a new cross currency swap with a maturity date of September 2027. The economic effect of the swaps is to eliminate the uncertainty of cash flows in CHF associated with the note by fixing the principal at €63.6 with a fixed annual interest rate of 3.27%.</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8" w:name="page19"/>
    <w:bookmarkEnd w:id="18"/>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impact that the fair value hedges had on OCI and earnings for the three and nine months ended September 30, 2024 and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gridSpan w:val="6"/>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Gain (Loss) Recognized in</w:t>
            </w:r>
          </w:p>
        </w:tc>
      </w:tr>
      <w:tr>
        <w:trPr>
          <w:trHeight w:val="245"/>
        </w:trPr>
        <w:tc>
          <w:tcPr>
            <w:tcW w:w="2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6"/>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Gain (Loss) Recognized in OCI</w:t>
            </w:r>
          </w:p>
        </w:tc>
        <w:tc>
          <w:tcPr>
            <w:tcW w:w="10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4"/>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9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r>
      <w:tr>
        <w:trPr>
          <w:trHeight w:val="207"/>
        </w:trPr>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7"/>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w:t>
            </w:r>
          </w:p>
        </w:tc>
        <w:tc>
          <w:tcPr>
            <w:tcW w:w="1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gridSpan w:val="7"/>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r>
      <w:tr>
        <w:trPr>
          <w:trHeight w:val="252"/>
        </w:trPr>
        <w:tc>
          <w:tcPr>
            <w:tcW w:w="2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Location of Gain (Loss)</w:t>
            </w: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4"/>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9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r>
      <w:tr>
        <w:trPr>
          <w:trHeight w:val="234"/>
        </w:trPr>
        <w:tc>
          <w:tcPr>
            <w:tcW w:w="27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b w:val="1"/>
                <w:bCs w:val="1"/>
                <w:color w:val="auto"/>
              </w:rPr>
              <w:t>Instrument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Recognized in Income</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20"/>
                <w:szCs w:val="20"/>
                <w:color w:val="auto"/>
              </w:rPr>
            </w:pPr>
          </w:p>
        </w:tc>
      </w:tr>
      <w:tr>
        <w:trPr>
          <w:trHeight w:val="239"/>
        </w:trPr>
        <w:tc>
          <w:tcPr>
            <w:tcW w:w="28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Intercompany CHF notes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28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and other expenses, net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(7.4 )</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(3.3 )</w:t>
            </w:r>
          </w:p>
        </w:tc>
      </w:tr>
      <w:tr>
        <w:trPr>
          <w:trHeight w:val="234"/>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Cross-currency swaps</w:t>
            </w:r>
          </w:p>
        </w:tc>
        <w:tc>
          <w:tcPr>
            <w:tcW w:w="12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Pr>
          <w:p>
            <w:pPr>
              <w:spacing w:after="0"/>
              <w:rPr>
                <w:sz w:val="20"/>
                <w:szCs w:val="20"/>
                <w:color w:val="auto"/>
              </w:rPr>
            </w:pPr>
          </w:p>
        </w:tc>
        <w:tc>
          <w:tcPr>
            <w:tcW w:w="2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Interest and other expenses, net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p>
        </w:tc>
      </w:tr>
      <w:tr>
        <w:trPr>
          <w:trHeight w:val="432"/>
        </w:trPr>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00" w:type="dxa"/>
            <w:vAlign w:val="bottom"/>
            <w:gridSpan w:val="6"/>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Gain (Loss) Recognized in</w:t>
            </w:r>
          </w:p>
        </w:tc>
      </w:tr>
      <w:tr>
        <w:trPr>
          <w:trHeight w:val="245"/>
        </w:trPr>
        <w:tc>
          <w:tcPr>
            <w:tcW w:w="2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2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Gain (Loss) Recognized in OCI</w:t>
            </w:r>
          </w:p>
        </w:tc>
        <w:tc>
          <w:tcPr>
            <w:tcW w:w="10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gridSpan w:val="4"/>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Borders>
              <w:top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Borders>
              <w:top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100" w:type="dxa"/>
            <w:vAlign w:val="bottom"/>
          </w:tcPr>
          <w:p>
            <w:pPr>
              <w:spacing w:after="0"/>
              <w:rPr>
                <w:sz w:val="18"/>
                <w:szCs w:val="18"/>
                <w:color w:val="auto"/>
              </w:rPr>
            </w:pPr>
          </w:p>
        </w:tc>
      </w:tr>
      <w:tr>
        <w:trPr>
          <w:trHeight w:val="252"/>
        </w:trPr>
        <w:tc>
          <w:tcPr>
            <w:tcW w:w="2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Location of Gain (Loss)</w:t>
            </w: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4"/>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27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b w:val="1"/>
                <w:bCs w:val="1"/>
                <w:color w:val="auto"/>
              </w:rPr>
              <w:t>Instrument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Recognized in Income</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9"/>
        </w:trPr>
        <w:tc>
          <w:tcPr>
            <w:tcW w:w="28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Intercompany CHF notes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28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and other expenses, net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(7.4 )</w:t>
            </w:r>
          </w:p>
        </w:tc>
      </w:tr>
      <w:tr>
        <w:trPr>
          <w:trHeight w:val="234"/>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Cross-currency swaps</w:t>
            </w:r>
          </w:p>
        </w:tc>
        <w:tc>
          <w:tcPr>
            <w:tcW w:w="12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20"/>
                <w:szCs w:val="20"/>
                <w:color w:val="auto"/>
              </w:rPr>
            </w:pPr>
          </w:p>
        </w:tc>
        <w:tc>
          <w:tcPr>
            <w:tcW w:w="2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Interest and other expenses, net</w:t>
            </w:r>
          </w:p>
        </w:tc>
        <w:tc>
          <w:tcPr>
            <w:tcW w:w="18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assessed the hedging relationship at the inception of the hedges in order to determine whether the derivatives that are used in the transaction are highly effective in offsetting the cash flows of the hedged item, and will continue to assess the relationship on an ongoing basis. We use the hypothetical derivative method in conjunction with regression analysis using a third-party valuation to measure effectiveness of our cross-currency swap agreements and our forward currency exchange contracts.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Non-designated instruments</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also use certain derivatives, which are not designated as hedging instruments, as economic hedges of foreign currency and interest rate exposure. For our forward contracts that are not designated as hedges, any gain or loss resulting from the change in fair value is recognized in current period earnings. These gains or losses are offset by the exposure related to receivables and payables with our foreign subsidiaries and to interest due on our Euro-denominated notes, which is paid annually in June and September. The effect of our forward contracts that are not designated as hedging instruments on the consolidated statements of operations for the three and nine months ended September 30, 2024 and 2023 was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8"/>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Gain (Loss) Recognized in Income</w:t>
            </w:r>
          </w:p>
        </w:tc>
        <w:tc>
          <w:tcPr>
            <w:tcW w:w="1060" w:type="dxa"/>
            <w:vAlign w:val="bottom"/>
            <w:tcBorders>
              <w:bottom w:val="single" w:sz="8" w:color="auto"/>
            </w:tcBorders>
          </w:tcPr>
          <w:p>
            <w:pPr>
              <w:spacing w:after="0"/>
              <w:rPr>
                <w:sz w:val="21"/>
                <w:szCs w:val="21"/>
                <w:color w:val="auto"/>
              </w:rPr>
            </w:pPr>
          </w:p>
        </w:tc>
      </w:tr>
      <w:tr>
        <w:trPr>
          <w:trHeight w:val="207"/>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gridSpan w:val="6"/>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w:t>
            </w:r>
          </w:p>
        </w:tc>
        <w:tc>
          <w:tcPr>
            <w:tcW w:w="100" w:type="dxa"/>
            <w:vAlign w:val="bottom"/>
          </w:tcPr>
          <w:p>
            <w:pPr>
              <w:spacing w:after="0"/>
              <w:rPr>
                <w:sz w:val="18"/>
                <w:szCs w:val="18"/>
                <w:color w:val="auto"/>
              </w:rPr>
            </w:pPr>
          </w:p>
        </w:tc>
        <w:tc>
          <w:tcPr>
            <w:tcW w:w="2760" w:type="dxa"/>
            <w:vAlign w:val="bottom"/>
            <w:gridSpan w:val="5"/>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52"/>
        </w:trPr>
        <w:tc>
          <w:tcPr>
            <w:tcW w:w="2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Location of Gain (Loss)</w:t>
            </w:r>
          </w:p>
        </w:tc>
        <w:tc>
          <w:tcPr>
            <w:tcW w:w="8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30,</w:t>
            </w: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30,</w:t>
            </w:r>
          </w:p>
        </w:tc>
        <w:tc>
          <w:tcPr>
            <w:tcW w:w="1060" w:type="dxa"/>
            <w:vAlign w:val="bottom"/>
            <w:tcBorders>
              <w:bottom w:val="single" w:sz="8" w:color="auto"/>
            </w:tcBorders>
          </w:tcPr>
          <w:p>
            <w:pPr>
              <w:spacing w:after="0"/>
              <w:rPr>
                <w:sz w:val="21"/>
                <w:szCs w:val="21"/>
                <w:color w:val="auto"/>
              </w:rPr>
            </w:pPr>
          </w:p>
        </w:tc>
      </w:tr>
      <w:tr>
        <w:trPr>
          <w:trHeight w:val="234"/>
        </w:trPr>
        <w:tc>
          <w:tcPr>
            <w:tcW w:w="282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b w:val="1"/>
                <w:bCs w:val="1"/>
                <w:color w:val="auto"/>
              </w:rPr>
              <w:t>Instrument</w:t>
            </w:r>
          </w:p>
        </w:tc>
        <w:tc>
          <w:tcPr>
            <w:tcW w:w="140" w:type="dxa"/>
            <w:vAlign w:val="bottom"/>
          </w:tcPr>
          <w:p>
            <w:pPr>
              <w:spacing w:after="0"/>
              <w:rPr>
                <w:sz w:val="20"/>
                <w:szCs w:val="20"/>
                <w:color w:val="auto"/>
              </w:rPr>
            </w:pPr>
          </w:p>
        </w:tc>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Recognized in Income</w:t>
            </w:r>
          </w:p>
        </w:tc>
        <w:tc>
          <w:tcPr>
            <w:tcW w:w="12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9"/>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40" w:type="dxa"/>
            <w:vAlign w:val="bottom"/>
            <w:shd w:val="clear" w:color="auto" w:fill="CFF0FC"/>
          </w:tcPr>
          <w:p>
            <w:pPr>
              <w:spacing w:after="0"/>
              <w:rPr>
                <w:sz w:val="20"/>
                <w:szCs w:val="20"/>
                <w:color w:val="auto"/>
              </w:rPr>
            </w:pPr>
          </w:p>
        </w:tc>
        <w:tc>
          <w:tcPr>
            <w:tcW w:w="264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Interest and other expenses, net</w:t>
            </w:r>
          </w:p>
        </w:tc>
        <w:tc>
          <w:tcPr>
            <w:tcW w:w="880" w:type="dxa"/>
            <w:vAlign w:val="bottom"/>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5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3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(0.6 )  $</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(4.3 )</w:t>
            </w:r>
          </w:p>
        </w:tc>
      </w:tr>
    </w:tbl>
    <w:p>
      <w:pPr>
        <w:spacing w:after="0" w:line="19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fair value of derivative and non-derivative assets and liabilities on the Consolidated Balance Sheets as of September 30, 2024 and December 31,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80" w:type="dxa"/>
            <w:vAlign w:val="bottom"/>
          </w:tcPr>
          <w:p>
            <w:pPr>
              <w:spacing w:after="0"/>
              <w:rPr>
                <w:sz w:val="21"/>
                <w:szCs w:val="21"/>
                <w:color w:val="auto"/>
              </w:rPr>
            </w:pPr>
          </w:p>
        </w:tc>
        <w:tc>
          <w:tcPr>
            <w:tcW w:w="264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4"/>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r>
      <w:tr>
        <w:trPr>
          <w:trHeight w:val="234"/>
        </w:trPr>
        <w:tc>
          <w:tcPr>
            <w:tcW w:w="49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4980" w:type="dxa"/>
            <w:vAlign w:val="bottom"/>
          </w:tcPr>
          <w:p>
            <w:pPr>
              <w:spacing w:after="0"/>
              <w:rPr>
                <w:sz w:val="21"/>
                <w:szCs w:val="21"/>
                <w:color w:val="auto"/>
              </w:rPr>
            </w:pPr>
          </w:p>
        </w:tc>
        <w:tc>
          <w:tcPr>
            <w:tcW w:w="264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4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3"/>
        </w:trPr>
        <w:tc>
          <w:tcPr>
            <w:tcW w:w="4980" w:type="dxa"/>
            <w:vAlign w:val="bottom"/>
            <w:shd w:val="clear" w:color="auto" w:fill="CFF0FC"/>
          </w:tcPr>
          <w:p>
            <w:pPr>
              <w:jc w:val="right"/>
              <w:ind w:right="1690"/>
              <w:spacing w:after="0"/>
              <w:rPr>
                <w:sz w:val="20"/>
                <w:szCs w:val="20"/>
                <w:color w:val="auto"/>
              </w:rPr>
            </w:pPr>
            <w:r>
              <w:rPr>
                <w:rFonts w:ascii="Times New Roman" w:cs="Times New Roman" w:eastAsia="Times New Roman" w:hAnsi="Times New Roman"/>
                <w:sz w:val="18"/>
                <w:szCs w:val="18"/>
                <w:color w:val="auto"/>
                <w:w w:val="99"/>
              </w:rPr>
              <w:t>Instruments designated as fair value hedges:</w:t>
            </w:r>
          </w:p>
        </w:tc>
        <w:tc>
          <w:tcPr>
            <w:tcW w:w="26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r>
      <w:tr>
        <w:trPr>
          <w:trHeight w:val="239"/>
        </w:trPr>
        <w:tc>
          <w:tcPr>
            <w:tcW w:w="4980" w:type="dxa"/>
            <w:vAlign w:val="bottom"/>
          </w:tcPr>
          <w:p>
            <w:pPr>
              <w:jc w:val="right"/>
              <w:ind w:right="3110"/>
              <w:spacing w:after="0"/>
              <w:rPr>
                <w:sz w:val="20"/>
                <w:szCs w:val="20"/>
                <w:color w:val="auto"/>
              </w:rPr>
            </w:pPr>
            <w:r>
              <w:rPr>
                <w:rFonts w:ascii="Times New Roman" w:cs="Times New Roman" w:eastAsia="Times New Roman" w:hAnsi="Times New Roman"/>
                <w:sz w:val="18"/>
                <w:szCs w:val="18"/>
                <w:color w:val="auto"/>
              </w:rPr>
              <w:t>Cross-currency swaps</w:t>
            </w:r>
          </w:p>
        </w:tc>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31.7</w:t>
            </w:r>
          </w:p>
        </w:tc>
      </w:tr>
      <w:tr>
        <w:trPr>
          <w:trHeight w:val="247"/>
        </w:trPr>
        <w:tc>
          <w:tcPr>
            <w:tcW w:w="4980" w:type="dxa"/>
            <w:vAlign w:val="bottom"/>
            <w:shd w:val="clear" w:color="auto" w:fill="CFF0FC"/>
          </w:tcPr>
          <w:p>
            <w:pPr>
              <w:jc w:val="right"/>
              <w:ind w:right="2130"/>
              <w:spacing w:after="0"/>
              <w:rPr>
                <w:sz w:val="20"/>
                <w:szCs w:val="20"/>
                <w:color w:val="auto"/>
              </w:rPr>
            </w:pPr>
            <w:r>
              <w:rPr>
                <w:rFonts w:ascii="Times New Roman" w:cs="Times New Roman" w:eastAsia="Times New Roman" w:hAnsi="Times New Roman"/>
                <w:sz w:val="18"/>
                <w:szCs w:val="18"/>
                <w:color w:val="auto"/>
              </w:rPr>
              <w:t>Instruments not designated as hedges:</w:t>
            </w:r>
          </w:p>
        </w:tc>
        <w:tc>
          <w:tcPr>
            <w:tcW w:w="26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r>
      <w:tr>
        <w:trPr>
          <w:trHeight w:val="243"/>
        </w:trPr>
        <w:tc>
          <w:tcPr>
            <w:tcW w:w="4980" w:type="dxa"/>
            <w:vAlign w:val="bottom"/>
          </w:tcPr>
          <w:p>
            <w:pPr>
              <w:jc w:val="right"/>
              <w:ind w:right="215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w:t>
            </w:r>
          </w:p>
        </w:tc>
      </w:tr>
      <w:tr>
        <w:trPr>
          <w:trHeight w:val="272"/>
        </w:trPr>
        <w:tc>
          <w:tcPr>
            <w:tcW w:w="4980" w:type="dxa"/>
            <w:vAlign w:val="bottom"/>
            <w:shd w:val="clear" w:color="auto" w:fill="CFF0FC"/>
          </w:tcPr>
          <w:p>
            <w:pPr>
              <w:jc w:val="right"/>
              <w:ind w:right="3250"/>
              <w:spacing w:after="0"/>
              <w:rPr>
                <w:sz w:val="20"/>
                <w:szCs w:val="20"/>
                <w:color w:val="auto"/>
              </w:rPr>
            </w:pPr>
            <w:r>
              <w:rPr>
                <w:rFonts w:ascii="Times New Roman" w:cs="Times New Roman" w:eastAsia="Times New Roman" w:hAnsi="Times New Roman"/>
                <w:sz w:val="18"/>
                <w:szCs w:val="18"/>
                <w:color w:val="auto"/>
              </w:rPr>
              <w:t>Total instruments</w:t>
            </w:r>
          </w:p>
        </w:tc>
        <w:tc>
          <w:tcPr>
            <w:tcW w:w="2640" w:type="dxa"/>
            <w:vAlign w:val="bottom"/>
            <w:shd w:val="clear" w:color="auto" w:fill="CFF0FC"/>
          </w:tcPr>
          <w:p>
            <w:pPr>
              <w:spacing w:after="0"/>
              <w:rPr>
                <w:sz w:val="23"/>
                <w:szCs w:val="23"/>
                <w:color w:val="auto"/>
              </w:rPr>
            </w:pPr>
          </w:p>
        </w:tc>
        <w:tc>
          <w:tcPr>
            <w:tcW w:w="6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38.4</w:t>
            </w:r>
          </w:p>
        </w:tc>
      </w:tr>
      <w:tr>
        <w:trPr>
          <w:trHeight w:val="633"/>
        </w:trPr>
        <w:tc>
          <w:tcPr>
            <w:tcW w:w="4980" w:type="dxa"/>
            <w:vAlign w:val="bottom"/>
            <w:tcBorders>
              <w:top w:val="single" w:sz="8" w:color="CFF0FC"/>
            </w:tcBorders>
          </w:tcPr>
          <w:p>
            <w:pPr>
              <w:spacing w:after="0"/>
              <w:rPr>
                <w:sz w:val="24"/>
                <w:szCs w:val="24"/>
                <w:color w:val="auto"/>
              </w:rPr>
            </w:pPr>
          </w:p>
        </w:tc>
        <w:tc>
          <w:tcPr>
            <w:tcW w:w="2640" w:type="dxa"/>
            <w:vAlign w:val="bottom"/>
            <w:tcBorders>
              <w:top w:val="single" w:sz="8" w:color="CFF0FC"/>
            </w:tcBorders>
          </w:tcPr>
          <w:p>
            <w:pPr>
              <w:jc w:val="right"/>
              <w:ind w:right="1810"/>
              <w:spacing w:after="0"/>
              <w:rPr>
                <w:sz w:val="20"/>
                <w:szCs w:val="20"/>
                <w:color w:val="auto"/>
              </w:rPr>
            </w:pPr>
            <w:r>
              <w:rPr>
                <w:rFonts w:ascii="Times New Roman" w:cs="Times New Roman" w:eastAsia="Times New Roman" w:hAnsi="Times New Roman"/>
                <w:sz w:val="18"/>
                <w:szCs w:val="18"/>
                <w:color w:val="auto"/>
              </w:rPr>
              <w:t>19</w:t>
            </w:r>
          </w:p>
        </w:tc>
        <w:tc>
          <w:tcPr>
            <w:tcW w:w="4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r>
      <w:tr>
        <w:trPr>
          <w:trHeight w:val="763"/>
        </w:trPr>
        <w:tc>
          <w:tcPr>
            <w:tcW w:w="498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-933450</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-916305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45"/>
        </w:trPr>
        <w:tc>
          <w:tcPr>
            <w:tcW w:w="4980" w:type="dxa"/>
            <w:vAlign w:val="bottom"/>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4"/>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r>
      <w:tr>
        <w:trPr>
          <w:trHeight w:val="234"/>
        </w:trPr>
        <w:tc>
          <w:tcPr>
            <w:tcW w:w="49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4980" w:type="dxa"/>
            <w:vAlign w:val="bottom"/>
          </w:tcPr>
          <w:p>
            <w:pPr>
              <w:spacing w:after="0"/>
              <w:rPr>
                <w:sz w:val="21"/>
                <w:szCs w:val="21"/>
                <w:color w:val="auto"/>
              </w:rPr>
            </w:pPr>
          </w:p>
        </w:tc>
        <w:tc>
          <w:tcPr>
            <w:tcW w:w="25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4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3"/>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Instruments designated as net investment hedges:</w:t>
            </w:r>
          </w:p>
        </w:tc>
        <w:tc>
          <w:tcPr>
            <w:tcW w:w="25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r>
      <w:tr>
        <w:trPr>
          <w:trHeight w:val="239"/>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Euro Notes due in 2026</w:t>
            </w:r>
          </w:p>
        </w:tc>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550.0</w:t>
            </w:r>
          </w:p>
        </w:tc>
      </w:tr>
      <w:tr>
        <w:trPr>
          <w:trHeight w:val="247"/>
        </w:trPr>
        <w:tc>
          <w:tcPr>
            <w:tcW w:w="4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Euro Notes due in 2027</w:t>
            </w:r>
          </w:p>
        </w:tc>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4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442.7</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438.2</w:t>
            </w:r>
          </w:p>
        </w:tc>
      </w:tr>
      <w:tr>
        <w:trPr>
          <w:trHeight w:val="239"/>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Cross-currency swaps</w:t>
            </w:r>
          </w:p>
        </w:tc>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73.3</w:t>
            </w:r>
          </w:p>
        </w:tc>
      </w:tr>
      <w:tr>
        <w:trPr>
          <w:trHeight w:val="247"/>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Instruments not designated as hedges:</w:t>
            </w:r>
          </w:p>
        </w:tc>
        <w:tc>
          <w:tcPr>
            <w:tcW w:w="25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r>
      <w:tr>
        <w:trPr>
          <w:trHeight w:val="243"/>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r>
      <w:tr>
        <w:trPr>
          <w:trHeight w:val="272"/>
        </w:trPr>
        <w:tc>
          <w:tcPr>
            <w:tcW w:w="49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instruments</w:t>
            </w:r>
          </w:p>
        </w:tc>
        <w:tc>
          <w:tcPr>
            <w:tcW w:w="2560" w:type="dxa"/>
            <w:vAlign w:val="bottom"/>
            <w:tcBorders>
              <w:bottom w:val="single" w:sz="8" w:color="CFF0FC"/>
            </w:tcBorders>
            <w:shd w:val="clear" w:color="auto" w:fill="CFF0FC"/>
          </w:tcPr>
          <w:p>
            <w:pPr>
              <w:spacing w:after="0"/>
              <w:rPr>
                <w:sz w:val="23"/>
                <w:szCs w:val="23"/>
                <w:color w:val="auto"/>
              </w:rPr>
            </w:pPr>
          </w:p>
        </w:tc>
        <w:tc>
          <w:tcPr>
            <w:tcW w:w="600" w:type="dxa"/>
            <w:vAlign w:val="bottom"/>
            <w:tcBorders>
              <w:bottom w:val="single" w:sz="8" w:color="CFF0FC"/>
            </w:tcBorders>
            <w:gridSpan w:val="2"/>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1,069.7</w:t>
            </w:r>
          </w:p>
        </w:tc>
        <w:tc>
          <w:tcPr>
            <w:tcW w:w="1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1,063.8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2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carrying value of the long-term debt approximates fair value, except for the Euro-denominated notes, because the interest rates are variable and reflect current market rates. The fair value of the Euro-denominated notes, as observable at commonly quoted intervals (Level 2 inputs), was $999.9 and $977.6 as of September 30, 2024 and December 31, 2023, respectively, compared to a carrying value of $998.2 and $988.2, respectively.</w:t>
      </w:r>
    </w:p>
    <w:p>
      <w:pPr>
        <w:spacing w:after="0" w:line="17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Our deferred compensation plan assets, included in other assets on the Consolidated Balance Sheets, were $168.1 and $144.2 as of September 30, 2024 and December 31, 2023, respectively. We determine the fair value of these assets, comprised of publicly traded securities, by using market quotes as of the last day of the period (Level 1 inputs).</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measure the fair value of the foreign currency forward contracts and cross-currency swaps at the value based on either directly or indirectly observable inputs from third parties (Level 2 inputs).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(14) Leases</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tc>
        <w:tc>
          <w:tcPr>
            <w:tcW w:w="3000" w:type="dxa"/>
            <w:vAlign w:val="bottom"/>
            <w:gridSpan w:val="5"/>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0" w:type="dxa"/>
            <w:vAlign w:val="bottom"/>
          </w:tcPr>
          <w:p>
            <w:pPr>
              <w:spacing w:after="0"/>
              <w:rPr>
                <w:sz w:val="24"/>
                <w:szCs w:val="24"/>
                <w:color w:val="auto"/>
              </w:rPr>
            </w:pPr>
          </w:p>
        </w:tc>
        <w:tc>
          <w:tcPr>
            <w:tcW w:w="2920" w:type="dxa"/>
            <w:vAlign w:val="bottom"/>
            <w:gridSpan w:val="5"/>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41"/>
        </w:trPr>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3000" w:type="dxa"/>
            <w:vAlign w:val="bottom"/>
            <w:tcBorders>
              <w:bottom w:val="single" w:sz="8" w:color="auto"/>
            </w:tcBorders>
            <w:gridSpan w:val="5"/>
            <w:vMerge w:val="continue"/>
          </w:tcPr>
          <w:p>
            <w:pPr>
              <w:spacing w:after="0"/>
              <w:rPr>
                <w:sz w:val="20"/>
                <w:szCs w:val="20"/>
                <w:color w:val="auto"/>
              </w:rPr>
            </w:pPr>
          </w:p>
        </w:tc>
        <w:tc>
          <w:tcPr>
            <w:tcW w:w="140" w:type="dxa"/>
            <w:vAlign w:val="bottom"/>
          </w:tcPr>
          <w:p>
            <w:pPr>
              <w:spacing w:after="0"/>
              <w:rPr>
                <w:sz w:val="20"/>
                <w:szCs w:val="20"/>
                <w:color w:val="auto"/>
              </w:rPr>
            </w:pPr>
          </w:p>
        </w:tc>
        <w:tc>
          <w:tcPr>
            <w:tcW w:w="2920" w:type="dxa"/>
            <w:vAlign w:val="bottom"/>
            <w:tcBorders>
              <w:bottom w:val="single" w:sz="8" w:color="auto"/>
            </w:tcBorders>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39"/>
        </w:trPr>
        <w:tc>
          <w:tcPr>
            <w:tcW w:w="51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900" w:type="dxa"/>
            <w:vAlign w:val="bottom"/>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33.8</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35.6</w:t>
            </w:r>
          </w:p>
        </w:tc>
        <w:tc>
          <w:tcPr>
            <w:tcW w:w="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99.1</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106.9</w:t>
            </w:r>
          </w:p>
        </w:tc>
        <w:tc>
          <w:tcPr>
            <w:tcW w:w="0" w:type="dxa"/>
            <w:vAlign w:val="bottom"/>
          </w:tcPr>
          <w:p>
            <w:pPr>
              <w:spacing w:after="0"/>
              <w:rPr>
                <w:sz w:val="1"/>
                <w:szCs w:val="1"/>
                <w:color w:val="auto"/>
              </w:rPr>
            </w:pPr>
          </w:p>
        </w:tc>
      </w:tr>
      <w:tr>
        <w:trPr>
          <w:trHeight w:val="239"/>
        </w:trPr>
        <w:tc>
          <w:tcPr>
            <w:tcW w:w="5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Short-term lease expense</w:t>
            </w:r>
          </w:p>
        </w:tc>
        <w:tc>
          <w:tcPr>
            <w:tcW w:w="900" w:type="dxa"/>
            <w:vAlign w:val="bottom"/>
          </w:tcPr>
          <w:p>
            <w:pPr>
              <w:spacing w:after="0"/>
              <w:rPr>
                <w:sz w:val="20"/>
                <w:szCs w:val="20"/>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47"/>
        </w:trPr>
        <w:tc>
          <w:tcPr>
            <w:tcW w:w="5180" w:type="dxa"/>
            <w:vAlign w:val="bottom"/>
            <w:tcBorders>
              <w:bottom w:val="single" w:sz="8" w:color="CFF0FC"/>
            </w:tcBorders>
            <w:gridSpan w:val="3"/>
            <w:shd w:val="clear" w:color="auto" w:fill="CFF0FC"/>
          </w:tcPr>
          <w:p>
            <w:pPr>
              <w:ind w:left="20"/>
              <w:spacing w:after="0" w:line="248" w:lineRule="exact"/>
              <w:rPr>
                <w:sz w:val="20"/>
                <w:szCs w:val="20"/>
                <w:color w:val="auto"/>
              </w:rPr>
            </w:pPr>
            <w:r>
              <w:rPr>
                <w:rFonts w:ascii="Times New Roman" w:cs="Times New Roman" w:eastAsia="Times New Roman" w:hAnsi="Times New Roman"/>
                <w:sz w:val="18"/>
                <w:szCs w:val="18"/>
                <w:color w:val="auto"/>
              </w:rPr>
              <w:t>Other lease expense</w:t>
            </w:r>
            <w:r>
              <w:rPr>
                <w:rFonts w:ascii="Times New Roman" w:cs="Times New Roman" w:eastAsia="Times New Roman" w:hAnsi="Times New Roman"/>
                <w:sz w:val="24"/>
                <w:szCs w:val="24"/>
                <w:color w:val="auto"/>
                <w:vertAlign w:val="superscript"/>
              </w:rPr>
              <w:t>(a)</w:t>
            </w:r>
          </w:p>
        </w:tc>
        <w:tc>
          <w:tcPr>
            <w:tcW w:w="90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8"/>
        </w:trPr>
        <w:tc>
          <w:tcPr>
            <w:tcW w:w="5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lease expense</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39.7</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39.2</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110.8</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-156845</wp:posOffset>
            </wp:positionV>
            <wp:extent cx="939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-156845</wp:posOffset>
            </wp:positionV>
            <wp:extent cx="8572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-156845</wp:posOffset>
            </wp:positionV>
            <wp:extent cx="8572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5715</wp:posOffset>
            </wp:positionV>
            <wp:extent cx="38487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15" w:lineRule="exact"/>
        <w:rPr>
          <w:sz w:val="20"/>
          <w:szCs w:val="20"/>
          <w:color w:val="auto"/>
        </w:rPr>
      </w:pPr>
    </w:p>
    <w:p>
      <w:pPr>
        <w:ind w:left="480" w:hanging="472"/>
        <w:spacing w:after="0"/>
        <w:tabs>
          <w:tab w:leader="none" w:pos="4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lease expense includes variable lease expense and sublease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-116205</wp:posOffset>
            </wp:positionV>
            <wp:extent cx="38487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Other information related to leases was as follows:</w:t>
            </w:r>
          </w:p>
        </w:tc>
        <w:tc>
          <w:tcPr>
            <w:tcW w:w="240" w:type="dxa"/>
            <w:vAlign w:val="bottom"/>
          </w:tcPr>
          <w:p>
            <w:pPr>
              <w:spacing w:after="0"/>
              <w:rPr>
                <w:sz w:val="20"/>
                <w:szCs w:val="20"/>
                <w:color w:val="auto"/>
              </w:rPr>
            </w:pPr>
          </w:p>
        </w:tc>
        <w:tc>
          <w:tcPr>
            <w:tcW w:w="3860" w:type="dxa"/>
            <w:vAlign w:val="bottom"/>
            <w:gridSpan w:val="4"/>
            <w:vMerge w:val="restart"/>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36"/>
        </w:trPr>
        <w:tc>
          <w:tcPr>
            <w:tcW w:w="7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36"/>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91.3</w:t>
            </w:r>
          </w:p>
        </w:tc>
        <w:tc>
          <w:tcPr>
            <w:tcW w:w="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102.6</w:t>
            </w:r>
          </w:p>
        </w:tc>
        <w:tc>
          <w:tcPr>
            <w:tcW w:w="0" w:type="dxa"/>
            <w:vAlign w:val="bottom"/>
          </w:tcPr>
          <w:p>
            <w:pPr>
              <w:spacing w:after="0"/>
              <w:rPr>
                <w:sz w:val="1"/>
                <w:szCs w:val="1"/>
                <w:color w:val="auto"/>
              </w:rPr>
            </w:pPr>
          </w:p>
        </w:tc>
      </w:tr>
      <w:tr>
        <w:trPr>
          <w:trHeight w:val="234"/>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240" w:type="dxa"/>
            <w:vAlign w:val="bottom"/>
          </w:tcPr>
          <w:p>
            <w:pPr>
              <w:spacing w:after="0"/>
              <w:rPr>
                <w:sz w:val="20"/>
                <w:szCs w:val="20"/>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52.9</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107.2</w:t>
            </w:r>
          </w:p>
        </w:tc>
        <w:tc>
          <w:tcPr>
            <w:tcW w:w="0" w:type="dxa"/>
            <w:vAlign w:val="bottom"/>
          </w:tcPr>
          <w:p>
            <w:pPr>
              <w:spacing w:after="0"/>
              <w:rPr>
                <w:sz w:val="1"/>
                <w:szCs w:val="1"/>
                <w:color w:val="auto"/>
              </w:rPr>
            </w:pPr>
          </w:p>
        </w:tc>
      </w:tr>
      <w:tr>
        <w:trPr>
          <w:trHeight w:val="454"/>
        </w:trPr>
        <w:tc>
          <w:tcPr>
            <w:tcW w:w="7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56"/>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Balance Sheet Information</w:t>
            </w: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36"/>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385.6</w:t>
            </w:r>
          </w:p>
        </w:tc>
        <w:tc>
          <w:tcPr>
            <w:tcW w:w="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414.0</w:t>
            </w:r>
          </w:p>
        </w:tc>
        <w:tc>
          <w:tcPr>
            <w:tcW w:w="0" w:type="dxa"/>
            <w:vAlign w:val="bottom"/>
          </w:tcPr>
          <w:p>
            <w:pPr>
              <w:spacing w:after="0"/>
              <w:rPr>
                <w:sz w:val="1"/>
                <w:szCs w:val="1"/>
                <w:color w:val="auto"/>
              </w:rPr>
            </w:pPr>
          </w:p>
        </w:tc>
      </w:tr>
      <w:tr>
        <w:trPr>
          <w:trHeight w:val="243"/>
        </w:trPr>
        <w:tc>
          <w:tcPr>
            <w:tcW w:w="7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4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Short-term operating lease liability </w:t>
            </w:r>
            <w:r>
              <w:rPr>
                <w:rFonts w:ascii="Times New Roman" w:cs="Times New Roman" w:eastAsia="Times New Roman" w:hAnsi="Times New Roman"/>
                <w:sz w:val="24"/>
                <w:szCs w:val="24"/>
                <w:color w:val="auto"/>
                <w:vertAlign w:val="superscript"/>
              </w:rPr>
              <w:t>(a)</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102.0</w:t>
            </w:r>
          </w:p>
        </w:tc>
        <w:tc>
          <w:tcPr>
            <w:tcW w:w="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100.2</w:t>
            </w:r>
          </w:p>
        </w:tc>
        <w:tc>
          <w:tcPr>
            <w:tcW w:w="0" w:type="dxa"/>
            <w:vAlign w:val="bottom"/>
          </w:tcPr>
          <w:p>
            <w:pPr>
              <w:spacing w:after="0"/>
              <w:rPr>
                <w:sz w:val="1"/>
                <w:szCs w:val="1"/>
                <w:color w:val="auto"/>
              </w:rPr>
            </w:pPr>
          </w:p>
        </w:tc>
      </w:tr>
      <w:tr>
        <w:trPr>
          <w:trHeight w:val="23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299.0</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323.2</w:t>
            </w:r>
          </w:p>
        </w:tc>
        <w:tc>
          <w:tcPr>
            <w:tcW w:w="0" w:type="dxa"/>
            <w:vAlign w:val="bottom"/>
          </w:tcPr>
          <w:p>
            <w:pPr>
              <w:spacing w:after="0"/>
              <w:rPr>
                <w:sz w:val="1"/>
                <w:szCs w:val="1"/>
                <w:color w:val="auto"/>
              </w:rPr>
            </w:pPr>
          </w:p>
        </w:tc>
      </w:tr>
      <w:tr>
        <w:trPr>
          <w:trHeight w:val="236"/>
        </w:trPr>
        <w:tc>
          <w:tcPr>
            <w:tcW w:w="71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401.0</w:t>
            </w:r>
          </w:p>
        </w:tc>
        <w:tc>
          <w:tcPr>
            <w:tcW w:w="2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-8255</wp:posOffset>
            </wp:positionV>
            <wp:extent cx="12890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ind w:left="520" w:hanging="512"/>
        <w:spacing w:after="0"/>
        <w:tabs>
          <w:tab w:leader="none" w:pos="5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Short-term operating lease liability is included in accrued liabilities on our Consolidated Balance Sheets.</w:t>
      </w:r>
    </w:p>
    <w:p>
      <w:pPr>
        <w:spacing w:after="0" w:line="200" w:lineRule="exact"/>
        <w:rPr>
          <w:rFonts w:ascii="Times New Roman" w:cs="Times New Roman" w:eastAsia="Times New Roman" w:hAnsi="Times New Roman"/>
          <w:sz w:val="16"/>
          <w:szCs w:val="16"/>
          <w:color w:val="auto"/>
        </w:rPr>
      </w:pPr>
    </w:p>
    <w:p>
      <w:pPr>
        <w:spacing w:after="0" w:line="232"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0" w:name="page21"/>
    <w:bookmarkEnd w:id="20"/>
    <w:p>
      <w:pPr>
        <w:ind w:left="858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7140" w:type="dxa"/>
            <w:vAlign w:val="bottom"/>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2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1"/>
                <w:szCs w:val="21"/>
                <w:color w:val="auto"/>
              </w:rPr>
            </w:pPr>
          </w:p>
        </w:tc>
      </w:tr>
      <w:tr>
        <w:trPr>
          <w:trHeight w:val="239"/>
        </w:trPr>
        <w:tc>
          <w:tcPr>
            <w:tcW w:w="83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w:t>
            </w:r>
          </w:p>
        </w:tc>
        <w:tc>
          <w:tcPr>
            <w:tcW w:w="5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2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5.4 years</w:t>
            </w: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 years</w:t>
            </w:r>
          </w:p>
        </w:tc>
        <w:tc>
          <w:tcPr>
            <w:tcW w:w="60" w:type="dxa"/>
            <w:vAlign w:val="bottom"/>
          </w:tcPr>
          <w:p>
            <w:pPr>
              <w:spacing w:after="0"/>
              <w:rPr>
                <w:sz w:val="20"/>
                <w:szCs w:val="20"/>
                <w:color w:val="auto"/>
              </w:rPr>
            </w:pPr>
          </w:p>
        </w:tc>
      </w:tr>
      <w:tr>
        <w:trPr>
          <w:trHeight w:val="247"/>
        </w:trPr>
        <w:tc>
          <w:tcPr>
            <w:tcW w:w="83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5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2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4.0 %</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441"/>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Maturities of operating lease liabilities as of September 30, 2024 were as follows:</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3"/>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Period Ending September 30, 2024</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Operating Leases</w:t>
            </w:r>
          </w:p>
        </w:tc>
      </w:tr>
      <w:tr>
        <w:trPr>
          <w:trHeight w:val="243"/>
        </w:trPr>
        <w:tc>
          <w:tcPr>
            <w:tcW w:w="7140" w:type="dxa"/>
            <w:vAlign w:val="bottom"/>
            <w:tcBorders>
              <w:top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1160" w:type="dxa"/>
            <w:vAlign w:val="bottom"/>
            <w:tcBorders>
              <w:top w:val="single" w:sz="8" w:color="auto"/>
            </w:tcBorders>
            <w:shd w:val="clear" w:color="auto" w:fill="CFF0FC"/>
          </w:tcPr>
          <w:p>
            <w:pPr>
              <w:spacing w:after="0"/>
              <w:rPr>
                <w:sz w:val="21"/>
                <w:szCs w:val="21"/>
                <w:color w:val="auto"/>
              </w:rPr>
            </w:pPr>
          </w:p>
        </w:tc>
        <w:tc>
          <w:tcPr>
            <w:tcW w:w="820" w:type="dxa"/>
            <w:vAlign w:val="bottom"/>
            <w:tcBorders>
              <w:top w:val="single" w:sz="8" w:color="auto"/>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FF0FC"/>
          </w:tcPr>
          <w:p>
            <w:pPr>
              <w:spacing w:after="0"/>
              <w:rPr>
                <w:sz w:val="21"/>
                <w:szCs w:val="21"/>
                <w:color w:val="auto"/>
              </w:rPr>
            </w:pPr>
          </w:p>
        </w:tc>
        <w:tc>
          <w:tcPr>
            <w:tcW w:w="20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29.6</w:t>
            </w:r>
          </w:p>
        </w:tc>
        <w:tc>
          <w:tcPr>
            <w:tcW w:w="60" w:type="dxa"/>
            <w:vAlign w:val="bottom"/>
          </w:tcPr>
          <w:p>
            <w:pPr>
              <w:spacing w:after="0"/>
              <w:rPr>
                <w:sz w:val="21"/>
                <w:szCs w:val="21"/>
                <w:color w:val="auto"/>
              </w:rPr>
            </w:pPr>
          </w:p>
        </w:tc>
      </w:tr>
      <w:tr>
        <w:trPr>
          <w:trHeight w:val="239"/>
        </w:trPr>
        <w:tc>
          <w:tcPr>
            <w:tcW w:w="7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2025</w:t>
            </w: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111.5</w:t>
            </w:r>
          </w:p>
        </w:tc>
        <w:tc>
          <w:tcPr>
            <w:tcW w:w="60" w:type="dxa"/>
            <w:vAlign w:val="bottom"/>
          </w:tcPr>
          <w:p>
            <w:pPr>
              <w:spacing w:after="0"/>
              <w:rPr>
                <w:sz w:val="20"/>
                <w:szCs w:val="20"/>
                <w:color w:val="auto"/>
              </w:rPr>
            </w:pPr>
          </w:p>
        </w:tc>
      </w:tr>
      <w:tr>
        <w:trPr>
          <w:trHeight w:val="247"/>
        </w:trPr>
        <w:tc>
          <w:tcPr>
            <w:tcW w:w="71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2026</w:t>
            </w:r>
          </w:p>
        </w:tc>
        <w:tc>
          <w:tcPr>
            <w:tcW w:w="11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87.2</w:t>
            </w:r>
          </w:p>
        </w:tc>
        <w:tc>
          <w:tcPr>
            <w:tcW w:w="60" w:type="dxa"/>
            <w:vAlign w:val="bottom"/>
          </w:tcPr>
          <w:p>
            <w:pPr>
              <w:spacing w:after="0"/>
              <w:rPr>
                <w:sz w:val="21"/>
                <w:szCs w:val="21"/>
                <w:color w:val="auto"/>
              </w:rPr>
            </w:pPr>
          </w:p>
        </w:tc>
      </w:tr>
      <w:tr>
        <w:trPr>
          <w:trHeight w:val="239"/>
        </w:trPr>
        <w:tc>
          <w:tcPr>
            <w:tcW w:w="7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2027</w:t>
            </w: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64.8</w:t>
            </w:r>
          </w:p>
        </w:tc>
        <w:tc>
          <w:tcPr>
            <w:tcW w:w="60" w:type="dxa"/>
            <w:vAlign w:val="bottom"/>
          </w:tcPr>
          <w:p>
            <w:pPr>
              <w:spacing w:after="0"/>
              <w:rPr>
                <w:sz w:val="20"/>
                <w:szCs w:val="20"/>
                <w:color w:val="auto"/>
              </w:rPr>
            </w:pPr>
          </w:p>
        </w:tc>
      </w:tr>
      <w:tr>
        <w:trPr>
          <w:trHeight w:val="247"/>
        </w:trPr>
        <w:tc>
          <w:tcPr>
            <w:tcW w:w="71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2028</w:t>
            </w:r>
          </w:p>
        </w:tc>
        <w:tc>
          <w:tcPr>
            <w:tcW w:w="11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50.1</w:t>
            </w:r>
          </w:p>
        </w:tc>
        <w:tc>
          <w:tcPr>
            <w:tcW w:w="60" w:type="dxa"/>
            <w:vAlign w:val="bottom"/>
          </w:tcPr>
          <w:p>
            <w:pPr>
              <w:spacing w:after="0"/>
              <w:rPr>
                <w:sz w:val="21"/>
                <w:szCs w:val="21"/>
                <w:color w:val="auto"/>
              </w:rPr>
            </w:pPr>
          </w:p>
        </w:tc>
      </w:tr>
      <w:tr>
        <w:trPr>
          <w:trHeight w:val="239"/>
        </w:trPr>
        <w:tc>
          <w:tcPr>
            <w:tcW w:w="7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2029</w:t>
            </w: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36.8</w:t>
            </w:r>
          </w:p>
        </w:tc>
        <w:tc>
          <w:tcPr>
            <w:tcW w:w="60" w:type="dxa"/>
            <w:vAlign w:val="bottom"/>
          </w:tcPr>
          <w:p>
            <w:pPr>
              <w:spacing w:after="0"/>
              <w:rPr>
                <w:sz w:val="20"/>
                <w:szCs w:val="20"/>
                <w:color w:val="auto"/>
              </w:rPr>
            </w:pPr>
          </w:p>
        </w:tc>
      </w:tr>
      <w:tr>
        <w:trPr>
          <w:trHeight w:val="243"/>
        </w:trPr>
        <w:tc>
          <w:tcPr>
            <w:tcW w:w="8300" w:type="dxa"/>
            <w:vAlign w:val="bottom"/>
            <w:tcBorders>
              <w:bottom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4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2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68.7</w:t>
            </w:r>
          </w:p>
        </w:tc>
        <w:tc>
          <w:tcPr>
            <w:tcW w:w="60" w:type="dxa"/>
            <w:vAlign w:val="bottom"/>
          </w:tcPr>
          <w:p>
            <w:pPr>
              <w:spacing w:after="0"/>
              <w:rPr>
                <w:sz w:val="21"/>
                <w:szCs w:val="21"/>
                <w:color w:val="auto"/>
              </w:rPr>
            </w:pPr>
          </w:p>
        </w:tc>
      </w:tr>
      <w:tr>
        <w:trPr>
          <w:trHeight w:val="236"/>
        </w:trPr>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future undiscounted lease payments</w:t>
            </w: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448.7</w:t>
            </w:r>
          </w:p>
        </w:tc>
        <w:tc>
          <w:tcPr>
            <w:tcW w:w="60" w:type="dxa"/>
            <w:vAlign w:val="bottom"/>
          </w:tcPr>
          <w:p>
            <w:pPr>
              <w:spacing w:after="0"/>
              <w:rPr>
                <w:sz w:val="20"/>
                <w:szCs w:val="20"/>
                <w:color w:val="auto"/>
              </w:rPr>
            </w:pPr>
          </w:p>
        </w:tc>
      </w:tr>
      <w:tr>
        <w:trPr>
          <w:trHeight w:val="243"/>
        </w:trPr>
        <w:tc>
          <w:tcPr>
            <w:tcW w:w="8300" w:type="dxa"/>
            <w:vAlign w:val="bottom"/>
            <w:tcBorders>
              <w:bottom w:val="single" w:sz="8" w:color="auto"/>
            </w:tcBorders>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Less imputed interest</w:t>
            </w:r>
          </w:p>
        </w:tc>
        <w:tc>
          <w:tcPr>
            <w:tcW w:w="54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2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(47.7 )</w:t>
            </w:r>
          </w:p>
        </w:tc>
        <w:tc>
          <w:tcPr>
            <w:tcW w:w="60" w:type="dxa"/>
            <w:vAlign w:val="bottom"/>
          </w:tcPr>
          <w:p>
            <w:pPr>
              <w:spacing w:after="0"/>
              <w:rPr>
                <w:sz w:val="21"/>
                <w:szCs w:val="21"/>
                <w:color w:val="auto"/>
              </w:rPr>
            </w:pPr>
          </w:p>
        </w:tc>
      </w:tr>
      <w:tr>
        <w:trPr>
          <w:trHeight w:val="237"/>
        </w:trPr>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401.0</w:t>
            </w:r>
          </w:p>
        </w:tc>
        <w:tc>
          <w:tcPr>
            <w:tcW w:w="60" w:type="dxa"/>
            <w:vAlign w:val="bottom"/>
          </w:tcPr>
          <w:p>
            <w:pPr>
              <w:spacing w:after="0"/>
              <w:rPr>
                <w:sz w:val="20"/>
                <w:szCs w:val="20"/>
                <w:color w:val="auto"/>
              </w:rPr>
            </w:pPr>
          </w:p>
        </w:tc>
      </w:tr>
      <w:tr>
        <w:trPr>
          <w:trHeight w:val="20"/>
        </w:trPr>
        <w:tc>
          <w:tcPr>
            <w:tcW w:w="7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(15) </w:t>
      </w:r>
      <w:r>
        <w:rPr>
          <w:rFonts w:ascii="Times New Roman" w:cs="Times New Roman" w:eastAsia="Times New Roman" w:hAnsi="Times New Roman"/>
          <w:sz w:val="18"/>
          <w:szCs w:val="18"/>
          <w:b w:val="1"/>
          <w:bCs w:val="1"/>
          <w:u w:val="single" w:color="auto"/>
          <w:color w:val="auto"/>
        </w:rPr>
        <w:t>Segment Data</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Effective January 1, 2024, our segment reporting was realigned to include our Puerto Rico business within Other Americas. Accordingly, United States is now adjusted to exclude Puerto Rico. All previously reported results have been restated to conform to the current year presentation.</w:t>
      </w:r>
    </w:p>
    <w:p>
      <w:pPr>
        <w:spacing w:after="0" w:line="162"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7"/>
          <w:szCs w:val="17"/>
          <w:color w:val="auto"/>
        </w:rPr>
        <w:t>We are organized and managed primarily on a geographic basis. Each country and business unit generally has its own distinct operations and management team, providing services under our global brands, and maintains its own financial reports. We have an executive sponsor for each global brand who is responsible for ensuring the integrity and consistency of delivery across the company. Each operation reports directly or indirectly through a regional manager, to a member of executive management. Given this reporting structure, we operate using the following reporting segments: Americas, which includes United States and Other Americas; Southern Europe, which includes France, Italy and Other Southern Europe; Northern Europe; and APME.</w:t>
      </w:r>
    </w:p>
    <w:p>
      <w:pPr>
        <w:spacing w:after="0" w:line="16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segments derive a significant majority of their revenues from our staffing and interim services. The remaining revenues within these segments are derived from our outcome-based solutions and consulting services, permanent recruitment services, and other services. Segment revenues represent sales to external clients. We provide services to a wide variety of clients, none of which individually comprise a significant portion of revenues for us as a whole. Due to the nature of our business, we generally do not have export sales.</w:t>
      </w:r>
    </w:p>
    <w:p>
      <w:pPr>
        <w:spacing w:after="0" w:line="18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95" w:right="27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45"/>
        </w:trPr>
        <w:tc>
          <w:tcPr>
            <w:tcW w:w="5020" w:type="dxa"/>
            <w:vAlign w:val="bottom"/>
          </w:tcPr>
          <w:p>
            <w:pPr>
              <w:spacing w:after="0"/>
              <w:rPr>
                <w:sz w:val="21"/>
                <w:szCs w:val="21"/>
                <w:color w:val="auto"/>
              </w:rPr>
            </w:pPr>
          </w:p>
        </w:tc>
        <w:tc>
          <w:tcPr>
            <w:tcW w:w="3080" w:type="dxa"/>
            <w:vAlign w:val="bottom"/>
            <w:tcBorders>
              <w:bottom w:val="single" w:sz="8" w:color="auto"/>
            </w:tcBorders>
            <w:gridSpan w:val="5"/>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41"/>
        </w:trPr>
        <w:tc>
          <w:tcPr>
            <w:tcW w:w="50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9"/>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 from services:</w:t>
            </w:r>
          </w:p>
        </w:tc>
        <w:tc>
          <w:tcPr>
            <w:tcW w:w="3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r>
      <w:tr>
        <w:trPr>
          <w:trHeight w:val="239"/>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Americas:</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47"/>
        </w:trPr>
        <w:tc>
          <w:tcPr>
            <w:tcW w:w="5020" w:type="dxa"/>
            <w:vAlign w:val="bottom"/>
            <w:shd w:val="clear" w:color="auto" w:fill="CFF0FC"/>
          </w:tcPr>
          <w:p>
            <w:pPr>
              <w:ind w:left="380"/>
              <w:spacing w:after="0" w:line="248" w:lineRule="exact"/>
              <w:rPr>
                <w:sz w:val="20"/>
                <w:szCs w:val="20"/>
                <w:color w:val="auto"/>
              </w:rPr>
            </w:pPr>
            <w:r>
              <w:rPr>
                <w:rFonts w:ascii="Times New Roman" w:cs="Times New Roman" w:eastAsia="Times New Roman" w:hAnsi="Times New Roman"/>
                <w:sz w:val="18"/>
                <w:szCs w:val="18"/>
                <w:color w:val="auto"/>
              </w:rPr>
              <w:t xml:space="preserve">United States </w:t>
            </w:r>
            <w:r>
              <w:rPr>
                <w:rFonts w:ascii="Times New Roman" w:cs="Times New Roman" w:eastAsia="Times New Roman" w:hAnsi="Times New Roman"/>
                <w:sz w:val="24"/>
                <w:szCs w:val="24"/>
                <w:color w:val="auto"/>
                <w:vertAlign w:val="superscript"/>
              </w:rPr>
              <w:t>(a)</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697.4</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730.2</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2,074.8</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2,180.9</w:t>
            </w:r>
          </w:p>
        </w:tc>
      </w:tr>
      <w:tr>
        <w:trPr>
          <w:trHeight w:val="239"/>
        </w:trPr>
        <w:tc>
          <w:tcPr>
            <w:tcW w:w="5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Americas</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353.1</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381.1</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1,076.5</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1,159.3</w:t>
            </w:r>
          </w:p>
        </w:tc>
      </w:tr>
      <w:tr>
        <w:trPr>
          <w:trHeight w:val="237"/>
        </w:trPr>
        <w:tc>
          <w:tcPr>
            <w:tcW w:w="50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1,050.5</w:t>
            </w:r>
          </w:p>
        </w:tc>
        <w:tc>
          <w:tcPr>
            <w:tcW w:w="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1,111.3</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3,151.3</w:t>
            </w: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3,340.2</w:t>
            </w:r>
          </w:p>
        </w:tc>
      </w:tr>
      <w:tr>
        <w:trPr>
          <w:trHeight w:val="237"/>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Southern Europe:</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47"/>
        </w:trPr>
        <w:tc>
          <w:tcPr>
            <w:tcW w:w="5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France</w:t>
            </w: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1,179.7</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1,209.9</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3,483.9</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3,657.4</w:t>
            </w:r>
          </w:p>
        </w:tc>
      </w:tr>
      <w:tr>
        <w:trPr>
          <w:trHeight w:val="239"/>
        </w:trPr>
        <w:tc>
          <w:tcPr>
            <w:tcW w:w="5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Italy</w:t>
            </w:r>
          </w:p>
        </w:tc>
        <w:tc>
          <w:tcPr>
            <w:tcW w:w="30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419.1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413.7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1,258.3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1,293.7</w:t>
            </w:r>
          </w:p>
        </w:tc>
      </w:tr>
      <w:tr>
        <w:trPr>
          <w:trHeight w:val="243"/>
        </w:trPr>
        <w:tc>
          <w:tcPr>
            <w:tcW w:w="50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Southern Europe</w:t>
            </w:r>
          </w:p>
        </w:tc>
        <w:tc>
          <w:tcPr>
            <w:tcW w:w="3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496.8</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485.1</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1,432.7</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1,452.4</w:t>
            </w:r>
          </w:p>
        </w:tc>
      </w:tr>
      <w:tr>
        <w:trPr>
          <w:trHeight w:val="237"/>
        </w:trPr>
        <w:tc>
          <w:tcPr>
            <w:tcW w:w="50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2,095.6</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2,108.7</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6,174.9</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6,403.5</w:t>
            </w:r>
          </w:p>
        </w:tc>
      </w:tr>
      <w:tr>
        <w:trPr>
          <w:trHeight w:val="241"/>
        </w:trPr>
        <w:tc>
          <w:tcPr>
            <w:tcW w:w="50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r>
      <w:tr>
        <w:trPr>
          <w:trHeight w:val="239"/>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Northern Europe</w:t>
            </w:r>
          </w:p>
        </w:tc>
        <w:tc>
          <w:tcPr>
            <w:tcW w:w="30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828.3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914.2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2,535.9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2,834.3</w:t>
            </w:r>
          </w:p>
        </w:tc>
      </w:tr>
      <w:tr>
        <w:trPr>
          <w:trHeight w:val="243"/>
        </w:trPr>
        <w:tc>
          <w:tcPr>
            <w:tcW w:w="50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APME</w:t>
            </w:r>
          </w:p>
        </w:tc>
        <w:tc>
          <w:tcPr>
            <w:tcW w:w="3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562.8</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564.8</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1,639.3</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1,770.1</w:t>
            </w:r>
          </w:p>
        </w:tc>
      </w:tr>
      <w:tr>
        <w:trPr>
          <w:trHeight w:val="237"/>
        </w:trPr>
        <w:tc>
          <w:tcPr>
            <w:tcW w:w="50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4,537.2</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4,699.0</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13,501.4</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14,348.1</w:t>
            </w:r>
          </w:p>
        </w:tc>
      </w:tr>
      <w:tr>
        <w:trPr>
          <w:trHeight w:val="236"/>
        </w:trPr>
        <w:tc>
          <w:tcPr>
            <w:tcW w:w="50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Intercompany Eliminations</w:t>
            </w:r>
          </w:p>
        </w:tc>
        <w:tc>
          <w:tcPr>
            <w:tcW w:w="30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(47.2 )</w:t>
            </w: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(64.1 )</w:t>
            </w:r>
          </w:p>
        </w:tc>
      </w:tr>
      <w:tr>
        <w:trPr>
          <w:trHeight w:val="241"/>
        </w:trPr>
        <w:tc>
          <w:tcPr>
            <w:tcW w:w="5020" w:type="dxa"/>
            <w:vAlign w:val="bottom"/>
          </w:tcPr>
          <w:p>
            <w:pPr>
              <w:ind w:left="200"/>
              <w:spacing w:after="0" w:line="241" w:lineRule="exact"/>
              <w:rPr>
                <w:sz w:val="20"/>
                <w:szCs w:val="20"/>
                <w:color w:val="auto"/>
              </w:rPr>
            </w:pPr>
            <w:r>
              <w:rPr>
                <w:rFonts w:ascii="Times New Roman" w:cs="Times New Roman" w:eastAsia="Times New Roman" w:hAnsi="Times New Roman"/>
                <w:sz w:val="18"/>
                <w:szCs w:val="18"/>
                <w:color w:val="auto"/>
              </w:rPr>
              <w:t xml:space="preserve">Consolidated </w:t>
            </w:r>
            <w:r>
              <w:rPr>
                <w:rFonts w:ascii="Times New Roman" w:cs="Times New Roman" w:eastAsia="Times New Roman" w:hAnsi="Times New Roman"/>
                <w:sz w:val="24"/>
                <w:szCs w:val="24"/>
                <w:color w:val="auto"/>
                <w:vertAlign w:val="superscript"/>
              </w:rPr>
              <w:t>(b)</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4,530.2</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4,675.6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13,454.2</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14,284.0</w:t>
            </w:r>
          </w:p>
        </w:tc>
      </w:tr>
      <w:tr>
        <w:trPr>
          <w:trHeight w:val="20"/>
        </w:trPr>
        <w:tc>
          <w:tcPr>
            <w:tcW w:w="50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5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r>
      <w:tr>
        <w:trPr>
          <w:trHeight w:val="243"/>
        </w:trPr>
        <w:tc>
          <w:tcPr>
            <w:tcW w:w="50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Operating unit profit: </w:t>
            </w:r>
            <w:r>
              <w:rPr>
                <w:rFonts w:ascii="Times New Roman" w:cs="Times New Roman" w:eastAsia="Times New Roman" w:hAnsi="Times New Roman"/>
                <w:sz w:val="24"/>
                <w:szCs w:val="24"/>
                <w:color w:val="auto"/>
                <w:vertAlign w:val="superscript"/>
              </w:rPr>
              <w:t>(c)</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5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Americas:</w:t>
            </w: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r>
      <w:tr>
        <w:trPr>
          <w:trHeight w:val="239"/>
        </w:trPr>
        <w:tc>
          <w:tcPr>
            <w:tcW w:w="5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22.3</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61.7</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77.6</w:t>
            </w:r>
          </w:p>
        </w:tc>
      </w:tr>
      <w:tr>
        <w:trPr>
          <w:trHeight w:val="243"/>
        </w:trPr>
        <w:tc>
          <w:tcPr>
            <w:tcW w:w="50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Americas</w:t>
            </w:r>
          </w:p>
        </w:tc>
        <w:tc>
          <w:tcPr>
            <w:tcW w:w="3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52.1</w:t>
            </w:r>
          </w:p>
        </w:tc>
      </w:tr>
      <w:tr>
        <w:trPr>
          <w:trHeight w:val="237"/>
        </w:trPr>
        <w:tc>
          <w:tcPr>
            <w:tcW w:w="50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129.7</w:t>
            </w:r>
          </w:p>
        </w:tc>
      </w:tr>
      <w:tr>
        <w:trPr>
          <w:trHeight w:val="241"/>
        </w:trPr>
        <w:tc>
          <w:tcPr>
            <w:tcW w:w="5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Southern Europe:</w:t>
            </w:r>
          </w:p>
        </w:tc>
        <w:tc>
          <w:tcPr>
            <w:tcW w:w="3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r>
      <w:tr>
        <w:trPr>
          <w:trHeight w:val="239"/>
        </w:trPr>
        <w:tc>
          <w:tcPr>
            <w:tcW w:w="5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France</w:t>
            </w:r>
          </w:p>
        </w:tc>
        <w:tc>
          <w:tcPr>
            <w:tcW w:w="30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142.3</w:t>
            </w:r>
          </w:p>
        </w:tc>
      </w:tr>
      <w:tr>
        <w:trPr>
          <w:trHeight w:val="247"/>
        </w:trPr>
        <w:tc>
          <w:tcPr>
            <w:tcW w:w="5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Italy</w:t>
            </w: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94.0</w:t>
            </w:r>
          </w:p>
        </w:tc>
      </w:tr>
      <w:tr>
        <w:trPr>
          <w:trHeight w:val="239"/>
        </w:trPr>
        <w:tc>
          <w:tcPr>
            <w:tcW w:w="5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Southern Europe</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30.6</w:t>
            </w:r>
          </w:p>
        </w:tc>
      </w:tr>
      <w:tr>
        <w:trPr>
          <w:trHeight w:val="237"/>
        </w:trPr>
        <w:tc>
          <w:tcPr>
            <w:tcW w:w="50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75.8</w:t>
            </w:r>
          </w:p>
        </w:tc>
        <w:tc>
          <w:tcPr>
            <w:tcW w:w="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228.9</w:t>
            </w: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266.9</w:t>
            </w:r>
          </w:p>
        </w:tc>
      </w:tr>
      <w:tr>
        <w:trPr>
          <w:trHeight w:val="241"/>
        </w:trPr>
        <w:tc>
          <w:tcPr>
            <w:tcW w:w="5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43"/>
        </w:trPr>
        <w:tc>
          <w:tcPr>
            <w:tcW w:w="5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Northern Europe</w:t>
            </w: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(25.7 )</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(30.6 )</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(28.1 )</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(35.3 )</w:t>
            </w:r>
          </w:p>
        </w:tc>
      </w:tr>
      <w:tr>
        <w:trPr>
          <w:trHeight w:val="239"/>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APME</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71.0</w:t>
            </w:r>
          </w:p>
        </w:tc>
      </w:tr>
      <w:tr>
        <w:trPr>
          <w:trHeight w:val="237"/>
        </w:trPr>
        <w:tc>
          <w:tcPr>
            <w:tcW w:w="50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109.2</w:t>
            </w:r>
          </w:p>
        </w:tc>
        <w:tc>
          <w:tcPr>
            <w:tcW w:w="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376.0</w:t>
            </w: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432.3</w:t>
            </w:r>
          </w:p>
        </w:tc>
      </w:tr>
      <w:tr>
        <w:trPr>
          <w:trHeight w:val="23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expenses</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(110.8 )</w:t>
            </w:r>
          </w:p>
        </w:tc>
      </w:tr>
      <w:tr>
        <w:trPr>
          <w:trHeight w:val="243"/>
        </w:trPr>
        <w:tc>
          <w:tcPr>
            <w:tcW w:w="5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3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(26.2 )</w:t>
            </w:r>
          </w:p>
        </w:tc>
      </w:tr>
      <w:tr>
        <w:trPr>
          <w:trHeight w:val="236"/>
        </w:trPr>
        <w:tc>
          <w:tcPr>
            <w:tcW w:w="5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Operating profit</w:t>
            </w:r>
          </w:p>
        </w:tc>
        <w:tc>
          <w:tcPr>
            <w:tcW w:w="30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237.8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295.3</w:t>
            </w:r>
          </w:p>
        </w:tc>
      </w:tr>
      <w:tr>
        <w:trPr>
          <w:trHeight w:val="243"/>
        </w:trPr>
        <w:tc>
          <w:tcPr>
            <w:tcW w:w="5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and other expenses, net</w:t>
            </w:r>
          </w:p>
        </w:tc>
        <w:tc>
          <w:tcPr>
            <w:tcW w:w="3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(28.7 )</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(34.4 )</w:t>
            </w:r>
          </w:p>
        </w:tc>
      </w:tr>
      <w:tr>
        <w:trPr>
          <w:trHeight w:val="232"/>
        </w:trPr>
        <w:tc>
          <w:tcPr>
            <w:tcW w:w="5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59.2</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209.1</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-4923155</wp:posOffset>
            </wp:positionV>
            <wp:extent cx="768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-4923155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-4923155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-4297045</wp:posOffset>
            </wp:positionV>
            <wp:extent cx="768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-4297045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-4297045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-3662680</wp:posOffset>
            </wp:positionV>
            <wp:extent cx="7683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-3662680</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-3662680</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-3336925</wp:posOffset>
            </wp:positionV>
            <wp:extent cx="768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-3336925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-3336925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-2376805</wp:posOffset>
            </wp:positionV>
            <wp:extent cx="768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-2376805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-2376805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-1425575</wp:posOffset>
            </wp:positionV>
            <wp:extent cx="768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-1425575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-1425575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-791210</wp:posOffset>
            </wp:positionV>
            <wp:extent cx="7683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-791210</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-791210</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-473710</wp:posOffset>
            </wp:positionV>
            <wp:extent cx="768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-473710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-473710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-156845</wp:posOffset>
            </wp:positionV>
            <wp:extent cx="768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-156845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-156845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5715</wp:posOffset>
            </wp:positionV>
            <wp:extent cx="395160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951605" cy="8890"/>
                    </a:xfrm>
                    <a:prstGeom prst="rect">
                      <a:avLst/>
                    </a:prstGeom>
                    <a:noFill/>
                  </pic:spPr>
                </pic:pic>
              </a:graphicData>
            </a:graphic>
          </wp:anchor>
        </w:drawing>
      </w:r>
    </w:p>
    <w:p>
      <w:pPr>
        <w:spacing w:after="0" w:line="15" w:lineRule="exact"/>
        <w:rPr>
          <w:sz w:val="20"/>
          <w:szCs w:val="20"/>
          <w:color w:val="auto"/>
        </w:rPr>
      </w:pPr>
    </w:p>
    <w:p>
      <w:pPr>
        <w:ind w:left="520" w:hanging="512"/>
        <w:spacing w:after="0"/>
        <w:tabs>
          <w:tab w:leader="none" w:pos="5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United States, revenues from services included fees received from the related franchise offices of $2.5 and $3.1 for the three months ended September 30,</w:t>
      </w:r>
    </w:p>
    <w:p>
      <w:pPr>
        <w:spacing w:after="0" w:line="26" w:lineRule="exact"/>
        <w:rPr>
          <w:rFonts w:ascii="Times New Roman" w:cs="Times New Roman" w:eastAsia="Times New Roman" w:hAnsi="Times New Roman"/>
          <w:sz w:val="16"/>
          <w:szCs w:val="16"/>
          <w:color w:val="auto"/>
        </w:rPr>
      </w:pPr>
    </w:p>
    <w:p>
      <w:pPr>
        <w:jc w:val="both"/>
        <w:ind w:left="520" w:right="220"/>
        <w:spacing w:after="0" w:line="26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2024 and 2023, respectively, and $8.1 and $8.9 for the nine months ended September 30, 2024 and 2023, respectively. These fees are primarily based on revenues generated by the franchise offices, which were $91.2 and $98.6 for the three months ended September 30, 2024 and 2023, respectively, and $278.4 and $298.7 for the nine months ended September 30, 2024 and 2023, respectively.</w:t>
      </w:r>
    </w:p>
    <w:p>
      <w:pPr>
        <w:ind w:left="520" w:hanging="512"/>
        <w:spacing w:after="0" w:line="264" w:lineRule="auto"/>
        <w:tabs>
          <w:tab w:leader="none" w:pos="5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consolidated revenues from services include fees received from our franchise offices of $3.3 and $3.8 for the three months ended September 30, 2024 and 2023, respectively, and $10.6 and $11.0 for the nine months ended September 30, 2024 and 2023, respectively. These fees are primarily based on revenues generated by the franchise offices, which were $282.5 and $243.5 for the three months ended September 30, 2024 and 2023, respectively, and $847.4 and $744.3 for the nine months ended September 30, 2024 and 2023, respectively.</w:t>
      </w:r>
    </w:p>
    <w:p>
      <w:pPr>
        <w:ind w:left="520" w:right="560" w:hanging="512"/>
        <w:spacing w:after="0" w:line="276" w:lineRule="auto"/>
        <w:tabs>
          <w:tab w:leader="none" w:pos="5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evaluate segment performance based on operating unit profit (“OUP”), which is equal to segment revenues less cost of services and branch and national headquarters operating costs. This profit measure does not include goodwill and intangible asset impairment charges or amortization of intangibles related to acquisitions, corporate expenses, interest and other expense amounts 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-1435735</wp:posOffset>
            </wp:positionV>
            <wp:extent cx="395160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Results of Operations</w:t>
      </w:r>
    </w:p>
    <w:p>
      <w:pPr>
        <w:spacing w:after="0" w:line="18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See the financial measures section on page 35 for further information on the Non-GAAP financial measures of constant currency and organic constant currency.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Forward-Looking Statements</w:t>
      </w:r>
    </w:p>
    <w:p>
      <w:pPr>
        <w:spacing w:after="0" w:line="18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and Section 21E of the Exchange Act of 1934, as amended, (each a "forward-looking statement"). Statements made in this quarterly report that are not statements of historical fact are forward-looking statements. In addition, from time to time, we and our representatives may make statements that are forward-looking. Forward-looking statements are based on management’s current assumptions and expectations and are subject to risks and uncertainties that are beyond our control and may cause actual results to differ materially from those contained in the forward-looking statements. Forward-looking statements can be identified by words such as “expect,” “anticipate,” “intend,” “plan,” “may,” “believe,” “seek,” “estimate,” and other similar expressions. Important factors that could cause our actual results to differ materially from those contained in the forward-looking statements include, among others, the risk factors discussed in Item 1A – Risk Factors in our annual report on Form 10-K for the year-ended December 31, 2023, which information is incorporated herein by reference. Such risks and uncertainties include, but are not limited to, volatile, negative or uncertain economic conditions, particularly in Europe, including inflation, geopolitical risk and uncertainty; changes in labor and tax legislation in places we do business; failure to implement strategic transformation initiatives and technology investments; and other factors that may be disclosed from time to time in our SEC filings or otherwise. We caution that any forward-looking statement reflects only our belief at the time the statement is made. We undertake no obligation to update any forward-looking statements to reflect subsequent events or circumstances.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Overview</w:t>
      </w:r>
    </w:p>
    <w:p>
      <w:pPr>
        <w:spacing w:after="0" w:line="19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business is cyclical in nature and is sensitive to macroeconomic conditions generally. Client demand for workforce solutions and services is dependent on the overall strength of the labor market and secular trends toward greater workforce flexibility within each of the segments where we operate. Improving economic growth typically results in increasing demand for labor, resulting in greater demand for our staffing services while demand for our outplacement services typically declines. During periods of decreased demand, as we continued to experience in the third quarter of 2024, our operating profit is generally impacted unfavorably as we experience a deleveraging of selling and administrative expenses, which may not decline at the same pace as revenues. By contrast, during periods of increased demand, we are generally able to improve our profitability and operating leverage as our cost base can support some increase in business without a similar increase in selling and administrative expenses.</w:t>
      </w:r>
    </w:p>
    <w:p>
      <w:pPr>
        <w:spacing w:after="0" w:line="14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third quarter of 2024, we continued to observe decreased demand for staffing services and permanent recruitment services primarily due to continued economic uncertainty, and we expect this trend to continue. The economic uncertainty is particularly high in Europe and the United States. Inflation has eased in Europe and the United States resulting in both markets reducing interest rates during the quarter. However, employers are continuing their cautious approach with many employers retaining their current workforce, delaying hiring decisions or reducing their demand for contingent labor as they remain focused on managing the macro-economic and geopolitical challenges impacting their businesses. Many employers are still hesitant to increase their spend and expand their workforce until they perceive a significant improvement in economic outlook. As a result of these factors, we expect the business environment will continue to be challenging, which could further negatively impact our operations in future periods.</w:t>
      </w:r>
    </w:p>
    <w:p>
      <w:pPr>
        <w:spacing w:after="0" w:line="14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the third quarter of 2024, the United States dollar was generally stable, on average, relative to the currencies in most of our markets, and overall had a slight unfavorable impact on our reported results. The changes in the foreign currency exchange rates had a -1.3% unfavorable impact on revenues from services and an approximately $0.03 per share unfavorable impact on net earnings per share – diluted in the quarter. Substantially all of our subsidiaries derive revenues from services and incur expenses within the same local currency and generally do not have cross-currency transactions, and therefore, changes in foreign currency exchange rates primarily impact reported earnings and not our actual cash flow unless earnings are repatriated. To understand the performance of our underlying business, we utilize constant currency or organic constant currency variances for our consolidated and segment results.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3" w:name="page24"/>
    <w:bookmarkEnd w:id="23"/>
    <w:p>
      <w:pPr>
        <w:ind w:right="80"/>
        <w:spacing w:after="0" w:line="253" w:lineRule="auto"/>
        <w:rPr>
          <w:sz w:val="20"/>
          <w:szCs w:val="20"/>
          <w:color w:val="auto"/>
        </w:rPr>
      </w:pPr>
      <w:r>
        <w:rPr>
          <w:rFonts w:ascii="Times New Roman" w:cs="Times New Roman" w:eastAsia="Times New Roman" w:hAnsi="Times New Roman"/>
          <w:sz w:val="18"/>
          <w:szCs w:val="18"/>
          <w:color w:val="auto"/>
        </w:rPr>
        <w:t>During the third quarter of 2024 compared to the third quarter of 2023, we experienced a -5.5% revenue decrease in the Americas, primarily driven by the unfavorable impact of currency exchange rates and decreased demand for our Experis interim services, partially offset by increased demand for our Manpower staffing services and increased demand for Talent Based Outsourcing (TBO). During the third quarter of 2024 compared to the third quarter of 2023, we experienced a -0.6% revenue decrease in Southern Europe, primarily due to decreased demand for our Manpower staffing services and decreased demand for our permanent recruitment services, partially offset by the favorable impact of currency exchange rates and increased demand for our Talent Solutions outplacement services. During the third quarter of 2024 compared to the third quarter of 2023, we experienced a -9.4% revenue decrease in Northern Europe, primarily due to a decreased demand for our Manpower and Experis staffing/interim services, decreased demand for our Experis Solutions services, and decreased demand for our permanent recruitment services, partially offset by the favorable impact of currency exchange rates and increased demand for our Talent Solutions outplacement services. We experienced a -0.3% revenue decrease in APME in the third quarter of 2024 compared to the third quarter of 2023 primarily due to the unfavorable impact of currency exchange rates and decreased demand for TBO and decreased demand for our permanent recruitment services, partially offset by increased demand for our Manpower staffing services.</w:t>
      </w:r>
    </w:p>
    <w:p>
      <w:pPr>
        <w:spacing w:after="0" w:line="16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From a brand perspective, we experienced revenue decreases in Manpower and Experis and a revenue increase in Talent Solutions in the third quarter of 2024 compared to the third quarter of 2023. In our Manpower brand, the revenue decrease was primarily due to decreased demand for staffing services and our permanent recruitment services. The revenue decrease in our Experis brand was primarily due to decreased demand for interim services, our Experis Solutions services and our permanent recruitment services. On an overall basis, the revenue increase in our Talent Solutions brand, which includes RPO, MSP and our Right Management offerings, was primarily due an increase in demand for our Right Management outplacement services and our MSP business, partially offset by decreased demand for our RPO permanent recruitment offerings.</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third quarter of 2024, our gross profit margin decreased 30 basis points compared to the third quarter of 2023, primarily due to declines in our higher-margin permanent recruitment business and mix shifts and lower volumes in our staffing/interim businesses, partially offset by growth in our higher-margin Talent Solutions outplacement business.</w:t>
      </w:r>
    </w:p>
    <w:p>
      <w:pPr>
        <w:spacing w:after="0" w:line="13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operating profit increased 1.5% in the third quarter of 2024 while our operating profit margin increased 10 basis points compared to the third quarter of 2023. Operating profit increased primarily due to a reduction in selling and administrative expenses as a percent of revenue, a reduction in corporate expense related to incentives and certain other health plan trends, and lower restructuring charges.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auto"/>
        </w:rPr>
        <w:t>Operating Results - Three Months Ended September 30, 2024 and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consolidated financial data for the three months ended September 30, 2024 as compared to 2023.</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8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Constant</w:t>
            </w:r>
          </w:p>
        </w:tc>
        <w:tc>
          <w:tcPr>
            <w:tcW w:w="100" w:type="dxa"/>
            <w:vAlign w:val="bottom"/>
          </w:tcPr>
          <w:p>
            <w:pPr>
              <w:spacing w:after="0"/>
              <w:rPr>
                <w:sz w:val="21"/>
                <w:szCs w:val="21"/>
                <w:color w:val="auto"/>
              </w:rPr>
            </w:pPr>
          </w:p>
        </w:tc>
      </w:tr>
      <w:tr>
        <w:trPr>
          <w:trHeight w:val="216"/>
        </w:trPr>
        <w:tc>
          <w:tcPr>
            <w:tcW w:w="5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Currency</w:t>
            </w:r>
          </w:p>
        </w:tc>
      </w:tr>
      <w:tr>
        <w:trPr>
          <w:trHeight w:val="245"/>
        </w:trPr>
        <w:tc>
          <w:tcPr>
            <w:tcW w:w="5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12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120" w:type="dxa"/>
            <w:vAlign w:val="bottom"/>
          </w:tcPr>
          <w:p>
            <w:pPr>
              <w:spacing w:after="0"/>
              <w:rPr>
                <w:sz w:val="21"/>
                <w:szCs w:val="21"/>
                <w:color w:val="auto"/>
              </w:rPr>
            </w:pPr>
          </w:p>
        </w:tc>
        <w:tc>
          <w:tcPr>
            <w:tcW w:w="13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100" w:type="dxa"/>
            <w:vAlign w:val="bottom"/>
          </w:tcPr>
          <w:p>
            <w:pPr>
              <w:spacing w:after="0"/>
              <w:rPr>
                <w:sz w:val="21"/>
                <w:szCs w:val="21"/>
                <w:color w:val="auto"/>
              </w:rPr>
            </w:pPr>
          </w:p>
        </w:tc>
      </w:tr>
      <w:tr>
        <w:trPr>
          <w:trHeight w:val="234"/>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from services</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4,530.2</w:t>
            </w:r>
          </w:p>
        </w:tc>
        <w:tc>
          <w:tcPr>
            <w:tcW w:w="1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4,675.6</w:t>
            </w:r>
          </w:p>
        </w:tc>
        <w:tc>
          <w:tcPr>
            <w:tcW w:w="10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(3.1 )%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(1.8 )%</w:t>
            </w:r>
          </w:p>
        </w:tc>
      </w:tr>
      <w:tr>
        <w:trPr>
          <w:trHeight w:val="24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3,748.1</w:t>
            </w: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3,853.7</w:t>
            </w:r>
          </w:p>
        </w:tc>
        <w:tc>
          <w:tcPr>
            <w:tcW w:w="100" w:type="dxa"/>
            <w:vAlign w:val="bottom"/>
          </w:tcPr>
          <w:p>
            <w:pPr>
              <w:spacing w:after="0"/>
              <w:rPr>
                <w:sz w:val="21"/>
                <w:szCs w:val="21"/>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(2.7 )%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(1.5 )%</w:t>
            </w:r>
          </w:p>
        </w:tc>
      </w:tr>
      <w:tr>
        <w:trPr>
          <w:trHeight w:val="234"/>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782.1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821.9</w:t>
            </w:r>
          </w:p>
        </w:tc>
        <w:tc>
          <w:tcPr>
            <w:tcW w:w="10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(4.8 )%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(3.7 )%</w:t>
            </w:r>
          </w:p>
        </w:tc>
      </w:tr>
      <w:tr>
        <w:trPr>
          <w:trHeight w:val="238"/>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Gross profit margin</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17.3 %</w:t>
            </w:r>
          </w:p>
        </w:tc>
        <w:tc>
          <w:tcPr>
            <w:tcW w:w="2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17.6 %</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711.3</w:t>
            </w: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752.1</w:t>
            </w:r>
          </w:p>
        </w:tc>
        <w:tc>
          <w:tcPr>
            <w:tcW w:w="100" w:type="dxa"/>
            <w:vAlign w:val="bottom"/>
          </w:tcPr>
          <w:p>
            <w:pPr>
              <w:spacing w:after="0"/>
              <w:rPr>
                <w:sz w:val="21"/>
                <w:szCs w:val="21"/>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(5.4 )%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(4.4 )%</w:t>
            </w:r>
          </w:p>
        </w:tc>
      </w:tr>
      <w:tr>
        <w:trPr>
          <w:trHeight w:val="238"/>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profit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70.8</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Pr>
          <w:p>
            <w:pPr>
              <w:spacing w:after="0"/>
              <w:rPr>
                <w:sz w:val="20"/>
                <w:szCs w:val="20"/>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1.5 %</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4.5 %</w:t>
            </w:r>
          </w:p>
        </w:tc>
      </w:tr>
      <w:tr>
        <w:trPr>
          <w:trHeight w:val="247"/>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Operating profit margin</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1.6 %</w:t>
            </w:r>
          </w:p>
        </w:tc>
        <w:tc>
          <w:tcPr>
            <w:tcW w:w="2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1.5 %</w:t>
            </w:r>
          </w:p>
        </w:tc>
        <w:tc>
          <w:tcPr>
            <w:tcW w:w="1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expenses, net</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(23.3 )%</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4"/>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59.2</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Pr>
          <w:p>
            <w:pPr>
              <w:spacing w:after="0"/>
              <w:rPr>
                <w:sz w:val="20"/>
                <w:szCs w:val="20"/>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8.3 %</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6.4 %</w:t>
            </w:r>
          </w:p>
        </w:tc>
      </w:tr>
      <w:tr>
        <w:trPr>
          <w:trHeight w:val="245"/>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36.4</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21"/>
                <w:szCs w:val="21"/>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49.2 %</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Effective income tax rate</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61.5 %</w:t>
            </w:r>
          </w:p>
        </w:tc>
        <w:tc>
          <w:tcPr>
            <w:tcW w:w="2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44.6 %</w:t>
            </w:r>
          </w:p>
        </w:tc>
        <w:tc>
          <w:tcPr>
            <w:tcW w:w="1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58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2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0"/>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earnings</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22.8</w:t>
            </w:r>
          </w:p>
        </w:tc>
        <w:tc>
          <w:tcPr>
            <w:tcW w:w="14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(24.7 )%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(26.1 )%</w:t>
            </w:r>
          </w:p>
        </w:tc>
      </w:tr>
      <w:tr>
        <w:trPr>
          <w:trHeight w:val="20"/>
        </w:trPr>
        <w:tc>
          <w:tcPr>
            <w:tcW w:w="5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per share – diluted</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0.47</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(21.6 )%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(23.0 )%</w:t>
            </w:r>
          </w:p>
        </w:tc>
      </w:tr>
      <w:tr>
        <w:trPr>
          <w:trHeight w:val="20"/>
        </w:trPr>
        <w:tc>
          <w:tcPr>
            <w:tcW w:w="5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48.1</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(4.0 )%</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-2271395</wp:posOffset>
            </wp:positionV>
            <wp:extent cx="7132320" cy="1543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-1953895</wp:posOffset>
            </wp:positionV>
            <wp:extent cx="7132320" cy="1543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-1010920</wp:posOffset>
            </wp:positionV>
            <wp:extent cx="7132320" cy="1543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-1645285</wp:posOffset>
            </wp:positionV>
            <wp:extent cx="7132320" cy="1625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-548005</wp:posOffset>
            </wp:positionV>
            <wp:extent cx="768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-548005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-359410</wp:posOffset>
            </wp:positionV>
            <wp:extent cx="7132320" cy="1797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year-over-year decrease in revenues from services of -3.1% (-1.8% in constant currency and -1.7% in organic constant currency) was attributed to:</w:t>
      </w:r>
    </w:p>
    <w:p>
      <w:pPr>
        <w:spacing w:after="0" w:line="185" w:lineRule="exact"/>
        <w:rPr>
          <w:sz w:val="20"/>
          <w:szCs w:val="20"/>
          <w:color w:val="auto"/>
        </w:rPr>
      </w:pPr>
    </w:p>
    <w:p>
      <w:pPr>
        <w:ind w:left="760" w:right="140" w:hanging="378"/>
        <w:spacing w:after="0" w:line="261"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revenue decrease in the Americas of -5.5% (increase of 1.5% in constant currency) primarily driven by the $77.8 million unfavorable impact of currency exchange rates and a $45.8 million decrease in demand for our Experis interim services, partially offset by a $66.0 million increase in demand for our Manpower staffing services and a $7.7 million increase in demand for TBO. The United States, our largest market in the Americas, experienced a revenue decrease of -4.5% primarily driven by a $33.4 million decrease in demand for our Experis interim services;</w:t>
      </w:r>
    </w:p>
    <w:p>
      <w:pPr>
        <w:spacing w:after="0" w:line="139" w:lineRule="exact"/>
        <w:rPr>
          <w:rFonts w:ascii="Times New Roman" w:cs="Times New Roman" w:eastAsia="Times New Roman" w:hAnsi="Times New Roman"/>
          <w:sz w:val="18"/>
          <w:szCs w:val="18"/>
          <w:color w:val="auto"/>
        </w:rPr>
      </w:pPr>
    </w:p>
    <w:p>
      <w:pPr>
        <w:ind w:left="760" w:right="100" w:hanging="378"/>
        <w:spacing w:after="0" w:line="272" w:lineRule="auto"/>
        <w:tabs>
          <w:tab w:leader="none" w:pos="7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revenue decrease in Southern Europe of -0.6% (-1.3% in constant currency) primarily driven by a $24.6 million decrease in demand for our Manpower staffing services and a $5.4 million decrease in demand for our permanent recruitment services, partially offset by the $14.7 million favorable impact of currency exchange rates and a $6.1 million increase in demand for our Talent Solutions outplacement services. France, the largest market in Southern Europe, experienced a revenue decrease of -2.5% (-3.3% in constant currency) primarily driven by a $44.9 million decrease in demand for our Manpower staffing services, partially offset by the $9.6 million favorable impact of currency exchange rates and a $5.3 million increase in demand for our Talent Solutions outplacement services. Italy, our second-largest market in Southern Europe, experienced a revenue increase of 1.3% (0.5% in constant currency) primarily driven by the $3.5 million favorable impact of currency exchange rates and a $1.3 million increase in demand for TBO, partially offset by a $1.7 million decrease in demand for our permanent recruitment services;</w:t>
      </w:r>
    </w:p>
    <w:p>
      <w:pPr>
        <w:spacing w:after="0" w:line="144" w:lineRule="exact"/>
        <w:rPr>
          <w:rFonts w:ascii="Times New Roman" w:cs="Times New Roman" w:eastAsia="Times New Roman" w:hAnsi="Times New Roman"/>
          <w:sz w:val="17"/>
          <w:szCs w:val="17"/>
          <w:color w:val="auto"/>
        </w:rPr>
      </w:pPr>
    </w:p>
    <w:p>
      <w:pPr>
        <w:ind w:left="760" w:right="140" w:hanging="378"/>
        <w:spacing w:after="0" w:line="254"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revenue decrease in Northern Europe of -9.4% (-11.0% in constant currency) primarily driven by an $81.6 million decrease in demand for our Manpower and Experis staffing/interim services, a $21.0 million decrease in demand for our Experis solutions services and an $8.5 million decrease in demand for our permanent recruitment services, partially offset by the $15.0 million favorable impact of currency exchange rates and a $5.3 million increase in demand for our Talent Solutions outplacement services. Within our Northern Europe segment, we experienced revenue decreases in the United Kingdom of $25.7 million, the Nordics of $31.8 million, Germany of $19.6 million and Belgium of $6.0 million, which represented revenue decreases of -8.1%, -20.0%, -14.0% and -6.9%, respectively (-10.5%, -19.0%, -14.8% and -7.9%, respectively, in constant currency). These decreases were partially offset by a revenue increase in the Netherlands of $0.5 million, which represented a revenue increase of 0.6% (-0.4% in constant currency); and</w:t>
      </w:r>
    </w:p>
    <w:p>
      <w:pPr>
        <w:spacing w:after="0" w:line="19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161" w:right="239" w:bottom="1440" w:gutter="0" w:footer="0" w:header="0"/>
        </w:sectPr>
      </w:pPr>
    </w:p>
    <w:bookmarkStart w:id="25" w:name="page26"/>
    <w:bookmarkEnd w:id="25"/>
    <w:p>
      <w:pPr>
        <w:jc w:val="both"/>
        <w:ind w:left="760" w:right="220" w:hanging="378"/>
        <w:spacing w:after="0" w:line="266"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revenue decrease in APME of -0.3% (increase of 1.6% in constant currency and 3.0% in organic constant currency) primarily driven by the $11.1 million unfavorable impact of currency exchange rates, a $7.5 million decrease in demand for our permanent recruitment services and a $9.0 million decrease in demand for TBO, partially offset by a $26.8 million increase in demand for our Manpower staffing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year-over-year 30 basis point decrease in gross profit margin was primarily attributed to:</w:t>
      </w:r>
    </w:p>
    <w:p>
      <w:pPr>
        <w:spacing w:after="0" w:line="198" w:lineRule="exact"/>
        <w:rPr>
          <w:sz w:val="20"/>
          <w:szCs w:val="20"/>
          <w:color w:val="auto"/>
        </w:rPr>
      </w:pPr>
    </w:p>
    <w:p>
      <w:pPr>
        <w:ind w:left="760" w:right="36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 basis point unfavorable impact from decreases to permanent recruitment, including Talent Solutions RPO, as permanent hiring demand continued to soften and experienced reduced levels;</w:t>
      </w:r>
    </w:p>
    <w:p>
      <w:pPr>
        <w:spacing w:after="0" w:line="121" w:lineRule="exact"/>
        <w:rPr>
          <w:rFonts w:ascii="Times New Roman" w:cs="Times New Roman" w:eastAsia="Times New Roman" w:hAnsi="Times New Roman"/>
          <w:sz w:val="18"/>
          <w:szCs w:val="18"/>
          <w:color w:val="auto"/>
        </w:rPr>
      </w:pPr>
    </w:p>
    <w:p>
      <w:pPr>
        <w:ind w:left="760" w:right="20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 basis point unfavorable impact from the decrease in staffing/interim margins due to mix shifts and lower volumes while pricing remained stable; and</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 basis point unfavorable impact due to the effects of currency exchange rates; partially offset by</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 basis point favorable impact from increased career transition activity in Right Management as outplacement activity increased.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-5.4% decrease in selling and administrative expenses in the third quarter of 2024 (-4.4% in constant currency and -4.3% in organic constant currency)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primarily attributed to:</w:t>
      </w:r>
    </w:p>
    <w:p>
      <w:pPr>
        <w:spacing w:after="0" w:line="166" w:lineRule="exact"/>
        <w:rPr>
          <w:sz w:val="20"/>
          <w:szCs w:val="20"/>
          <w:color w:val="auto"/>
        </w:rPr>
      </w:pPr>
    </w:p>
    <w:p>
      <w:pPr>
        <w:ind w:left="76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$16.1 million, or -3.3% decrease (-2.1% in constant currency) in personnel costs primarily due to an $8.0 million decrease in bonuses and sales commission costs and a $4.9 million decrease in salaries as we saw the effects of restructuring actions taken in 2023;</w:t>
      </w:r>
    </w:p>
    <w:p>
      <w:pPr>
        <w:spacing w:after="0" w:line="134"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$12.2 million, or -5.7% decrease (-5.0% in constant currency) in non-personnel costs primarily due to a $13.2 million decrease in office lease and other office costs;</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$7.5 million, or -1.2% decrease due to the impact of changes in currency exchange rates; and</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$37.6 million of restructuring costs, incurred in the third quarter of 2024 compared to $38.1 million incurred in the third quarter of 2023.</w:t>
      </w:r>
    </w:p>
    <w:p>
      <w:pPr>
        <w:spacing w:after="0" w:line="19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Selling and administrative expenses as a percent of revenues decreased 40 basis points in the third quarter of 2024 compared to the third quarter of 2023 due primarily to:</w:t>
      </w:r>
    </w:p>
    <w:p>
      <w:pPr>
        <w:spacing w:after="0" w:line="121" w:lineRule="exact"/>
        <w:rPr>
          <w:sz w:val="20"/>
          <w:szCs w:val="20"/>
          <w:color w:val="auto"/>
        </w:rPr>
      </w:pPr>
    </w:p>
    <w:p>
      <w:pPr>
        <w:ind w:left="760" w:right="34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30 basis point favorable impact as non-personnel costs decreased as a percent of revenues primarily due to percent of revenue decreases in office leases and other office costs; and</w:t>
      </w:r>
    </w:p>
    <w:p>
      <w:pPr>
        <w:spacing w:after="0" w:line="121" w:lineRule="exact"/>
        <w:rPr>
          <w:rFonts w:ascii="Times New Roman" w:cs="Times New Roman" w:eastAsia="Times New Roman" w:hAnsi="Times New Roman"/>
          <w:sz w:val="18"/>
          <w:szCs w:val="18"/>
          <w:color w:val="auto"/>
        </w:rPr>
      </w:pPr>
    </w:p>
    <w:p>
      <w:pPr>
        <w:ind w:left="760" w:right="38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 basis point favorable impact as a result of the decrease in restructuring costs incurred in the third quarter of 2024 compared to the third quarter of 2023.</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61" w:right="399" w:bottom="1440" w:gutter="0" w:footer="0" w:header="0"/>
        </w:sectPr>
      </w:pPr>
    </w:p>
    <w:bookmarkStart w:id="26" w:name="page27"/>
    <w:bookmarkEnd w:id="26"/>
    <w:p>
      <w:pPr>
        <w:ind w:right="300"/>
        <w:spacing w:after="0" w:line="258" w:lineRule="auto"/>
        <w:rPr>
          <w:sz w:val="20"/>
          <w:szCs w:val="20"/>
          <w:color w:val="auto"/>
        </w:rPr>
      </w:pPr>
      <w:r>
        <w:rPr>
          <w:rFonts w:ascii="Times New Roman" w:cs="Times New Roman" w:eastAsia="Times New Roman" w:hAnsi="Times New Roman"/>
          <w:sz w:val="18"/>
          <w:szCs w:val="18"/>
          <w:color w:val="auto"/>
        </w:rPr>
        <w:t>Interest and other expenses, net is comprised of interest, foreign exchange gains and losses and other miscellaneous non-operating income and expenses, including those associated with noncontrolling interests. Interest expense, net was $16.9 million in the third quarter of 2024 compared to $13.0 million in the third quarter of 2023 primarily due to increased revolver and other short-term borrowings during the period. Foreign exchange loss, net was $1.0 million in the third quarter of 2024 compared to $6.0 million in the third quarter of 2023 primarily due to a reduction in foreign currency exchange losses year over year. Miscellaneous income, net was $6.3 million in the third quarter of 2024 compared to $3.9 million in the third quarter of 2023.</w:t>
      </w:r>
    </w:p>
    <w:p>
      <w:pPr>
        <w:spacing w:after="0" w:line="156"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We recorded income tax expense at an effective rate of 61.5% for the three months ended September 30, 2024, as compared to an effective rate of 44.7% for the three months ended September 30, 2023. The 2024 rate was unfavorably impacted by the lower level and overall mix of earnings, a discrete valuation allowance recorded against deferred tax assets in Sweden, and a 2023 rate that included benefits from the effective settlement of an income tax audit. The higher 2024 rate was partially offset by the scheduled reduction in the French business tax rate from 0.38% to 0.28% effective January 1, 2024. The 61.5% effective tax rate for the third quarter of 2024 was higher than the United States Federal statutory rate of 21% primarily due to tax losses in certain countries for which we did not recognize a corresponding tax benefit due to valuation allowance, the French business tax, and the overall mix of earnings.</w:t>
      </w:r>
    </w:p>
    <w:p>
      <w:pPr>
        <w:spacing w:after="0" w:line="148"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Net earnings per share - diluted was $0.47 in the third quarter of 2024 compared to $0.60 in the third quarter of 2023. Restructuring costs recorded in the third quarter of 2024 unfavorably impacted net earnings per share - diluted by approximately $0.82, net of tax, in the third quarter of 2024. Restructuring costs recorded in the third quarter of 2023 unfavorably impacted net earnings per share - diluted by approximately $0.68, net of tax, in the third quarter of 2023.</w:t>
      </w:r>
    </w:p>
    <w:p>
      <w:pPr>
        <w:spacing w:after="0" w:line="13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Weighted average shares - diluted decreased to 48.1 million in the third quarter of 2024 from 50.1 million in the third quarter of 2023. This decrease was due to the impact of share repurchases completed since the third quarter of 2023, partially offset by grants of share-based awards.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Results - Nine Months Ended September 30, 2024 and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consolidated financial data for the nine months ended September 30, 2024 as compared to 2023.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Constant</w:t>
            </w:r>
          </w:p>
        </w:tc>
      </w:tr>
      <w:tr>
        <w:trPr>
          <w:trHeight w:val="216"/>
        </w:trPr>
        <w:tc>
          <w:tcPr>
            <w:tcW w:w="5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Currency</w:t>
            </w:r>
          </w:p>
        </w:tc>
      </w:tr>
      <w:tr>
        <w:trPr>
          <w:trHeight w:val="245"/>
        </w:trPr>
        <w:tc>
          <w:tcPr>
            <w:tcW w:w="5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220" w:type="dxa"/>
            <w:vAlign w:val="bottom"/>
          </w:tcPr>
          <w:p>
            <w:pPr>
              <w:spacing w:after="0"/>
              <w:rPr>
                <w:sz w:val="21"/>
                <w:szCs w:val="21"/>
                <w:color w:val="auto"/>
              </w:rPr>
            </w:pPr>
          </w:p>
        </w:tc>
        <w:tc>
          <w:tcPr>
            <w:tcW w:w="12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200" w:type="dxa"/>
            <w:vAlign w:val="bottom"/>
            <w:gridSpan w:val="2"/>
          </w:tcPr>
          <w:p>
            <w:pPr>
              <w:spacing w:after="0"/>
              <w:rPr>
                <w:sz w:val="21"/>
                <w:szCs w:val="21"/>
                <w:color w:val="auto"/>
              </w:rPr>
            </w:pPr>
          </w:p>
        </w:tc>
      </w:tr>
      <w:tr>
        <w:trPr>
          <w:trHeight w:val="234"/>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from services</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13,454.2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14,284.0</w:t>
            </w:r>
          </w:p>
        </w:tc>
        <w:tc>
          <w:tcPr>
            <w:tcW w:w="22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(5.8 )%</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(3.6 )%</w:t>
            </w:r>
          </w:p>
        </w:tc>
      </w:tr>
      <w:tr>
        <w:trPr>
          <w:trHeight w:val="24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11,736.7</w:t>
            </w:r>
          </w:p>
        </w:tc>
        <w:tc>
          <w:tcPr>
            <w:tcW w:w="220" w:type="dxa"/>
            <w:vAlign w:val="bottom"/>
          </w:tcPr>
          <w:p>
            <w:pPr>
              <w:spacing w:after="0"/>
              <w:rPr>
                <w:sz w:val="21"/>
                <w:szCs w:val="21"/>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(5.2 )%</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(3.0 )%</w:t>
            </w:r>
          </w:p>
        </w:tc>
      </w:tr>
      <w:tr>
        <w:trPr>
          <w:trHeight w:val="234"/>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2,547.3</w:t>
            </w:r>
          </w:p>
        </w:tc>
        <w:tc>
          <w:tcPr>
            <w:tcW w:w="22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(8.5 )%</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(6.6 )%</w:t>
            </w:r>
          </w:p>
        </w:tc>
      </w:tr>
      <w:tr>
        <w:trPr>
          <w:trHeight w:val="238"/>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Gross profit margin</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17.3 %</w:t>
            </w:r>
          </w:p>
        </w:tc>
        <w:tc>
          <w:tcPr>
            <w:tcW w:w="2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17.8 %</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2,252.0</w:t>
            </w:r>
          </w:p>
        </w:tc>
        <w:tc>
          <w:tcPr>
            <w:tcW w:w="220" w:type="dxa"/>
            <w:vAlign w:val="bottom"/>
          </w:tcPr>
          <w:p>
            <w:pPr>
              <w:spacing w:after="0"/>
              <w:rPr>
                <w:sz w:val="21"/>
                <w:szCs w:val="21"/>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(7.0 )%</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(5.4 )%</w:t>
            </w:r>
          </w:p>
        </w:tc>
      </w:tr>
      <w:tr>
        <w:trPr>
          <w:trHeight w:val="238"/>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profit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22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(19.5 )%</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(15.6 )%</w:t>
            </w:r>
          </w:p>
        </w:tc>
      </w:tr>
      <w:tr>
        <w:trPr>
          <w:trHeight w:val="247"/>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Operating profit margin</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1.8 %</w:t>
            </w:r>
          </w:p>
        </w:tc>
        <w:tc>
          <w:tcPr>
            <w:tcW w:w="2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2.1 %</w:t>
            </w:r>
          </w:p>
        </w:tc>
        <w:tc>
          <w:tcPr>
            <w:tcW w:w="1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expenses, net</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2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(16.6 )%</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4"/>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22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(19.8 )%</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(16.8 )%</w:t>
            </w:r>
          </w:p>
        </w:tc>
      </w:tr>
      <w:tr>
        <w:trPr>
          <w:trHeight w:val="245"/>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220" w:type="dxa"/>
            <w:vAlign w:val="bottom"/>
          </w:tcPr>
          <w:p>
            <w:pPr>
              <w:spacing w:after="0"/>
              <w:rPr>
                <w:sz w:val="21"/>
                <w:szCs w:val="21"/>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(1.2 )%</w:t>
            </w: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Effective income tax rate</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41.4 %</w:t>
            </w:r>
          </w:p>
        </w:tc>
        <w:tc>
          <w:tcPr>
            <w:tcW w:w="2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33.5 %</w:t>
            </w:r>
          </w:p>
        </w:tc>
        <w:tc>
          <w:tcPr>
            <w:tcW w:w="1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58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0"/>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earnings</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22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(29.3 )%</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(26.6 )%</w:t>
            </w:r>
          </w:p>
        </w:tc>
      </w:tr>
      <w:tr>
        <w:trPr>
          <w:trHeight w:val="20"/>
        </w:trPr>
        <w:tc>
          <w:tcPr>
            <w:tcW w:w="5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per share – diluted</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2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(26.0 )%</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(23.2 )%</w:t>
            </w:r>
          </w:p>
        </w:tc>
      </w:tr>
      <w:tr>
        <w:trPr>
          <w:trHeight w:val="20"/>
        </w:trPr>
        <w:tc>
          <w:tcPr>
            <w:tcW w:w="5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2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(4.4 )%</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-2270760</wp:posOffset>
            </wp:positionV>
            <wp:extent cx="7132320" cy="1543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-1953895</wp:posOffset>
            </wp:positionV>
            <wp:extent cx="7132320" cy="1543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-1010920</wp:posOffset>
            </wp:positionV>
            <wp:extent cx="7132320" cy="1543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-1645285</wp:posOffset>
            </wp:positionV>
            <wp:extent cx="7132320" cy="1625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-548005</wp:posOffset>
            </wp:positionV>
            <wp:extent cx="7747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-548005</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-359410</wp:posOffset>
            </wp:positionV>
            <wp:extent cx="7132320" cy="1803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year-over-year decrease in revenues from services of -5.8% (-3.6% in constant currency and -3.4% in organic constant currency) was attributed to:</w:t>
      </w:r>
    </w:p>
    <w:p>
      <w:pPr>
        <w:spacing w:after="0" w:line="185" w:lineRule="exact"/>
        <w:rPr>
          <w:sz w:val="20"/>
          <w:szCs w:val="20"/>
          <w:color w:val="auto"/>
        </w:rPr>
      </w:pPr>
    </w:p>
    <w:p>
      <w:pPr>
        <w:ind w:left="760" w:right="140" w:hanging="378"/>
        <w:spacing w:after="0" w:line="261"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revenue decrease in the Americas of -5.7% (increase of 1.8% in constant currency) primarily driven by the $247.9 million unfavorable impact of currency exchange rates, a $116.3 million decrease in demand for our Experis interim services and a $10.2 million decrease in demand for our permanent recruitment services, partially offset by a $158.8 million increase in demand for our Manpower staffing services, a $17.3 million increase in demand for TBO and an $8.2 million increase in</w:t>
      </w:r>
    </w:p>
    <w:p>
      <w:pPr>
        <w:spacing w:after="0" w:line="18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161" w:right="239" w:bottom="1440" w:gutter="0" w:footer="0" w:header="0"/>
        </w:sectPr>
      </w:pPr>
    </w:p>
    <w:bookmarkStart w:id="27" w:name="page28"/>
    <w:bookmarkEnd w:id="27"/>
    <w:p>
      <w:pPr>
        <w:ind w:left="760"/>
        <w:spacing w:after="0" w:line="261" w:lineRule="auto"/>
        <w:rPr>
          <w:sz w:val="20"/>
          <w:szCs w:val="20"/>
          <w:color w:val="auto"/>
        </w:rPr>
      </w:pPr>
      <w:r>
        <w:rPr>
          <w:rFonts w:ascii="Times New Roman" w:cs="Times New Roman" w:eastAsia="Times New Roman" w:hAnsi="Times New Roman"/>
          <w:sz w:val="18"/>
          <w:szCs w:val="18"/>
          <w:color w:val="auto"/>
        </w:rPr>
        <w:t>demand for our Talent Solutions outplacement services. The United States, our largest market in the Americas, experienced a revenue decrease of -4.9% primarily driven by a $100.7 million decrease in demand for our Manpower and Experis staffing/interim services and a $12.2 million decrease in demand for our permanent recruitment services, partially offset by a $7.1 million increase in demand for our Talent Solutions outplacement services;</w:t>
      </w:r>
    </w:p>
    <w:p>
      <w:pPr>
        <w:spacing w:after="0" w:line="153" w:lineRule="exact"/>
        <w:rPr>
          <w:sz w:val="20"/>
          <w:szCs w:val="20"/>
          <w:color w:val="auto"/>
        </w:rPr>
      </w:pPr>
    </w:p>
    <w:p>
      <w:pPr>
        <w:ind w:left="760" w:right="180" w:hanging="378"/>
        <w:spacing w:after="0" w:line="254"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revenue decrease in Southern Europe of -3.6% (-3.5% in constant currency) primarily driven by a $220.8 million decrease in demand for our Manpower and Experis staffing/interim services, a $17.5 million decrease in demand for our permanent recruitment services and a $4.8 million decrease in demand for our Manpower and Experis solutions services, partially offset by a $13.1 million increase in demand for our Talent Solutions outplacement services. France, the largest market in Southern Europe, experienced a revenue decrease of -4.7% (-5.0% in constant currency) primarily driven by a $185.3 million decrease in demand for our Manpower staffing services, partially offset by an $11.8 million increase in demand for our Talent Solutions outplacement services. Italy, our second-largest market in Southern Europe, experienced a revenue decrease of -2.7% (-3.0% in constant currency) primarily driven by a $37.3 million decrease in our Manpower staffing services and a $5.3 million decrease in demand for our permanent recruitment services, partially offset by a $3.9 million increase in demand for TBO;</w:t>
      </w:r>
    </w:p>
    <w:p>
      <w:pPr>
        <w:spacing w:after="0" w:line="151" w:lineRule="exact"/>
        <w:rPr>
          <w:rFonts w:ascii="Times New Roman" w:cs="Times New Roman" w:eastAsia="Times New Roman" w:hAnsi="Times New Roman"/>
          <w:sz w:val="18"/>
          <w:szCs w:val="18"/>
          <w:color w:val="auto"/>
        </w:rPr>
      </w:pPr>
    </w:p>
    <w:p>
      <w:pPr>
        <w:ind w:left="760" w:right="40" w:hanging="378"/>
        <w:spacing w:after="0" w:line="255"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revenue decrease in Northern Europe of -10.5% (-11.7% in constant currency) primarily driven by a $264.2 million decrease in demand for our Manpower and Experis staffing/interim services, a $60.2 million decrease in demand for our Experis solutions services and a $26.9 million decrease in demand for our permanent recruitment services, partially offset by the $34.6 million favorable impact of currency exchange rates and a $9.5 million increase in demand for our Talent Solutions outplacement and MSP services. Within our Northern Europe segment, we experienced revenue decreases in the United Kingdom of $98.6 million, the Nordics of $133.6 million, Germany of $52.9 million, the Netherlands of $5.2 million and Belgium of $6.6 million, which represented revenue decreases of -10.0%, -21.6%, -12.5%, -1.8% and -2.8%, respectively (-12.3%, -21.2%, -12.8%, -2.1% and -3.1%, respectively, in constant currency); and</w:t>
      </w:r>
    </w:p>
    <w:p>
      <w:pPr>
        <w:spacing w:after="0" w:line="148" w:lineRule="exact"/>
        <w:rPr>
          <w:rFonts w:ascii="Times New Roman" w:cs="Times New Roman" w:eastAsia="Times New Roman" w:hAnsi="Times New Roman"/>
          <w:sz w:val="18"/>
          <w:szCs w:val="18"/>
          <w:color w:val="auto"/>
        </w:rPr>
      </w:pPr>
    </w:p>
    <w:p>
      <w:pPr>
        <w:ind w:left="760" w:right="20" w:hanging="378"/>
        <w:spacing w:after="0" w:line="289" w:lineRule="auto"/>
        <w:tabs>
          <w:tab w:leader="none" w:pos="7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revenue decrease in APME of -7.4% (-1.8% in constant currency and -0.5% in organic constant currency) primarily driven by the $99.0 million unfavorable impact of currency exchange rates, a $53.4 million decrease in demand for our permanent recruitment services and a $19.4 million decrease in demand for our TBO, partially offset by a $43.8 million increase in demand for our Manpower and Experis staffing/interim services.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year-over-year 50 basis point decrease in gross profit margin was primarily attributed to:</w:t>
      </w:r>
    </w:p>
    <w:p>
      <w:pPr>
        <w:spacing w:after="0" w:line="198" w:lineRule="exact"/>
        <w:rPr>
          <w:sz w:val="20"/>
          <w:szCs w:val="20"/>
          <w:color w:val="auto"/>
        </w:rPr>
      </w:pPr>
    </w:p>
    <w:p>
      <w:pPr>
        <w:ind w:left="760" w:right="42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50 basis point unfavorable impact from decreases to permanent recruitment, including Talent Solutions RPO, as permanent hiring demand continued to soften and experienced reduced levels; and</w:t>
      </w:r>
    </w:p>
    <w:p>
      <w:pPr>
        <w:spacing w:after="0" w:line="121" w:lineRule="exact"/>
        <w:rPr>
          <w:rFonts w:ascii="Times New Roman" w:cs="Times New Roman" w:eastAsia="Times New Roman" w:hAnsi="Times New Roman"/>
          <w:sz w:val="18"/>
          <w:szCs w:val="18"/>
          <w:color w:val="auto"/>
        </w:rPr>
      </w:pPr>
    </w:p>
    <w:p>
      <w:pPr>
        <w:ind w:left="760" w:right="26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 basis point unfavorable impact from the decrease in staffing/interim margins due to mix shifts and lower volumes while pricing remained stable; partially offset by</w:t>
      </w:r>
    </w:p>
    <w:p>
      <w:pPr>
        <w:spacing w:after="0" w:line="121"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 basis point favorable impact from increased career transition activity in Right Management as outplacement activity increased.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8" w:name="page29"/>
    <w:bookmarkEnd w:id="28"/>
    <w:p>
      <w:pPr>
        <w:ind w:right="460"/>
        <w:spacing w:after="0" w:line="282" w:lineRule="auto"/>
        <w:rPr>
          <w:sz w:val="20"/>
          <w:szCs w:val="20"/>
          <w:color w:val="auto"/>
        </w:rPr>
      </w:pPr>
      <w:r>
        <w:rPr>
          <w:rFonts w:ascii="Times New Roman" w:cs="Times New Roman" w:eastAsia="Times New Roman" w:hAnsi="Times New Roman"/>
          <w:sz w:val="18"/>
          <w:szCs w:val="18"/>
          <w:color w:val="auto"/>
        </w:rPr>
        <w:t>The -7.0% decrease in selling and administrative expenses in the first nine months of 2024 (-5.4% in constant currency and -5.2% in organic constant currency) was primarily attributed to:</w:t>
      </w:r>
    </w:p>
    <w:p>
      <w:pPr>
        <w:spacing w:after="0" w:line="135" w:lineRule="exact"/>
        <w:rPr>
          <w:sz w:val="20"/>
          <w:szCs w:val="20"/>
          <w:color w:val="auto"/>
        </w:rPr>
      </w:pPr>
    </w:p>
    <w:p>
      <w:pPr>
        <w:ind w:left="760" w:right="2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$61.1 million, or -5.7% decrease (-4.1% in constant currency) in personnel costs primarily due to a $39.8 million decrease in salary costs as we saw the effects of restructuring actions taken in 2023;</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$37.3 million, or -1.6% decrease due to the impact of changes in currency exchange rates;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costs of $37.6 million, in the first nine months of 2024 compared to $59.2 million incurred in the first nine months of 2023; and</w:t>
      </w:r>
    </w:p>
    <w:p>
      <w:pPr>
        <w:spacing w:after="0" w:line="198" w:lineRule="exact"/>
        <w:rPr>
          <w:rFonts w:ascii="Times New Roman" w:cs="Times New Roman" w:eastAsia="Times New Roman" w:hAnsi="Times New Roman"/>
          <w:sz w:val="18"/>
          <w:szCs w:val="18"/>
          <w:color w:val="auto"/>
        </w:rPr>
      </w:pPr>
    </w:p>
    <w:p>
      <w:pPr>
        <w:ind w:left="760" w:right="120" w:hanging="378"/>
        <w:spacing w:after="0" w:line="266"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$22.2 million, or -5.1% decrease (-3.4% in constant currency) in non-personnel costs, primarily due to an $8.0 million decrease in office lease and other office costs and a $5.2 million decrease in consulting and outside services costs associated with our technology and back-office transformation initiatives.</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Selling and administrative expenses as a percent of revenues decreased 20 basis points in the first nine months of 2024 compared to the first nine months of 2023 due primarily to:</w:t>
      </w:r>
    </w:p>
    <w:p>
      <w:pPr>
        <w:spacing w:after="0" w:line="121" w:lineRule="exact"/>
        <w:rPr>
          <w:sz w:val="20"/>
          <w:szCs w:val="20"/>
          <w:color w:val="auto"/>
        </w:rPr>
      </w:pPr>
    </w:p>
    <w:p>
      <w:pPr>
        <w:ind w:left="760" w:right="44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 basis point favorable impact as a result of lower restructuring costs incurred in the first nine months of 2024 compared to the first nine months of 2023; and</w:t>
      </w:r>
    </w:p>
    <w:p>
      <w:pPr>
        <w:spacing w:after="0" w:line="134" w:lineRule="exact"/>
        <w:rPr>
          <w:rFonts w:ascii="Times New Roman" w:cs="Times New Roman" w:eastAsia="Times New Roman" w:hAnsi="Times New Roman"/>
          <w:sz w:val="18"/>
          <w:szCs w:val="18"/>
          <w:color w:val="auto"/>
        </w:rPr>
      </w:pPr>
    </w:p>
    <w:p>
      <w:pPr>
        <w:ind w:left="760" w:right="8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 basis point favorable impact as personnel costs as a percent of revenue decreased, primarily due to a percent of revenue decrease in salaries as we saw the effects of restructuring actions taken in 2023; partially offset by</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 basis point unfavorable impact from changes in currency exchange rates.</w:t>
      </w:r>
    </w:p>
    <w:p>
      <w:pPr>
        <w:spacing w:after="0" w:line="18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Interest and other expenses, net is comprised of interest, foreign exchange gains and losses and other miscellaneous non-operating income and expenses, including those associated with noncontrolling interests. Interest expense, net was $42.6 million in the first nine months of 2024 compared to $35.2 million in the first nine months of 2023 primarily due to increased revolver and other short-term borrowings at a higher interest rate during the period. Foreign exchange loss, net was $5.2 million in the first nine months of 2024 compared to $14.2 million in the first nine months of 2023 primarily due to a reduction in foreign currency exchange losses year over year. Miscellaneous income, net was $19.1 million in the first nine months of 2024 compared to $15.0 million in the first nine months of 2023.</w:t>
      </w:r>
    </w:p>
    <w:p>
      <w:pPr>
        <w:spacing w:after="0" w:line="16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recorded income tax expense at an effective rate of 41.4% for the nine months ended September 30, 2024, as compared to an effective rate of 33.6% for the nine months ended September 30, 2023. The 2024 rate was unfavorably impacted by the lower level and overall mix of earnings, a discrete valuation allowance recorded against deferred tax assets in Sweden, and a 2023 rate that included benefits from the effective settlement of an income tax audit. The higher 2024 rate was partially offset by the scheduled reduction in the French business tax rate from 0.38% to 0.28% effective January 1, 2024. The 41.4% effective tax rate for the nine months ended September 30, 2024 was higher than the United States Federal statutory rate of 21% primarily due to tax losses in certain countries for which we did not recognize a corresponding tax benefit due to valuation allowances, the French business tax, and the overall mix of earnings.</w:t>
      </w:r>
    </w:p>
    <w:p>
      <w:pPr>
        <w:spacing w:after="0" w:line="1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Net earnings per share - diluted was $2.53 in the first nine months of 2024 compared to $3.42 in the first nine months of 2023. Restructuring costs recorded in the first nine months of 2024 unfavorably impacted net earnings per share - diluted by approximately $0.82, net of tax, in the first nine months of 2024. Losses related to our Proservia Germany wind down in the first nine months of 2024 unfavorably impacted net earnings per share - diluted by approximately $0.19, net of tax, in the first nine months of 2024. Restructuring costs recorded in the first nine months of 2023 unfavorably impacted net earnings per share - diluted by approximately $1.00, net of tax, in the first nine months of 2023.</w:t>
      </w:r>
    </w:p>
    <w:p>
      <w:pPr>
        <w:spacing w:after="0" w:line="143" w:lineRule="exact"/>
        <w:rPr>
          <w:sz w:val="20"/>
          <w:szCs w:val="20"/>
          <w:color w:val="auto"/>
        </w:rPr>
      </w:pPr>
    </w:p>
    <w:p>
      <w:pPr>
        <w:jc w:val="both"/>
        <w:ind w:right="560"/>
        <w:spacing w:after="0" w:line="312" w:lineRule="auto"/>
        <w:rPr>
          <w:sz w:val="20"/>
          <w:szCs w:val="20"/>
          <w:color w:val="auto"/>
        </w:rPr>
      </w:pPr>
      <w:r>
        <w:rPr>
          <w:rFonts w:ascii="Times New Roman" w:cs="Times New Roman" w:eastAsia="Times New Roman" w:hAnsi="Times New Roman"/>
          <w:sz w:val="17"/>
          <w:szCs w:val="17"/>
          <w:color w:val="auto"/>
        </w:rPr>
        <w:t>Weighted average shares - diluted decreased to 48.5 million in the first nine months of 2024 from 50.7 million in the first nine months of 2023. This decrease was due to the impact of share repurchases completed since the first nine months of 2023, partially offset by grants of share-based awards.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auto"/>
        </w:rPr>
        <w:t>Segment Operating Results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Americas</w:t>
      </w:r>
    </w:p>
    <w:p>
      <w:pPr>
        <w:spacing w:after="0" w:line="18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the Americas, revenues from services decreased -5.5% (increase of 1.5% in constant currency) in the third quarter of 2024 compared to the third quarter of 2023. In the United States (which represents 66% of the Americas' revenues), revenues from services decreased -4.5% in the third quarter of 2024 compared to the third quarter of 2023, primarily driven by a $33.4 million decrease in demand for our Experis interim services. In Other Americas, revenues from services decreased -7.3% (increase of 13.1% in constant currency) in the third quarter of 2024 compared to the third quarter of 2023, primarily driven by the $77.8 million unfavorable impact of foreign currency exchange rates, partially offset by a $41.1 million increase in demand for our Manpower and Experis staffing/interim services and a $7.9 million increase in demand for TBO. The constant currency increase in Other Americas was primarily due to inflation in Argentina. Within our Other Americas segment, we experienced decreases in Argentina, Canada and Mexico of $14.7 million, or -32.7%, $10.7 million, or -12.2% and $5.8 million, or -9.5%, respectively (+105.2%, -10.7% and +0.4%, respectively, in constant currency).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Americas, revenues from services decreased -5.7% (increase of 1.8% in constant currency) in the first nine months of 2024 compared to the first nine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of 2023. In the United States, revenues from services decreased -4.9% in the first nine months of 2024 compared to the first nine months of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primarily driven by a $100.7 million decrease in demand for our Manpower and Experis staffing/interim services and a $12.2 million decrease in demand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our permanent recruitment services, partially offset by a $7.1 million increase in demand for our Talent Solutions outplacement services. In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Americas, revenues from services decreased -7.1% (increase of 14.2% in constant currency) in the first nine months of 2024 compared to the first nine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of 2023, primarily driven by the $247.9 million unfavorable impact of foreign currency exchange rates, partially offset by a $139.9 million increase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demand for our Manpower and Experis staffing/interim services and a $17.6 million increase in demand for TBO. The constant currency increase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Americas was primarily due to inflation in Argentina. Within our Other Americas segment, we experienced decreases in Argentina and Canada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$53.1 million, or -37.6%, and $39.7million, or -14.5%, respectively (+131.9% and -13.6%, respectively, in constant currency), partially offset by a revenue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 in Mexico of $11.7 million, or 6.7% (+5.9% in constant currency).</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Gross profit margin decreased 30 basis points in the third quarter of 2024 compared to the third quarter of 2023. This decrease was primarily due to decreased margins in our staffing and interim services, which contributed 70 basis points to the decrease. These decreases were partially offset by increased activity in our permanent recruitment business which had a 20 basis point impact and increased margins in our Talent Solutions outplacement business which had a 20 basis point impact.</w:t>
      </w:r>
    </w:p>
    <w:p>
      <w:pPr>
        <w:spacing w:after="0" w:line="13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Gross profit margin decreased 60 basis points in the first nine months of 2024 compared to the first nine months of 2023. This decrease was primarily due to decreased margins in our staffing and interim services, which contributed 80 basis points to the decrease, and decreased activity in our permanent recruitment business which contributed 30 basis points to the decrease. These contributions were partially offset by increased demand in our higher-margin Right Management outplacement business, which had a 10 basis point impact and the favorable impact of currency exchange rates, which had a 40 basis point impact.</w:t>
      </w:r>
    </w:p>
    <w:p>
      <w:pPr>
        <w:spacing w:after="0" w:line="143"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7"/>
          <w:szCs w:val="17"/>
          <w:color w:val="auto"/>
        </w:rPr>
        <w:t>Selling and administrative expenses decreased -7.1% (-1.5% in constant currency) in the third quarter of 2024 compared to the third quarter of 2023, primarily driven by the $12.5 million favorable impact of currency exchange rates and a $3.2 million decrease in consulting and outside services costs.</w:t>
      </w:r>
    </w:p>
    <w:p>
      <w:pPr>
        <w:spacing w:after="0" w:line="113"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Selling and administrative expenses decreased -6.0% (-0.8% in constant currency) in the first nine months of 2024 compared to the first nine months of 2023, primarily driven by the $33.7 million favorable impact of currency exchange rates and a $6.4 million decrease in consulting and outside services costs.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30" w:name="page31"/>
    <w:bookmarkEnd w:id="30"/>
    <w:p>
      <w:pPr>
        <w:ind w:right="20"/>
        <w:spacing w:after="0" w:line="255" w:lineRule="auto"/>
        <w:rPr>
          <w:sz w:val="20"/>
          <w:szCs w:val="20"/>
          <w:color w:val="auto"/>
        </w:rPr>
      </w:pPr>
      <w:r>
        <w:rPr>
          <w:rFonts w:ascii="Times New Roman" w:cs="Times New Roman" w:eastAsia="Times New Roman" w:hAnsi="Times New Roman"/>
          <w:sz w:val="18"/>
          <w:szCs w:val="18"/>
          <w:color w:val="auto"/>
        </w:rPr>
        <w:t>Operating Unit Profit (“OUP”) decreased -4.6% (-2.7% in constant currency) in the third quarter of 2024, which represents a 3.4% OUP margin, remaining flat from 3.4% in the third quarter of 2023. This OUP decrease was primarily due to decreased profitability in our United States business of $2.2 million, which experienced decreased demand in our higher-margin Experis interim services, as noted above. In the United States, OUP margin decreased to 3.2% in the third quarter of 2024 from 3.4% in the third quarter of 2023 primarily due to decreased activity and margins in our staffing/interim business, partially offset by a decrease in our selling and administrative expenses as a percent of revenue. Other Americas OUP margin increased to 3.9% in the third quarter of 2024 from 3.5% in the third quarter of 2023 primarily due to a decrease in our selling and administrative expenses as a percent of revenue, partially offset by decreased activity in our higher margin permanent recruitment business.</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OUP decreased -17.3% (-13.3% in constant currency) in the first nine months of 2024, which represents a 3.4% OUP margin, a decrease from 3.9% in the first nine months of 2023. This decrease was primarily due to decreased profitability in our United States business of $16.0 million, which experienced decreased activity in our higher-margin permanent recruitment business, as noted above, partially offset by decreases to selling and administrative expenses. In the United States, OUP margin decreased to 3.0% in the first nine months of 2024 from 3.6% in the first nine months of 2023 primarily due to decreased activity in our higher-margin permanent recruitment and Manpower and Experis staffing/interim businesses, as noted above, partially offset by a decrease in our selling and administrative expenses as a percent of revenue. Other Americas OUP margin decreased to 4.2% in the first nine months of 2024 from 4.5% in the first nine months of 2023 primarily due to an increase in our selling and administrative expenses as a percent of revenue.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Southern Europe</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Southern Europe, revenues from services decreased -0.6% ( -1.3% in constant currency) in the third quarter of 2024 compared to the third quarter of 2023. In France (which represents 56% of Southern Europe’s revenues), revenues from services decreased -2.5% (-3.3% in constant currency) in the third quarter of 2024 compared to the third quarter of 2023, primarily driven by a $44.9 million decrease in demand for our Manpower staffing services, partially offset by the $9.6 million favorable impact of currency exchange rates and a $5.3 million increase in demand for our Talent Solutions outplacement services. In Italy (which represents 20% of Southern Europe’s revenues), revenues from services increased 1.3% (0.5% in constant currency) in the third quarter of 2024 compared to the third quarter of 2023, primarily driven by the $3.5 million favorable impact of currency exchange rates and a $1.3 million increase in demand for TBO, partially offset by a $1.7 million decrease in demand for our permanent recruitment services. In Other Southern Europe, revenues from services increased 2.4% (2.1% in constant currency) in the third quarter of 2024 compared to the third quarter of 2023, primarily due to a $9.3 million increase in demand for our Manpower and Experis staffing/interim services, partially offset by a $2.2 million decrease in demand for our permanent recruitment services. Within our Other Southern Europe segment, we experienced a revenue increase in Spain of $13.6 million, or 10.9% (9.9% in constant currency), partially offset by a revenue decrease in Switzerland of $12.8 million, or -10.3% (-12.1% in constant currency).</w:t>
      </w:r>
    </w:p>
    <w:p>
      <w:pPr>
        <w:spacing w:after="0" w:line="16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Southern Europe, revenues from services decreased -3.6% (-3.5% in constant currency) in the first nine months of 2024 compared to the first nine months of 2023. In France, revenues from services decreased -4.7% (-5.0% in constant currency) in the first nine months of 2024 compared to the first nine months of 2023, primarily driven by a $185.3 million decrease in demand for our Manpower staffing services, partially offset by an $11.8 million increase in demand for our Talent Solutions outplacement services. In Italy, revenues from services decreased -2.7% (-3.0% in constant currency) in the first nine months of 2024 compared to the first nine months of 2023, primarily driven by a $37.3 million decrease in our Manpower staffing services and a $5.3 million decrease in demand for our permanent recruitment services, partially offset by a $3.9 million increase in demand for TBO. In Other Southern Europe, revenues from services decreased -1.4% (-0.4% in constant currency) during the first nine months of 2024 compared to the first nine months of 2023, primarily driven by the $14.1 million unfavorable impact of currency exchange rates and a $16.0 million decrease in demand for our Experis solutions services, partially offset by an $8.8 million increase in demand for TBO and a $5.6 million increase in demand for our Manpower and Experis staffing/interim services. Within our Other Southern Europe segment, we experienced revenue decreases in Switzerland of $36.4 million, or -10.0% (-12.0% in constant currency), partially offset by a revenue increase in Spain of $7.0 million, or 1.9% (1.6% in constant currency).</w:t>
      </w:r>
    </w:p>
    <w:p>
      <w:pPr>
        <w:spacing w:after="0" w:line="151"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Gross profit margin decreased 40 basis points in the third quarter of 2024 compared to the third quarter of 2023. This decrease was primarily due to decreased activity in our higher margin Manpower staffing services, which contributed 30 basis points to the decrease, a decrease of activity in our permanent recruitment services, which contributed 20 basis points to the decrease and decreases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31" w:name="page32"/>
    <w:bookmarkEnd w:id="31"/>
    <w:p>
      <w:pPr>
        <w:ind w:right="200"/>
        <w:spacing w:after="0" w:line="282" w:lineRule="auto"/>
        <w:rPr>
          <w:sz w:val="20"/>
          <w:szCs w:val="20"/>
          <w:color w:val="auto"/>
        </w:rPr>
      </w:pPr>
      <w:r>
        <w:rPr>
          <w:rFonts w:ascii="Times New Roman" w:cs="Times New Roman" w:eastAsia="Times New Roman" w:hAnsi="Times New Roman"/>
          <w:sz w:val="18"/>
          <w:szCs w:val="18"/>
          <w:color w:val="auto"/>
        </w:rPr>
        <w:t>across our Experis solutions services, which contributed 10 basis points to the decrease. These contributions were partially offset by increased demand in our higher-margin Right Management outplacement business which had a 20 basis point impact.</w:t>
      </w:r>
    </w:p>
    <w:p>
      <w:pPr>
        <w:spacing w:after="0" w:line="13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Gross profit margin decreased 40 basis points in the first nine months of 2024 compared to the first nine months of 2023. This decrease was primarily due to decreased activity in our higher margin Manpower staffing services, which contributed 20 basis points to the decrease, decreased activity in our permanent recruitment services, which contributed 20 basis points to the decrease and decreased activity in our Experis solutions services, which contributed 10 basis points to the decrease. These contributions were partially offset by increased demand in our higher-margin Right Management outplacement business which had a 10 basis point impact.</w:t>
      </w:r>
    </w:p>
    <w:p>
      <w:pPr>
        <w:spacing w:after="0" w:line="143"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Selling and administrative expenses decreased -0.9% (-1.9% in constant currency) during the third quarter of 2024 compared to the third quarter of 2023, primarily due to a $2.6 million decrease in bonuses and sales commissions and a $2.2 million decrease in salary-related costs, partially offset by the $2.2 million unfavorable impact of currency exchange rates.</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Selling and administrative expenses decreased -3.3% (-3.4% in constant currency) during the first nine months of 2024 compared to the first nine months of 2023, primarily due to an $8.2 million decrease in salary-related costs, a $6.6 million decrease in restructuring related expenses, a $4.4 million decrease in bonuses and sales commissions and a $3.9 million decrease in consulting and outside services costs associated with our technology and back-office transformation initiatives.</w:t>
      </w:r>
    </w:p>
    <w:p>
      <w:pPr>
        <w:spacing w:after="0" w:line="15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OUP decreased -10.1% (-10.6% in constant currency), in the third quarter of 2024, which represents a 3.6% OUP margin, a decrease from 4.0% in the third quarter of 2023. This OUP decrease was primarily due to decreased profitability in the France reporting unit of $6.2 million. In France, the OUP margin decreased to 3.5% for the third quarter of 2024 compared to 4.0% for the third quarter of 2023, primarily driven by increases to selling and administrative expenses as a percent of revenue and a decrease in staffing/interim margins. In Italy, the OUP margin remained flat at 6.5% for the third quarter of 2024 and the third quarter of 2023 primarily due to a decrease in our selling and administrative expenses as a percent of revenue, which was offset by a decrease in gross profit margin. In Other Southern Europe, the OUP margin decreased to 1.3% for the third quarter of 2024 from 2.0% for the third quarter of 2023 primarily due to decreased activity in higher-margin permanent recruitment services, as noted above, partially offset by a decrease in our selling and administrative expenses as a percent of revenue.</w:t>
      </w:r>
    </w:p>
    <w:p>
      <w:pPr>
        <w:spacing w:after="0" w:line="1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OUP decreased -14.2% (-14.1% in constant currency) in the first nine months of 2024, which represents a 3.7% OUP margin, a decrease from 4.2% in the first nine months of 2023. This OUP decrease was primarily due to decreased profitability in the France reporting unit of $27.2 million. In France, the OUP margin decreased to 3.3% for the first nine months of 2024 compared to 3.9% for the first nine months of 2023 primarily driven by an increase in selling and administrative expenses as a percent of revenue and a decrease in our higher-margin permanent recruitment business. In Italy, the OUP margin decreased to 7.1% for the first nine months of 2024 from 7.3% for the first nine months of 2023 primarily driven by an increase in selling and administrative expenses as a percent of revenue. In Other Southern Europe, the OUP margin decreased to 1.7% for the first nine months of 2024 from 2.1% for the first nine months of 2023 primarily due to a decrease in gross profit margin as we saw decreased activity in higher-margin Experis solutions services, as noted above, partially offset by a decrease in selling and administrative expenses as a percent of revenue.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Northern Europe</w:t>
      </w:r>
    </w:p>
    <w:p>
      <w:pPr>
        <w:spacing w:after="0" w:line="20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 Northern Europe, the largest country operations include the United Kingdom, the Nordics, Germany, the Netherlands and Belgium (comprising 35%, 20%, 14%, 11% and 9%, respectively, of Northern Europe’s revenues). In the Northern Europe region, revenues from services decreased -9.4% (-11.0% in constant currency) in the third quarter of 2024 compared to the third quarter of 2023, primarily driven by an $81.6 million decrease in demand for our Manpower and Experis staffing/interim services, a $21.0 million decrease in demand for our Experis solutions services and an $8.5 million decrease in demand for our permanent recruitment services, partially offset by the $15.0 million favorable impact of currency exchange rates. Within our Northern Europe segment, we experienced revenue decreases in the United Kingdom of $25.7 million, the Nordics of $31.8 million, Germany of $19.6 million and Belgium of $6.0 million, which represented revenue decreases of -8.1%, -20.0%, -14.0% and -6.9%, respectively (-10.5%, -19.0%, -14.8% and -7.9%, respectively, in constant currency). These decreases were partially offset by a revenue increase in the Netherlands of $0.5 million, which represented a revenue increase of 0.6% (-0.4% in constant currency).</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2" w:name="page33"/>
    <w:bookmarkEnd w:id="32"/>
    <w:p>
      <w:pPr>
        <w:ind w:right="120"/>
        <w:spacing w:after="0" w:line="255" w:lineRule="auto"/>
        <w:rPr>
          <w:sz w:val="20"/>
          <w:szCs w:val="20"/>
          <w:color w:val="auto"/>
        </w:rPr>
      </w:pPr>
      <w:r>
        <w:rPr>
          <w:rFonts w:ascii="Times New Roman" w:cs="Times New Roman" w:eastAsia="Times New Roman" w:hAnsi="Times New Roman"/>
          <w:sz w:val="18"/>
          <w:szCs w:val="18"/>
          <w:color w:val="auto"/>
        </w:rPr>
        <w:t>In the Northern Europe region, revenues from services decreased -10.5% (-11.7% in constant currency) in the first nine months of 2024 compared to the first nine months of 2023, primarily driven by a $264.2 million decrease in demand for our Manpower and Experis staffing/interim services, a $60.2 million decrease in demand for our Experis solutions services and a $26.9 million decrease in demand for our permanent recruitment services, partially offset by the $34.6 million favorable impact of currency exchange rates and a $9.5 million increase in demand for our Talent Solutions outplacement and MSP services. Within our Northern Europe segment, we experienced revenue decreases in the United Kingdom of $98.6 million, the Nordics of $133.6 million, Germany of $52.9 million, the Netherlands of $5.2 million and Belgium of $6.6 million, which represented revenue decreases of -10.0%, -21.6%, -12.5%, -1.8% and -2.8%, respectively (-12.3%, -21.2%, -12.8%, -2.1% and -3.1%, respectively, in constant currency).</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Gross profit margin increased by 80 basis points in the third quarter of 2024 compared to the third quarter of 2023. The increase was primarily due to a shift in business mix towards our higher-margin Talent Solutions outplacement and MSP services, which contributed 90 basis points to the increase, an improvement in our staffing/interim margins, which contributed 30 basis points to the increase, and the favorable impact of currency exchange rates, which contributed 10 basis points to the increase. These contributions were partially offset by decreased activity in our higher-margin permanent recruitment business, which had a 50 basis point impact.</w:t>
      </w:r>
    </w:p>
    <w:p>
      <w:pPr>
        <w:spacing w:after="0" w:line="143"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Gross profit margin remained flat in the first nine months of 2024 compared to the first nine months of 2023, primarily due to decreased activity in our permanent recruitment business, which had a 40 basis point unfavorable impact, offset by a shift in business mix towards our higher-margin Talent Solutions outplacement services, which had a 40 basis point favorable impact.</w:t>
      </w:r>
    </w:p>
    <w:p>
      <w:pPr>
        <w:spacing w:after="0" w:line="13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Selling and administrative expenses decreased -7.2% (-9.2% in constant currency) in the third quarter of 2024 compared to the third quarter of 2023. The decrease is primarily driven by a $7.4 million decrease in salary-related costs as we experience the impacts of significant restructuring action taken in 2023 and $24.2 million in restructuring costs incurred in the third quarter of 2024 compared to $27.4 million in third quarter of 2023.</w:t>
      </w:r>
    </w:p>
    <w:p>
      <w:pPr>
        <w:spacing w:after="0" w:line="14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Selling and administrative expenses decreased -10.9% (-12.1% in constant currency) in the first nine months of 2024 compared to the first nine months of 2023. The decrease is primarily driven by a $39.9 million decrease in total personnel costs as we experience the impacts of significant restructuring actions taken in 2023 and $24.2 million in restructuring costs incurred in the first nine months of 2024 compared to $37.7 million in first three months of 2023.</w:t>
      </w:r>
    </w:p>
    <w:p>
      <w:pPr>
        <w:spacing w:after="0" w:line="13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OUP in Northern Europe increased 16.1% (18.7% in constant currency) in the third quarter of 2024, which represents a -3.1% OUP margin, an increase from -3.4% in the third quarter of 2023. This OUP increase was primarily driven by an OUP improvement in Germany of $10.5 million. The OUP increase was also driven by a decrease in selling and administrative expenses as we saw the effects of restructuring actions taken in the prior year period, as noted above.</w:t>
      </w:r>
    </w:p>
    <w:p>
      <w:pPr>
        <w:spacing w:after="0" w:line="13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OUP in Northern Europe increased 20.5% (20.8% in constant currency) in the first nine months of 2024, which represents a -1.1% OUP margin, an increase from -1.2% in the first nine months of 2023. This OUP increase was primarily driven by an OUP improvement in Germany of $20.3 million, partially offset by a decrease in profitability in the Nordics, which experienced an aggregate decrease of $9.5 million. The OUP increase was also driven by a decrease in selling and administrative expenses as we saw the effects of restructuring actions taken in the prior year period, as noted above.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APME</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Revenues from services decreased -0.3% (increase of 1.6% in constant currency and 3.0% in organic constant currency) in the third quarter of 2024 compared to the third quarter of 2023. In Japan (which represents 52% of APME’s revenues), revenues from services increased 5.8% (9.1% in constant currency), primarily driven by a $24.1 million increase in demand for our Manpower and Experis staffing/interim services, partially offset by the $9.1 million unfavorable impact of currency exchange rates. In Australia (which represents 6% of APME’s revenues), revenues from services decreased -26.1% (-27.7% in constant currency), primarily driven by an $8.9 million decrease in our permanent recruitment business driven by the non-recurrence of a government contract from the prior year period and a $5.1 million decrease in demand for our Manpower and Experis staffing/interim services.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33" w:name="page34"/>
    <w:bookmarkEnd w:id="33"/>
    <w:p>
      <w:pPr>
        <w:ind w:right="60"/>
        <w:spacing w:after="0" w:line="256" w:lineRule="auto"/>
        <w:rPr>
          <w:sz w:val="20"/>
          <w:szCs w:val="20"/>
          <w:color w:val="auto"/>
        </w:rPr>
      </w:pPr>
      <w:r>
        <w:rPr>
          <w:rFonts w:ascii="Times New Roman" w:cs="Times New Roman" w:eastAsia="Times New Roman" w:hAnsi="Times New Roman"/>
          <w:sz w:val="18"/>
          <w:szCs w:val="18"/>
          <w:color w:val="auto"/>
        </w:rPr>
        <w:t>Revenues from services decreased -7.4% (-1.8% in constant currency and -0.5% in organic constant currency) in the first nine months of 2024 compared to the first nine months of 2023. In Japan, revenues from services decreased -1.2% (increase of 8.2% in constant currency), primarily driven by the $79.7 million unfavorable impact of currency exchange rates, partially offset by a $70.9 million increase in demand for our Manpower and Experis staffing/interim services. In Australia, revenues from services decreased -43.4% (-42.9% in constant currency), primarily driven by a $56.0 million decrease in our permanent recruitment business driven by the non-recurrence of a government contract from the prior year period and a $21.3 million decrease in demand for our Manpower and Experis staffing/interim services.</w:t>
      </w:r>
    </w:p>
    <w:p>
      <w:pPr>
        <w:spacing w:after="0" w:line="16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Gross profit margin remained flat in the third quarter of 2024 compared to the third quarter of 2023, primarily due to decreased activity in our permanent recruitment business, particularly Talent Solutions RPO, which decreased 60 basis points, offset by improvement in our staffing/interim margins, which had a 60 basis point offsetting impact.</w:t>
      </w:r>
    </w:p>
    <w:p>
      <w:pPr>
        <w:spacing w:after="0" w:line="13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Gross profit margin decreased 110 basis points in the first nine months 2024 compared to the first nine months 2023, primarily due to decreased activity in our permanent recruitment business, particularly Talent Solutions RPO, which contributed 180 basis points to the decrease, and a decrease in activity across our higher-margin outplacement services, which contributed 20 basis points to the decrease. These contributions were partially offset by improvement in our staffing/interim margins, which had a 90 basis point impact.</w:t>
      </w:r>
    </w:p>
    <w:p>
      <w:pPr>
        <w:spacing w:after="0" w:line="13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Selling and administrative expenses increased 1.1% (2.4% in constant currency and 3.7% in organic constant currency) in the third quarter of 2024 compared to the third quarter of 2023. The increase is primarily due to the $2.2 million in restructuring costs incurred in the third quarter of 2024 compared to $0.8 million in third quarter of 2023 and a $0.9 million increase in consulting and outside services costs associated with our technology and back-office transformation initiatives, partially offset by the $0.9 million favorable impact of currency exchange rates and a $0.9 million decrease in software and software maintenance costs.</w:t>
      </w:r>
    </w:p>
    <w:p>
      <w:pPr>
        <w:spacing w:after="0" w:line="156"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Selling and administrative expenses decreased -16.3% (-11.5% in constant currency and -10.4% in organic constant currency) in the first nine months of 2024 compared to the first nine months of 2023. The decrease is primarily driven by an $11.3 million decrease in salary related costs from a reduction in headcount, the $10.7 million favorable impact of currency exchange rates, a $6.0 million decrease in office lease costs and other office related costs and a $4.7 million decrease in consulting and outside services costs.</w:t>
      </w:r>
    </w:p>
    <w:p>
      <w:pPr>
        <w:spacing w:after="0" w:line="139"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OUP in APME decreased -5.5% (-1.9% in constant currency and -0.2% in organic constant currency) in the third quarter of 2024, which represents a 4.1% OUP margin, a decrease from 4.3% in the third quarter of 2023. This OUP decrease was primarily driven by an increase in selling and administrative expenses, as noted above, partially offset by increased activity and gross profit margin improvements in our staffing services, as noted above.</w:t>
      </w:r>
    </w:p>
    <w:p>
      <w:pPr>
        <w:spacing w:after="0" w:line="11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OUP in APME decreased -4.4% (increases of 3.3% in constant currency and 4.6% in organic constant currency), in the first nine months of 2024, which represents a 4.1% OUP margin, an increase from 4.0% in the first nine months of 2023. This OUP decrease was primarily driven by the decreased activity in our permanent recruitment business, partially offset by a decrease in selling and administrative expenses, as noted above.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auto"/>
        </w:rPr>
        <w:t>Financial Measures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Constant Currency and Organic Constant Currency Reconciliation</w:t>
      </w:r>
    </w:p>
    <w:p>
      <w:pPr>
        <w:spacing w:after="0" w:line="187"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Changes in our financial results include the impact of changes in foreign currency exchange rates, acquisitions, and dispositions. We provide “constant currency” and “organic constant currency” calculations in this report to remove the impact of these items. We express year-over-year variances that are calculated in constant currency and organic constant currency as a percentage.</w:t>
      </w:r>
    </w:p>
    <w:p>
      <w:pPr>
        <w:spacing w:after="0" w:line="135"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When we use the term “constant currency,” it means that we have translated financial data for a period into United States dollars using the same foreign currency exchange rates that we used to translate financial data for the previous period. We believe that this calculation is a useful measure, indicating the actual growth or decline of our operations. We use constant currency results in our analysis of subsidiary or segment performance, including Argentina which operates in a hyperinflationary economy.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reported earnings and not our actual cash flow unless earnings are repatriated.</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When we use the term “organic constant currency,” it means that we have further removed the impact of acquisitions in the current period and dispositions from the prior period from our constant currency calculation. We believe that this calculation is useful because it allows us to show the actual growth or decline of our ongoing business.</w:t>
      </w:r>
    </w:p>
    <w:p>
      <w:pPr>
        <w:spacing w:after="0" w:line="135"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The constant currency and organic constant currency financial measures are used to supplement those measures that are in accordance with United States Generally Accepted Accounting Principles (“GAAP”). These Non-GAAP financial measures may not provide information that is directly comparable to that provided by other companies in our industry, as other companies may calculate such financial results differently. These Non-GAAP financial measures are not measurements of financial performance under GAAP, and should not be considered as alternatives to measures presented in accordance with GAAP.</w:t>
      </w:r>
    </w:p>
    <w:p>
      <w:pPr>
        <w:spacing w:after="0" w:line="124"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Constant currency and organic constant currency percent variances, along with a reconciliation of these amounts to certain of our reported results, are provided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340" w:type="dxa"/>
            <w:vAlign w:val="bottom"/>
            <w:tcBorders>
              <w:bottom w:val="single" w:sz="8" w:color="auto"/>
            </w:tcBorders>
            <w:gridSpan w:val="8"/>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2024, Compared to 2023</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Impact of</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Acquisition</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5"/>
              </w:rPr>
              <w:t>s</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and</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Disposition</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5"/>
              </w:rPr>
              <w:t>s</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Organic</w:t>
            </w:r>
          </w:p>
        </w:tc>
        <w:tc>
          <w:tcPr>
            <w:tcW w:w="0" w:type="dxa"/>
            <w:vAlign w:val="bottom"/>
          </w:tcPr>
          <w:p>
            <w:pPr>
              <w:spacing w:after="0"/>
              <w:rPr>
                <w:sz w:val="1"/>
                <w:szCs w:val="1"/>
                <w:color w:val="auto"/>
              </w:rPr>
            </w:pPr>
          </w:p>
        </w:tc>
      </w:tr>
      <w:tr>
        <w:trPr>
          <w:trHeight w:val="203"/>
        </w:trPr>
        <w:tc>
          <w:tcPr>
            <w:tcW w:w="4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Constant</w:t>
            </w: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Constant</w:t>
            </w:r>
          </w:p>
        </w:tc>
        <w:tc>
          <w:tcPr>
            <w:tcW w:w="0" w:type="dxa"/>
            <w:vAlign w:val="bottom"/>
          </w:tcPr>
          <w:p>
            <w:pPr>
              <w:spacing w:after="0"/>
              <w:rPr>
                <w:sz w:val="1"/>
                <w:szCs w:val="1"/>
                <w:color w:val="auto"/>
              </w:rPr>
            </w:pPr>
          </w:p>
        </w:tc>
      </w:tr>
      <w:tr>
        <w:trPr>
          <w:trHeight w:val="189"/>
        </w:trPr>
        <w:tc>
          <w:tcPr>
            <w:tcW w:w="4780" w:type="dxa"/>
            <w:vAlign w:val="bottom"/>
          </w:tcPr>
          <w:p>
            <w:pPr>
              <w:spacing w:after="0"/>
              <w:rPr>
                <w:sz w:val="16"/>
                <w:szCs w:val="16"/>
                <w:color w:val="auto"/>
              </w:rPr>
            </w:pPr>
          </w:p>
        </w:tc>
        <w:tc>
          <w:tcPr>
            <w:tcW w:w="9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120" w:type="dxa"/>
            <w:vAlign w:val="bottom"/>
          </w:tcPr>
          <w:p>
            <w:pPr>
              <w:spacing w:after="0"/>
              <w:rPr>
                <w:sz w:val="16"/>
                <w:szCs w:val="16"/>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Impact of</w:t>
            </w: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Constant</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0" w:type="dxa"/>
            <w:vAlign w:val="bottom"/>
          </w:tcPr>
          <w:p>
            <w:pPr>
              <w:spacing w:after="0"/>
              <w:rPr>
                <w:sz w:val="1"/>
                <w:szCs w:val="1"/>
                <w:color w:val="auto"/>
              </w:rPr>
            </w:pPr>
          </w:p>
        </w:tc>
      </w:tr>
      <w:tr>
        <w:trPr>
          <w:trHeight w:val="246"/>
        </w:trPr>
        <w:tc>
          <w:tcPr>
            <w:tcW w:w="4780" w:type="dxa"/>
            <w:vAlign w:val="bottom"/>
          </w:tcPr>
          <w:p>
            <w:pPr>
              <w:spacing w:after="0"/>
              <w:rPr>
                <w:sz w:val="21"/>
                <w:szCs w:val="21"/>
                <w:color w:val="auto"/>
              </w:rPr>
            </w:pPr>
          </w:p>
        </w:tc>
        <w:tc>
          <w:tcPr>
            <w:tcW w:w="9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Amount</w:t>
            </w:r>
            <w:r>
              <w:rPr>
                <w:rFonts w:ascii="Times New Roman" w:cs="Times New Roman" w:eastAsia="Times New Roman" w:hAnsi="Times New Roman"/>
                <w:sz w:val="21"/>
                <w:szCs w:val="21"/>
                <w:b w:val="1"/>
                <w:bCs w:val="1"/>
                <w:color w:val="auto"/>
                <w:vertAlign w:val="superscript"/>
              </w:rPr>
              <w:t>(a)</w:t>
            </w:r>
          </w:p>
        </w:tc>
        <w:tc>
          <w:tcPr>
            <w:tcW w:w="120" w:type="dxa"/>
            <w:vAlign w:val="bottom"/>
          </w:tcPr>
          <w:p>
            <w:pPr>
              <w:spacing w:after="0"/>
              <w:rPr>
                <w:sz w:val="21"/>
                <w:szCs w:val="21"/>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Variance</w:t>
            </w: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Revenues from services:</w:t>
            </w:r>
          </w:p>
        </w:tc>
        <w:tc>
          <w:tcPr>
            <w:tcW w:w="2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Americas: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United States</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697.4</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(4.5 )%</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0" w:type="dxa"/>
            <w:vAlign w:val="bottom"/>
          </w:tcPr>
          <w:p>
            <w:pPr>
              <w:spacing w:after="0"/>
              <w:rPr>
                <w:sz w:val="1"/>
                <w:szCs w:val="1"/>
                <w:color w:val="auto"/>
              </w:rPr>
            </w:pPr>
          </w:p>
        </w:tc>
      </w:tr>
      <w:tr>
        <w:trPr>
          <w:trHeight w:val="246"/>
        </w:trPr>
        <w:tc>
          <w:tcPr>
            <w:tcW w:w="4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Americas</w:t>
            </w: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353.1</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(7.3 )%</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(20.4 )%</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13.1 %</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13.1 %</w:t>
            </w:r>
          </w:p>
        </w:tc>
        <w:tc>
          <w:tcPr>
            <w:tcW w:w="0" w:type="dxa"/>
            <w:vAlign w:val="bottom"/>
          </w:tcPr>
          <w:p>
            <w:pPr>
              <w:spacing w:after="0"/>
              <w:rPr>
                <w:sz w:val="1"/>
                <w:szCs w:val="1"/>
                <w:color w:val="auto"/>
              </w:rPr>
            </w:pPr>
          </w:p>
        </w:tc>
      </w:tr>
      <w:tr>
        <w:trPr>
          <w:trHeight w:val="220"/>
        </w:trPr>
        <w:tc>
          <w:tcPr>
            <w:tcW w:w="47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1,050.5</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(5.5 )%</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(7.0 )%</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1.5 %</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1.5 %</w:t>
            </w:r>
          </w:p>
        </w:tc>
        <w:tc>
          <w:tcPr>
            <w:tcW w:w="0" w:type="dxa"/>
            <w:vAlign w:val="bottom"/>
          </w:tcPr>
          <w:p>
            <w:pPr>
              <w:spacing w:after="0"/>
              <w:rPr>
                <w:sz w:val="1"/>
                <w:szCs w:val="1"/>
                <w:color w:val="auto"/>
              </w:rPr>
            </w:pPr>
          </w:p>
        </w:tc>
      </w:tr>
      <w:tr>
        <w:trPr>
          <w:trHeight w:val="210"/>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Southern Europe:</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France</w:t>
            </w:r>
          </w:p>
        </w:tc>
        <w:tc>
          <w:tcPr>
            <w:tcW w:w="200" w:type="dxa"/>
            <w:vAlign w:val="bottom"/>
          </w:tcPr>
          <w:p>
            <w:pPr>
              <w:spacing w:after="0"/>
              <w:rPr>
                <w:sz w:val="19"/>
                <w:szCs w:val="19"/>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1,179.7</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(2.5 )%</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0.8 %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0" w:type="dxa"/>
            <w:vAlign w:val="bottom"/>
          </w:tcPr>
          <w:p>
            <w:pPr>
              <w:spacing w:after="0"/>
              <w:rPr>
                <w:sz w:val="1"/>
                <w:szCs w:val="1"/>
                <w:color w:val="auto"/>
              </w:rPr>
            </w:pPr>
          </w:p>
        </w:tc>
      </w:tr>
      <w:tr>
        <w:trPr>
          <w:trHeight w:val="230"/>
        </w:trPr>
        <w:tc>
          <w:tcPr>
            <w:tcW w:w="4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Italy</w:t>
            </w:r>
          </w:p>
        </w:tc>
        <w:tc>
          <w:tcPr>
            <w:tcW w:w="200" w:type="dxa"/>
            <w:vAlign w:val="bottom"/>
          </w:tcPr>
          <w:p>
            <w:pPr>
              <w:spacing w:after="0"/>
              <w:rPr>
                <w:sz w:val="19"/>
                <w:szCs w:val="19"/>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419.1</w:t>
            </w: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1.3 %</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0.8 %</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0.5 %</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0.5 %</w:t>
            </w:r>
          </w:p>
        </w:tc>
        <w:tc>
          <w:tcPr>
            <w:tcW w:w="0" w:type="dxa"/>
            <w:vAlign w:val="bottom"/>
          </w:tcPr>
          <w:p>
            <w:pPr>
              <w:spacing w:after="0"/>
              <w:rPr>
                <w:sz w:val="1"/>
                <w:szCs w:val="1"/>
                <w:color w:val="auto"/>
              </w:rPr>
            </w:pPr>
          </w:p>
        </w:tc>
      </w:tr>
      <w:tr>
        <w:trPr>
          <w:trHeight w:val="246"/>
        </w:trPr>
        <w:tc>
          <w:tcPr>
            <w:tcW w:w="4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Southern Europe</w:t>
            </w: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496.8</w:t>
            </w: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2.4 %</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0.3 %</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2.1 %</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2.1 %</w:t>
            </w:r>
          </w:p>
        </w:tc>
        <w:tc>
          <w:tcPr>
            <w:tcW w:w="0" w:type="dxa"/>
            <w:vAlign w:val="bottom"/>
          </w:tcPr>
          <w:p>
            <w:pPr>
              <w:spacing w:after="0"/>
              <w:rPr>
                <w:sz w:val="1"/>
                <w:szCs w:val="1"/>
                <w:color w:val="auto"/>
              </w:rPr>
            </w:pPr>
          </w:p>
        </w:tc>
      </w:tr>
      <w:tr>
        <w:trPr>
          <w:trHeight w:val="220"/>
        </w:trPr>
        <w:tc>
          <w:tcPr>
            <w:tcW w:w="47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2,095.6</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(0.6 )%</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0.7 %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0" w:type="dxa"/>
            <w:vAlign w:val="bottom"/>
          </w:tcPr>
          <w:p>
            <w:pPr>
              <w:spacing w:after="0"/>
              <w:rPr>
                <w:sz w:val="1"/>
                <w:szCs w:val="1"/>
                <w:color w:val="auto"/>
              </w:rPr>
            </w:pPr>
          </w:p>
        </w:tc>
      </w:tr>
      <w:tr>
        <w:trPr>
          <w:trHeight w:val="210"/>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Northern Europe</w:t>
            </w:r>
          </w:p>
        </w:tc>
        <w:tc>
          <w:tcPr>
            <w:tcW w:w="200" w:type="dxa"/>
            <w:vAlign w:val="bottom"/>
          </w:tcPr>
          <w:p>
            <w:pPr>
              <w:spacing w:after="0"/>
              <w:rPr>
                <w:sz w:val="18"/>
                <w:szCs w:val="18"/>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828.3</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(9.4 )%</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(11.0 )%</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(11.0 )%</w:t>
            </w:r>
          </w:p>
        </w:tc>
        <w:tc>
          <w:tcPr>
            <w:tcW w:w="0" w:type="dxa"/>
            <w:vAlign w:val="bottom"/>
          </w:tcPr>
          <w:p>
            <w:pPr>
              <w:spacing w:after="0"/>
              <w:rPr>
                <w:sz w:val="1"/>
                <w:szCs w:val="1"/>
                <w:color w:val="auto"/>
              </w:rPr>
            </w:pPr>
          </w:p>
        </w:tc>
      </w:tr>
      <w:tr>
        <w:trPr>
          <w:trHeight w:val="246"/>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APME</w:t>
            </w: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562.8</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(0.3 )%</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(1.9 )%</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1.6 %</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(1.4 )%</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3.0 %</w:t>
            </w:r>
          </w:p>
        </w:tc>
        <w:tc>
          <w:tcPr>
            <w:tcW w:w="0" w:type="dxa"/>
            <w:vAlign w:val="bottom"/>
          </w:tcPr>
          <w:p>
            <w:pPr>
              <w:spacing w:after="0"/>
              <w:rPr>
                <w:sz w:val="1"/>
                <w:szCs w:val="1"/>
                <w:color w:val="auto"/>
              </w:rPr>
            </w:pPr>
          </w:p>
        </w:tc>
      </w:tr>
      <w:tr>
        <w:trPr>
          <w:trHeight w:val="220"/>
        </w:trPr>
        <w:tc>
          <w:tcPr>
            <w:tcW w:w="47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4,537.2</w:t>
            </w:r>
          </w:p>
        </w:tc>
        <w:tc>
          <w:tcPr>
            <w:tcW w:w="1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Intercompany Eliminations</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Consolidated</w:t>
            </w: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4,530.2</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(3.1 )%</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(0.1 )%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0" w:type="dxa"/>
            <w:vAlign w:val="bottom"/>
          </w:tcPr>
          <w:p>
            <w:pPr>
              <w:spacing w:after="0"/>
              <w:rPr>
                <w:sz w:val="1"/>
                <w:szCs w:val="1"/>
                <w:color w:val="auto"/>
              </w:rPr>
            </w:pPr>
          </w:p>
        </w:tc>
      </w:tr>
      <w:tr>
        <w:trPr>
          <w:trHeight w:val="20"/>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(4.8 )%</w:t>
            </w:r>
          </w:p>
        </w:tc>
        <w:tc>
          <w:tcPr>
            <w:tcW w:w="10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(1.1 )%</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0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(0.2 )%</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0" w:type="dxa"/>
            <w:vAlign w:val="bottom"/>
          </w:tcPr>
          <w:p>
            <w:pPr>
              <w:spacing w:after="0" w:line="20" w:lineRule="exact"/>
              <w:rPr>
                <w:sz w:val="1"/>
                <w:szCs w:val="1"/>
                <w:color w:val="auto"/>
              </w:rPr>
            </w:pPr>
          </w:p>
        </w:tc>
      </w:tr>
      <w:tr>
        <w:trPr>
          <w:trHeight w:val="191"/>
        </w:trPr>
        <w:tc>
          <w:tcPr>
            <w:tcW w:w="4780" w:type="dxa"/>
            <w:vAlign w:val="bottom"/>
            <w:vMerge w:val="continue"/>
          </w:tcPr>
          <w:p>
            <w:pPr>
              <w:spacing w:after="0"/>
              <w:rPr>
                <w:sz w:val="16"/>
                <w:szCs w:val="16"/>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782.1</w:t>
            </w:r>
          </w:p>
        </w:tc>
        <w:tc>
          <w:tcPr>
            <w:tcW w:w="1240" w:type="dxa"/>
            <w:vAlign w:val="bottom"/>
            <w:gridSpan w:val="3"/>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Expenses</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711.3</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(5.4 )%</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(0.1 )%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Profit</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70.8</w:t>
            </w: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1.5 %</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(3.0 )%</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4.5 %</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(0.4 )%</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-2404110</wp:posOffset>
            </wp:positionV>
            <wp:extent cx="7132320" cy="1460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-1804035</wp:posOffset>
            </wp:positionV>
            <wp:extent cx="7132320" cy="1460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-1203960</wp:posOffset>
            </wp:positionV>
            <wp:extent cx="7132320" cy="1460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-278130</wp:posOffset>
            </wp:positionV>
            <wp:extent cx="7132320" cy="1454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-2104390</wp:posOffset>
            </wp:positionV>
            <wp:extent cx="7132320" cy="1543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-1512570</wp:posOffset>
            </wp:positionV>
            <wp:extent cx="7132320" cy="1543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-758190</wp:posOffset>
            </wp:positionV>
            <wp:extent cx="7747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-595630</wp:posOffset>
            </wp:positionV>
            <wp:extent cx="7132320" cy="1714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480" w:hanging="472"/>
        <w:spacing w:after="0"/>
        <w:tabs>
          <w:tab w:leader="none" w:pos="4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millions for the three months ended September 30, 2024.</w:t>
      </w:r>
    </w:p>
    <w:p>
      <w:pPr>
        <w:spacing w:after="0" w:line="22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161"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25"/>
        </w:trPr>
        <w:tc>
          <w:tcPr>
            <w:tcW w:w="47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340" w:type="dxa"/>
            <w:vAlign w:val="bottom"/>
            <w:tcBorders>
              <w:bottom w:val="single" w:sz="8" w:color="auto"/>
            </w:tcBorders>
            <w:gridSpan w:val="8"/>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Nine Months Ended September 30, 2024, Compared to 2023</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Impact of</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Acquisition</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5"/>
              </w:rPr>
              <w:t>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and</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Disposition</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5"/>
              </w:rPr>
              <w:t>s</w:t>
            </w: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Organic</w:t>
            </w:r>
          </w:p>
        </w:tc>
        <w:tc>
          <w:tcPr>
            <w:tcW w:w="0" w:type="dxa"/>
            <w:vAlign w:val="bottom"/>
          </w:tcPr>
          <w:p>
            <w:pPr>
              <w:spacing w:after="0"/>
              <w:rPr>
                <w:sz w:val="1"/>
                <w:szCs w:val="1"/>
                <w:color w:val="auto"/>
              </w:rPr>
            </w:pPr>
          </w:p>
        </w:tc>
      </w:tr>
      <w:tr>
        <w:trPr>
          <w:trHeight w:val="203"/>
        </w:trPr>
        <w:tc>
          <w:tcPr>
            <w:tcW w:w="4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Constant</w:t>
            </w: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w:t>
            </w: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Constant</w:t>
            </w:r>
          </w:p>
        </w:tc>
        <w:tc>
          <w:tcPr>
            <w:tcW w:w="0" w:type="dxa"/>
            <w:vAlign w:val="bottom"/>
          </w:tcPr>
          <w:p>
            <w:pPr>
              <w:spacing w:after="0"/>
              <w:rPr>
                <w:sz w:val="1"/>
                <w:szCs w:val="1"/>
                <w:color w:val="auto"/>
              </w:rPr>
            </w:pPr>
          </w:p>
        </w:tc>
      </w:tr>
      <w:tr>
        <w:trPr>
          <w:trHeight w:val="175"/>
        </w:trPr>
        <w:tc>
          <w:tcPr>
            <w:tcW w:w="4780" w:type="dxa"/>
            <w:vAlign w:val="bottom"/>
          </w:tcPr>
          <w:p>
            <w:pPr>
              <w:spacing w:after="0"/>
              <w:rPr>
                <w:sz w:val="15"/>
                <w:szCs w:val="15"/>
                <w:color w:val="auto"/>
              </w:rPr>
            </w:pPr>
          </w:p>
        </w:tc>
        <w:tc>
          <w:tcPr>
            <w:tcW w:w="1060" w:type="dxa"/>
            <w:vAlign w:val="bottom"/>
            <w:gridSpan w:val="3"/>
          </w:tcPr>
          <w:p>
            <w:pPr>
              <w:jc w:val="right"/>
              <w:ind w:right="340"/>
              <w:spacing w:after="0" w:line="175" w:lineRule="exact"/>
              <w:rPr>
                <w:sz w:val="20"/>
                <w:szCs w:val="20"/>
                <w:color w:val="auto"/>
              </w:rPr>
            </w:pPr>
            <w:r>
              <w:rPr>
                <w:rFonts w:ascii="Times New Roman" w:cs="Times New Roman" w:eastAsia="Times New Roman" w:hAnsi="Times New Roman"/>
                <w:sz w:val="16"/>
                <w:szCs w:val="16"/>
                <w:b w:val="1"/>
                <w:bCs w:val="1"/>
                <w:color w:val="auto"/>
              </w:rPr>
              <w:t>Reported</w:t>
            </w:r>
          </w:p>
        </w:tc>
        <w:tc>
          <w:tcPr>
            <w:tcW w:w="1120" w:type="dxa"/>
            <w:vAlign w:val="bottom"/>
            <w:gridSpan w:val="2"/>
          </w:tcPr>
          <w:p>
            <w:pPr>
              <w:jc w:val="right"/>
              <w:ind w:right="360"/>
              <w:spacing w:after="0" w:line="175" w:lineRule="exact"/>
              <w:rPr>
                <w:sz w:val="20"/>
                <w:szCs w:val="20"/>
                <w:color w:val="auto"/>
              </w:rPr>
            </w:pPr>
            <w:r>
              <w:rPr>
                <w:rFonts w:ascii="Times New Roman" w:cs="Times New Roman" w:eastAsia="Times New Roman" w:hAnsi="Times New Roman"/>
                <w:sz w:val="16"/>
                <w:szCs w:val="16"/>
                <w:b w:val="1"/>
                <w:bCs w:val="1"/>
                <w:color w:val="auto"/>
              </w:rPr>
              <w:t>Reported</w:t>
            </w:r>
          </w:p>
        </w:tc>
        <w:tc>
          <w:tcPr>
            <w:tcW w:w="1080" w:type="dxa"/>
            <w:vAlign w:val="bottom"/>
            <w:gridSpan w:val="2"/>
          </w:tcPr>
          <w:p>
            <w:pPr>
              <w:jc w:val="right"/>
              <w:ind w:right="320"/>
              <w:spacing w:after="0" w:line="175" w:lineRule="exact"/>
              <w:rPr>
                <w:sz w:val="20"/>
                <w:szCs w:val="20"/>
                <w:color w:val="auto"/>
              </w:rPr>
            </w:pPr>
            <w:r>
              <w:rPr>
                <w:rFonts w:ascii="Times New Roman" w:cs="Times New Roman" w:eastAsia="Times New Roman" w:hAnsi="Times New Roman"/>
                <w:sz w:val="16"/>
                <w:szCs w:val="16"/>
                <w:b w:val="1"/>
                <w:bCs w:val="1"/>
                <w:color w:val="auto"/>
              </w:rPr>
              <w:t>Impact of</w:t>
            </w:r>
          </w:p>
        </w:tc>
        <w:tc>
          <w:tcPr>
            <w:tcW w:w="1060" w:type="dxa"/>
            <w:vAlign w:val="bottom"/>
            <w:gridSpan w:val="2"/>
          </w:tcPr>
          <w:p>
            <w:pPr>
              <w:ind w:left="100"/>
              <w:spacing w:after="0" w:line="175"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1080" w:type="dxa"/>
            <w:vAlign w:val="bottom"/>
            <w:gridSpan w:val="2"/>
          </w:tcPr>
          <w:p>
            <w:pPr>
              <w:jc w:val="center"/>
              <w:ind w:right="220"/>
              <w:spacing w:after="0" w:line="175" w:lineRule="exact"/>
              <w:rPr>
                <w:sz w:val="20"/>
                <w:szCs w:val="20"/>
                <w:color w:val="auto"/>
              </w:rPr>
            </w:pPr>
            <w:r>
              <w:rPr>
                <w:rFonts w:ascii="Times New Roman" w:cs="Times New Roman" w:eastAsia="Times New Roman" w:hAnsi="Times New Roman"/>
                <w:sz w:val="16"/>
                <w:szCs w:val="16"/>
                <w:b w:val="1"/>
                <w:bCs w:val="1"/>
                <w:color w:val="auto"/>
                <w:w w:val="99"/>
              </w:rPr>
              <w:t>Constant</w:t>
            </w:r>
          </w:p>
        </w:tc>
        <w:tc>
          <w:tcPr>
            <w:tcW w:w="1160" w:type="dxa"/>
            <w:vAlign w:val="bottom"/>
            <w:gridSpan w:val="3"/>
          </w:tcPr>
          <w:p>
            <w:pPr>
              <w:jc w:val="center"/>
              <w:ind w:right="220"/>
              <w:spacing w:after="0" w:line="175"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0" w:type="dxa"/>
            <w:vAlign w:val="bottom"/>
          </w:tcPr>
          <w:p>
            <w:pPr>
              <w:spacing w:after="0"/>
              <w:rPr>
                <w:sz w:val="1"/>
                <w:szCs w:val="1"/>
                <w:color w:val="auto"/>
              </w:rPr>
            </w:pPr>
          </w:p>
        </w:tc>
      </w:tr>
      <w:tr>
        <w:trPr>
          <w:trHeight w:val="259"/>
        </w:trPr>
        <w:tc>
          <w:tcPr>
            <w:tcW w:w="4780" w:type="dxa"/>
            <w:vAlign w:val="bottom"/>
          </w:tcPr>
          <w:p>
            <w:pPr>
              <w:spacing w:after="0"/>
              <w:rPr>
                <w:sz w:val="22"/>
                <w:szCs w:val="22"/>
                <w:color w:val="auto"/>
              </w:rPr>
            </w:pPr>
          </w:p>
        </w:tc>
        <w:tc>
          <w:tcPr>
            <w:tcW w:w="106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Amount</w:t>
            </w:r>
            <w:r>
              <w:rPr>
                <w:rFonts w:ascii="Times New Roman" w:cs="Times New Roman" w:eastAsia="Times New Roman" w:hAnsi="Times New Roman"/>
                <w:sz w:val="21"/>
                <w:szCs w:val="21"/>
                <w:b w:val="1"/>
                <w:bCs w:val="1"/>
                <w:color w:val="auto"/>
                <w:vertAlign w:val="superscript"/>
              </w:rPr>
              <w:t>(a)</w:t>
            </w: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Variance</w:t>
            </w: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Revenues from services:</w:t>
            </w:r>
          </w:p>
        </w:tc>
        <w:tc>
          <w:tcPr>
            <w:tcW w:w="16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Americas: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United States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2,074.8</w:t>
            </w:r>
          </w:p>
        </w:tc>
        <w:tc>
          <w:tcPr>
            <w:tcW w:w="2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(4.9 )%</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0" w:type="dxa"/>
            <w:vAlign w:val="bottom"/>
          </w:tcPr>
          <w:p>
            <w:pPr>
              <w:spacing w:after="0"/>
              <w:rPr>
                <w:sz w:val="1"/>
                <w:szCs w:val="1"/>
                <w:color w:val="auto"/>
              </w:rPr>
            </w:pPr>
          </w:p>
        </w:tc>
      </w:tr>
      <w:tr>
        <w:trPr>
          <w:trHeight w:val="246"/>
        </w:trPr>
        <w:tc>
          <w:tcPr>
            <w:tcW w:w="4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Americas</w:t>
            </w: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1,076.5</w:t>
            </w:r>
          </w:p>
        </w:tc>
        <w:tc>
          <w:tcPr>
            <w:tcW w:w="24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(7.1 )%</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(21.3 )%</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14.2 %</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14.2 %</w:t>
            </w:r>
          </w:p>
        </w:tc>
        <w:tc>
          <w:tcPr>
            <w:tcW w:w="0" w:type="dxa"/>
            <w:vAlign w:val="bottom"/>
          </w:tcPr>
          <w:p>
            <w:pPr>
              <w:spacing w:after="0"/>
              <w:rPr>
                <w:sz w:val="1"/>
                <w:szCs w:val="1"/>
                <w:color w:val="auto"/>
              </w:rPr>
            </w:pPr>
          </w:p>
        </w:tc>
      </w:tr>
      <w:tr>
        <w:trPr>
          <w:trHeight w:val="220"/>
        </w:trPr>
        <w:tc>
          <w:tcPr>
            <w:tcW w:w="47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3,151.3</w:t>
            </w:r>
          </w:p>
        </w:tc>
        <w:tc>
          <w:tcPr>
            <w:tcW w:w="2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(5.7 )%</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(7.5 )%</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1.8 %</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1.8 %</w:t>
            </w:r>
          </w:p>
        </w:tc>
        <w:tc>
          <w:tcPr>
            <w:tcW w:w="0" w:type="dxa"/>
            <w:vAlign w:val="bottom"/>
          </w:tcPr>
          <w:p>
            <w:pPr>
              <w:spacing w:after="0"/>
              <w:rPr>
                <w:sz w:val="1"/>
                <w:szCs w:val="1"/>
                <w:color w:val="auto"/>
              </w:rPr>
            </w:pPr>
          </w:p>
        </w:tc>
      </w:tr>
      <w:tr>
        <w:trPr>
          <w:trHeight w:val="210"/>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Southern Europe:</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France</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3,483.9</w:t>
            </w:r>
          </w:p>
        </w:tc>
        <w:tc>
          <w:tcPr>
            <w:tcW w:w="2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(4.7 )%</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0.3 %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0" w:type="dxa"/>
            <w:vAlign w:val="bottom"/>
          </w:tcPr>
          <w:p>
            <w:pPr>
              <w:spacing w:after="0"/>
              <w:rPr>
                <w:sz w:val="1"/>
                <w:szCs w:val="1"/>
                <w:color w:val="auto"/>
              </w:rPr>
            </w:pPr>
          </w:p>
        </w:tc>
      </w:tr>
      <w:tr>
        <w:trPr>
          <w:trHeight w:val="229"/>
        </w:trPr>
        <w:tc>
          <w:tcPr>
            <w:tcW w:w="4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Italy</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1,258.3</w:t>
            </w:r>
          </w:p>
        </w:tc>
        <w:tc>
          <w:tcPr>
            <w:tcW w:w="2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(2.7 )%</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0.3 %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0" w:type="dxa"/>
            <w:vAlign w:val="bottom"/>
          </w:tcPr>
          <w:p>
            <w:pPr>
              <w:spacing w:after="0"/>
              <w:rPr>
                <w:sz w:val="1"/>
                <w:szCs w:val="1"/>
                <w:color w:val="auto"/>
              </w:rPr>
            </w:pPr>
          </w:p>
        </w:tc>
      </w:tr>
      <w:tr>
        <w:trPr>
          <w:trHeight w:val="246"/>
        </w:trPr>
        <w:tc>
          <w:tcPr>
            <w:tcW w:w="4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Southern Europe</w:t>
            </w: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1,432.7</w:t>
            </w:r>
          </w:p>
        </w:tc>
        <w:tc>
          <w:tcPr>
            <w:tcW w:w="24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(1.4 )%</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0" w:type="dxa"/>
            <w:vAlign w:val="bottom"/>
          </w:tcPr>
          <w:p>
            <w:pPr>
              <w:spacing w:after="0"/>
              <w:rPr>
                <w:sz w:val="1"/>
                <w:szCs w:val="1"/>
                <w:color w:val="auto"/>
              </w:rPr>
            </w:pPr>
          </w:p>
        </w:tc>
      </w:tr>
      <w:tr>
        <w:trPr>
          <w:trHeight w:val="220"/>
        </w:trPr>
        <w:tc>
          <w:tcPr>
            <w:tcW w:w="47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6,174.9</w:t>
            </w:r>
          </w:p>
        </w:tc>
        <w:tc>
          <w:tcPr>
            <w:tcW w:w="2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(3.6 )%</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(0.1 )%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0" w:type="dxa"/>
            <w:vAlign w:val="bottom"/>
          </w:tcPr>
          <w:p>
            <w:pPr>
              <w:spacing w:after="0"/>
              <w:rPr>
                <w:sz w:val="1"/>
                <w:szCs w:val="1"/>
                <w:color w:val="auto"/>
              </w:rPr>
            </w:pPr>
          </w:p>
        </w:tc>
      </w:tr>
      <w:tr>
        <w:trPr>
          <w:trHeight w:val="210"/>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Northern Europe</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2,535.9</w:t>
            </w:r>
          </w:p>
        </w:tc>
        <w:tc>
          <w:tcPr>
            <w:tcW w:w="2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(10.5 )%</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(11.7 )%</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(11.7 )%</w:t>
            </w:r>
          </w:p>
        </w:tc>
        <w:tc>
          <w:tcPr>
            <w:tcW w:w="0" w:type="dxa"/>
            <w:vAlign w:val="bottom"/>
          </w:tcPr>
          <w:p>
            <w:pPr>
              <w:spacing w:after="0"/>
              <w:rPr>
                <w:sz w:val="1"/>
                <w:szCs w:val="1"/>
                <w:color w:val="auto"/>
              </w:rPr>
            </w:pPr>
          </w:p>
        </w:tc>
      </w:tr>
      <w:tr>
        <w:trPr>
          <w:trHeight w:val="246"/>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APME</w:t>
            </w: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1,639.3</w:t>
            </w:r>
          </w:p>
        </w:tc>
        <w:tc>
          <w:tcPr>
            <w:tcW w:w="24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(7.4 )%</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(5.6 )%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(1.3 )%</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0" w:type="dxa"/>
            <w:vAlign w:val="bottom"/>
          </w:tcPr>
          <w:p>
            <w:pPr>
              <w:spacing w:after="0"/>
              <w:rPr>
                <w:sz w:val="1"/>
                <w:szCs w:val="1"/>
                <w:color w:val="auto"/>
              </w:rPr>
            </w:pPr>
          </w:p>
        </w:tc>
      </w:tr>
      <w:tr>
        <w:trPr>
          <w:trHeight w:val="219"/>
        </w:trPr>
        <w:tc>
          <w:tcPr>
            <w:tcW w:w="47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13,501.4</w:t>
            </w:r>
          </w:p>
        </w:tc>
        <w:tc>
          <w:tcPr>
            <w:tcW w:w="2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Intercompany Eliminations</w:t>
            </w: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(47.2 )</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Consolidated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13,454.2</w:t>
            </w:r>
          </w:p>
        </w:tc>
        <w:tc>
          <w:tcPr>
            <w:tcW w:w="2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(5.8 )%</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(2.2 )%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(0.2 )%</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0" w:type="dxa"/>
            <w:vAlign w:val="bottom"/>
          </w:tcPr>
          <w:p>
            <w:pPr>
              <w:spacing w:after="0"/>
              <w:rPr>
                <w:sz w:val="1"/>
                <w:szCs w:val="1"/>
                <w:color w:val="auto"/>
              </w:rPr>
            </w:pPr>
          </w:p>
        </w:tc>
      </w:tr>
      <w:tr>
        <w:trPr>
          <w:trHeight w:val="20"/>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(8.5 )%</w:t>
            </w:r>
          </w:p>
        </w:tc>
        <w:tc>
          <w:tcPr>
            <w:tcW w:w="10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(1.9 )%</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10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(0.2 )%</w:t>
            </w:r>
          </w:p>
        </w:tc>
        <w:tc>
          <w:tcPr>
            <w:tcW w:w="11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0" w:type="dxa"/>
            <w:vAlign w:val="bottom"/>
          </w:tcPr>
          <w:p>
            <w:pPr>
              <w:spacing w:after="0" w:line="20" w:lineRule="exact"/>
              <w:rPr>
                <w:sz w:val="1"/>
                <w:szCs w:val="1"/>
                <w:color w:val="auto"/>
              </w:rPr>
            </w:pPr>
          </w:p>
        </w:tc>
      </w:tr>
      <w:tr>
        <w:trPr>
          <w:trHeight w:val="191"/>
        </w:trPr>
        <w:tc>
          <w:tcPr>
            <w:tcW w:w="4780" w:type="dxa"/>
            <w:vAlign w:val="bottom"/>
            <w:vMerge w:val="continue"/>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2,331.7</w:t>
            </w:r>
          </w:p>
        </w:tc>
        <w:tc>
          <w:tcPr>
            <w:tcW w:w="2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2,093.9</w:t>
            </w:r>
          </w:p>
        </w:tc>
        <w:tc>
          <w:tcPr>
            <w:tcW w:w="2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(7.0 )%</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(0.2 )%</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Profit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237.8</w:t>
            </w:r>
          </w:p>
        </w:tc>
        <w:tc>
          <w:tcPr>
            <w:tcW w:w="2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(19.5 )%</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(3.9 )%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(15.6 )%</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(0.1 )%</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-2404110</wp:posOffset>
            </wp:positionV>
            <wp:extent cx="7132320" cy="1454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-1804035</wp:posOffset>
            </wp:positionV>
            <wp:extent cx="7132320" cy="1454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-1203960</wp:posOffset>
            </wp:positionV>
            <wp:extent cx="7132320" cy="1454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-278130</wp:posOffset>
            </wp:positionV>
            <wp:extent cx="7132320" cy="1460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-2104390</wp:posOffset>
            </wp:positionV>
            <wp:extent cx="7132320" cy="1543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-1512570</wp:posOffset>
            </wp:positionV>
            <wp:extent cx="7132320" cy="1543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-758190</wp:posOffset>
            </wp:positionV>
            <wp:extent cx="768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-595630</wp:posOffset>
            </wp:positionV>
            <wp:extent cx="7132320" cy="1714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480" w:hanging="472"/>
        <w:spacing w:after="0"/>
        <w:tabs>
          <w:tab w:leader="none" w:pos="4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millions for the nine months ended September 30,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Liquidity and Capital Resources</w:t>
      </w:r>
    </w:p>
    <w:p>
      <w:pPr>
        <w:spacing w:after="0" w:line="19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Cash used to fund our operations is primarily generated through operating activities and provided by our existing credit facilities. We believe our available cash and existing credit facilities are sufficient to cover our cash needs for the foreseeable future. We assess and monitor our liquidity and capital resources globally. We use a global cash pooling arrangement, intercompany borrowing, and some local credit lines to meet funding needs and allocate our capital resources among our various entities. As of September 30, 2024, we had $345.1 million of cash held by foreign subsidiaries. We have historically made and anticipate future cash repatriations to the United States from certain foreign subsidiaries to fund domestic operations.</w:t>
      </w:r>
    </w:p>
    <w:p>
      <w:pPr>
        <w:spacing w:after="0" w:line="14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Cash provided by operating activities was $61.6 million during the nine months ended September 30, 2024, as compared to $234.5 million during the nine months ended September 30, 2023. Changes in operating assets and liabilities utilized $155.8 million of cash during the nine months ended September 30, 2024 compared to $42.1 million utilized during the nine months ended September 30, 2023. These changes were primarily attributable to the timing of collections and payments. Accounts receivable decreased to $4,592.8 million as of September 30, 2024 from $4,830.0 million as of December 31, 2023 primarily due to the revenue decline and the impact of changes in currency exchange rates. Days Sales Outstanding ("DSO") increased by three days from December 31, 2023 to 57 days as of September 30, 2024.</w:t>
      </w:r>
    </w:p>
    <w:p>
      <w:pPr>
        <w:spacing w:after="0" w:line="147"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nature of our operations is such that our most significant current asset is accounts receivable and our most significant current liabilities are payroll-related costs, which are generally paid either weekly or monthly. As the demand for our services increases, we generally experience an increase in our working capital needs, as we continue to pay our associates on a weekly or monthly basis while the related accounts receivable are outstanding for much longer, which may result in a decline in operating cash flows.</w:t>
      </w:r>
    </w:p>
    <w:p>
      <w:pPr>
        <w:spacing w:after="0" w:line="153"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7"/>
          <w:szCs w:val="17"/>
          <w:color w:val="auto"/>
        </w:rPr>
        <w:t>Conversely, as the demand for our services declines, we generally experience a decrease in our working capital needs, as the existing accounts receivable are collected and not replaced at the same level, resulting in a decline of our accounts receivable balance, with less of an effect on current liabilities due to the shorter cycle time of the payroll related items. While this may result in an increase in our operating cash flows, longer payment terms and timing of payroll, tax and supplier-related payments significantly impact our cash position and cash flows each period. Any increase in operating cash flows from an economic slowdown would not be sustained in the event that a downturn continues for an extended period, as we are seeing in the current economic cycle.</w:t>
      </w:r>
    </w:p>
    <w:p>
      <w:pPr>
        <w:spacing w:after="0" w:line="16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204" w:right="239" w:bottom="1440" w:gutter="0" w:footer="0" w:header="0"/>
        </w:sectPr>
      </w:pPr>
    </w:p>
    <w:bookmarkStart w:id="36" w:name="page37"/>
    <w:bookmarkEnd w:id="36"/>
    <w:p>
      <w:pPr>
        <w:ind w:right="20"/>
        <w:spacing w:after="0" w:line="266" w:lineRule="auto"/>
        <w:rPr>
          <w:sz w:val="20"/>
          <w:szCs w:val="20"/>
          <w:color w:val="auto"/>
        </w:rPr>
      </w:pPr>
      <w:r>
        <w:rPr>
          <w:rFonts w:ascii="Times New Roman" w:cs="Times New Roman" w:eastAsia="Times New Roman" w:hAnsi="Times New Roman"/>
          <w:sz w:val="18"/>
          <w:szCs w:val="18"/>
          <w:color w:val="auto"/>
        </w:rPr>
        <w:t>Capital expenditures were $39.8 million for the nine months ended September 30, 2024 compared to $55.1 million for the nine months ended September 30, 2023. These expenditures were primarily comprised of purchases of computer equipment, office furniture and other costs related to office openings and refurbishments, as well as capitalized software costs. The lower expenditures in 2024 compared to 2023 are primarily due to the timing of the expenditures.</w:t>
      </w:r>
    </w:p>
    <w:p>
      <w:pPr>
        <w:spacing w:after="0" w:line="14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From time to time, we acquire and invest in companies throughout the world, including franchises. For the nine months ended September 30, 2024, total cash consideration paid for acquisitions, net of cash acquired, was $7.7 million, which represents a consideration payment for a franchise in the United States and contingent consideration payment related to a previous acquisition. No cash consideration was paid during the nine months ended September 30, 2023.</w:t>
      </w:r>
    </w:p>
    <w:p>
      <w:pPr>
        <w:spacing w:after="0" w:line="13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Occasionally, we dispose of parts of our operations based on risk considerations and to optimize our global strategic and geographic footprint and overall efficiency. On September 29, 2023, we disposed of our Philippines business in our APME segment for total consideration of $6.5 million. In connection with the disposition, we recognized a one-time net loss on disposition of $1.3 million.</w:t>
      </w:r>
    </w:p>
    <w:p>
      <w:pPr>
        <w:spacing w:after="0" w:line="13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Net borrowings were $13.3 million as compared to net debt repayments of $13.7 million in the nine months ended September 30, 2024 and September 30, 2023, respectively.</w:t>
      </w:r>
    </w:p>
    <w:p>
      <w:pPr>
        <w:spacing w:after="0" w:line="13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€500.0 million notes and €400.0 million notes are due June 2026 and June 2027, respectively. When those notes mature, we plan to either repay the amounts with available cash or borrowings under our $600.0 million revolving credit facility or a new borrowing. The credit terms, including interest rate and facility fees, of any replacement borrowings will be dependent upon the condition of the credit markets at that time. We currently do not anticipate any problems accessing the credit markets for replacement of those notes.</w:t>
      </w:r>
    </w:p>
    <w:p>
      <w:pPr>
        <w:spacing w:after="0" w:line="13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$600.0 million revolving credit agreement requires that we comply with a leverage ratio (Net Debt-to-Net Earnings before interest and other expenses, provision for income taxes, intangible asset amortization expense, depreciation and amortization expense ("EBITDA")) of not greater than 3.5 to 1 and a fixed charge coverage ratio of not less than 1.5 to 1. As defined in the agreement, we had a Net Debt-to-EBITDA ratio of 2.48 to 1 and a fixed charge coverage ratio of 3.21 to 1 as of September 30, 2024. Based on our current forecast, we expect to be in compliance with our financial covenants for the next 12 months.</w:t>
      </w:r>
    </w:p>
    <w:p>
      <w:pPr>
        <w:spacing w:after="0" w:line="1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September 30, 2024, we had letters of credit of $0.4 million issued under our $600.0 million revolving credit facility, as well as $9.0 million drawn under our uncommitted credit facility. We made those borrowings in order to fund our working capital needs. Additional borrowings of $599.6 million were available to us under our $600.0 million revolving credit facility as of September 30, 2024.</w:t>
      </w:r>
    </w:p>
    <w:p>
      <w:pPr>
        <w:spacing w:after="0" w:line="14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to the previously mentioned facilities, we maintain separate bank credit lines with financial institutions to meet the working capital needs of our subsidiary operations. As of September 30, 2024, such uncommitted credit lines totaled $312.1 million, of which $294.8 million was unused. Under the revolving credit agreement, total subsidiary borrowings cannot exceed $300.0 million in the first, second and fourth quarters, and $600.0 million in the third quarter of each year.</w:t>
      </w:r>
    </w:p>
    <w:p>
      <w:pPr>
        <w:spacing w:after="0" w:line="139"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color w:val="auto"/>
        </w:rPr>
        <w:t>We have assessed our liquidity position as of September 30, 2024 and for the near future. As of September 30, 2024, our cash and cash equivalents balance was $410.9 million. We also have access to the previously mentioned revolving credit facility that could have immediately provided us with up to $600.0 million of additional cash, less any outstanding borrowings and letters of credit, and we have an option to request an increase to the total availability under the revolving credit facility by an additional $300.0 million and each lender may participate in the requested increase at their discretion. In addition, we have access to the previously mentioned credit lines to meet the working capital needs of our subsidiaries, of which $294.8 million was available to use as of September 30, 2024. Our €500.0 ($555.5) million notes mature in June 2026, and our €400.0 ($442.7) million notes mature in June 2027. Based on the above, we believe we have sufficient liquidity and capital resources to satisfy future requirements and meet our obligations currently and in the near future.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7" w:name="page38"/>
    <w:bookmarkEnd w:id="37"/>
    <w:p>
      <w:pPr>
        <w:ind w:right="100"/>
        <w:spacing w:after="0" w:line="266" w:lineRule="auto"/>
        <w:rPr>
          <w:sz w:val="20"/>
          <w:szCs w:val="20"/>
          <w:color w:val="auto"/>
        </w:rPr>
      </w:pPr>
      <w:r>
        <w:rPr>
          <w:rFonts w:ascii="Times New Roman" w:cs="Times New Roman" w:eastAsia="Times New Roman" w:hAnsi="Times New Roman"/>
          <w:sz w:val="18"/>
          <w:szCs w:val="18"/>
          <w:color w:val="auto"/>
        </w:rPr>
        <w:t>The Board of Directors declared a semi-annual dividend of $1.54 and $1.47 per share on May 3, 2024 and May 5, 2023, respectively. The 2024 dividends were paid on June 14, 2024 to shareholders of record as of June 3, 2024. The 2023 dividends were paid on June 15, 2023 to shareholders of record as of June 1, 2023.</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August 2023 and August 2021, the Board of Directors authorized the repurchase of 5.0 million shares and 4.0 million shares of our common stock, respectively. We conduct share repurchases from time to time through a variety of methods, including open market purchases, block transactions, privately negotiated transactions or similar facilities. During the nine months ended September 30, 2024, we repurchased a total of 1.5 million shares under the 2023 authorization at a cost of $106.0 million. During the nine months ended September 30, 2023, we repurchased a total of 1.7 million shares under the 2021 authorization at a cost of $129.8 million. As of September 30, 2024, there were 3.1 million shares remaining authorized for repurchase under the 2023 authorization and no shares remaining authorized for repurchase under the 2021 authorization.</w:t>
      </w:r>
    </w:p>
    <w:p>
      <w:pPr>
        <w:spacing w:after="0" w:line="147"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We had aggregate commitments of $2,202.3 million as of September 30, 2024 related to debt, operating leases, severance and office closure costs, transition tax resulting from the Tax Act and certain other commitments compared to $2,320.5 million as of December 31, 2023.</w:t>
      </w:r>
    </w:p>
    <w:p>
      <w:pPr>
        <w:spacing w:after="0" w:line="135"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We also have entered into guarantee contracts and stand-by letters of credit totaling $694.1 million and $745.7 million as of September 30, 2024 and December 31, 2023, respectively ($647.3 million and $696.9 million for guarantees as of September 30, 2024 and December 31, 2023, respectively, and $46.8 and $48.8 million for stand-by letters of credit, respectively). The guarantees primarily relate to staffing license requirements, operating leases and indebtedness. The stand-by letters of credit mainly relate to workers’ compensation in the United States. If certain conditions were met under these arrangements, we would be required to satisfy our obligations in cash. Due to the nature of these arrangements and our historical experience, we do not expect any significant payments under these arrangements. Therefore, they have been excluded from our aggregate commitments. The cost of these guarantees and letters of credit were $1.1 million and $1.3 million for the nine months ended September 30, 2024 and 2023, respectively.</w:t>
      </w:r>
    </w:p>
    <w:p>
      <w:pPr>
        <w:spacing w:after="0" w:line="14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2024, we recorded $37.6 million in restructuring costs. During the three and nine months ended September 30, 2023, we recorded $38.1 million and $59.2 million, respectively, in restructuring costs. Payments made from the restructuring reserve were $19.7 million and $70.7 million during the three and nine months ended September 30, 2024, respectively. We use our restructuring reserve for severance, office closures, office consolidations, and professional and other fees related to restructuring in multiple countries and territories.</w:t>
      </w:r>
    </w:p>
    <w:p>
      <w:pPr>
        <w:spacing w:after="0" w:line="3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auto"/>
        </w:rPr>
        <w:t>Application of Critical Accounting Policies</w:t>
      </w:r>
    </w:p>
    <w:p>
      <w:pPr>
        <w:spacing w:after="0" w:line="198"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In accordance with the accounting guidance for goodwill, we perform an annual impairment test of goodwill at our reporting unit level during the third quarter, or more frequently if events or circumstances change that would more likely than not reduce the fair value of our reporting units below carrying value.</w:t>
      </w:r>
    </w:p>
    <w:p>
      <w:pPr>
        <w:spacing w:after="0" w:line="13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Estimated cash flows and goodwill are grouped at the reporting unit level, which the company has determined to be a component of the operating segments for which discrete financial information is available and for which segment management regularly reviews the reporting results.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evaluate the recoverability of goodwill utilizing an income approach that estimates the fair value of the future discounted cash flows to which the goodwill relates. This approach reflects management’s internal outlook of the reporting units, which is believed to be the best determination of value due to management’s insight and experience with the reporting units. Significant assumptions used in our goodwill impairment test during the third quarter of 2024 included: expected future revenue growth rates, operating unit profit margins, working capital levels, discount rates, and a terminal value multiple. The expected future revenue growth rates and operating unit profit margins were determined after taking into consideration our historical revenue growth rates and operating unit profit margins, our assessment of future market potential, and our expectations of future business performance.</w:t>
      </w:r>
    </w:p>
    <w:p>
      <w:pPr>
        <w:spacing w:after="0" w:line="16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believe that the future discounted cash flow valuation model provides the most reasonable and meaningful fair value estimate based on the reporting units’ projections of future operating results and cash flows and is consistent with our view of how market participants would value the company’s reporting units in an orderly transaction.</w:t>
      </w:r>
    </w:p>
    <w:p>
      <w:pPr>
        <w:spacing w:after="0" w:line="13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the event the fair value of a reporting unit is less than the carrying value, including goodwill, we would record an impairment charge based on the excess of a reporting units’ carrying amount over its fair value.</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performed our annual impairment test of our goodwill during the third quarter of 2024 and there was no impairment of our goodwill. Refer to Note 1 for results of our annual goodwill impairment testing.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Issued Accounting Standards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to the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 Quantitative and Qualitative Disclosures About Market Risk</w:t>
      </w:r>
    </w:p>
    <w:p>
      <w:pPr>
        <w:spacing w:after="0" w:line="189"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Our 2023 Annual Report on Form 10-K contains certain disclosures about market risks affecting us. There have been no material changes to the information provided which would require additional disclosures as of the date of this filing.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Controls and Procedures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maintain a set of disclosure controls and procedures that are designed to ensure that information required to be disclosed by us in the reports filed by us under the Securities Exchange Act of 1934, as amended (the “Exchange Act”), is recorded, processed, summarized and reported within the time periods specified in the SEC’s rules and forms and that such information is accumulated and communicated to management of the company, including its Chief Executive Officer and Chief Financial Officer, as appropriate, to allow timely decisions regarding timely disclosure. We carried out an evaluation, under the supervision and with the participation of our management, including our Chief Executive Officer and our Executive Vice President and Chief Financial Officer, of the effectiveness of the design and operation of our disclosure controls and procedures at a reasonable assurance level pursuant to Rule 13a-15 of the Exchange Act. Based on that evaluation, our Chief Executive Officer and our Executive Vice President and Chief Financial Officer concluded that, as of the end of the period covered by this report, our disclosure controls and procedures were effective at the reasonable assurance level.</w:t>
      </w:r>
    </w:p>
    <w:p>
      <w:pPr>
        <w:spacing w:after="0" w:line="151" w:lineRule="exact"/>
        <w:rPr>
          <w:sz w:val="20"/>
          <w:szCs w:val="20"/>
          <w:color w:val="auto"/>
        </w:rPr>
      </w:pPr>
    </w:p>
    <w:p>
      <w:pPr>
        <w:ind w:right="460"/>
        <w:spacing w:after="0" w:line="312" w:lineRule="auto"/>
        <w:rPr>
          <w:sz w:val="20"/>
          <w:szCs w:val="20"/>
          <w:color w:val="auto"/>
        </w:rPr>
      </w:pPr>
      <w:r>
        <w:rPr>
          <w:rFonts w:ascii="Times New Roman" w:cs="Times New Roman" w:eastAsia="Times New Roman" w:hAnsi="Times New Roman"/>
          <w:sz w:val="17"/>
          <w:szCs w:val="17"/>
          <w:color w:val="auto"/>
        </w:rPr>
        <w:t>There have been no changes in our internal control over financial reporting identified in connection with the evaluation discussed above that occurred during our last fiscal quarter that have materially affected, or are reasonably likely to materially affect, our internal control over financial reporting.</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20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As of the date of this filing, the Company and its operations continue to be subject to the risk factors previously disclosed in the “Risk Factors” sections contained in the 2023 Annual Report on Form 10-K.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Unregistered Sales of Equity Securities and Use of Proceeds</w:t>
      </w:r>
    </w:p>
    <w:p>
      <w:pPr>
        <w:spacing w:after="0" w:line="18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August 2023, the Board of Directors authorized the repurchase of 5.0 million shares of our common stock. We conduct share repurchases from time to time through a variety of methods, including open market purchases, block transactions, privately negotiated transactions or similar facilities. The following table shows the total number of shares repurchased during the third quarter of 2024. As of September 30, 2024, there were 3.1 million shares remaining authorized for repurchase under the 2023 authorization.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40" w:type="dxa"/>
            <w:vAlign w:val="bottom"/>
          </w:tcPr>
          <w:p>
            <w:pPr>
              <w:spacing w:after="0"/>
              <w:rPr>
                <w:sz w:val="20"/>
                <w:szCs w:val="20"/>
                <w:color w:val="auto"/>
              </w:rPr>
            </w:pPr>
          </w:p>
        </w:tc>
        <w:tc>
          <w:tcPr>
            <w:tcW w:w="5060" w:type="dxa"/>
            <w:vAlign w:val="bottom"/>
            <w:gridSpan w:val="7"/>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1"/>
        </w:trPr>
        <w:tc>
          <w:tcPr>
            <w:tcW w:w="2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Total number</w:t>
            </w: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16"/>
        </w:trPr>
        <w:tc>
          <w:tcPr>
            <w:tcW w:w="2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of shares</w:t>
            </w: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2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purchased as</w:t>
            </w:r>
          </w:p>
        </w:tc>
        <w:tc>
          <w:tcPr>
            <w:tcW w:w="100" w:type="dxa"/>
            <w:vAlign w:val="bottom"/>
          </w:tcPr>
          <w:p>
            <w:pPr>
              <w:spacing w:after="0"/>
              <w:rPr>
                <w:sz w:val="18"/>
                <w:szCs w:val="18"/>
                <w:color w:val="auto"/>
              </w:rPr>
            </w:pPr>
          </w:p>
        </w:tc>
        <w:tc>
          <w:tcPr>
            <w:tcW w:w="18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Maximum</w:t>
            </w:r>
          </w:p>
        </w:tc>
      </w:tr>
      <w:tr>
        <w:trPr>
          <w:trHeight w:val="216"/>
        </w:trPr>
        <w:tc>
          <w:tcPr>
            <w:tcW w:w="2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part of</w:t>
            </w:r>
          </w:p>
        </w:tc>
        <w:tc>
          <w:tcPr>
            <w:tcW w:w="100" w:type="dxa"/>
            <w:vAlign w:val="bottom"/>
          </w:tcPr>
          <w:p>
            <w:pPr>
              <w:spacing w:after="0"/>
              <w:rPr>
                <w:sz w:val="18"/>
                <w:szCs w:val="18"/>
                <w:color w:val="auto"/>
              </w:rPr>
            </w:pPr>
          </w:p>
        </w:tc>
        <w:tc>
          <w:tcPr>
            <w:tcW w:w="18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2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number</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publicly</w:t>
            </w:r>
          </w:p>
        </w:tc>
        <w:tc>
          <w:tcPr>
            <w:tcW w:w="100" w:type="dxa"/>
            <w:vAlign w:val="bottom"/>
          </w:tcPr>
          <w:p>
            <w:pPr>
              <w:spacing w:after="0"/>
              <w:rPr>
                <w:sz w:val="18"/>
                <w:szCs w:val="18"/>
                <w:color w:val="auto"/>
              </w:rPr>
            </w:pP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shares that</w:t>
            </w:r>
          </w:p>
        </w:tc>
      </w:tr>
      <w:tr>
        <w:trPr>
          <w:trHeight w:val="216"/>
        </w:trPr>
        <w:tc>
          <w:tcPr>
            <w:tcW w:w="2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of shares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6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00" w:type="dxa"/>
            <w:vAlign w:val="bottom"/>
          </w:tcPr>
          <w:p>
            <w:pPr>
              <w:spacing w:after="0"/>
              <w:rPr>
                <w:sz w:val="18"/>
                <w:szCs w:val="18"/>
                <w:color w:val="auto"/>
              </w:rPr>
            </w:pPr>
          </w:p>
        </w:tc>
        <w:tc>
          <w:tcPr>
            <w:tcW w:w="18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may yet be</w:t>
            </w:r>
          </w:p>
        </w:tc>
      </w:tr>
      <w:tr>
        <w:trPr>
          <w:trHeight w:val="245"/>
        </w:trPr>
        <w:tc>
          <w:tcPr>
            <w:tcW w:w="26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purchased</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plan</w:t>
            </w:r>
          </w:p>
        </w:tc>
        <w:tc>
          <w:tcPr>
            <w:tcW w:w="100" w:type="dxa"/>
            <w:vAlign w:val="bottom"/>
          </w:tcPr>
          <w:p>
            <w:pPr>
              <w:spacing w:after="0"/>
              <w:rPr>
                <w:sz w:val="21"/>
                <w:szCs w:val="21"/>
                <w:color w:val="auto"/>
              </w:rPr>
            </w:pPr>
          </w:p>
        </w:tc>
        <w:tc>
          <w:tcPr>
            <w:tcW w:w="18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purchased</w:t>
            </w:r>
          </w:p>
        </w:tc>
      </w:tr>
      <w:tr>
        <w:trPr>
          <w:trHeight w:val="243"/>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July 1 - 31, 2024</w:t>
            </w:r>
          </w:p>
        </w:tc>
        <w:tc>
          <w:tcPr>
            <w:tcW w:w="28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259,734</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69.22</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259,734</w:t>
            </w:r>
          </w:p>
        </w:tc>
        <w:tc>
          <w:tcPr>
            <w:tcW w:w="19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3,302,000</w:t>
            </w:r>
          </w:p>
        </w:tc>
      </w:tr>
      <w:tr>
        <w:trPr>
          <w:trHeight w:val="239"/>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1 - 31, 2024</w:t>
            </w:r>
          </w:p>
        </w:tc>
        <w:tc>
          <w:tcPr>
            <w:tcW w:w="28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84,453</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71.05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84,453</w:t>
            </w:r>
          </w:p>
        </w:tc>
        <w:tc>
          <w:tcPr>
            <w:tcW w:w="19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3,217,547</w:t>
            </w:r>
          </w:p>
        </w:tc>
      </w:tr>
      <w:tr>
        <w:trPr>
          <w:trHeight w:val="247"/>
        </w:trPr>
        <w:tc>
          <w:tcPr>
            <w:tcW w:w="2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September 1 - 30, 2024</w:t>
            </w:r>
          </w:p>
        </w:tc>
        <w:tc>
          <w:tcPr>
            <w:tcW w:w="940" w:type="dxa"/>
            <w:vAlign w:val="bottom"/>
            <w:tcBorders>
              <w:bottom w:val="single" w:sz="8" w:color="CFF0FC"/>
            </w:tcBorders>
            <w:shd w:val="clear" w:color="auto" w:fill="CFF0FC"/>
          </w:tcPr>
          <w:p>
            <w:pPr>
              <w:spacing w:after="0"/>
              <w:rPr>
                <w:sz w:val="21"/>
                <w:szCs w:val="21"/>
                <w:color w:val="auto"/>
              </w:rPr>
            </w:pPr>
          </w:p>
        </w:tc>
        <w:tc>
          <w:tcPr>
            <w:tcW w:w="18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70,851</w:t>
            </w:r>
          </w:p>
        </w:tc>
        <w:tc>
          <w:tcPr>
            <w:tcW w:w="280" w:type="dxa"/>
            <w:vAlign w:val="bottom"/>
            <w:tcBorders>
              <w:bottom w:val="single" w:sz="8" w:color="CFF0FC"/>
            </w:tcBorders>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w w:val="99"/>
              </w:rPr>
              <w:t>(1)</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70.32</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70,782</w:t>
            </w:r>
          </w:p>
        </w:tc>
        <w:tc>
          <w:tcPr>
            <w:tcW w:w="1940" w:type="dxa"/>
            <w:vAlign w:val="bottom"/>
            <w:tcBorders>
              <w:bottom w:val="single" w:sz="8" w:color="CFF0FC"/>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3,146,765</w:t>
            </w:r>
          </w:p>
        </w:tc>
      </w:tr>
      <w:tr>
        <w:trPr>
          <w:trHeight w:val="236"/>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415,038</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69.78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414,969</w:t>
            </w:r>
          </w:p>
        </w:tc>
        <w:tc>
          <w:tcPr>
            <w:tcW w:w="19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3,146,765</w:t>
            </w:r>
          </w:p>
        </w:tc>
      </w:tr>
      <w:tr>
        <w:trPr>
          <w:trHeight w:val="20"/>
        </w:trPr>
        <w:tc>
          <w:tcPr>
            <w:tcW w:w="2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-187960</wp:posOffset>
            </wp:positionV>
            <wp:extent cx="17145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ind w:right="480" w:firstLine="8"/>
        <w:spacing w:after="0" w:line="282" w:lineRule="auto"/>
        <w:tabs>
          <w:tab w:leader="none" w:pos="2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69 shares of common stock withheld by ManpowerGroup to satisfy tax withholding obligations on shares acquired by a certain officer in settlement of restricted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 Other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Audit Committee Approval of Audit-Related and Non-Audit Services</w:t>
      </w:r>
    </w:p>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Audit Committee of our Board of Directors has approved the following audit-related and non-audit services performed or to be performed for us by our independent registered public accounting firm, Deloitte &amp; Touche LLP and affiliates, to date in 2024:</w:t>
      </w:r>
    </w:p>
    <w:p>
      <w:pPr>
        <w:spacing w:after="0" w:line="121" w:lineRule="exact"/>
        <w:rPr>
          <w:sz w:val="20"/>
          <w:szCs w:val="20"/>
          <w:color w:val="auto"/>
        </w:rPr>
      </w:pPr>
    </w:p>
    <w:p>
      <w:pPr>
        <w:ind w:right="260" w:firstLine="8"/>
        <w:spacing w:after="0" w:line="282" w:lineRule="auto"/>
        <w:tabs>
          <w:tab w:leader="none" w:pos="24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and/or review of tax returns, including sales and use tax, excise tax, income tax, local tax, property tax, and value added tax, consultation regarding appropriate handling of items on the United States and international tax returns;</w:t>
      </w:r>
    </w:p>
    <w:p>
      <w:pPr>
        <w:spacing w:after="0" w:line="121" w:lineRule="exact"/>
        <w:rPr>
          <w:rFonts w:ascii="Times New Roman" w:cs="Times New Roman" w:eastAsia="Times New Roman" w:hAnsi="Times New Roman"/>
          <w:sz w:val="18"/>
          <w:szCs w:val="18"/>
          <w:color w:val="auto"/>
        </w:rPr>
      </w:pPr>
    </w:p>
    <w:p>
      <w:pPr>
        <w:ind w:right="440" w:firstLine="8"/>
        <w:spacing w:after="0" w:line="282" w:lineRule="auto"/>
        <w:tabs>
          <w:tab w:leader="none" w:pos="2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advice and assistance with respect to transfer pricing matters, as well as communicating with various taxing authorities regarding the requirements associated with royalties and inter-company pricing, and tax audits; and</w:t>
      </w:r>
    </w:p>
    <w:p>
      <w:pPr>
        <w:spacing w:after="0" w:line="13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services with respect to certain procedures and certifications where required.</w:t>
      </w:r>
    </w:p>
    <w:p>
      <w:pPr>
        <w:spacing w:after="0" w:line="184" w:lineRule="exact"/>
        <w:rPr>
          <w:rFonts w:ascii="Times New Roman" w:cs="Times New Roman" w:eastAsia="Times New Roman" w:hAnsi="Times New Roman"/>
          <w:sz w:val="18"/>
          <w:szCs w:val="18"/>
          <w:color w:val="auto"/>
        </w:rPr>
      </w:pPr>
    </w:p>
    <w:p>
      <w:pPr>
        <w:ind w:right="380" w:firstLine="8"/>
        <w:spacing w:after="0" w:line="282" w:lineRule="auto"/>
        <w:tabs>
          <w:tab w:leader="none" w:pos="2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advice regarding the company's ESG program and compliance with and interpretation of sustainability regulations such as Corporate Sustainability Reporting Directive (“CSRD”).</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Trading Plans</w:t>
      </w:r>
    </w:p>
    <w:p>
      <w:pPr>
        <w:spacing w:after="0" w:line="19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During the quarter ended September 30, 2024, no director or Section 16 officer adopted or terminated any "Rule 10b5-1 trading arrangements" or "non-Rule 10b5-1 trading arrangements" as each term is defined in Item 408(a) of Regulation S-K.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6 – Exhibits</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Jonas Prising, Chief Executive Officer, pursuant to Section 13a-14(a) of the Securities Exchange Act of 1934.</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4380" w:type="dxa"/>
            <w:vAlign w:val="bottom"/>
            <w:tcBorders>
              <w:right w:val="single" w:sz="8" w:color="0000FF"/>
            </w:tcBorders>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6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John T. McGinnis, Executive Vice President and Chief Financial Officer, pursuant to Section 13a-14(a) of the Securities</w:t>
            </w:r>
          </w:p>
        </w:tc>
      </w:tr>
      <w:tr>
        <w:trPr>
          <w:trHeight w:val="20"/>
        </w:trPr>
        <w:tc>
          <w:tcPr>
            <w:tcW w:w="1160" w:type="dxa"/>
            <w:vAlign w:val="bottom"/>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4380" w:type="dxa"/>
            <w:vAlign w:val="bottom"/>
            <w:tcBorders>
              <w:right w:val="single" w:sz="8" w:color="0000FF"/>
            </w:tcBorders>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Exchange Act of 1934.</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660" w:type="dxa"/>
            <w:vAlign w:val="bottom"/>
            <w:tcBorders>
              <w:right w:val="single" w:sz="8" w:color="0000EE"/>
            </w:tcBorders>
            <w:shd w:val="clear" w:color="auto" w:fill="0000FF"/>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r>
      <w:tr>
        <w:trPr>
          <w:trHeight w:val="46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Statement of Jonas Prising, Chief Executive Officer, pursuant to 18 U.S.C. ss. 1350.</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6040" w:type="dxa"/>
            <w:vAlign w:val="bottom"/>
            <w:tcBorders>
              <w:right w:val="single" w:sz="8" w:color="0000EE"/>
            </w:tcBorders>
            <w:gridSpan w:val="2"/>
            <w:shd w:val="clear" w:color="auto" w:fill="0000FF"/>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r>
      <w:tr>
        <w:trPr>
          <w:trHeight w:val="46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Statement of John T. McGinnis, Executive Vice President and Chief Financial Officer, pursuant to 18 U.S.C. ss. 1350.</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8480" w:type="dxa"/>
            <w:vAlign w:val="bottom"/>
            <w:gridSpan w:val="3"/>
            <w:shd w:val="clear" w:color="auto" w:fill="0000FF"/>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r>
      <w:tr>
        <w:trPr>
          <w:trHeight w:val="48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0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 xml:space="preserve">Inline </w:t>
            </w:r>
            <w:r>
              <w:rPr>
                <w:rFonts w:ascii="Times New Roman" w:cs="Times New Roman" w:eastAsia="Times New Roman" w:hAnsi="Times New Roman"/>
                <w:sz w:val="18"/>
                <w:szCs w:val="18"/>
                <w:color w:val="212529"/>
                <w:w w:val="99"/>
              </w:rPr>
              <w:t>XBRL Instance Document</w:t>
            </w:r>
            <w:r>
              <w:rPr>
                <w:rFonts w:ascii="Times New Roman" w:cs="Times New Roman" w:eastAsia="Times New Roman" w:hAnsi="Times New Roman"/>
                <w:sz w:val="18"/>
                <w:szCs w:val="18"/>
                <w:color w:val="auto"/>
                <w:w w:val="99"/>
              </w:rPr>
              <w:t xml:space="preserve"> - the instance document does not appear in the Interactive Data File because its XBRL tags are embedded</w:t>
            </w:r>
          </w:p>
        </w:tc>
      </w:tr>
      <w:tr>
        <w:trPr>
          <w:trHeight w:val="234"/>
        </w:trPr>
        <w:tc>
          <w:tcPr>
            <w:tcW w:w="1160" w:type="dxa"/>
            <w:vAlign w:val="bottom"/>
          </w:tcPr>
          <w:p>
            <w:pPr>
              <w:spacing w:after="0"/>
              <w:rPr>
                <w:sz w:val="20"/>
                <w:szCs w:val="20"/>
                <w:color w:val="auto"/>
              </w:rPr>
            </w:pPr>
          </w:p>
        </w:tc>
        <w:tc>
          <w:tcPr>
            <w:tcW w:w="10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48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00" w:type="dxa"/>
            <w:vAlign w:val="bottom"/>
            <w:gridSpan w:val="6"/>
          </w:tcPr>
          <w:p>
            <w:pPr>
              <w:spacing w:after="0"/>
              <w:rPr>
                <w:sz w:val="20"/>
                <w:szCs w:val="20"/>
                <w:color w:val="auto"/>
              </w:rPr>
            </w:pPr>
            <w:r>
              <w:rPr>
                <w:rFonts w:ascii="Times New Roman" w:cs="Times New Roman" w:eastAsia="Times New Roman" w:hAnsi="Times New Roman"/>
                <w:sz w:val="18"/>
                <w:szCs w:val="18"/>
                <w:color w:val="212529"/>
              </w:rPr>
              <w:t>Inline XBRL Taxonomy Extension Schema With Embedded Linkbase Documents</w:t>
            </w:r>
          </w:p>
        </w:tc>
      </w:tr>
    </w:tbl>
    <w:p>
      <w:pPr>
        <w:spacing w:after="0" w:line="252" w:lineRule="exact"/>
        <w:rPr>
          <w:sz w:val="20"/>
          <w:szCs w:val="20"/>
          <w:color w:val="auto"/>
        </w:rPr>
      </w:pPr>
    </w:p>
    <w:p>
      <w:pPr>
        <w:ind w:left="1160" w:right="420" w:hanging="1139"/>
        <w:spacing w:after="0" w:line="282" w:lineRule="auto"/>
        <w:tabs>
          <w:tab w:leader="none" w:pos="11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September 30, 2024 has been formatted in Inline XBRL (Inline Extensible Business Reporting Language) and contained in Exhibits 101.</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41" w:name="page42"/>
    <w:bookmarkEnd w:id="41"/>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ManpowerGroup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51435</wp:posOffset>
            </wp:positionV>
            <wp:extent cx="194564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11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November 8, 2024</w:t>
      </w:r>
    </w:p>
    <w:p>
      <w:pPr>
        <w:spacing w:after="0" w:line="27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26035</wp:posOffset>
            </wp:positionV>
            <wp:extent cx="414020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140200" cy="8255"/>
                    </a:xfrm>
                    <a:prstGeom prst="rect">
                      <a:avLst/>
                    </a:prstGeom>
                    <a:noFill/>
                  </pic:spPr>
                </pic:pic>
              </a:graphicData>
            </a:graphic>
          </wp:anchor>
        </w:drawing>
      </w:r>
    </w:p>
    <w:p>
      <w:pPr>
        <w:spacing w:after="0" w:line="30"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John T. McGinnis</w:t>
      </w:r>
    </w:p>
    <w:p>
      <w:pPr>
        <w:spacing w:after="0" w:line="3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(Signing on behalf of the Registrant and as the Principal Financial Officer)</w:t>
      </w:r>
    </w:p>
    <w:p>
      <w:pPr>
        <w:spacing w:after="0" w:line="261"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/s/ Eric Rozek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26035</wp:posOffset>
            </wp:positionV>
            <wp:extent cx="414020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140200" cy="8255"/>
                    </a:xfrm>
                    <a:prstGeom prst="rect">
                      <a:avLst/>
                    </a:prstGeom>
                    <a:noFill/>
                  </pic:spPr>
                </pic:pic>
              </a:graphicData>
            </a:graphic>
          </wp:anchor>
        </w:drawing>
      </w:r>
    </w:p>
    <w:p>
      <w:pPr>
        <w:spacing w:after="0" w:line="30"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Eric Rozek</w:t>
      </w:r>
    </w:p>
    <w:p>
      <w:pPr>
        <w:spacing w:after="0" w:line="3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Vice President and Global Controller (Principal Accounting Officer)</w:t>
      </w:r>
    </w:p>
    <w:p>
      <w:pPr>
        <w:spacing w:after="0" w:line="200" w:lineRule="exact"/>
        <w:rPr>
          <w:sz w:val="20"/>
          <w:szCs w:val="20"/>
          <w:color w:val="auto"/>
        </w:rPr>
      </w:pPr>
    </w:p>
    <w:p>
      <w:pPr>
        <w:spacing w:after="0" w:line="25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320" w:top="981" w:right="12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Jonas Prising, Chief Executive Officer of ManpowerGroup Inc., certify that:</w:t>
      </w:r>
    </w:p>
    <w:p>
      <w:pPr>
        <w:spacing w:after="0" w:line="198" w:lineRule="exact"/>
        <w:rPr>
          <w:sz w:val="20"/>
          <w:szCs w:val="20"/>
          <w:color w:val="auto"/>
        </w:rPr>
      </w:pPr>
    </w:p>
    <w:p>
      <w:pPr>
        <w:ind w:left="380" w:hanging="372"/>
        <w:spacing w:after="0"/>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ManpowerGroup Inc.;</w:t>
      </w:r>
    </w:p>
    <w:p>
      <w:pPr>
        <w:spacing w:after="0" w:line="184"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jc w:val="both"/>
        <w:ind w:left="380" w:right="380" w:hanging="372"/>
        <w:spacing w:after="0" w:line="266" w:lineRule="auto"/>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760" w:right="280" w:hanging="378"/>
        <w:spacing w:after="0" w:line="266" w:lineRule="auto"/>
        <w:tabs>
          <w:tab w:leader="none" w:pos="7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760" w:right="280" w:hanging="378"/>
        <w:spacing w:after="0" w:line="266" w:lineRule="auto"/>
        <w:tabs>
          <w:tab w:leader="none" w:pos="7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80" w:right="80" w:hanging="372"/>
        <w:spacing w:after="0" w:line="282" w:lineRule="auto"/>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8, 2024</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20611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Jonas Prising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T. McGinnis, Executive Vice President and Chief Financial Officer of ManpowerGroup Inc., certify that:</w:t>
      </w:r>
    </w:p>
    <w:p>
      <w:pPr>
        <w:spacing w:after="0" w:line="198" w:lineRule="exact"/>
        <w:rPr>
          <w:sz w:val="20"/>
          <w:szCs w:val="20"/>
          <w:color w:val="auto"/>
        </w:rPr>
      </w:pPr>
    </w:p>
    <w:p>
      <w:pPr>
        <w:ind w:left="380" w:hanging="372"/>
        <w:spacing w:after="0"/>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ManpowerGroup Inc.;</w:t>
      </w:r>
    </w:p>
    <w:p>
      <w:pPr>
        <w:spacing w:after="0" w:line="184"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jc w:val="both"/>
        <w:ind w:left="380" w:right="380" w:hanging="372"/>
        <w:spacing w:after="0" w:line="266" w:lineRule="auto"/>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760" w:right="280" w:hanging="378"/>
        <w:spacing w:after="0" w:line="266" w:lineRule="auto"/>
        <w:tabs>
          <w:tab w:leader="none" w:pos="7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760" w:right="280" w:hanging="378"/>
        <w:spacing w:after="0" w:line="266" w:lineRule="auto"/>
        <w:tabs>
          <w:tab w:leader="none" w:pos="7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80" w:right="80" w:hanging="372"/>
        <w:spacing w:after="0" w:line="282" w:lineRule="auto"/>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8, 2024</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20611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John T. McGinnis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w:t>
      </w:r>
    </w:p>
    <w:p>
      <w:pPr>
        <w:spacing w:after="0" w:line="18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Pursuant to ss. 906 of the Sarbanes-Oxley Act of 2002, 18 U.S.C. ss. 1350, the undersigned officer of ManpowerGroup Inc. (the “Company”), hereby certifies that to his knowledge:</w:t>
      </w:r>
    </w:p>
    <w:p>
      <w:pPr>
        <w:spacing w:after="0" w:line="135" w:lineRule="exact"/>
        <w:rPr>
          <w:sz w:val="20"/>
          <w:szCs w:val="20"/>
          <w:color w:val="auto"/>
        </w:rPr>
      </w:pPr>
    </w:p>
    <w:p>
      <w:pPr>
        <w:ind w:left="760" w:right="120" w:hanging="378"/>
        <w:spacing w:after="0" w:line="282"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quarter ended September 30, 2024 fully complies with the requirements of Section 13(a) or 15(d), as applicable, of the Securities Exchange Act of 1934, and</w:t>
      </w:r>
    </w:p>
    <w:p>
      <w:pPr>
        <w:spacing w:after="0" w:line="121" w:lineRule="exact"/>
        <w:rPr>
          <w:rFonts w:ascii="Times New Roman" w:cs="Times New Roman" w:eastAsia="Times New Roman" w:hAnsi="Times New Roman"/>
          <w:sz w:val="18"/>
          <w:szCs w:val="18"/>
          <w:color w:val="auto"/>
        </w:rPr>
      </w:pPr>
    </w:p>
    <w:p>
      <w:pPr>
        <w:ind w:right="160" w:firstLine="382"/>
        <w:spacing w:after="0" w:line="461" w:lineRule="auto"/>
        <w:tabs>
          <w:tab w:leader="none" w:pos="74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ManpowerGroup Inc.</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Dated: November 8, 2024</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20611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Jonas Prising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18"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580390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w:t>
      </w:r>
    </w:p>
    <w:p>
      <w:pPr>
        <w:spacing w:after="0" w:line="18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Pursuant to ss. 906 of the Sarbanes-Oxley Act of 2002, 18 U.S.C. ss. 1350, the undersigned officer of ManpowerGroup Inc. (the “Company”), hereby certifies that to his knowledge:</w:t>
      </w:r>
    </w:p>
    <w:p>
      <w:pPr>
        <w:spacing w:after="0" w:line="135" w:lineRule="exact"/>
        <w:rPr>
          <w:sz w:val="20"/>
          <w:szCs w:val="20"/>
          <w:color w:val="auto"/>
        </w:rPr>
      </w:pPr>
    </w:p>
    <w:p>
      <w:pPr>
        <w:ind w:left="760" w:right="120" w:hanging="378"/>
        <w:spacing w:after="0" w:line="282"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quarter ended September 30, 2024 fully complies with the requirements of Section 13(a) or 15(d), as applicable, of the Securities Exchange Act of 1934, and</w:t>
      </w:r>
    </w:p>
    <w:p>
      <w:pPr>
        <w:spacing w:after="0" w:line="121" w:lineRule="exact"/>
        <w:rPr>
          <w:rFonts w:ascii="Times New Roman" w:cs="Times New Roman" w:eastAsia="Times New Roman" w:hAnsi="Times New Roman"/>
          <w:sz w:val="18"/>
          <w:szCs w:val="18"/>
          <w:color w:val="auto"/>
        </w:rPr>
      </w:pPr>
    </w:p>
    <w:p>
      <w:pPr>
        <w:ind w:right="160" w:firstLine="382"/>
        <w:spacing w:after="0" w:line="461" w:lineRule="auto"/>
        <w:tabs>
          <w:tab w:leader="none" w:pos="74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ManpowerGroup Inc.</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Dated: November 8, 2024</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20611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John T. McGinnis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18"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580390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6" w:name="page47"/>
    <w:bookmarkEnd w:id="4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1)"/>
      <w:numFmt w:val="decimal"/>
      <w:start w:val="2"/>
    </w:lvl>
  </w:abstractNum>
  <w:abstractNum w:abstractNumId="4">
    <w:nsid w:val="2D1D5AE9"/>
    <w:multiLevelType w:val="hybridMultilevel"/>
    <w:lvl w:ilvl="0">
      <w:lvlJc w:val="left"/>
      <w:lvlText w:val="(%1)"/>
      <w:numFmt w:val="decimal"/>
      <w:start w:val="3"/>
    </w:lvl>
  </w:abstractNum>
  <w:abstractNum w:abstractNumId="5">
    <w:nsid w:val="6763845E"/>
    <w:multiLevelType w:val="hybridMultilevel"/>
    <w:lvl w:ilvl="0">
      <w:lvlJc w:val="left"/>
      <w:lvlText w:val="(%1)"/>
      <w:numFmt w:val="lowerLetter"/>
      <w:start w:val="1"/>
    </w:lvl>
  </w:abstractNum>
  <w:abstractNum w:abstractNumId="6">
    <w:nsid w:val="75A2A8D4"/>
    <w:multiLevelType w:val="hybridMultilevel"/>
    <w:lvl w:ilvl="0">
      <w:lvlJc w:val="left"/>
      <w:lvlText w:val="(%1)"/>
      <w:numFmt w:val="lowerLetter"/>
      <w:start w:val="1"/>
    </w:lvl>
  </w:abstractNum>
  <w:abstractNum w:abstractNumId="7">
    <w:nsid w:val="8EDBDAB"/>
    <w:multiLevelType w:val="hybridMultilevel"/>
    <w:lvl w:ilvl="0">
      <w:lvlJc w:val="left"/>
      <w:lvlText w:val="(%1)"/>
      <w:numFmt w:val="lowerLetter"/>
      <w:start w:val="1"/>
    </w:lvl>
  </w:abstractNum>
  <w:abstractNum w:abstractNumId="8">
    <w:nsid w:val="79838CB2"/>
    <w:multiLevelType w:val="hybridMultilevel"/>
    <w:lvl w:ilvl="0">
      <w:lvlJc w:val="left"/>
      <w:lvlText w:val="(%1)"/>
      <w:numFmt w:val="lowerLetter"/>
      <w:start w:val="1"/>
    </w:lvl>
  </w:abstractNum>
  <w:abstractNum w:abstractNumId="9">
    <w:nsid w:val="4353D0CD"/>
    <w:multiLevelType w:val="hybridMultilevel"/>
    <w:lvl w:ilvl="0">
      <w:lvlJc w:val="left"/>
      <w:lvlText w:val="(%1)"/>
      <w:numFmt w:val="decimal"/>
      <w:start w:val="4"/>
    </w:lvl>
  </w:abstractNum>
  <w:abstractNum w:abstractNumId="10">
    <w:nsid w:val="B03E0C6"/>
    <w:multiLevelType w:val="hybridMultilevel"/>
    <w:lvl w:ilvl="0">
      <w:lvlJc w:val="left"/>
      <w:lvlText w:val="(%1)"/>
      <w:numFmt w:val="decimal"/>
      <w:start w:val="5"/>
    </w:lvl>
  </w:abstractNum>
  <w:abstractNum w:abstractNumId="11">
    <w:nsid w:val="189A769B"/>
    <w:multiLevelType w:val="hybridMultilevel"/>
    <w:lvl w:ilvl="0">
      <w:lvlJc w:val="left"/>
      <w:lvlText w:val="(%1)"/>
      <w:numFmt w:val="decimal"/>
      <w:start w:val="6"/>
    </w:lvl>
  </w:abstractNum>
  <w:abstractNum w:abstractNumId="12">
    <w:nsid w:val="54E49EB4"/>
    <w:multiLevelType w:val="hybridMultilevel"/>
    <w:lvl w:ilvl="0">
      <w:lvlJc w:val="left"/>
      <w:lvlText w:val="(%1)"/>
      <w:numFmt w:val="lowerLetter"/>
      <w:start w:val="1"/>
    </w:lvl>
  </w:abstractNum>
  <w:abstractNum w:abstractNumId="13">
    <w:nsid w:val="71F32454"/>
    <w:multiLevelType w:val="hybridMultilevel"/>
    <w:lvl w:ilvl="0">
      <w:lvlJc w:val="left"/>
      <w:lvlText w:val="(%1)"/>
      <w:numFmt w:val="decimal"/>
      <w:start w:val="7"/>
    </w:lvl>
  </w:abstractNum>
  <w:abstractNum w:abstractNumId="14">
    <w:nsid w:val="2CA88611"/>
    <w:multiLevelType w:val="hybridMultilevel"/>
    <w:lvl w:ilvl="0">
      <w:lvlJc w:val="left"/>
      <w:lvlText w:val="(%1)"/>
      <w:numFmt w:val="decimal"/>
      <w:start w:val="9"/>
    </w:lvl>
  </w:abstractNum>
  <w:abstractNum w:abstractNumId="15">
    <w:nsid w:val="836C40E"/>
    <w:multiLevelType w:val="hybridMultilevel"/>
    <w:lvl w:ilvl="0">
      <w:lvlJc w:val="left"/>
      <w:lvlText w:val="(%1)"/>
      <w:numFmt w:val="lowerLetter"/>
      <w:start w:val="1"/>
    </w:lvl>
  </w:abstractNum>
  <w:abstractNum w:abstractNumId="16">
    <w:nsid w:val="2901D82"/>
    <w:multiLevelType w:val="hybridMultilevel"/>
    <w:lvl w:ilvl="0">
      <w:lvlJc w:val="left"/>
      <w:lvlText w:val="%1"/>
      <w:numFmt w:val="decimal"/>
      <w:start w:val="1"/>
    </w:lvl>
    <w:lvl w:ilvl="1">
      <w:lvlJc w:val="left"/>
      <w:lvlText w:val="(%2)"/>
      <w:numFmt w:val="lowerLetter"/>
      <w:start w:val="1"/>
    </w:lvl>
  </w:abstractNum>
  <w:abstractNum w:abstractNumId="17">
    <w:nsid w:val="3A95F874"/>
    <w:multiLevelType w:val="hybridMultilevel"/>
    <w:lvl w:ilvl="0">
      <w:lvlJc w:val="left"/>
      <w:lvlText w:val="(%1)"/>
      <w:numFmt w:val="decimal"/>
      <w:start w:val="10"/>
    </w:lvl>
    <w:lvl w:ilvl="1">
      <w:lvlJc w:val="left"/>
      <w:lvlText w:val="%2"/>
      <w:numFmt w:val="lowerLetter"/>
      <w:start w:val="1"/>
    </w:lvl>
  </w:abstractNum>
  <w:abstractNum w:abstractNumId="18">
    <w:nsid w:val="8138641"/>
    <w:multiLevelType w:val="hybridMultilevel"/>
    <w:lvl w:ilvl="0">
      <w:lvlJc w:val="left"/>
      <w:lvlText w:val="(%1)"/>
      <w:numFmt w:val="decimal"/>
      <w:start w:val="13"/>
    </w:lvl>
  </w:abstractNum>
  <w:abstractNum w:abstractNumId="19">
    <w:nsid w:val="1E7FF521"/>
    <w:multiLevelType w:val="hybridMultilevel"/>
    <w:lvl w:ilvl="0">
      <w:lvlJc w:val="left"/>
      <w:lvlText w:val="(%1)"/>
      <w:numFmt w:val="lowerLetter"/>
      <w:start w:val="1"/>
    </w:lvl>
  </w:abstractNum>
  <w:abstractNum w:abstractNumId="20">
    <w:nsid w:val="7C3DBD3D"/>
    <w:multiLevelType w:val="hybridMultilevel"/>
    <w:lvl w:ilvl="0">
      <w:lvlJc w:val="left"/>
      <w:lvlText w:val="(%1)"/>
      <w:numFmt w:val="lowerLetter"/>
      <w:start w:val="1"/>
    </w:lvl>
  </w:abstractNum>
  <w:abstractNum w:abstractNumId="21">
    <w:nsid w:val="737B8DDC"/>
    <w:multiLevelType w:val="hybridMultilevel"/>
    <w:lvl w:ilvl="0">
      <w:lvlJc w:val="left"/>
      <w:lvlText w:val="(%1)"/>
      <w:numFmt w:val="lowerLetter"/>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1)"/>
      <w:numFmt w:val="lowerLetter"/>
      <w:start w:val="1"/>
    </w:lvl>
  </w:abstractNum>
  <w:abstractNum w:abstractNumId="33">
    <w:nsid w:val="7724C67E"/>
    <w:multiLevelType w:val="hybridMultilevel"/>
    <w:lvl w:ilvl="0">
      <w:lvlJc w:val="left"/>
      <w:lvlText w:val="(%1)"/>
      <w:numFmt w:val="lowerLetter"/>
      <w:start w:val="1"/>
    </w:lvl>
  </w:abstractNum>
  <w:abstractNum w:abstractNumId="34">
    <w:nsid w:val="5C482A97"/>
    <w:multiLevelType w:val="hybridMultilevel"/>
    <w:lvl w:ilvl="0">
      <w:lvlJc w:val="left"/>
      <w:lvlText w:val="(%1)"/>
      <w:numFmt w:val="decimal"/>
      <w:start w:val="1"/>
    </w:lvl>
  </w:abstractNum>
  <w:abstractNum w:abstractNumId="35">
    <w:nsid w:val="2463B9EA"/>
    <w:multiLevelType w:val="hybridMultilevel"/>
    <w:lvl w:ilvl="0">
      <w:lvlJc w:val="left"/>
      <w:lvlText w:val="(%1)"/>
      <w:numFmt w:val="lowerLetter"/>
      <w:start w:val="1"/>
    </w:lvl>
  </w:abstractNum>
  <w:abstractNum w:abstractNumId="36">
    <w:nsid w:val="5E884ADC"/>
    <w:multiLevelType w:val="hybridMultilevel"/>
    <w:lvl w:ilvl="0">
      <w:lvlJc w:val="left"/>
      <w:lvlText w:val="%1"/>
      <w:numFmt w:val="decimal"/>
      <w:start w:val="104"/>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2024-11-08T16:25:33Z</dcterms:created>
  <dcterms:modified xsi:type="dcterms:W3CDTF">2024-11-08T16:25:33Z</dcterms:modified>
</cp:coreProperties>
</file>