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Report (Date of earliest event reported): December 2, 2004</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440" w:type="dxa"/>
            <w:vAlign w:val="bottom"/>
          </w:tcPr>
          <w:p>
            <w:pPr>
              <w:spacing w:after="0"/>
              <w:rPr>
                <w:sz w:val="23"/>
                <w:szCs w:val="23"/>
                <w:color w:val="auto"/>
              </w:rPr>
            </w:pPr>
          </w:p>
        </w:tc>
        <w:tc>
          <w:tcPr>
            <w:tcW w:w="3420" w:type="dxa"/>
            <w:vAlign w:val="bottom"/>
            <w:gridSpan w:val="4"/>
          </w:tcPr>
          <w:p>
            <w:pPr>
              <w:jc w:val="center"/>
              <w:ind w:right="1000"/>
              <w:spacing w:after="0"/>
              <w:rPr>
                <w:sz w:val="20"/>
                <w:szCs w:val="20"/>
                <w:color w:val="auto"/>
              </w:rPr>
            </w:pPr>
            <w:r>
              <w:rPr>
                <w:rFonts w:ascii="Arial" w:cs="Arial" w:eastAsia="Arial" w:hAnsi="Arial"/>
                <w:sz w:val="22"/>
                <w:szCs w:val="22"/>
                <w:color w:val="auto"/>
                <w:w w:val="90"/>
              </w:rPr>
              <w:t>(State or other jurisdiction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0"/>
              </w:rPr>
              <w:t>(Commission</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File Number)</w:t>
            </w:r>
          </w:p>
        </w:tc>
        <w:tc>
          <w:tcPr>
            <w:tcW w:w="1180" w:type="dxa"/>
            <w:vAlign w:val="bottom"/>
          </w:tcPr>
          <w:p>
            <w:pPr>
              <w:spacing w:after="0"/>
              <w:rPr>
                <w:sz w:val="23"/>
                <w:szCs w:val="23"/>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70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53217</w:t>
            </w:r>
          </w:p>
        </w:tc>
        <w:tc>
          <w:tcPr>
            <w:tcW w:w="70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center"/>
              <w:ind w:right="80"/>
              <w:spacing w:after="0" w:line="223" w:lineRule="exact"/>
              <w:rPr>
                <w:sz w:val="20"/>
                <w:szCs w:val="20"/>
                <w:color w:val="auto"/>
              </w:rPr>
            </w:pPr>
            <w:r>
              <w:rPr>
                <w:rFonts w:ascii="Arial" w:cs="Arial" w:eastAsia="Arial" w:hAnsi="Arial"/>
                <w:sz w:val="22"/>
                <w:szCs w:val="22"/>
                <w:color w:val="auto"/>
                <w:w w:val="91"/>
              </w:rPr>
              <w:t>Milwaukee, Wisconsin</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gridSpan w:val="3"/>
          </w:tcPr>
          <w:p>
            <w:pPr>
              <w:jc w:val="center"/>
              <w:ind w:right="580"/>
              <w:spacing w:after="0" w:line="223" w:lineRule="exact"/>
              <w:rPr>
                <w:sz w:val="20"/>
                <w:szCs w:val="20"/>
                <w:color w:val="auto"/>
              </w:rPr>
            </w:pPr>
            <w:r>
              <w:rPr>
                <w:rFonts w:ascii="Arial" w:cs="Arial" w:eastAsia="Arial" w:hAnsi="Arial"/>
                <w:sz w:val="22"/>
                <w:szCs w:val="22"/>
                <w:color w:val="auto"/>
                <w:w w:val="90"/>
              </w:rPr>
              <w:t>(Zip Code)</w:t>
            </w:r>
          </w:p>
        </w:tc>
      </w:tr>
      <w:tr>
        <w:trPr>
          <w:trHeight w:val="301"/>
        </w:trPr>
        <w:tc>
          <w:tcPr>
            <w:tcW w:w="3860" w:type="dxa"/>
            <w:vAlign w:val="bottom"/>
            <w:gridSpan w:val="5"/>
          </w:tcPr>
          <w:p>
            <w:pPr>
              <w:jc w:val="center"/>
              <w:ind w:left="292"/>
              <w:spacing w:after="0"/>
              <w:rPr>
                <w:sz w:val="20"/>
                <w:szCs w:val="20"/>
                <w:color w:val="auto"/>
              </w:rPr>
            </w:pPr>
            <w:r>
              <w:rPr>
                <w:rFonts w:ascii="Arial" w:cs="Arial" w:eastAsia="Arial" w:hAnsi="Arial"/>
                <w:sz w:val="22"/>
                <w:szCs w:val="22"/>
                <w:color w:val="auto"/>
                <w:w w:val="90"/>
              </w:rPr>
              <w:t>(Address of principal executive offices)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43"/>
        </w:trPr>
        <w:tc>
          <w:tcPr>
            <w:tcW w:w="5140" w:type="dxa"/>
            <w:vAlign w:val="bottom"/>
            <w:gridSpan w:val="7"/>
          </w:tcPr>
          <w:p>
            <w:pPr>
              <w:spacing w:after="0"/>
              <w:rPr>
                <w:sz w:val="20"/>
                <w:szCs w:val="20"/>
                <w:color w:val="auto"/>
              </w:rPr>
            </w:pPr>
            <w:r>
              <w:rPr>
                <w:rFonts w:ascii="Arial" w:cs="Arial" w:eastAsia="Arial" w:hAnsi="Arial"/>
                <w:sz w:val="22"/>
                <w:szCs w:val="22"/>
                <w:color w:val="auto"/>
                <w:w w:val="90"/>
              </w:rPr>
              <w:t>Registrant’s telephone number, including area code: (414)</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w w:val="92"/>
              </w:rPr>
              <w:t>961-1000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4"/>
          <w:szCs w:val="24"/>
          <w:color w:val="auto"/>
        </w:rPr>
      </w:pPr>
    </w:p>
    <w:p>
      <w:pPr>
        <w:spacing w:after="0" w:line="255"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Securities Act (17 CFR 240.14a-12)</w:t>
      </w:r>
    </w:p>
    <w:p>
      <w:pPr>
        <w:spacing w:after="0" w:line="260" w:lineRule="exact"/>
        <w:rPr>
          <w:rFonts w:ascii="Arial" w:cs="Arial" w:eastAsia="Arial" w:hAnsi="Arial"/>
          <w:sz w:val="22"/>
          <w:szCs w:val="22"/>
          <w:color w:val="auto"/>
        </w:rPr>
      </w:pPr>
    </w:p>
    <w:p>
      <w:pPr>
        <w:ind w:left="380" w:right="302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Arial" w:cs="Arial" w:eastAsia="Arial" w:hAnsi="Arial"/>
          <w:sz w:val="22"/>
          <w:szCs w:val="22"/>
          <w:color w:val="auto"/>
        </w:rPr>
      </w:pPr>
    </w:p>
    <w:p>
      <w:pPr>
        <w:ind w:left="380" w:right="304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4"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u w:val="single" w:color="auto"/>
          <w:color w:val="auto"/>
        </w:rPr>
        <w:t>Other Events</w:t>
      </w:r>
      <w:r>
        <w:rPr>
          <w:rFonts w:ascii="Arial" w:cs="Arial" w:eastAsia="Arial" w:hAnsi="Arial"/>
          <w:sz w:val="19"/>
          <w:szCs w:val="19"/>
          <w:b w:val="1"/>
          <w:bCs w:val="1"/>
          <w:color w:val="auto"/>
        </w:rPr>
        <w:t>.</w:t>
      </w:r>
    </w:p>
    <w:p>
      <w:pPr>
        <w:spacing w:after="0" w:line="212" w:lineRule="exact"/>
        <w:rPr>
          <w:sz w:val="24"/>
          <w:szCs w:val="24"/>
          <w:color w:val="auto"/>
        </w:rPr>
      </w:pPr>
    </w:p>
    <w:p>
      <w:pPr>
        <w:ind w:firstLine="648"/>
        <w:spacing w:after="0"/>
        <w:rPr>
          <w:sz w:val="20"/>
          <w:szCs w:val="20"/>
          <w:color w:val="auto"/>
        </w:rPr>
      </w:pPr>
      <w:r>
        <w:rPr>
          <w:rFonts w:ascii="Arial" w:cs="Arial" w:eastAsia="Arial" w:hAnsi="Arial"/>
          <w:sz w:val="22"/>
          <w:szCs w:val="22"/>
          <w:color w:val="auto"/>
        </w:rPr>
        <w:t>On December 2, 2004, Manpower Inc. (the “Company”) issued a press release disclosing additional information concerning the investigation of the Company launched by the French authorities on November 30, 2004. A copy of the press release is attached hereto as Exhibit 99.1 and incorporated herein by reference.</w:t>
      </w:r>
    </w:p>
    <w:p>
      <w:pPr>
        <w:spacing w:after="0" w:line="180"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u w:val="single" w:color="auto"/>
          <w:color w:val="auto"/>
        </w:rPr>
        <w:t>Financial Statements and Exhibits</w:t>
      </w:r>
      <w:r>
        <w:rPr>
          <w:rFonts w:ascii="Arial" w:cs="Arial" w:eastAsia="Arial" w:hAnsi="Arial"/>
          <w:sz w:val="19"/>
          <w:szCs w:val="19"/>
          <w:b w:val="1"/>
          <w:bCs w:val="1"/>
          <w:color w:val="auto"/>
        </w:rPr>
        <w:t>.</w:t>
      </w:r>
    </w:p>
    <w:p>
      <w:pPr>
        <w:spacing w:after="0" w:line="197"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11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3480" w:type="dxa"/>
            <w:vAlign w:val="bottom"/>
            <w:gridSpan w:val="2"/>
          </w:tcPr>
          <w:p>
            <w:pPr>
              <w:jc w:val="right"/>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409"/>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14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22"/>
                <w:szCs w:val="22"/>
                <w:color w:val="auto"/>
                <w:w w:val="88"/>
              </w:rPr>
              <w:t>Press Release dated December 2, 2004</w:t>
            </w:r>
          </w:p>
        </w:tc>
      </w:tr>
    </w:tbl>
    <w:p>
      <w:pPr>
        <w:spacing w:after="0" w:line="200" w:lineRule="exact"/>
        <w:rPr>
          <w:sz w:val="24"/>
          <w:szCs w:val="24"/>
          <w:color w:val="auto"/>
        </w:rPr>
      </w:pPr>
    </w:p>
    <w:p>
      <w:pPr>
        <w:sectPr>
          <w:pgSz w:w="11900" w:h="16838" w:orient="portrait"/>
          <w:cols w:equalWidth="0" w:num="1">
            <w:col w:w="11380"/>
          </w:cols>
          <w:pgMar w:left="240" w:top="1198" w:right="279" w:bottom="33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59"/>
        <w:spacing w:after="0"/>
        <w:rPr>
          <w:sz w:val="20"/>
          <w:szCs w:val="20"/>
          <w:color w:val="auto"/>
        </w:rPr>
      </w:pPr>
      <w:r>
        <w:rPr>
          <w:rFonts w:ascii="Arial" w:cs="Arial" w:eastAsia="Arial" w:hAnsi="Arial"/>
          <w:sz w:val="19"/>
          <w:szCs w:val="19"/>
          <w:u w:val="single" w:color="auto"/>
          <w:color w:val="auto"/>
        </w:rPr>
        <w:t>SIGNATURES</w:t>
      </w:r>
    </w:p>
    <w:p>
      <w:pPr>
        <w:sectPr>
          <w:pgSz w:w="11900" w:h="16838" w:orient="portrait"/>
          <w:cols w:equalWidth="0" w:num="1">
            <w:col w:w="11380"/>
          </w:cols>
          <w:pgMar w:left="240" w:top="1198" w:right="279" w:bottom="338" w:gutter="0" w:footer="0" w:header="0"/>
          <w:type w:val="continuous"/>
        </w:sectPr>
      </w:pPr>
    </w:p>
    <w:bookmarkStart w:id="1" w:name="page2"/>
    <w:bookmarkEnd w:id="1"/>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December 2, 2004</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-17780</wp:posOffset>
            </wp:positionV>
            <wp:extent cx="2305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Michael J. Van Handel</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 Chief Financial</w:t>
      </w:r>
    </w:p>
    <w:p>
      <w:pPr>
        <w:spacing w:after="0" w:line="4"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360" w:type="dxa"/>
        <w:tblCellMar>
          <w:top w:w="0" w:type="dxa"/>
          <w:left w:w="0" w:type="dxa"/>
          <w:bottom w:w="0" w:type="dxa"/>
          <w:right w:w="0" w:type="dxa"/>
        </w:tblCellMar>
      </w:tblPr>
      <w:tr>
        <w:trPr>
          <w:trHeight w:val="275"/>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40" w:type="dxa"/>
            <w:vAlign w:val="bottom"/>
            <w:gridSpan w:val="2"/>
          </w:tcPr>
          <w:p>
            <w:pPr>
              <w:jc w:val="right"/>
              <w:ind w:right="40"/>
              <w:spacing w:after="0"/>
              <w:rPr>
                <w:sz w:val="20"/>
                <w:szCs w:val="20"/>
                <w:color w:val="auto"/>
              </w:rPr>
            </w:pPr>
            <w:r>
              <w:rPr>
                <w:rFonts w:ascii="Arial" w:cs="Arial" w:eastAsia="Arial" w:hAnsi="Arial"/>
                <w:sz w:val="22"/>
                <w:szCs w:val="22"/>
                <w:color w:val="auto"/>
              </w:rPr>
              <w:t>EXHIBIT INDEX</w:t>
            </w:r>
          </w:p>
        </w:tc>
        <w:tc>
          <w:tcPr>
            <w:tcW w:w="440" w:type="dxa"/>
            <w:vAlign w:val="bottom"/>
          </w:tcPr>
          <w:p>
            <w:pPr>
              <w:spacing w:after="0"/>
              <w:rPr>
                <w:sz w:val="23"/>
                <w:szCs w:val="23"/>
                <w:color w:val="auto"/>
              </w:rPr>
            </w:pPr>
          </w:p>
        </w:tc>
      </w:tr>
      <w:tr>
        <w:trPr>
          <w:trHeight w:val="638"/>
        </w:trPr>
        <w:tc>
          <w:tcPr>
            <w:tcW w:w="11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3480" w:type="dxa"/>
            <w:vAlign w:val="bottom"/>
            <w:gridSpan w:val="3"/>
          </w:tcPr>
          <w:p>
            <w:pPr>
              <w:jc w:val="right"/>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409"/>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140" w:type="dxa"/>
            <w:vAlign w:val="bottom"/>
          </w:tcPr>
          <w:p>
            <w:pPr>
              <w:spacing w:after="0"/>
              <w:rPr>
                <w:sz w:val="24"/>
                <w:szCs w:val="24"/>
                <w:color w:val="auto"/>
              </w:rPr>
            </w:pPr>
          </w:p>
        </w:tc>
        <w:tc>
          <w:tcPr>
            <w:tcW w:w="3040" w:type="dxa"/>
            <w:vAlign w:val="bottom"/>
            <w:gridSpan w:val="2"/>
          </w:tcPr>
          <w:p>
            <w:pPr>
              <w:jc w:val="right"/>
              <w:ind w:right="40"/>
              <w:spacing w:after="0"/>
              <w:rPr>
                <w:sz w:val="20"/>
                <w:szCs w:val="20"/>
                <w:color w:val="auto"/>
              </w:rPr>
            </w:pPr>
            <w:r>
              <w:rPr>
                <w:rFonts w:ascii="Arial" w:cs="Arial" w:eastAsia="Arial" w:hAnsi="Arial"/>
                <w:sz w:val="22"/>
                <w:szCs w:val="22"/>
                <w:color w:val="auto"/>
                <w:w w:val="88"/>
              </w:rPr>
              <w:t>Press Release dated December 2,</w:t>
            </w:r>
          </w:p>
        </w:tc>
        <w:tc>
          <w:tcPr>
            <w:tcW w:w="440" w:type="dxa"/>
            <w:vAlign w:val="bottom"/>
          </w:tcPr>
          <w:p>
            <w:pPr>
              <w:jc w:val="right"/>
              <w:spacing w:after="0"/>
              <w:rPr>
                <w:sz w:val="20"/>
                <w:szCs w:val="20"/>
                <w:color w:val="auto"/>
              </w:rPr>
            </w:pPr>
            <w:r>
              <w:rPr>
                <w:rFonts w:ascii="Arial" w:cs="Arial" w:eastAsia="Arial" w:hAnsi="Arial"/>
                <w:sz w:val="22"/>
                <w:szCs w:val="22"/>
                <w:color w:val="auto"/>
                <w:w w:val="85"/>
              </w:rPr>
              <w:t>2004</w:t>
            </w:r>
          </w:p>
        </w:tc>
      </w:tr>
    </w:tbl>
    <w:p>
      <w:pPr>
        <w:sectPr>
          <w:pgSz w:w="11900" w:h="16838" w:orient="portrait"/>
          <w:cols w:equalWidth="0" w:num="1">
            <w:col w:w="10820"/>
          </w:cols>
          <w:pgMar w:left="240" w:top="118" w:right="839" w:bottom="1440" w:gutter="0" w:footer="0" w:header="0"/>
        </w:sectPr>
      </w:pPr>
    </w:p>
    <w:bookmarkStart w:id="2" w:name="page3"/>
    <w:bookmarkEnd w:id="2"/>
    <w:p>
      <w:pPr>
        <w:ind w:left="9320"/>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159385</wp:posOffset>
            </wp:positionV>
            <wp:extent cx="1389380"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197485"/>
                    </a:xfrm>
                    <a:prstGeom prst="rect">
                      <a:avLst/>
                    </a:prstGeom>
                    <a:noFill/>
                  </pic:spPr>
                </pic:pic>
              </a:graphicData>
            </a:graphic>
          </wp:anchor>
        </w:drawing>
      </w:r>
    </w:p>
    <w:p>
      <w:pPr>
        <w:sectPr>
          <w:pgSz w:w="11900" w:h="16838" w:orient="portrait"/>
          <w:cols w:equalWidth="0" w:num="1">
            <w:col w:w="10440"/>
          </w:cols>
          <w:pgMar w:left="1220" w:top="105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20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9"/>
          <w:szCs w:val="19"/>
          <w:b w:val="1"/>
          <w:bCs w:val="1"/>
          <w:color w:val="auto"/>
        </w:rPr>
        <w:t>Contacts: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Mike Van Handel</w:t>
      </w:r>
    </w:p>
    <w:p>
      <w:pPr>
        <w:ind w:left="4220"/>
        <w:spacing w:after="0"/>
        <w:rPr>
          <w:sz w:val="20"/>
          <w:szCs w:val="20"/>
          <w:color w:val="auto"/>
        </w:rPr>
      </w:pPr>
      <w:r>
        <w:rPr>
          <w:rFonts w:ascii="Arial" w:cs="Arial" w:eastAsia="Arial" w:hAnsi="Arial"/>
          <w:sz w:val="20"/>
          <w:szCs w:val="20"/>
          <w:color w:val="auto"/>
        </w:rPr>
        <w:t>Chief Financial Officer</w:t>
      </w:r>
    </w:p>
    <w:p>
      <w:pPr>
        <w:ind w:left="4220"/>
        <w:spacing w:after="0"/>
        <w:rPr>
          <w:sz w:val="20"/>
          <w:szCs w:val="20"/>
          <w:color w:val="auto"/>
        </w:rPr>
      </w:pPr>
      <w:r>
        <w:rPr>
          <w:rFonts w:ascii="Arial" w:cs="Arial" w:eastAsia="Arial" w:hAnsi="Arial"/>
          <w:sz w:val="20"/>
          <w:szCs w:val="20"/>
          <w:color w:val="auto"/>
        </w:rPr>
        <w:t>+1.414.906.6305</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Tracy Shilobrit</w:t>
      </w:r>
    </w:p>
    <w:p>
      <w:pPr>
        <w:ind w:left="4220"/>
        <w:spacing w:after="0"/>
        <w:rPr>
          <w:sz w:val="20"/>
          <w:szCs w:val="20"/>
          <w:color w:val="auto"/>
        </w:rPr>
      </w:pPr>
      <w:r>
        <w:rPr>
          <w:rFonts w:ascii="Arial" w:cs="Arial" w:eastAsia="Arial" w:hAnsi="Arial"/>
          <w:sz w:val="20"/>
          <w:szCs w:val="20"/>
          <w:color w:val="auto"/>
        </w:rPr>
        <w:t>Director of Corporate &amp; Global Communications</w:t>
      </w:r>
    </w:p>
    <w:p>
      <w:pPr>
        <w:ind w:left="4220"/>
        <w:spacing w:after="0"/>
        <w:rPr>
          <w:sz w:val="20"/>
          <w:szCs w:val="20"/>
          <w:color w:val="auto"/>
        </w:rPr>
      </w:pPr>
      <w:r>
        <w:rPr>
          <w:rFonts w:ascii="Arial" w:cs="Arial" w:eastAsia="Arial" w:hAnsi="Arial"/>
          <w:sz w:val="20"/>
          <w:szCs w:val="20"/>
          <w:color w:val="auto"/>
        </w:rPr>
        <w:t>+1.414.906.6088</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Manpower Inc. Provides Additional Insight on French Inquiry</w:t>
      </w:r>
    </w:p>
    <w:p>
      <w:pPr>
        <w:spacing w:after="0" w:line="370" w:lineRule="exact"/>
        <w:rPr>
          <w:sz w:val="20"/>
          <w:szCs w:val="20"/>
          <w:color w:val="auto"/>
        </w:rPr>
      </w:pPr>
    </w:p>
    <w:p>
      <w:pPr>
        <w:ind w:right="1560"/>
        <w:spacing w:after="0" w:line="338" w:lineRule="auto"/>
        <w:rPr>
          <w:sz w:val="20"/>
          <w:szCs w:val="20"/>
          <w:color w:val="auto"/>
        </w:rPr>
      </w:pPr>
      <w:r>
        <w:rPr>
          <w:rFonts w:ascii="Arial" w:cs="Arial" w:eastAsia="Arial" w:hAnsi="Arial"/>
          <w:sz w:val="20"/>
          <w:szCs w:val="20"/>
          <w:color w:val="auto"/>
        </w:rPr>
        <w:t>MILWAUKEE, WI, USA, December 2, 2004 – Manpower Inc. (NYSE: MAN) today disclosed additional information regarding an investigation launched by the French authorities.</w:t>
      </w:r>
    </w:p>
    <w:p>
      <w:pPr>
        <w:ind w:right="1320" w:firstLine="648"/>
        <w:spacing w:after="0" w:line="338" w:lineRule="auto"/>
        <w:rPr>
          <w:sz w:val="20"/>
          <w:szCs w:val="20"/>
          <w:color w:val="auto"/>
        </w:rPr>
      </w:pPr>
      <w:r>
        <w:rPr>
          <w:rFonts w:ascii="Arial" w:cs="Arial" w:eastAsia="Arial" w:hAnsi="Arial"/>
          <w:sz w:val="20"/>
          <w:szCs w:val="20"/>
          <w:color w:val="auto"/>
        </w:rPr>
        <w:t>A search warrant was executed on November 30, 2004 at Manpower France’s headquarters in Paris, authorizing the French Regional Director of Inquiries of Competition to enter the office, review and obtain documents that may be pertinent to the investigation.</w:t>
      </w:r>
    </w:p>
    <w:p>
      <w:pPr>
        <w:spacing w:after="0" w:line="1" w:lineRule="exact"/>
        <w:rPr>
          <w:sz w:val="20"/>
          <w:szCs w:val="20"/>
          <w:color w:val="auto"/>
        </w:rPr>
      </w:pPr>
    </w:p>
    <w:p>
      <w:pPr>
        <w:ind w:right="1040" w:firstLine="648"/>
        <w:spacing w:after="0" w:line="338" w:lineRule="auto"/>
        <w:rPr>
          <w:sz w:val="20"/>
          <w:szCs w:val="20"/>
          <w:color w:val="auto"/>
        </w:rPr>
      </w:pPr>
      <w:r>
        <w:rPr>
          <w:rFonts w:ascii="Arial" w:cs="Arial" w:eastAsia="Arial" w:hAnsi="Arial"/>
          <w:sz w:val="20"/>
          <w:szCs w:val="20"/>
          <w:color w:val="auto"/>
        </w:rPr>
        <w:t>“Our French management team is cooperating with the French authorities in this matter, with assistance from staff based in our international headquarters in the U.S.,” said Jeffrey A. Joerres, Chairman &amp; CEO of Manpower Inc.</w:t>
      </w:r>
    </w:p>
    <w:p>
      <w:pPr>
        <w:spacing w:after="0" w:line="1" w:lineRule="exact"/>
        <w:rPr>
          <w:sz w:val="20"/>
          <w:szCs w:val="20"/>
          <w:color w:val="auto"/>
        </w:rPr>
      </w:pPr>
    </w:p>
    <w:p>
      <w:pPr>
        <w:ind w:right="1040" w:firstLine="648"/>
        <w:spacing w:after="0" w:line="338" w:lineRule="auto"/>
        <w:rPr>
          <w:sz w:val="20"/>
          <w:szCs w:val="20"/>
          <w:color w:val="auto"/>
        </w:rPr>
      </w:pPr>
      <w:r>
        <w:rPr>
          <w:rFonts w:ascii="Arial" w:cs="Arial" w:eastAsia="Arial" w:hAnsi="Arial"/>
          <w:sz w:val="20"/>
          <w:szCs w:val="20"/>
          <w:color w:val="auto"/>
        </w:rPr>
        <w:t>According to the warrant, the investigation stems from a complaint submitted in 2003 to the European Commission and subsequently transferred to France’s Direction Générale de la Concurrence, de la Consommation et de la Répression des Fraudes (DGCCRF), a body from the French Financial Department which investigates frauds and competition violations. Manpower understands that the purpose of the investigation is to search for evidence of price fixing and allocation of market share within the French market.</w:t>
      </w:r>
    </w:p>
    <w:p>
      <w:pPr>
        <w:spacing w:after="0" w:line="1" w:lineRule="exact"/>
        <w:rPr>
          <w:sz w:val="20"/>
          <w:szCs w:val="20"/>
          <w:color w:val="auto"/>
        </w:rPr>
      </w:pPr>
    </w:p>
    <w:p>
      <w:pPr>
        <w:ind w:right="1840" w:firstLine="648"/>
        <w:spacing w:after="0" w:line="333" w:lineRule="auto"/>
        <w:rPr>
          <w:sz w:val="20"/>
          <w:szCs w:val="20"/>
          <w:color w:val="auto"/>
        </w:rPr>
      </w:pPr>
      <w:r>
        <w:rPr>
          <w:rFonts w:ascii="Arial" w:cs="Arial" w:eastAsia="Arial" w:hAnsi="Arial"/>
          <w:sz w:val="20"/>
          <w:szCs w:val="20"/>
          <w:color w:val="auto"/>
        </w:rPr>
        <w:t xml:space="preserve">The DGCCRF is now the investigating body in this complaint. Their website is located at: </w:t>
      </w:r>
      <w:r>
        <w:rPr>
          <w:rFonts w:ascii="Arial" w:cs="Arial" w:eastAsia="Arial" w:hAnsi="Arial"/>
          <w:sz w:val="20"/>
          <w:szCs w:val="20"/>
          <w:u w:val="single" w:color="auto"/>
          <w:color w:val="auto"/>
        </w:rPr>
        <w:t>http://www.finances.gouv.fr/DGCCRF/</w:t>
      </w:r>
      <w:r>
        <w:rPr>
          <w:rFonts w:ascii="Arial" w:cs="Arial" w:eastAsia="Arial" w:hAnsi="Arial"/>
          <w:sz w:val="20"/>
          <w:szCs w:val="20"/>
          <w:color w:val="auto"/>
        </w:rPr>
        <w:t>. The search warrant does not address any other Manpower operations in Europe.</w:t>
      </w:r>
    </w:p>
    <w:p>
      <w:pPr>
        <w:spacing w:after="0" w:line="2" w:lineRule="exact"/>
        <w:rPr>
          <w:sz w:val="20"/>
          <w:szCs w:val="20"/>
          <w:color w:val="auto"/>
        </w:rPr>
      </w:pPr>
    </w:p>
    <w:p>
      <w:pPr>
        <w:ind w:right="1040" w:firstLine="648"/>
        <w:spacing w:after="0" w:line="338" w:lineRule="auto"/>
        <w:rPr>
          <w:sz w:val="20"/>
          <w:szCs w:val="20"/>
          <w:color w:val="auto"/>
        </w:rPr>
      </w:pPr>
      <w:r>
        <w:rPr>
          <w:rFonts w:ascii="Arial" w:cs="Arial" w:eastAsia="Arial" w:hAnsi="Arial"/>
          <w:sz w:val="20"/>
          <w:szCs w:val="20"/>
          <w:color w:val="auto"/>
        </w:rPr>
        <w:t>Joerres stated, “Although the investigation is continuing, at this time I am not aware of any inappropriate behavior by Manpower employees relating to these allegations. As in any investigation of this type, it is difficult to predict the timing and where the investigation may lead. However, we are hopeful that there will be a prompt resolution to this issue.”</w:t>
      </w:r>
    </w:p>
    <w:p>
      <w:pPr>
        <w:spacing w:after="0" w:line="1" w:lineRule="exact"/>
        <w:rPr>
          <w:sz w:val="20"/>
          <w:szCs w:val="20"/>
          <w:color w:val="auto"/>
        </w:rPr>
      </w:pPr>
    </w:p>
    <w:p>
      <w:pPr>
        <w:ind w:right="1060" w:firstLine="648"/>
        <w:spacing w:after="0" w:line="338" w:lineRule="auto"/>
        <w:rPr>
          <w:sz w:val="20"/>
          <w:szCs w:val="20"/>
          <w:color w:val="auto"/>
        </w:rPr>
      </w:pPr>
      <w:r>
        <w:rPr>
          <w:rFonts w:ascii="Arial" w:cs="Arial" w:eastAsia="Arial" w:hAnsi="Arial"/>
          <w:sz w:val="20"/>
          <w:szCs w:val="20"/>
          <w:color w:val="auto"/>
        </w:rPr>
        <w:t>“At Manpower, we take all matters of business conduct and ethics very seriously, requiring each of our 25,000 employees worldwide to know and understand our Code of Conduct, which requires compliance with both the spirit and the letter of the laws in each country where we operate,” said Joerres. “We have a strong track record of ethical business behavior that we intend to uphold. If any inappropriate behavior has taken place, we will take action to rectify the situation.”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Manpower Inc. Code of Business Conduct and Ethics can be found on the company Website at: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http://www.manpower.com/mpcom/content.jsp?articleid=340</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Manpower will provide additional information following the completion of the investigation.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10" w:lineRule="exact"/>
        <w:rPr>
          <w:sz w:val="20"/>
          <w:szCs w:val="20"/>
          <w:color w:val="auto"/>
        </w:rPr>
      </w:pPr>
    </w:p>
    <w:p>
      <w:pPr>
        <w:ind w:right="1300"/>
        <w:spacing w:after="0" w:line="255" w:lineRule="auto"/>
        <w:rPr>
          <w:sz w:val="20"/>
          <w:szCs w:val="20"/>
          <w:color w:val="auto"/>
        </w:rPr>
      </w:pPr>
      <w:r>
        <w:rPr>
          <w:rFonts w:ascii="Arial" w:cs="Arial" w:eastAsia="Arial" w:hAnsi="Arial"/>
          <w:sz w:val="19"/>
          <w:szCs w:val="19"/>
          <w:color w:val="auto"/>
        </w:rPr>
        <w:t>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and organizational consulting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w:t>
      </w:r>
    </w:p>
    <w:p>
      <w:pPr>
        <w:sectPr>
          <w:pgSz w:w="11900" w:h="16838" w:orient="portrait"/>
          <w:cols w:equalWidth="0" w:num="1">
            <w:col w:w="10440"/>
          </w:cols>
          <w:pgMar w:left="1220" w:top="1051" w:right="239" w:bottom="0" w:gutter="0" w:footer="0" w:header="0"/>
          <w:type w:val="continuous"/>
        </w:sectPr>
      </w:pPr>
    </w:p>
    <w:bookmarkStart w:id="3" w:name="page4"/>
    <w:bookmarkEnd w:id="3"/>
    <w:p>
      <w:pPr>
        <w:ind w:right="400"/>
        <w:spacing w:after="0" w:line="241" w:lineRule="auto"/>
        <w:rPr>
          <w:sz w:val="20"/>
          <w:szCs w:val="20"/>
          <w:color w:val="auto"/>
        </w:rPr>
      </w:pPr>
      <w:r>
        <w:rPr>
          <w:rFonts w:ascii="Arial" w:cs="Arial" w:eastAsia="Arial" w:hAnsi="Arial"/>
          <w:sz w:val="20"/>
          <w:szCs w:val="20"/>
          <w:color w:val="auto"/>
        </w:rPr>
        <w:t xml:space="preserve">quality, efficiency and cost-reduction, enabling customers to concentrate on their core business activities. In addition to the Manpower brand, the company operates under the brand names of Right Management Consultants, Jefferson Wells, Elan and Brook Street. More information on Manpower Inc. is available at </w:t>
      </w:r>
      <w:r>
        <w:rPr>
          <w:rFonts w:ascii="Arial" w:cs="Arial" w:eastAsia="Arial" w:hAnsi="Arial"/>
          <w:sz w:val="20"/>
          <w:szCs w:val="20"/>
          <w:u w:val="single" w:color="auto"/>
          <w:color w:val="auto"/>
        </w:rPr>
        <w:t>www.manpower.com</w:t>
      </w:r>
      <w:r>
        <w:rPr>
          <w:rFonts w:ascii="Arial" w:cs="Arial" w:eastAsia="Arial" w:hAnsi="Arial"/>
          <w:sz w:val="20"/>
          <w:szCs w:val="20"/>
          <w:color w:val="auto"/>
        </w:rPr>
        <w:t xml:space="preserve">. More information on Manpower France can be found at: </w:t>
      </w:r>
      <w:r>
        <w:rPr>
          <w:rFonts w:ascii="Arial" w:cs="Arial" w:eastAsia="Arial" w:hAnsi="Arial"/>
          <w:sz w:val="20"/>
          <w:szCs w:val="20"/>
          <w:u w:val="single" w:color="auto"/>
          <w:color w:val="auto"/>
        </w:rPr>
        <w:t>www.manpower.fr.</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 ### -</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MANPOWER INC. • P.O. BOX 2053 • 5301 N. IRONWOOD RD., MILWAUKEE, WI 53201 • USA • PHONE +1.414-961-1000 • www.manpower.com</w:t>
      </w:r>
    </w:p>
    <w:sectPr>
      <w:pgSz w:w="11900" w:h="16838" w:orient="portrait"/>
      <w:cols w:equalWidth="0" w:num="1">
        <w:col w:w="9440"/>
      </w:cols>
      <w:pgMar w:left="122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2019-12-19T23:39:10Z</dcterms:created>
  <dcterms:modified xsi:type="dcterms:W3CDTF">2019-12-19T23:39:10Z</dcterms:modified>
</cp:coreProperties>
</file>