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37465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4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495" w:val="left"/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6"/>
        <w:spacing w:after="0"/>
        <w:tabs>
          <w:tab w:leader="none" w:pos="495" w:val="left"/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4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186690</wp:posOffset>
            </wp:positionV>
            <wp:extent cx="6967220" cy="885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5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8213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15,834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23,153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684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22,259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15, 2021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restricted stock units in lieu of dividends paid in 2020 at an average price of $71.31.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15, 2022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14, 2023 and will be settled in shares of ManpowerGroup common stock on a 1 for 1 basis upon vesting.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3652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137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48792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2021-01-05T16:22:36Z</dcterms:created>
  <dcterms:modified xsi:type="dcterms:W3CDTF">2021-01-05T16:22:36Z</dcterms:modified>
</cp:coreProperties>
</file>