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7, 2021</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30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1-10686</w:t>
            </w:r>
          </w:p>
        </w:tc>
        <w:tc>
          <w:tcPr>
            <w:tcW w:w="40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39-1672779</w:t>
            </w:r>
          </w:p>
        </w:tc>
      </w:t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(Commission File Number)</w:t>
            </w:r>
          </w:p>
        </w:tc>
        <w:tc>
          <w:tcPr>
            <w:tcW w:w="4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41"/>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100 Manpower Place</w:t>
            </w:r>
          </w:p>
        </w:tc>
        <w:tc>
          <w:tcPr>
            <w:tcW w:w="30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41"/>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Milwaukee, Wisconsin</w:t>
            </w:r>
          </w:p>
        </w:tc>
        <w:tc>
          <w:tcPr>
            <w:tcW w:w="304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jc w:val="right"/>
              <w:ind w:right="1790"/>
              <w:spacing w:after="0"/>
              <w:rPr>
                <w:sz w:val="20"/>
                <w:szCs w:val="20"/>
                <w:color w:val="auto"/>
              </w:rPr>
            </w:pPr>
            <w:r>
              <w:rPr>
                <w:rFonts w:ascii="Arial" w:cs="Arial" w:eastAsia="Arial" w:hAnsi="Arial"/>
                <w:sz w:val="18"/>
                <w:szCs w:val="18"/>
                <w:b w:val="1"/>
                <w:bCs w:val="1"/>
                <w:color w:val="auto"/>
              </w:rPr>
              <w:t>53212</w:t>
            </w:r>
          </w:p>
        </w:tc>
      </w:t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040" w:type="dxa"/>
            <w:vAlign w:val="bottom"/>
          </w:tcPr>
          <w:p>
            <w:pPr>
              <w:spacing w:after="0"/>
              <w:rPr>
                <w:sz w:val="20"/>
                <w:szCs w:val="20"/>
                <w:color w:val="auto"/>
              </w:rPr>
            </w:pPr>
          </w:p>
        </w:tc>
        <w:tc>
          <w:tcPr>
            <w:tcW w:w="4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(Zip Code)</w:t>
            </w: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740" w:firstLine="8"/>
        <w:spacing w:after="0" w:line="430"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1"/>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MAN</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3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At our 2021 Annual Meeting, our shareholders voted on proposals to: (1) elect twelve individuals nominated by the Board of Directors of the Company to serve until 2022; (2) ratify the appointment of Deloitte &amp; Touche LLP as our independent auditors for 2021; and (3) provide an advisory vote on the compensation of our named executive officers. The final voting results on these proposals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62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For</w:t>
            </w:r>
          </w:p>
        </w:tc>
        <w:tc>
          <w:tcPr>
            <w:tcW w:w="14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Against</w:t>
            </w:r>
          </w:p>
        </w:tc>
        <w:tc>
          <w:tcPr>
            <w:tcW w:w="15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Abstain</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1"/>
        </w:trPr>
        <w:tc>
          <w:tcPr>
            <w:tcW w:w="5400" w:type="dxa"/>
            <w:vAlign w:val="bottom"/>
            <w:vMerge w:val="restart"/>
          </w:tcPr>
          <w:p>
            <w:pPr>
              <w:spacing w:after="0"/>
              <w:rPr>
                <w:sz w:val="20"/>
                <w:szCs w:val="20"/>
                <w:color w:val="auto"/>
              </w:rPr>
            </w:pPr>
            <w:r>
              <w:rPr>
                <w:rFonts w:ascii="Arial" w:cs="Arial" w:eastAsia="Arial" w:hAnsi="Arial"/>
                <w:sz w:val="18"/>
                <w:szCs w:val="18"/>
                <w:color w:val="auto"/>
              </w:rPr>
              <w:t>1. a) Election of Gina R. Boswell</w:t>
            </w:r>
          </w:p>
        </w:tc>
        <w:tc>
          <w:tcPr>
            <w:tcW w:w="16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Non-Votes</w:t>
            </w:r>
          </w:p>
        </w:tc>
        <w:tc>
          <w:tcPr>
            <w:tcW w:w="0" w:type="dxa"/>
            <w:vAlign w:val="bottom"/>
          </w:tcPr>
          <w:p>
            <w:pPr>
              <w:spacing w:after="0"/>
              <w:rPr>
                <w:sz w:val="1"/>
                <w:szCs w:val="1"/>
                <w:color w:val="auto"/>
              </w:rPr>
            </w:pPr>
          </w:p>
        </w:tc>
      </w:tr>
      <w:tr>
        <w:trPr>
          <w:trHeight w:val="224"/>
        </w:trPr>
        <w:tc>
          <w:tcPr>
            <w:tcW w:w="5400" w:type="dxa"/>
            <w:vAlign w:val="bottom"/>
            <w:vMerge w:val="continue"/>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45,578,228</w:t>
            </w:r>
          </w:p>
        </w:tc>
        <w:tc>
          <w:tcPr>
            <w:tcW w:w="3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2,020,134</w:t>
            </w:r>
          </w:p>
        </w:tc>
        <w:tc>
          <w:tcPr>
            <w:tcW w:w="34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20,016</w:t>
            </w:r>
          </w:p>
        </w:tc>
        <w:tc>
          <w:tcPr>
            <w:tcW w:w="4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400" w:type="dxa"/>
            <w:vAlign w:val="bottom"/>
          </w:tcPr>
          <w:p>
            <w:pPr>
              <w:ind w:left="180"/>
              <w:spacing w:after="0"/>
              <w:rPr>
                <w:sz w:val="20"/>
                <w:szCs w:val="20"/>
                <w:color w:val="auto"/>
              </w:rPr>
            </w:pPr>
            <w:r>
              <w:rPr>
                <w:rFonts w:ascii="Arial" w:cs="Arial" w:eastAsia="Arial" w:hAnsi="Arial"/>
                <w:sz w:val="18"/>
                <w:szCs w:val="18"/>
                <w:color w:val="auto"/>
              </w:rPr>
              <w:t>b) Election of Jean-Philippe Courtois</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47,501,606</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95,130</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21,643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1,781,403</w:t>
            </w:r>
          </w:p>
        </w:tc>
        <w:tc>
          <w:tcPr>
            <w:tcW w:w="0" w:type="dxa"/>
            <w:vAlign w:val="bottom"/>
          </w:tcPr>
          <w:p>
            <w:pPr>
              <w:spacing w:after="0"/>
              <w:rPr>
                <w:sz w:val="1"/>
                <w:szCs w:val="1"/>
                <w:color w:val="auto"/>
              </w:rPr>
            </w:pPr>
          </w:p>
        </w:tc>
      </w:tr>
      <w:tr>
        <w:trPr>
          <w:trHeight w:val="432"/>
        </w:trPr>
        <w:tc>
          <w:tcPr>
            <w:tcW w:w="5400" w:type="dxa"/>
            <w:vAlign w:val="bottom"/>
          </w:tcPr>
          <w:p>
            <w:pPr>
              <w:ind w:left="180"/>
              <w:spacing w:after="0"/>
              <w:rPr>
                <w:sz w:val="20"/>
                <w:szCs w:val="20"/>
                <w:color w:val="auto"/>
              </w:rPr>
            </w:pPr>
            <w:r>
              <w:rPr>
                <w:rFonts w:ascii="Arial" w:cs="Arial" w:eastAsia="Arial" w:hAnsi="Arial"/>
                <w:sz w:val="18"/>
                <w:szCs w:val="18"/>
                <w:color w:val="auto"/>
              </w:rPr>
              <w:t>c) Election of William Downe</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47,197,910</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398,704</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21,764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1,781,403</w:t>
            </w:r>
          </w:p>
        </w:tc>
        <w:tc>
          <w:tcPr>
            <w:tcW w:w="0" w:type="dxa"/>
            <w:vAlign w:val="bottom"/>
          </w:tcPr>
          <w:p>
            <w:pPr>
              <w:spacing w:after="0"/>
              <w:rPr>
                <w:sz w:val="1"/>
                <w:szCs w:val="1"/>
                <w:color w:val="auto"/>
              </w:rPr>
            </w:pPr>
          </w:p>
        </w:tc>
      </w:tr>
      <w:tr>
        <w:trPr>
          <w:trHeight w:val="432"/>
        </w:trPr>
        <w:tc>
          <w:tcPr>
            <w:tcW w:w="5400" w:type="dxa"/>
            <w:vAlign w:val="bottom"/>
          </w:tcPr>
          <w:p>
            <w:pPr>
              <w:ind w:left="180"/>
              <w:spacing w:after="0"/>
              <w:rPr>
                <w:sz w:val="20"/>
                <w:szCs w:val="20"/>
                <w:color w:val="auto"/>
              </w:rPr>
            </w:pPr>
            <w:r>
              <w:rPr>
                <w:rFonts w:ascii="Arial" w:cs="Arial" w:eastAsia="Arial" w:hAnsi="Arial"/>
                <w:sz w:val="18"/>
                <w:szCs w:val="18"/>
                <w:color w:val="auto"/>
              </w:rPr>
              <w:t>d) Election of John F. Ferraro</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47,563,438</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33,143</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21,798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1,781,403</w:t>
            </w:r>
          </w:p>
        </w:tc>
        <w:tc>
          <w:tcPr>
            <w:tcW w:w="0" w:type="dxa"/>
            <w:vAlign w:val="bottom"/>
          </w:tcPr>
          <w:p>
            <w:pPr>
              <w:spacing w:after="0"/>
              <w:rPr>
                <w:sz w:val="1"/>
                <w:szCs w:val="1"/>
                <w:color w:val="auto"/>
              </w:rPr>
            </w:pPr>
          </w:p>
        </w:tc>
      </w:tr>
      <w:tr>
        <w:trPr>
          <w:trHeight w:val="432"/>
        </w:trPr>
        <w:tc>
          <w:tcPr>
            <w:tcW w:w="5400" w:type="dxa"/>
            <w:vAlign w:val="bottom"/>
          </w:tcPr>
          <w:p>
            <w:pPr>
              <w:ind w:left="180"/>
              <w:spacing w:after="0"/>
              <w:rPr>
                <w:sz w:val="20"/>
                <w:szCs w:val="20"/>
                <w:color w:val="auto"/>
              </w:rPr>
            </w:pPr>
            <w:r>
              <w:rPr>
                <w:rFonts w:ascii="Arial" w:cs="Arial" w:eastAsia="Arial" w:hAnsi="Arial"/>
                <w:sz w:val="18"/>
                <w:szCs w:val="18"/>
                <w:color w:val="auto"/>
              </w:rPr>
              <w:t>e) Election of William P. Gipson</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47,422,317</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174,256</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21,805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1,781,403</w:t>
            </w:r>
          </w:p>
        </w:tc>
        <w:tc>
          <w:tcPr>
            <w:tcW w:w="0" w:type="dxa"/>
            <w:vAlign w:val="bottom"/>
          </w:tcPr>
          <w:p>
            <w:pPr>
              <w:spacing w:after="0"/>
              <w:rPr>
                <w:sz w:val="1"/>
                <w:szCs w:val="1"/>
                <w:color w:val="auto"/>
              </w:rPr>
            </w:pPr>
          </w:p>
        </w:tc>
      </w:tr>
      <w:tr>
        <w:trPr>
          <w:trHeight w:val="432"/>
        </w:trPr>
        <w:tc>
          <w:tcPr>
            <w:tcW w:w="5400" w:type="dxa"/>
            <w:vAlign w:val="bottom"/>
          </w:tcPr>
          <w:p>
            <w:pPr>
              <w:ind w:left="180"/>
              <w:spacing w:after="0"/>
              <w:rPr>
                <w:sz w:val="20"/>
                <w:szCs w:val="20"/>
                <w:color w:val="auto"/>
              </w:rPr>
            </w:pPr>
            <w:r>
              <w:rPr>
                <w:rFonts w:ascii="Arial" w:cs="Arial" w:eastAsia="Arial" w:hAnsi="Arial"/>
                <w:sz w:val="18"/>
                <w:szCs w:val="18"/>
                <w:color w:val="auto"/>
              </w:rPr>
              <w:t>f) Election of Patricia Hemingway Hall</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47,235,940</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361,997</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20,441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1,781,403</w:t>
            </w:r>
          </w:p>
        </w:tc>
        <w:tc>
          <w:tcPr>
            <w:tcW w:w="0" w:type="dxa"/>
            <w:vAlign w:val="bottom"/>
          </w:tcPr>
          <w:p>
            <w:pPr>
              <w:spacing w:after="0"/>
              <w:rPr>
                <w:sz w:val="1"/>
                <w:szCs w:val="1"/>
                <w:color w:val="auto"/>
              </w:rPr>
            </w:pPr>
          </w:p>
        </w:tc>
      </w:tr>
      <w:tr>
        <w:trPr>
          <w:trHeight w:val="432"/>
        </w:trPr>
        <w:tc>
          <w:tcPr>
            <w:tcW w:w="5400" w:type="dxa"/>
            <w:vAlign w:val="bottom"/>
          </w:tcPr>
          <w:p>
            <w:pPr>
              <w:ind w:left="180"/>
              <w:spacing w:after="0"/>
              <w:rPr>
                <w:sz w:val="20"/>
                <w:szCs w:val="20"/>
                <w:color w:val="auto"/>
              </w:rPr>
            </w:pPr>
            <w:r>
              <w:rPr>
                <w:rFonts w:ascii="Arial" w:cs="Arial" w:eastAsia="Arial" w:hAnsi="Arial"/>
                <w:sz w:val="18"/>
                <w:szCs w:val="18"/>
                <w:color w:val="auto"/>
              </w:rPr>
              <w:t>g) Election of Julie M. Howard</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47,292,422</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305,456</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20,500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1,781,403</w:t>
            </w:r>
          </w:p>
        </w:tc>
        <w:tc>
          <w:tcPr>
            <w:tcW w:w="0" w:type="dxa"/>
            <w:vAlign w:val="bottom"/>
          </w:tcPr>
          <w:p>
            <w:pPr>
              <w:spacing w:after="0"/>
              <w:rPr>
                <w:sz w:val="1"/>
                <w:szCs w:val="1"/>
                <w:color w:val="auto"/>
              </w:rPr>
            </w:pPr>
          </w:p>
        </w:tc>
      </w:tr>
      <w:tr>
        <w:trPr>
          <w:trHeight w:val="432"/>
        </w:trPr>
        <w:tc>
          <w:tcPr>
            <w:tcW w:w="5400" w:type="dxa"/>
            <w:vAlign w:val="bottom"/>
          </w:tcPr>
          <w:p>
            <w:pPr>
              <w:ind w:left="180"/>
              <w:spacing w:after="0"/>
              <w:rPr>
                <w:sz w:val="20"/>
                <w:szCs w:val="20"/>
                <w:color w:val="auto"/>
              </w:rPr>
            </w:pPr>
            <w:r>
              <w:rPr>
                <w:rFonts w:ascii="Arial" w:cs="Arial" w:eastAsia="Arial" w:hAnsi="Arial"/>
                <w:sz w:val="18"/>
                <w:szCs w:val="18"/>
                <w:color w:val="auto"/>
              </w:rPr>
              <w:t>h) Election of Ulice Payne, Jr.</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45,610,455</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1,987,120</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20,804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1,781,403</w:t>
            </w:r>
          </w:p>
        </w:tc>
        <w:tc>
          <w:tcPr>
            <w:tcW w:w="0" w:type="dxa"/>
            <w:vAlign w:val="bottom"/>
          </w:tcPr>
          <w:p>
            <w:pPr>
              <w:spacing w:after="0"/>
              <w:rPr>
                <w:sz w:val="1"/>
                <w:szCs w:val="1"/>
                <w:color w:val="auto"/>
              </w:rPr>
            </w:pPr>
          </w:p>
        </w:tc>
      </w:tr>
      <w:tr>
        <w:trPr>
          <w:trHeight w:val="432"/>
        </w:trPr>
        <w:tc>
          <w:tcPr>
            <w:tcW w:w="5400" w:type="dxa"/>
            <w:vAlign w:val="bottom"/>
          </w:tcPr>
          <w:p>
            <w:pPr>
              <w:ind w:left="180"/>
              <w:spacing w:after="0"/>
              <w:rPr>
                <w:sz w:val="20"/>
                <w:szCs w:val="20"/>
                <w:color w:val="auto"/>
              </w:rPr>
            </w:pPr>
            <w:r>
              <w:rPr>
                <w:rFonts w:ascii="Arial" w:cs="Arial" w:eastAsia="Arial" w:hAnsi="Arial"/>
                <w:sz w:val="18"/>
                <w:szCs w:val="18"/>
                <w:color w:val="auto"/>
              </w:rPr>
              <w:t>i) Election of Jonas Prising</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45,960,228</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1,547,592</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110,558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1,781,403</w:t>
            </w:r>
          </w:p>
        </w:tc>
        <w:tc>
          <w:tcPr>
            <w:tcW w:w="0" w:type="dxa"/>
            <w:vAlign w:val="bottom"/>
          </w:tcPr>
          <w:p>
            <w:pPr>
              <w:spacing w:after="0"/>
              <w:rPr>
                <w:sz w:val="1"/>
                <w:szCs w:val="1"/>
                <w:color w:val="auto"/>
              </w:rPr>
            </w:pPr>
          </w:p>
        </w:tc>
      </w:tr>
      <w:tr>
        <w:trPr>
          <w:trHeight w:val="432"/>
        </w:trPr>
        <w:tc>
          <w:tcPr>
            <w:tcW w:w="5400" w:type="dxa"/>
            <w:vAlign w:val="bottom"/>
          </w:tcPr>
          <w:p>
            <w:pPr>
              <w:ind w:left="180"/>
              <w:spacing w:after="0"/>
              <w:rPr>
                <w:sz w:val="20"/>
                <w:szCs w:val="20"/>
                <w:color w:val="auto"/>
              </w:rPr>
            </w:pPr>
            <w:r>
              <w:rPr>
                <w:rFonts w:ascii="Arial" w:cs="Arial" w:eastAsia="Arial" w:hAnsi="Arial"/>
                <w:sz w:val="18"/>
                <w:szCs w:val="18"/>
                <w:color w:val="auto"/>
              </w:rPr>
              <w:t>j) Election of Paul Read</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47,563,114</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33,075</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22,189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1,781,403</w:t>
            </w:r>
          </w:p>
        </w:tc>
        <w:tc>
          <w:tcPr>
            <w:tcW w:w="0" w:type="dxa"/>
            <w:vAlign w:val="bottom"/>
          </w:tcPr>
          <w:p>
            <w:pPr>
              <w:spacing w:after="0"/>
              <w:rPr>
                <w:sz w:val="1"/>
                <w:szCs w:val="1"/>
                <w:color w:val="auto"/>
              </w:rPr>
            </w:pPr>
          </w:p>
        </w:tc>
      </w:tr>
      <w:tr>
        <w:trPr>
          <w:trHeight w:val="432"/>
        </w:trPr>
        <w:tc>
          <w:tcPr>
            <w:tcW w:w="5400" w:type="dxa"/>
            <w:vAlign w:val="bottom"/>
          </w:tcPr>
          <w:p>
            <w:pPr>
              <w:ind w:left="180"/>
              <w:spacing w:after="0"/>
              <w:rPr>
                <w:sz w:val="20"/>
                <w:szCs w:val="20"/>
                <w:color w:val="auto"/>
              </w:rPr>
            </w:pPr>
            <w:r>
              <w:rPr>
                <w:rFonts w:ascii="Arial" w:cs="Arial" w:eastAsia="Arial" w:hAnsi="Arial"/>
                <w:sz w:val="18"/>
                <w:szCs w:val="18"/>
                <w:color w:val="auto"/>
              </w:rPr>
              <w:t>k) Election of Elizabeth P. Sartain</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47,053,355</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545,593</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19,431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1,781,403</w:t>
            </w:r>
          </w:p>
        </w:tc>
        <w:tc>
          <w:tcPr>
            <w:tcW w:w="0" w:type="dxa"/>
            <w:vAlign w:val="bottom"/>
          </w:tcPr>
          <w:p>
            <w:pPr>
              <w:spacing w:after="0"/>
              <w:rPr>
                <w:sz w:val="1"/>
                <w:szCs w:val="1"/>
                <w:color w:val="auto"/>
              </w:rPr>
            </w:pPr>
          </w:p>
        </w:tc>
      </w:tr>
      <w:tr>
        <w:trPr>
          <w:trHeight w:val="432"/>
        </w:trPr>
        <w:tc>
          <w:tcPr>
            <w:tcW w:w="5400" w:type="dxa"/>
            <w:vAlign w:val="bottom"/>
          </w:tcPr>
          <w:p>
            <w:pPr>
              <w:ind w:left="180"/>
              <w:spacing w:after="0"/>
              <w:rPr>
                <w:sz w:val="20"/>
                <w:szCs w:val="20"/>
                <w:color w:val="auto"/>
              </w:rPr>
            </w:pPr>
            <w:r>
              <w:rPr>
                <w:rFonts w:ascii="Arial" w:cs="Arial" w:eastAsia="Arial" w:hAnsi="Arial"/>
                <w:sz w:val="18"/>
                <w:szCs w:val="18"/>
                <w:color w:val="auto"/>
              </w:rPr>
              <w:t>l) Election of Michael J. Van Handel</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47,425,431</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171,650</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21,298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1,781,403</w:t>
            </w:r>
          </w:p>
        </w:tc>
        <w:tc>
          <w:tcPr>
            <w:tcW w:w="0" w:type="dxa"/>
            <w:vAlign w:val="bottom"/>
          </w:tcPr>
          <w:p>
            <w:pPr>
              <w:spacing w:after="0"/>
              <w:rPr>
                <w:sz w:val="1"/>
                <w:szCs w:val="1"/>
                <w:color w:val="auto"/>
              </w:rPr>
            </w:pPr>
          </w:p>
        </w:tc>
      </w:tr>
      <w:tr>
        <w:trPr>
          <w:trHeight w:val="418"/>
        </w:trPr>
        <w:tc>
          <w:tcPr>
            <w:tcW w:w="5400" w:type="dxa"/>
            <w:vAlign w:val="bottom"/>
          </w:tcPr>
          <w:p>
            <w:pPr>
              <w:spacing w:after="0"/>
              <w:rPr>
                <w:sz w:val="20"/>
                <w:szCs w:val="20"/>
                <w:color w:val="auto"/>
              </w:rPr>
            </w:pPr>
            <w:r>
              <w:rPr>
                <w:rFonts w:ascii="Arial" w:cs="Arial" w:eastAsia="Arial" w:hAnsi="Arial"/>
                <w:sz w:val="18"/>
                <w:szCs w:val="18"/>
                <w:color w:val="auto"/>
              </w:rPr>
              <w:t>2.  Ratification of the appointment of Deloitte &amp; Touche LLP as our</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independent auditors for 2021</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48,847,482</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534,488</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17,812</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0"/>
                <w:szCs w:val="20"/>
                <w:color w:val="auto"/>
              </w:rPr>
            </w:pPr>
            <w:r>
              <w:rPr>
                <w:rFonts w:ascii="Arial" w:cs="Arial" w:eastAsia="Arial" w:hAnsi="Arial"/>
                <w:sz w:val="18"/>
                <w:szCs w:val="18"/>
                <w:color w:val="auto"/>
                <w:w w:val="96"/>
              </w:rPr>
              <w:t>3.  Advisory vote on the compensation of our named executive officers</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46,030,169</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1,558,192</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30,017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1,781,403</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35"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On May 7, 2021 our Board of Directors declared a semi-annual dividend of $1.26 per share. The dividend will be paid on June 15, 2021 to shareholders of record as of the close of business on June 1, 2021. The press release is attached hereto as Exhibit 99.1 and is incorporated by reference herein.</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3"/>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39"/>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8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99.1</w:t>
            </w:r>
          </w:p>
        </w:tc>
        <w:tc>
          <w:tcPr>
            <w:tcW w:w="280" w:type="dxa"/>
            <w:vAlign w:val="bottom"/>
          </w:tcPr>
          <w:p>
            <w:pPr>
              <w:spacing w:after="0"/>
              <w:rPr>
                <w:sz w:val="15"/>
                <w:szCs w:val="15"/>
                <w:color w:val="auto"/>
              </w:rPr>
            </w:pPr>
          </w:p>
        </w:tc>
        <w:tc>
          <w:tcPr>
            <w:tcW w:w="9980" w:type="dxa"/>
            <w:vAlign w:val="bottom"/>
            <w:gridSpan w:val="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May 7, 2021</w:t>
              </w:r>
            </w:hyperlink>
          </w:p>
        </w:tc>
      </w:tr>
      <w:tr>
        <w:trPr>
          <w:trHeight w:val="20"/>
        </w:trPr>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0"/>
                <w:szCs w:val="20"/>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803"/>
        </w:trPr>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760" w:type="dxa"/>
            <w:vAlign w:val="bottom"/>
            <w:gridSpan w:val="2"/>
          </w:tcPr>
          <w:p>
            <w:pPr>
              <w:ind w:left="2040"/>
              <w:spacing w:after="0"/>
              <w:rPr>
                <w:sz w:val="20"/>
                <w:szCs w:val="20"/>
                <w:color w:val="auto"/>
              </w:rPr>
            </w:pPr>
            <w:r>
              <w:rPr>
                <w:rFonts w:ascii="Arial" w:cs="Arial" w:eastAsia="Arial" w:hAnsi="Arial"/>
                <w:sz w:val="18"/>
                <w:szCs w:val="18"/>
                <w:color w:val="auto"/>
              </w:rPr>
              <w:t>MANPOWERGROUP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Dated: May 7, 2021</w:t>
            </w:r>
          </w:p>
        </w:tc>
        <w:tc>
          <w:tcPr>
            <w:tcW w:w="2660" w:type="dxa"/>
            <w:vAlign w:val="bottom"/>
          </w:tcPr>
          <w:p>
            <w:pPr>
              <w:ind w:left="204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Buchband</w:t>
            </w:r>
          </w:p>
        </w:tc>
      </w:tr>
      <w:tr>
        <w:trPr>
          <w:trHeight w:val="195"/>
        </w:trPr>
        <w:tc>
          <w:tcPr>
            <w:tcW w:w="3480" w:type="dxa"/>
            <w:vAlign w:val="bottom"/>
          </w:tcPr>
          <w:p>
            <w:pPr>
              <w:spacing w:after="0"/>
              <w:rPr>
                <w:sz w:val="16"/>
                <w:szCs w:val="16"/>
                <w:color w:val="auto"/>
              </w:rPr>
            </w:pPr>
          </w:p>
        </w:tc>
        <w:tc>
          <w:tcPr>
            <w:tcW w:w="266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Richard Buchband</w:t>
            </w:r>
          </w:p>
        </w:tc>
      </w:tr>
      <w:tr>
        <w:trPr>
          <w:trHeight w:val="230"/>
        </w:trPr>
        <w:tc>
          <w:tcPr>
            <w:tcW w:w="3480" w:type="dxa"/>
            <w:vAlign w:val="bottom"/>
          </w:tcPr>
          <w:p>
            <w:pPr>
              <w:spacing w:after="0"/>
              <w:rPr>
                <w:sz w:val="20"/>
                <w:szCs w:val="20"/>
                <w:color w:val="auto"/>
              </w:rPr>
            </w:pPr>
          </w:p>
        </w:tc>
        <w:tc>
          <w:tcPr>
            <w:tcW w:w="2660" w:type="dxa"/>
            <w:vAlign w:val="bottom"/>
          </w:tcPr>
          <w:p>
            <w:pPr>
              <w:ind w:left="2040"/>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51660" cy="994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488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7"/>
          <w:szCs w:val="17"/>
          <w:b w:val="1"/>
          <w:bCs w:val="1"/>
          <w:color w:val="auto"/>
        </w:rPr>
        <w:t>CONTACT:</w:t>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Jack McGinnis</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+1.414.906.7977</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jack.mcginnis@manpowergroup.com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Increases Dividend 7.7 Percent</w:t>
      </w:r>
    </w:p>
    <w:p>
      <w:pPr>
        <w:spacing w:after="0" w:line="23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 xml:space="preserve">MILWAUKEE (May 7, 2021) – </w:t>
      </w:r>
      <w:r>
        <w:rPr>
          <w:rFonts w:ascii="Arial" w:cs="Arial" w:eastAsia="Arial" w:hAnsi="Arial"/>
          <w:sz w:val="18"/>
          <w:szCs w:val="18"/>
          <w:color w:val="auto"/>
        </w:rPr>
        <w:t>The Board of Directors of ManpowerGroup (NYSE: MAN) has declared a semi-annual dividend of $1.26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a 7.7 percent increase from the most recent semi-annual dividend of $1.17 per share.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dividend is payable on June 15, 2021 to shareholders of record as of the close of business on June 1, 2021.</w:t>
      </w:r>
    </w:p>
    <w:p>
      <w:pPr>
        <w:spacing w:after="0" w:line="212" w:lineRule="exact"/>
        <w:rPr>
          <w:sz w:val="20"/>
          <w:szCs w:val="20"/>
          <w:color w:val="auto"/>
        </w:rPr>
      </w:pPr>
    </w:p>
    <w:p>
      <w:pPr>
        <w:ind w:right="1140"/>
        <w:spacing w:after="0" w:line="246" w:lineRule="auto"/>
        <w:rPr>
          <w:sz w:val="20"/>
          <w:szCs w:val="20"/>
          <w:color w:val="auto"/>
        </w:rPr>
      </w:pPr>
      <w:r>
        <w:rPr>
          <w:rFonts w:ascii="Arial" w:cs="Arial" w:eastAsia="Arial" w:hAnsi="Arial"/>
          <w:sz w:val="18"/>
          <w:szCs w:val="18"/>
          <w:color w:val="auto"/>
        </w:rPr>
        <w:t xml:space="preserve">Additional financial information about ManpowerGroup, including stock history and annual shareholder reports, can be found at </w:t>
      </w:r>
      <w:r>
        <w:rPr>
          <w:rFonts w:ascii="Arial" w:cs="Arial" w:eastAsia="Arial" w:hAnsi="Arial"/>
          <w:sz w:val="18"/>
          <w:szCs w:val="18"/>
          <w:u w:val="single" w:color="auto"/>
          <w:color w:val="auto"/>
        </w:rPr>
        <w:t>http://investor.manpowergroup.com</w:t>
      </w:r>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2021 ManpowerGroup was named one of the World's Most Ethical Companies for the 12th year - all confirming our position as the brand of choice for in-demand talent.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2021-05-07T16:17:40Z</dcterms:created>
  <dcterms:modified xsi:type="dcterms:W3CDTF">2021-05-07T16:17:40Z</dcterms:modified>
</cp:coreProperties>
</file>