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November 18, 2025</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5" w:type="dxa"/>
        <w:tblCellMar>
          <w:top w:w="0" w:type="dxa"/>
          <w:left w:w="0" w:type="dxa"/>
          <w:bottom w:w="0" w:type="dxa"/>
          <w:right w:w="0" w:type="dxa"/>
        </w:tblCellMar>
      </w:tblPr>
      <w:tr>
        <w:trPr>
          <w:trHeight w:val="211"/>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120" w:type="dxa"/>
            <w:vAlign w:val="bottom"/>
            <w:tcBorders>
              <w:bottom w:val="single" w:sz="8" w:color="auto"/>
            </w:tcBorders>
          </w:tcPr>
          <w:p>
            <w:pPr>
              <w:jc w:val="right"/>
              <w:ind w:right="1301"/>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980" w:type="dxa"/>
            <w:vAlign w:val="bottom"/>
            <w:tcBorders>
              <w:bottom w:val="single" w:sz="8" w:color="auto"/>
            </w:tcBorders>
          </w:tcPr>
          <w:p>
            <w:pPr>
              <w:jc w:val="right"/>
              <w:ind w:right="16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8"/>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312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(Commission File Number)</w:t>
            </w:r>
          </w:p>
        </w:tc>
        <w:tc>
          <w:tcPr>
            <w:tcW w:w="3980" w:type="dxa"/>
            <w:vAlign w:val="bottom"/>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93"/>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312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11"/>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31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jc w:val="right"/>
              <w:ind w:right="18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8"/>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3120" w:type="dxa"/>
            <w:vAlign w:val="bottom"/>
          </w:tcPr>
          <w:p>
            <w:pPr>
              <w:spacing w:after="0"/>
              <w:rPr>
                <w:sz w:val="18"/>
                <w:szCs w:val="18"/>
                <w:color w:val="auto"/>
              </w:rPr>
            </w:pPr>
          </w:p>
        </w:tc>
        <w:tc>
          <w:tcPr>
            <w:tcW w:w="3980" w:type="dxa"/>
            <w:vAlign w:val="bottom"/>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47"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3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35" w:lineRule="exact"/>
        <w:rPr>
          <w:rFonts w:ascii="MS PGothic" w:cs="MS PGothic" w:eastAsia="MS PGothic" w:hAnsi="MS PGothic"/>
          <w:sz w:val="16"/>
          <w:szCs w:val="16"/>
          <w:color w:val="auto"/>
        </w:rPr>
      </w:pPr>
    </w:p>
    <w:p>
      <w:pPr>
        <w:ind w:left="465" w:hanging="465"/>
        <w:spacing w:after="0"/>
        <w:tabs>
          <w:tab w:leader="none" w:pos="4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35" w:lineRule="exact"/>
        <w:rPr>
          <w:rFonts w:ascii="MS PGothic" w:cs="MS PGothic" w:eastAsia="MS PGothic" w:hAnsi="MS PGothic"/>
          <w:sz w:val="16"/>
          <w:szCs w:val="16"/>
          <w:color w:val="auto"/>
        </w:rPr>
      </w:pPr>
    </w:p>
    <w:p>
      <w:pPr>
        <w:ind w:left="5" w:right="3760" w:hanging="5"/>
        <w:spacing w:after="0" w:line="424" w:lineRule="auto"/>
        <w:tabs>
          <w:tab w:leader="none" w:pos="46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5" w:type="dxa"/>
        <w:tblCellMar>
          <w:top w:w="0" w:type="dxa"/>
          <w:left w:w="0" w:type="dxa"/>
          <w:bottom w:w="0" w:type="dxa"/>
          <w:right w:w="0" w:type="dxa"/>
        </w:tblCellMar>
      </w:tblPr>
      <w:tr>
        <w:trPr>
          <w:trHeight w:val="202"/>
        </w:trPr>
        <w:tc>
          <w:tcPr>
            <w:tcW w:w="4020" w:type="dxa"/>
            <w:vAlign w:val="bottom"/>
            <w:tcBorders>
              <w:top w:val="single" w:sz="8" w:color="auto"/>
              <w:left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240" w:type="dxa"/>
            <w:vAlign w:val="bottom"/>
            <w:tcBorders>
              <w:top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Trading Symbol(s)</w:t>
            </w:r>
          </w:p>
        </w:tc>
        <w:tc>
          <w:tcPr>
            <w:tcW w:w="4000" w:type="dxa"/>
            <w:vAlign w:val="bottom"/>
            <w:tcBorders>
              <w:top w:val="single" w:sz="8" w:color="auto"/>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402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24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rPr>
              <w:t>MAN</w:t>
            </w:r>
          </w:p>
        </w:tc>
        <w:tc>
          <w:tcPr>
            <w:tcW w:w="400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14"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528320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84" w:right="31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6"/>
          <w:szCs w:val="16"/>
          <w:color w:val="auto"/>
        </w:rPr>
        <w:t>On November 18, 2025, John T. McGinnis, Executive Vice President and Chief Financial Officer of ManpowerGroup Inc. (the “Company”), will present at the J.P. Morgan 2025 Ultimate Services Investor Conference. A copy of the presentation to be shared at the conference is attached hereto as Exhibit 99.1 and incorporated by reference herein.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i w:val="1"/>
          <w:iCs w:val="1"/>
          <w:color w:val="auto"/>
        </w:rPr>
        <w:t>This current report on Form 8-K includes statements, including statements regarding the Company's strategic and technology initiatives and investments, including transformation initiatives intended to remove structural costs from the organization to drive efficiencies, and the impact of workforce trends on market penetration, that are forward-looking in nature and, accordingly, are subject to known and unknown risks and uncertainties. Actual results might differ materially from those projected in the forward-looking statements due to numerous factors. These factors include those found in the Company's reports filed with the SEC, including the information under the heading "Risk Factors" in its Annual Report on Form 10-K for the year ended December 31, 2024, which information is incorporated herein by reference. Forward-looking statements can be identified by forward-looking words such as “expect,” “anticipate,” “intend,” “plan,” “may,” “will,” “believe,” “seek,” “estimate,” and similar expressions. The Company assumes no obligation to update or revise any forward-looking statements.</w:t>
      </w:r>
    </w:p>
    <w:p>
      <w:pPr>
        <w:spacing w:after="0" w:line="169"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7.01, including exhibit 99.1 attached hereto, is furnished solely pursuant to Item 7.01 of Form 8-K. Consequently, such information is not deemed "filed" for the purposes of Section 18 of the Securities Exchange Act of 1934, or otherwise subject to the liabilities of that section. Further, the information in this Item 7.01, including exhibit 99.1, shall not be deemed to be incorporated by reference into the filings of the registrant under the Securities Act of 1933.</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81"/>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4"/>
        </w:trPr>
        <w:tc>
          <w:tcPr>
            <w:tcW w:w="84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280" w:type="dxa"/>
            <w:vAlign w:val="bottom"/>
          </w:tcPr>
          <w:p>
            <w:pPr>
              <w:spacing w:after="0"/>
              <w:rPr>
                <w:sz w:val="13"/>
                <w:szCs w:val="13"/>
                <w:color w:val="auto"/>
              </w:rPr>
            </w:pPr>
          </w:p>
        </w:tc>
        <w:tc>
          <w:tcPr>
            <w:tcW w:w="101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6"/>
                <w:szCs w:val="16"/>
                <w:color w:val="0000FF"/>
              </w:rPr>
              <w:t>Investor Presentation dated November 18, 2025</w:t>
            </w: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05"/>
        </w:trPr>
        <w:tc>
          <w:tcPr>
            <w:tcW w:w="8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80" w:type="dxa"/>
            <w:vAlign w:val="bottom"/>
          </w:tcPr>
          <w:p>
            <w:pPr>
              <w:spacing w:after="0"/>
              <w:rPr>
                <w:sz w:val="17"/>
                <w:szCs w:val="17"/>
                <w:color w:val="auto"/>
              </w:rPr>
            </w:pPr>
          </w:p>
        </w:tc>
        <w:tc>
          <w:tcPr>
            <w:tcW w:w="10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067"/>
        </w:trPr>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6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7640" w:type="dxa"/>
            <w:vAlign w:val="bottom"/>
            <w:gridSpan w:val="3"/>
          </w:tcPr>
          <w:p>
            <w:pPr>
              <w:ind w:left="184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78"/>
        </w:trPr>
        <w:tc>
          <w:tcPr>
            <w:tcW w:w="3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Dated: November 18, 2025</w:t>
            </w:r>
          </w:p>
        </w:tc>
        <w:tc>
          <w:tcPr>
            <w:tcW w:w="252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65"/>
        </w:trPr>
        <w:tc>
          <w:tcPr>
            <w:tcW w:w="3620" w:type="dxa"/>
            <w:vAlign w:val="bottom"/>
          </w:tcPr>
          <w:p>
            <w:pPr>
              <w:spacing w:after="0"/>
              <w:rPr>
                <w:sz w:val="14"/>
                <w:szCs w:val="14"/>
                <w:color w:val="auto"/>
              </w:rPr>
            </w:pPr>
          </w:p>
        </w:tc>
        <w:tc>
          <w:tcPr>
            <w:tcW w:w="2520" w:type="dxa"/>
            <w:vAlign w:val="bottom"/>
          </w:tcPr>
          <w:p>
            <w:pPr>
              <w:ind w:left="184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John T. McGinnis</w:t>
            </w:r>
          </w:p>
        </w:tc>
        <w:tc>
          <w:tcPr>
            <w:tcW w:w="60" w:type="dxa"/>
            <w:vAlign w:val="bottom"/>
          </w:tcPr>
          <w:p>
            <w:pPr>
              <w:spacing w:after="0"/>
              <w:rPr>
                <w:sz w:val="14"/>
                <w:szCs w:val="14"/>
                <w:color w:val="auto"/>
              </w:rPr>
            </w:pPr>
          </w:p>
        </w:tc>
      </w:tr>
      <w:tr>
        <w:trPr>
          <w:trHeight w:val="206"/>
        </w:trPr>
        <w:tc>
          <w:tcPr>
            <w:tcW w:w="3620" w:type="dxa"/>
            <w:vAlign w:val="bottom"/>
          </w:tcPr>
          <w:p>
            <w:pPr>
              <w:spacing w:after="0"/>
              <w:rPr>
                <w:sz w:val="17"/>
                <w:szCs w:val="17"/>
                <w:color w:val="auto"/>
              </w:rPr>
            </w:pPr>
          </w:p>
        </w:tc>
        <w:tc>
          <w:tcPr>
            <w:tcW w:w="252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Title:</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r>
        <w:trPr>
          <w:trHeight w:val="1067"/>
        </w:trPr>
        <w:tc>
          <w:tcPr>
            <w:tcW w:w="36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01"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2025-11-18T07:08:38Z</dcterms:created>
  <dcterms:modified xsi:type="dcterms:W3CDTF">2025-11-18T07:08:38Z</dcterms:modified>
</cp:coreProperties>
</file>