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93,315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41,870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performance share units granted in 2023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13, 2029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3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2026-02-18T20:11:23Z</dcterms:created>
  <dcterms:modified xsi:type="dcterms:W3CDTF">2026-02-18T20:11:23Z</dcterms:modified>
</cp:coreProperties>
</file>