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48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483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GREEN DARRYL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80"/>
        <w:spacing w:after="0" w:line="339" w:lineRule="auto"/>
        <w:rPr>
          <w:sz w:val="20"/>
          <w:szCs w:val="20"/>
          <w:color w:val="auto"/>
        </w:rPr>
      </w:pPr>
      <w:r>
        <w:rPr>
          <w:rFonts w:ascii="Arial" w:cs="Arial" w:eastAsia="Arial" w:hAnsi="Arial"/>
          <w:sz w:val="16"/>
          <w:szCs w:val="16"/>
          <w:color w:val="0000FF"/>
        </w:rPr>
        <w:t>10 HOE CHIANG ROAD #21 04/05 KEPPEL TOWERS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President, ManpowerGroup</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680" w:type="dxa"/>
            <w:vAlign w:val="bottom"/>
            <w:gridSpan w:val="6"/>
          </w:tcPr>
          <w:p>
            <w:pPr>
              <w:jc w:val="center"/>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920" w:type="dxa"/>
            <w:vAlign w:val="bottom"/>
            <w:gridSpan w:val="10"/>
          </w:tcPr>
          <w:p>
            <w:pPr>
              <w:ind w:left="4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gridSpan w:val="3"/>
          </w:tcPr>
          <w:p>
            <w:pPr>
              <w:ind w:left="46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80" w:type="dxa"/>
            <w:vAlign w:val="bottom"/>
            <w:gridSpan w:val="9"/>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SINGAPORE</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86"/>
              </w:rPr>
              <w:t>U0</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089315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436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right"/>
              <w:ind w:right="118"/>
              <w:spacing w:after="0"/>
              <w:rPr>
                <w:sz w:val="20"/>
                <w:szCs w:val="20"/>
                <w:color w:val="auto"/>
              </w:rPr>
            </w:pPr>
            <w:r>
              <w:rPr>
                <w:rFonts w:ascii="Arial" w:cs="Arial" w:eastAsia="Arial" w:hAnsi="Arial"/>
                <w:sz w:val="18"/>
                <w:szCs w:val="18"/>
                <w:color w:val="0000FF"/>
              </w:rPr>
              <w:t>02/18/2014</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4"/>
                <w:szCs w:val="14"/>
                <w:color w:val="0000FF"/>
              </w:rPr>
              <w:t>M</w:t>
            </w:r>
          </w:p>
        </w:tc>
        <w:tc>
          <w:tcPr>
            <w:tcW w:w="780" w:type="dxa"/>
            <w:vAlign w:val="bottom"/>
          </w:tcPr>
          <w:p>
            <w:pPr>
              <w:jc w:val="center"/>
              <w:spacing w:after="0"/>
              <w:rPr>
                <w:sz w:val="20"/>
                <w:szCs w:val="20"/>
                <w:color w:val="auto"/>
              </w:rPr>
            </w:pPr>
            <w:r>
              <w:rPr>
                <w:rFonts w:ascii="Arial" w:cs="Arial" w:eastAsia="Arial" w:hAnsi="Arial"/>
                <w:sz w:val="18"/>
                <w:szCs w:val="18"/>
                <w:color w:val="0000FF"/>
                <w:w w:val="84"/>
              </w:rPr>
              <w:t>5,962</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40" w:type="dxa"/>
            <w:vAlign w:val="bottom"/>
          </w:tcPr>
          <w:p>
            <w:pPr>
              <w:jc w:val="center"/>
              <w:ind w:left="131"/>
              <w:spacing w:after="0"/>
              <w:rPr>
                <w:sz w:val="20"/>
                <w:szCs w:val="20"/>
                <w:color w:val="auto"/>
              </w:rPr>
            </w:pPr>
            <w:r>
              <w:rPr>
                <w:rFonts w:ascii="Arial" w:cs="Arial" w:eastAsia="Arial" w:hAnsi="Arial"/>
                <w:sz w:val="11"/>
                <w:szCs w:val="11"/>
                <w:color w:val="008000"/>
                <w:w w:val="88"/>
              </w:rPr>
              <w:t>(1)</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40,994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02/18/2014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1,632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77</w:t>
            </w:r>
            <w:r>
              <w:rPr>
                <w:rFonts w:ascii="Arial" w:cs="Arial" w:eastAsia="Arial" w:hAnsi="Arial"/>
                <w:sz w:val="22"/>
                <w:szCs w:val="22"/>
                <w:color w:val="008000"/>
                <w:w w:val="83"/>
                <w:vertAlign w:val="superscript"/>
              </w:rPr>
              <w:t>(3)</w:t>
            </w:r>
          </w:p>
        </w:tc>
        <w:tc>
          <w:tcPr>
            <w:tcW w:w="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39,362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02/18/2014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5,186</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77.7703</w:t>
            </w:r>
            <w:r>
              <w:rPr>
                <w:rFonts w:ascii="Arial" w:cs="Arial" w:eastAsia="Arial" w:hAnsi="Arial"/>
                <w:sz w:val="22"/>
                <w:szCs w:val="22"/>
                <w:color w:val="008000"/>
                <w:w w:val="85"/>
                <w:vertAlign w:val="superscript"/>
              </w:rPr>
              <w:t>(4)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34,176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02/18/2014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Arial" w:cs="Arial" w:eastAsia="Arial" w:hAnsi="Arial"/>
                <w:sz w:val="14"/>
                <w:szCs w:val="14"/>
                <w:color w:val="0000FF"/>
                <w:w w:val="85"/>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24,814</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77.6948</w:t>
            </w:r>
            <w:r>
              <w:rPr>
                <w:rFonts w:ascii="Arial" w:cs="Arial" w:eastAsia="Arial" w:hAnsi="Arial"/>
                <w:sz w:val="22"/>
                <w:szCs w:val="22"/>
                <w:color w:val="008000"/>
                <w:w w:val="85"/>
                <w:vertAlign w:val="superscript"/>
              </w:rPr>
              <w:t>(5)</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9,362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9"/>
          </w:tcPr>
          <w:p>
            <w:pPr>
              <w:jc w:val="center"/>
              <w:ind w:left="567"/>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40" w:type="dxa"/>
            <w:vAlign w:val="bottom"/>
            <w:vMerge w:val="restart"/>
          </w:tcPr>
          <w:p>
            <w:pPr>
              <w:ind w:left="180"/>
              <w:spacing w:after="0"/>
              <w:rPr>
                <w:sz w:val="20"/>
                <w:szCs w:val="20"/>
                <w:color w:val="auto"/>
              </w:rPr>
            </w:pPr>
            <w:r>
              <w:rPr>
                <w:rFonts w:ascii="Arial" w:cs="Arial" w:eastAsia="Arial" w:hAnsi="Arial"/>
                <w:sz w:val="18"/>
                <w:szCs w:val="18"/>
                <w:color w:val="0000FF"/>
                <w:w w:val="97"/>
              </w:rPr>
              <w:t>5,962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restart"/>
          </w:tcPr>
          <w:p>
            <w:pPr>
              <w:ind w:left="100"/>
              <w:spacing w:after="0"/>
              <w:rPr>
                <w:sz w:val="20"/>
                <w:szCs w:val="20"/>
                <w:color w:val="auto"/>
              </w:rPr>
            </w:pPr>
            <w:r>
              <w:rPr>
                <w:rFonts w:ascii="Arial" w:cs="Arial" w:eastAsia="Arial" w:hAnsi="Arial"/>
                <w:sz w:val="11"/>
                <w:szCs w:val="11"/>
                <w:color w:val="008000"/>
              </w:rPr>
              <w:t>(1)</w:t>
            </w: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ind w:left="200"/>
              <w:spacing w:after="0" w:line="133" w:lineRule="exact"/>
              <w:rPr>
                <w:sz w:val="20"/>
                <w:szCs w:val="20"/>
                <w:color w:val="auto"/>
              </w:rPr>
            </w:pPr>
            <w:r>
              <w:rPr>
                <w:rFonts w:ascii="Arial" w:cs="Arial" w:eastAsia="Arial" w:hAnsi="Arial"/>
                <w:sz w:val="14"/>
                <w:szCs w:val="14"/>
                <w:color w:val="0000FF"/>
              </w:rPr>
              <w:t>02/18/2014</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jc w:val="right"/>
              <w:ind w:right="98"/>
              <w:spacing w:after="0" w:line="133"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11"/>
                <w:szCs w:val="11"/>
                <w:color w:val="auto"/>
              </w:rPr>
            </w:pPr>
          </w:p>
        </w:tc>
        <w:tc>
          <w:tcPr>
            <w:tcW w:w="720" w:type="dxa"/>
            <w:vAlign w:val="bottom"/>
          </w:tcPr>
          <w:p>
            <w:pPr>
              <w:ind w:left="360"/>
              <w:spacing w:after="0" w:line="133" w:lineRule="exact"/>
              <w:rPr>
                <w:sz w:val="20"/>
                <w:szCs w:val="20"/>
                <w:color w:val="auto"/>
              </w:rPr>
            </w:pPr>
            <w:r>
              <w:rPr>
                <w:rFonts w:ascii="Arial" w:cs="Arial" w:eastAsia="Arial" w:hAnsi="Arial"/>
                <w:sz w:val="14"/>
                <w:szCs w:val="14"/>
                <w:color w:val="0000FF"/>
                <w:w w:val="96"/>
              </w:rPr>
              <w:t>5,962</w:t>
            </w:r>
          </w:p>
        </w:tc>
        <w:tc>
          <w:tcPr>
            <w:tcW w:w="820" w:type="dxa"/>
            <w:vAlign w:val="bottom"/>
          </w:tcPr>
          <w:p>
            <w:pPr>
              <w:ind w:left="120"/>
              <w:spacing w:after="0" w:line="133" w:lineRule="exact"/>
              <w:rPr>
                <w:sz w:val="20"/>
                <w:szCs w:val="20"/>
                <w:color w:val="auto"/>
              </w:rPr>
            </w:pPr>
            <w:r>
              <w:rPr>
                <w:rFonts w:ascii="Arial" w:cs="Arial" w:eastAsia="Arial" w:hAnsi="Arial"/>
                <w:sz w:val="14"/>
                <w:szCs w:val="14"/>
                <w:color w:val="0000FF"/>
                <w:w w:val="96"/>
              </w:rPr>
              <w:t>02/18/2014</w:t>
            </w:r>
          </w:p>
        </w:tc>
        <w:tc>
          <w:tcPr>
            <w:tcW w:w="780" w:type="dxa"/>
            <w:vAlign w:val="bottom"/>
          </w:tcPr>
          <w:p>
            <w:pPr>
              <w:jc w:val="center"/>
              <w:spacing w:after="0" w:line="133" w:lineRule="exact"/>
              <w:rPr>
                <w:sz w:val="20"/>
                <w:szCs w:val="20"/>
                <w:color w:val="auto"/>
              </w:rPr>
            </w:pPr>
            <w:r>
              <w:rPr>
                <w:rFonts w:ascii="Arial" w:cs="Arial" w:eastAsia="Arial" w:hAnsi="Arial"/>
                <w:sz w:val="14"/>
                <w:szCs w:val="14"/>
                <w:color w:val="0000FF"/>
                <w:w w:val="85"/>
              </w:rPr>
              <w:t>02/18/2014</w:t>
            </w: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were settled in shares of Manpower common stock on a 1 for 1 basis upon vesting.</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withheld by Issuer to satisfy tax withholding obligations on shares acquired on February 18, 2014 in settlement of restricted stock units.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opening price on the New York Stock Exchange on February 18, 2014.</w:t>
      </w:r>
    </w:p>
    <w:p>
      <w:pPr>
        <w:spacing w:after="0" w:line="41"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$77.74 to $77.82. Upon request, the reporting person will provide to the SEC staff, the issuer, or any security holder of the issuer, full information regarding the number of shares sold at each separate price within this range.</w:t>
      </w:r>
    </w:p>
    <w:p>
      <w:pPr>
        <w:spacing w:after="0" w:line="30" w:lineRule="exact"/>
        <w:rPr>
          <w:rFonts w:ascii="Arial" w:cs="Arial" w:eastAsia="Arial" w:hAnsi="Arial"/>
          <w:sz w:val="14"/>
          <w:szCs w:val="14"/>
          <w:color w:val="008000"/>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$77.50 to $77.92. Upon request, the reporting person will provide to the SEC staff, the issuer, or any security holder of the issuer, full information regarding the number of shares sold at each separate price within this range.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02/20/2014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8663"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2019-12-18T04:40:08Z</dcterms:created>
  <dcterms:modified xsi:type="dcterms:W3CDTF">2019-12-18T04:40:08Z</dcterms:modified>
</cp:coreProperties>
</file>