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30, 2006</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0" w:lineRule="exact"/>
        <w:rPr>
          <w:sz w:val="24"/>
          <w:szCs w:val="24"/>
          <w:color w:val="auto"/>
        </w:rPr>
      </w:pPr>
    </w:p>
    <w:tbl>
      <w:tblPr>
        <w:tblLayout w:type="fixed"/>
        <w:tblInd w:w="17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1080" w:type="dxa"/>
            <w:vAlign w:val="bottom"/>
            <w:gridSpan w:val="2"/>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1-10686</w:t>
            </w:r>
          </w:p>
        </w:tc>
        <w:tc>
          <w:tcPr>
            <w:tcW w:w="1300" w:type="dxa"/>
            <w:vAlign w:val="bottom"/>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420" w:type="dxa"/>
            <w:vAlign w:val="bottom"/>
            <w:gridSpan w:val="4"/>
          </w:tcPr>
          <w:p>
            <w:pPr>
              <w:jc w:val="center"/>
              <w:ind w:right="980"/>
              <w:spacing w:after="0"/>
              <w:rPr>
                <w:sz w:val="20"/>
                <w:szCs w:val="20"/>
                <w:color w:val="auto"/>
              </w:rPr>
            </w:pPr>
            <w:r>
              <w:rPr>
                <w:rFonts w:ascii="Arial" w:cs="Arial" w:eastAsia="Arial" w:hAnsi="Arial"/>
                <w:sz w:val="22"/>
                <w:szCs w:val="22"/>
                <w:color w:val="auto"/>
                <w:w w:val="90"/>
              </w:rPr>
              <w:t>(State or other jurisdiction</w:t>
            </w:r>
          </w:p>
        </w:tc>
        <w:tc>
          <w:tcPr>
            <w:tcW w:w="2460" w:type="dxa"/>
            <w:vAlign w:val="bottom"/>
            <w:gridSpan w:val="2"/>
          </w:tcPr>
          <w:p>
            <w:pPr>
              <w:jc w:val="center"/>
              <w:ind w:right="1300"/>
              <w:spacing w:after="0"/>
              <w:rPr>
                <w:sz w:val="20"/>
                <w:szCs w:val="20"/>
                <w:color w:val="auto"/>
              </w:rPr>
            </w:pPr>
            <w:r>
              <w:rPr>
                <w:rFonts w:ascii="Arial" w:cs="Arial" w:eastAsia="Arial" w:hAnsi="Arial"/>
                <w:sz w:val="22"/>
                <w:szCs w:val="22"/>
                <w:color w:val="auto"/>
                <w:w w:val="90"/>
              </w:rPr>
              <w:t>(Commission</w:t>
            </w:r>
          </w:p>
        </w:tc>
        <w:tc>
          <w:tcPr>
            <w:tcW w:w="12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40" w:type="dxa"/>
            <w:vAlign w:val="bottom"/>
            <w:gridSpan w:val="3"/>
          </w:tcPr>
          <w:p>
            <w:pPr>
              <w:jc w:val="center"/>
              <w:ind w:right="1080"/>
              <w:spacing w:after="0"/>
              <w:rPr>
                <w:sz w:val="20"/>
                <w:szCs w:val="20"/>
                <w:color w:val="auto"/>
              </w:rPr>
            </w:pPr>
            <w:r>
              <w:rPr>
                <w:rFonts w:ascii="Arial" w:cs="Arial" w:eastAsia="Arial" w:hAnsi="Arial"/>
                <w:sz w:val="22"/>
                <w:szCs w:val="22"/>
                <w:color w:val="auto"/>
                <w:w w:val="91"/>
              </w:rPr>
              <w:t>of incorporation)</w:t>
            </w:r>
          </w:p>
        </w:tc>
        <w:tc>
          <w:tcPr>
            <w:tcW w:w="2460" w:type="dxa"/>
            <w:vAlign w:val="bottom"/>
            <w:gridSpan w:val="2"/>
          </w:tcPr>
          <w:p>
            <w:pPr>
              <w:jc w:val="center"/>
              <w:ind w:right="1300"/>
              <w:spacing w:after="0"/>
              <w:rPr>
                <w:sz w:val="20"/>
                <w:szCs w:val="20"/>
                <w:color w:val="auto"/>
              </w:rPr>
            </w:pPr>
            <w:r>
              <w:rPr>
                <w:rFonts w:ascii="Arial" w:cs="Arial" w:eastAsia="Arial" w:hAnsi="Arial"/>
                <w:sz w:val="22"/>
                <w:szCs w:val="22"/>
                <w:color w:val="auto"/>
                <w:w w:val="91"/>
              </w:rPr>
              <w:t>File Number)</w:t>
            </w:r>
          </w:p>
        </w:tc>
        <w:tc>
          <w:tcPr>
            <w:tcW w:w="168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3"/>
          </w:tcPr>
          <w:p>
            <w:pPr>
              <w:jc w:val="center"/>
              <w:ind w:right="100"/>
              <w:spacing w:after="0"/>
              <w:rPr>
                <w:sz w:val="20"/>
                <w:szCs w:val="20"/>
                <w:color w:val="auto"/>
              </w:rPr>
            </w:pPr>
            <w:r>
              <w:rPr>
                <w:rFonts w:ascii="Arial" w:cs="Arial" w:eastAsia="Arial" w:hAnsi="Arial"/>
                <w:sz w:val="22"/>
                <w:szCs w:val="22"/>
                <w:color w:val="auto"/>
                <w:w w:val="90"/>
              </w:rPr>
              <w:t>5301 North Ironwood Road</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22"/>
                <w:szCs w:val="22"/>
                <w:color w:val="auto"/>
              </w:rPr>
              <w:t>53217</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3"/>
          </w:tcPr>
          <w:p>
            <w:pPr>
              <w:jc w:val="center"/>
              <w:ind w:right="100"/>
              <w:spacing w:after="0" w:line="190" w:lineRule="exact"/>
              <w:rPr>
                <w:sz w:val="20"/>
                <w:szCs w:val="20"/>
                <w:color w:val="auto"/>
              </w:rPr>
            </w:pPr>
            <w:r>
              <w:rPr>
                <w:rFonts w:ascii="Arial" w:cs="Arial" w:eastAsia="Arial" w:hAnsi="Arial"/>
                <w:sz w:val="22"/>
                <w:szCs w:val="22"/>
                <w:color w:val="auto"/>
                <w:w w:val="92"/>
              </w:rPr>
              <w:t>Milwaukee, Wisconsin</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440" w:type="dxa"/>
            <w:vAlign w:val="bottom"/>
            <w:gridSpan w:val="5"/>
          </w:tcPr>
          <w:p>
            <w:pPr>
              <w:jc w:val="center"/>
              <w:spacing w:after="0"/>
              <w:rPr>
                <w:sz w:val="20"/>
                <w:szCs w:val="20"/>
                <w:color w:val="auto"/>
              </w:rPr>
            </w:pPr>
            <w:r>
              <w:rPr>
                <w:rFonts w:ascii="Arial" w:cs="Arial" w:eastAsia="Arial" w:hAnsi="Arial"/>
                <w:sz w:val="22"/>
                <w:szCs w:val="22"/>
                <w:color w:val="auto"/>
                <w:w w:val="91"/>
              </w:rPr>
              <w:t>(Address of principal executive offices)</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gridSpan w:val="3"/>
          </w:tcPr>
          <w:p>
            <w:pPr>
              <w:jc w:val="center"/>
              <w:ind w:right="580"/>
              <w:spacing w:after="0"/>
              <w:rPr>
                <w:sz w:val="20"/>
                <w:szCs w:val="20"/>
                <w:color w:val="auto"/>
              </w:rPr>
            </w:pPr>
            <w:r>
              <w:rPr>
                <w:rFonts w:ascii="Arial" w:cs="Arial" w:eastAsia="Arial" w:hAnsi="Arial"/>
                <w:sz w:val="22"/>
                <w:szCs w:val="22"/>
                <w:color w:val="auto"/>
                <w:w w:val="90"/>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33"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380" w:hanging="358"/>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87" w:lineRule="exact"/>
        <w:rPr>
          <w:rFonts w:ascii="Arial" w:cs="Arial" w:eastAsia="Arial" w:hAnsi="Arial"/>
          <w:sz w:val="22"/>
          <w:szCs w:val="22"/>
          <w:color w:val="auto"/>
        </w:rPr>
      </w:pPr>
    </w:p>
    <w:p>
      <w:pPr>
        <w:ind w:left="380" w:hanging="358"/>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87" w:lineRule="exact"/>
        <w:rPr>
          <w:rFonts w:ascii="Arial" w:cs="Arial" w:eastAsia="Arial" w:hAnsi="Arial"/>
          <w:sz w:val="22"/>
          <w:szCs w:val="22"/>
          <w:color w:val="auto"/>
        </w:rPr>
      </w:pPr>
    </w:p>
    <w:p>
      <w:pPr>
        <w:ind w:left="380" w:right="3060" w:hanging="358"/>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54" w:lineRule="exact"/>
        <w:rPr>
          <w:rFonts w:ascii="Arial" w:cs="Arial" w:eastAsia="Arial" w:hAnsi="Arial"/>
          <w:sz w:val="22"/>
          <w:szCs w:val="22"/>
          <w:color w:val="auto"/>
        </w:rPr>
      </w:pPr>
    </w:p>
    <w:p>
      <w:pPr>
        <w:ind w:left="380" w:right="3080" w:hanging="358"/>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color w:val="auto"/>
        </w:rPr>
        <w:t>Item 8.01.</w:t>
      </w:r>
      <w:r>
        <w:rPr>
          <w:sz w:val="20"/>
          <w:szCs w:val="20"/>
          <w:color w:val="auto"/>
        </w:rPr>
        <w:tab/>
      </w:r>
      <w:r>
        <w:rPr>
          <w:rFonts w:ascii="Arial" w:cs="Arial" w:eastAsia="Arial" w:hAnsi="Arial"/>
          <w:sz w:val="19"/>
          <w:szCs w:val="19"/>
          <w:u w:val="single" w:color="auto"/>
          <w:color w:val="auto"/>
        </w:rPr>
        <w:t>Other Events</w:t>
      </w:r>
      <w:r>
        <w:rPr>
          <w:rFonts w:ascii="Arial" w:cs="Arial" w:eastAsia="Arial" w:hAnsi="Arial"/>
          <w:sz w:val="19"/>
          <w:szCs w:val="19"/>
          <w:color w:val="auto"/>
        </w:rPr>
        <w:t>.</w:t>
      </w:r>
    </w:p>
    <w:p>
      <w:pPr>
        <w:spacing w:after="0" w:line="233" w:lineRule="exact"/>
        <w:rPr>
          <w:sz w:val="24"/>
          <w:szCs w:val="24"/>
          <w:color w:val="auto"/>
        </w:rPr>
      </w:pPr>
    </w:p>
    <w:p>
      <w:pPr>
        <w:ind w:right="80" w:firstLine="648"/>
        <w:spacing w:after="0" w:line="238" w:lineRule="auto"/>
        <w:rPr>
          <w:sz w:val="20"/>
          <w:szCs w:val="20"/>
          <w:color w:val="auto"/>
        </w:rPr>
      </w:pPr>
      <w:r>
        <w:rPr>
          <w:rFonts w:ascii="Arial" w:cs="Arial" w:eastAsia="Arial" w:hAnsi="Arial"/>
          <w:sz w:val="22"/>
          <w:szCs w:val="22"/>
          <w:color w:val="auto"/>
        </w:rPr>
        <w:t>On June 30, 2006, Jean-Pierre Lemonnier left his position as President and Managing Director of Manpower France, a subsidiary of Manpower Inc. (the “Company”). Jean-Francois Ferret, the Deputy General Manager of Manpower France, has been appointed as President of Manpower France on an interim basis. Also on June 30, 2006, the Company provided updated guidance on expected French revenue growth in the second quarter.</w:t>
      </w:r>
    </w:p>
    <w:p>
      <w:pPr>
        <w:spacing w:after="0" w:line="185" w:lineRule="exact"/>
        <w:rPr>
          <w:sz w:val="24"/>
          <w:szCs w:val="24"/>
          <w:color w:val="auto"/>
        </w:rPr>
      </w:pPr>
    </w:p>
    <w:p>
      <w:pPr>
        <w:ind w:firstLine="648"/>
        <w:spacing w:after="0"/>
        <w:rPr>
          <w:sz w:val="20"/>
          <w:szCs w:val="20"/>
          <w:color w:val="auto"/>
        </w:rPr>
      </w:pPr>
      <w:r>
        <w:rPr>
          <w:rFonts w:ascii="Arial" w:cs="Arial" w:eastAsia="Arial" w:hAnsi="Arial"/>
          <w:sz w:val="22"/>
          <w:szCs w:val="22"/>
          <w:color w:val="auto"/>
        </w:rPr>
        <w:t>A copy of the press release issued by the Company on June 30, 2006 announcing Mr. Lemonnier’s departure, Mr. Ferret’s appointment and the updated guidance is attached hereto as Exhibit 99.1 and incorporated herein by reference, except for references to the Company’s website and the information contained therein.</w:t>
      </w:r>
    </w:p>
    <w:p>
      <w:pPr>
        <w:spacing w:after="0" w:line="186"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color w:val="auto"/>
        </w:rPr>
        <w:t>Item 9.01.</w:t>
      </w:r>
      <w:r>
        <w:rPr>
          <w:sz w:val="20"/>
          <w:szCs w:val="20"/>
          <w:color w:val="auto"/>
        </w:rPr>
        <w:tab/>
      </w:r>
      <w:r>
        <w:rPr>
          <w:rFonts w:ascii="Arial" w:cs="Arial" w:eastAsia="Arial" w:hAnsi="Arial"/>
          <w:sz w:val="19"/>
          <w:szCs w:val="19"/>
          <w:u w:val="single" w:color="auto"/>
          <w:color w:val="auto"/>
        </w:rPr>
        <w:t>Exhibits</w:t>
      </w:r>
      <w:r>
        <w:rPr>
          <w:rFonts w:ascii="Arial" w:cs="Arial" w:eastAsia="Arial" w:hAnsi="Arial"/>
          <w:sz w:val="19"/>
          <w:szCs w:val="19"/>
          <w:color w:val="auto"/>
        </w:rPr>
        <w:t>.</w:t>
      </w:r>
    </w:p>
    <w:p>
      <w:pPr>
        <w:spacing w:after="0" w:line="256" w:lineRule="exact"/>
        <w:rPr>
          <w:sz w:val="24"/>
          <w:szCs w:val="24"/>
          <w:color w:val="auto"/>
        </w:rPr>
      </w:pPr>
    </w:p>
    <w:tbl>
      <w:tblPr>
        <w:tblLayout w:type="fixed"/>
        <w:tblInd w:w="2380" w:type="dxa"/>
        <w:tblCellMar>
          <w:top w:w="0" w:type="dxa"/>
          <w:left w:w="0" w:type="dxa"/>
          <w:bottom w:w="0" w:type="dxa"/>
          <w:right w:w="0" w:type="dxa"/>
        </w:tblCellMar>
      </w:tblPr>
      <w:tr>
        <w:trPr>
          <w:trHeight w:val="241"/>
        </w:trPr>
        <w:tc>
          <w:tcPr>
            <w:tcW w:w="1820" w:type="dxa"/>
            <w:vAlign w:val="bottom"/>
            <w:gridSpan w:val="2"/>
          </w:tcPr>
          <w:p>
            <w:pPr>
              <w:jc w:val="center"/>
              <w:ind w:right="860"/>
              <w:spacing w:after="0"/>
              <w:rPr>
                <w:sz w:val="20"/>
                <w:szCs w:val="20"/>
                <w:color w:val="auto"/>
              </w:rPr>
            </w:pPr>
            <w:r>
              <w:rPr>
                <w:rFonts w:ascii="Arial" w:cs="Arial" w:eastAsia="Arial" w:hAnsi="Arial"/>
                <w:sz w:val="21"/>
                <w:szCs w:val="21"/>
                <w:color w:val="auto"/>
                <w:w w:val="94"/>
              </w:rPr>
              <w:t>Exhibit No.</w:t>
            </w:r>
          </w:p>
        </w:tc>
        <w:tc>
          <w:tcPr>
            <w:tcW w:w="1800" w:type="dxa"/>
            <w:vAlign w:val="bottom"/>
          </w:tcPr>
          <w:p>
            <w:pPr>
              <w:spacing w:after="0"/>
              <w:rPr>
                <w:sz w:val="20"/>
                <w:szCs w:val="20"/>
                <w:color w:val="auto"/>
              </w:rPr>
            </w:pPr>
          </w:p>
        </w:tc>
        <w:tc>
          <w:tcPr>
            <w:tcW w:w="1900" w:type="dxa"/>
            <w:vAlign w:val="bottom"/>
            <w:gridSpan w:val="2"/>
          </w:tcPr>
          <w:p>
            <w:pPr>
              <w:jc w:val="center"/>
              <w:ind w:right="940"/>
              <w:spacing w:after="0"/>
              <w:rPr>
                <w:sz w:val="20"/>
                <w:szCs w:val="20"/>
                <w:color w:val="auto"/>
              </w:rPr>
            </w:pPr>
            <w:r>
              <w:rPr>
                <w:rFonts w:ascii="Arial" w:cs="Arial" w:eastAsia="Arial" w:hAnsi="Arial"/>
                <w:sz w:val="21"/>
                <w:szCs w:val="21"/>
                <w:color w:val="auto"/>
                <w:w w:val="91"/>
              </w:rPr>
              <w:t>Description</w:t>
            </w:r>
          </w:p>
        </w:tc>
      </w:tr>
      <w:tr>
        <w:trPr>
          <w:trHeight w:val="20"/>
        </w:trPr>
        <w:tc>
          <w:tcPr>
            <w:tcW w:w="9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542"/>
        </w:trPr>
        <w:tc>
          <w:tcPr>
            <w:tcW w:w="960" w:type="dxa"/>
            <w:vAlign w:val="bottom"/>
          </w:tcPr>
          <w:p>
            <w:pPr>
              <w:jc w:val="right"/>
              <w:ind w:right="196"/>
              <w:spacing w:after="0"/>
              <w:rPr>
                <w:sz w:val="20"/>
                <w:szCs w:val="20"/>
                <w:color w:val="auto"/>
              </w:rPr>
            </w:pPr>
            <w:r>
              <w:rPr>
                <w:rFonts w:ascii="Arial" w:cs="Arial" w:eastAsia="Arial" w:hAnsi="Arial"/>
                <w:sz w:val="21"/>
                <w:szCs w:val="21"/>
                <w:color w:val="auto"/>
              </w:rPr>
              <w:t>99.1</w:t>
            </w:r>
          </w:p>
        </w:tc>
        <w:tc>
          <w:tcPr>
            <w:tcW w:w="860" w:type="dxa"/>
            <w:vAlign w:val="bottom"/>
          </w:tcPr>
          <w:p>
            <w:pPr>
              <w:spacing w:after="0"/>
              <w:rPr>
                <w:sz w:val="24"/>
                <w:szCs w:val="24"/>
                <w:color w:val="auto"/>
              </w:rPr>
            </w:pPr>
          </w:p>
        </w:tc>
        <w:tc>
          <w:tcPr>
            <w:tcW w:w="3700" w:type="dxa"/>
            <w:vAlign w:val="bottom"/>
            <w:gridSpan w:val="3"/>
          </w:tcPr>
          <w:p>
            <w:pPr>
              <w:jc w:val="center"/>
              <w:ind w:left="756"/>
              <w:spacing w:after="0"/>
              <w:rPr>
                <w:sz w:val="20"/>
                <w:szCs w:val="20"/>
                <w:color w:val="auto"/>
              </w:rPr>
            </w:pPr>
            <w:r>
              <w:rPr>
                <w:rFonts w:ascii="Arial" w:cs="Arial" w:eastAsia="Arial" w:hAnsi="Arial"/>
                <w:sz w:val="21"/>
                <w:szCs w:val="21"/>
                <w:color w:val="auto"/>
                <w:w w:val="85"/>
              </w:rPr>
              <w:t>Press Release dated June 30, 2006</w:t>
            </w:r>
          </w:p>
        </w:tc>
      </w:tr>
    </w:tbl>
    <w:p>
      <w:pPr>
        <w:sectPr>
          <w:pgSz w:w="11900" w:h="16838" w:orient="portrait"/>
          <w:cols w:equalWidth="0" w:num="1">
            <w:col w:w="11420"/>
          </w:cols>
          <w:pgMar w:left="240" w:top="712" w:right="239" w:bottom="352" w:gutter="0" w:footer="0" w:header="0"/>
        </w:sectPr>
      </w:pPr>
    </w:p>
    <w:bookmarkStart w:id="1" w:name="page2"/>
    <w:bookmarkEnd w:id="1"/>
    <w:p>
      <w:pPr>
        <w:jc w:val="center"/>
        <w:ind w:right="-619"/>
        <w:spacing w:after="0"/>
        <w:rPr>
          <w:sz w:val="20"/>
          <w:szCs w:val="20"/>
          <w:color w:val="auto"/>
        </w:rPr>
      </w:pPr>
      <w:r>
        <w:rPr>
          <w:rFonts w:ascii="Arial" w:cs="Arial" w:eastAsia="Arial" w:hAnsi="Arial"/>
          <w:sz w:val="22"/>
          <w:szCs w:val="22"/>
          <w:u w:val="single" w:color="auto"/>
          <w:color w:val="auto"/>
        </w:rPr>
        <w:t>SIGNATURES</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41" w:lineRule="exact"/>
        <w:rPr>
          <w:sz w:val="20"/>
          <w:szCs w:val="20"/>
          <w:color w:val="auto"/>
        </w:rPr>
      </w:pPr>
    </w:p>
    <w:p>
      <w:pPr>
        <w:ind w:left="20"/>
        <w:spacing w:after="0"/>
        <w:tabs>
          <w:tab w:leader="none" w:pos="4360" w:val="left"/>
        </w:tabs>
        <w:rPr>
          <w:sz w:val="20"/>
          <w:szCs w:val="20"/>
          <w:color w:val="auto"/>
        </w:rPr>
      </w:pPr>
      <w:r>
        <w:rPr>
          <w:rFonts w:ascii="Arial" w:cs="Arial" w:eastAsia="Arial" w:hAnsi="Arial"/>
          <w:sz w:val="22"/>
          <w:szCs w:val="22"/>
          <w:color w:val="auto"/>
        </w:rPr>
        <w:t>Dated: June 30, 2006</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0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-17780</wp:posOffset>
            </wp:positionV>
            <wp:extent cx="24707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785" cy="8890"/>
                    </a:xfrm>
                    <a:prstGeom prst="rect">
                      <a:avLst/>
                    </a:prstGeom>
                    <a:noFill/>
                  </pic:spPr>
                </pic:pic>
              </a:graphicData>
            </a:graphic>
          </wp:anchor>
        </w:drawing>
      </w:r>
    </w:p>
    <w:p>
      <w:pPr>
        <w:spacing w:after="0" w:line="2"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Jeffrey A. Joerres</w:t>
      </w:r>
    </w:p>
    <w:p>
      <w:pPr>
        <w:spacing w:after="0" w:line="17"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Chairman, President and</w:t>
      </w:r>
    </w:p>
    <w:p>
      <w:pPr>
        <w:spacing w:after="0" w:line="17"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2380" w:type="dxa"/>
        <w:tblCellMar>
          <w:top w:w="0" w:type="dxa"/>
          <w:left w:w="0" w:type="dxa"/>
          <w:bottom w:w="0" w:type="dxa"/>
          <w:right w:w="0" w:type="dxa"/>
        </w:tblCellMar>
      </w:tblPr>
      <w:tr>
        <w:trPr>
          <w:trHeight w:val="281"/>
        </w:trPr>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0" w:type="dxa"/>
            <w:vAlign w:val="bottom"/>
            <w:gridSpan w:val="3"/>
          </w:tcPr>
          <w:p>
            <w:pPr>
              <w:ind w:left="780"/>
              <w:spacing w:after="0"/>
              <w:rPr>
                <w:sz w:val="20"/>
                <w:szCs w:val="20"/>
                <w:color w:val="auto"/>
              </w:rPr>
            </w:pPr>
            <w:r>
              <w:rPr>
                <w:rFonts w:ascii="Arial" w:cs="Arial" w:eastAsia="Arial" w:hAnsi="Arial"/>
                <w:sz w:val="22"/>
                <w:szCs w:val="22"/>
                <w:b w:val="1"/>
                <w:bCs w:val="1"/>
                <w:color w:val="auto"/>
              </w:rPr>
              <w:t>EXHIBIT INDEX</w:t>
            </w:r>
          </w:p>
        </w:tc>
      </w:tr>
      <w:tr>
        <w:trPr>
          <w:trHeight w:val="692"/>
        </w:trPr>
        <w:tc>
          <w:tcPr>
            <w:tcW w:w="1720" w:type="dxa"/>
            <w:vAlign w:val="bottom"/>
            <w:gridSpan w:val="2"/>
          </w:tcPr>
          <w:p>
            <w:pPr>
              <w:jc w:val="center"/>
              <w:ind w:right="760"/>
              <w:spacing w:after="0"/>
              <w:rPr>
                <w:sz w:val="20"/>
                <w:szCs w:val="20"/>
                <w:color w:val="auto"/>
              </w:rPr>
            </w:pPr>
            <w:r>
              <w:rPr>
                <w:rFonts w:ascii="Arial" w:cs="Arial" w:eastAsia="Arial" w:hAnsi="Arial"/>
                <w:sz w:val="21"/>
                <w:szCs w:val="21"/>
                <w:color w:val="auto"/>
                <w:w w:val="94"/>
              </w:rPr>
              <w:t>Exhibit No.</w:t>
            </w:r>
          </w:p>
        </w:tc>
        <w:tc>
          <w:tcPr>
            <w:tcW w:w="1900" w:type="dxa"/>
            <w:vAlign w:val="bottom"/>
          </w:tcPr>
          <w:p>
            <w:pPr>
              <w:spacing w:after="0"/>
              <w:rPr>
                <w:sz w:val="24"/>
                <w:szCs w:val="24"/>
                <w:color w:val="auto"/>
              </w:rPr>
            </w:pPr>
          </w:p>
        </w:tc>
        <w:tc>
          <w:tcPr>
            <w:tcW w:w="1900" w:type="dxa"/>
            <w:vAlign w:val="bottom"/>
            <w:gridSpan w:val="2"/>
          </w:tcPr>
          <w:p>
            <w:pPr>
              <w:jc w:val="center"/>
              <w:ind w:right="940"/>
              <w:spacing w:after="0"/>
              <w:rPr>
                <w:sz w:val="20"/>
                <w:szCs w:val="20"/>
                <w:color w:val="auto"/>
              </w:rPr>
            </w:pPr>
            <w:r>
              <w:rPr>
                <w:rFonts w:ascii="Arial" w:cs="Arial" w:eastAsia="Arial" w:hAnsi="Arial"/>
                <w:sz w:val="21"/>
                <w:szCs w:val="21"/>
                <w:color w:val="auto"/>
                <w:w w:val="91"/>
              </w:rPr>
              <w:t>Description</w:t>
            </w:r>
          </w:p>
        </w:tc>
      </w:tr>
      <w:tr>
        <w:trPr>
          <w:trHeight w:val="20"/>
        </w:trPr>
        <w:tc>
          <w:tcPr>
            <w:tcW w:w="9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542"/>
        </w:trPr>
        <w:tc>
          <w:tcPr>
            <w:tcW w:w="960" w:type="dxa"/>
            <w:vAlign w:val="bottom"/>
          </w:tcPr>
          <w:p>
            <w:pPr>
              <w:jc w:val="right"/>
              <w:ind w:right="196"/>
              <w:spacing w:after="0"/>
              <w:rPr>
                <w:sz w:val="20"/>
                <w:szCs w:val="20"/>
                <w:color w:val="auto"/>
              </w:rPr>
            </w:pPr>
            <w:r>
              <w:rPr>
                <w:rFonts w:ascii="Arial" w:cs="Arial" w:eastAsia="Arial" w:hAnsi="Arial"/>
                <w:sz w:val="21"/>
                <w:szCs w:val="21"/>
                <w:color w:val="auto"/>
              </w:rPr>
              <w:t>99.1</w:t>
            </w:r>
          </w:p>
        </w:tc>
        <w:tc>
          <w:tcPr>
            <w:tcW w:w="760" w:type="dxa"/>
            <w:vAlign w:val="bottom"/>
          </w:tcPr>
          <w:p>
            <w:pPr>
              <w:spacing w:after="0"/>
              <w:rPr>
                <w:sz w:val="24"/>
                <w:szCs w:val="24"/>
                <w:color w:val="auto"/>
              </w:rPr>
            </w:pPr>
          </w:p>
        </w:tc>
        <w:tc>
          <w:tcPr>
            <w:tcW w:w="3800" w:type="dxa"/>
            <w:vAlign w:val="bottom"/>
            <w:gridSpan w:val="3"/>
          </w:tcPr>
          <w:p>
            <w:pPr>
              <w:jc w:val="center"/>
              <w:ind w:left="854"/>
              <w:spacing w:after="0"/>
              <w:rPr>
                <w:sz w:val="20"/>
                <w:szCs w:val="20"/>
                <w:color w:val="auto"/>
              </w:rPr>
            </w:pPr>
            <w:r>
              <w:rPr>
                <w:rFonts w:ascii="Arial" w:cs="Arial" w:eastAsia="Arial" w:hAnsi="Arial"/>
                <w:sz w:val="21"/>
                <w:szCs w:val="21"/>
                <w:color w:val="auto"/>
                <w:w w:val="85"/>
              </w:rPr>
              <w:t>Press Release dated June 30, 2006</w:t>
            </w:r>
          </w:p>
        </w:tc>
      </w:tr>
    </w:tbl>
    <w:p>
      <w:pPr>
        <w:sectPr>
          <w:pgSz w:w="11900" w:h="16838" w:orient="portrait"/>
          <w:cols w:equalWidth="0" w:num="1">
            <w:col w:w="10820"/>
          </w:cols>
          <w:pgMar w:left="240" w:top="361" w:right="839" w:bottom="1440" w:gutter="0" w:footer="0" w:header="0"/>
        </w:sectPr>
      </w:pPr>
    </w:p>
    <w:bookmarkStart w:id="2" w:name="page3"/>
    <w:bookmarkEnd w:id="2"/>
    <w:p>
      <w:pPr>
        <w:jc w:val="right"/>
        <w:spacing w:after="0"/>
        <w:rPr>
          <w:sz w:val="20"/>
          <w:szCs w:val="20"/>
          <w:color w:val="auto"/>
        </w:rPr>
      </w:pPr>
      <w:r>
        <w:rPr>
          <w:rFonts w:ascii="Arial" w:cs="Arial" w:eastAsia="Arial" w:hAnsi="Arial"/>
          <w:sz w:val="19"/>
          <w:szCs w:val="19"/>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189230</wp:posOffset>
            </wp:positionV>
            <wp:extent cx="977900" cy="909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77900" cy="909320"/>
                    </a:xfrm>
                    <a:prstGeom prst="rect">
                      <a:avLst/>
                    </a:prstGeom>
                    <a:noFill/>
                  </pic:spPr>
                </pic:pic>
              </a:graphicData>
            </a:graphic>
          </wp:anchor>
        </w:drawing>
      </w:r>
    </w:p>
    <w:p>
      <w:pPr>
        <w:sectPr>
          <w:pgSz w:w="11900" w:h="16838" w:orient="portrait"/>
          <w:cols w:equalWidth="0" w:num="1">
            <w:col w:w="10440"/>
          </w:cols>
          <w:pgMar w:left="1220" w:top="110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Tracy Shilobrit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Manpower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+1.414.906.6088</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tracy.shilobrit@manpower.com</w:t>
      </w:r>
    </w:p>
    <w:p>
      <w:pPr>
        <w:spacing w:after="0" w:line="200" w:lineRule="exact"/>
        <w:rPr>
          <w:sz w:val="20"/>
          <w:szCs w:val="20"/>
          <w:color w:val="auto"/>
        </w:rPr>
      </w:pPr>
    </w:p>
    <w:p>
      <w:pPr>
        <w:sectPr>
          <w:pgSz w:w="11900" w:h="16838" w:orient="portrait"/>
          <w:cols w:equalWidth="0" w:num="2">
            <w:col w:w="5080" w:space="720"/>
            <w:col w:w="4640"/>
          </w:cols>
          <w:pgMar w:left="1220" w:top="1108" w:right="239" w:bottom="0" w:gutter="0" w:footer="0" w:header="0"/>
          <w:type w:val="continuous"/>
        </w:sectPr>
      </w:pPr>
    </w:p>
    <w:p>
      <w:pPr>
        <w:spacing w:after="0" w:line="39"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Manpower Inc. Announces Departure of Jean-Pierre Lemonnier,</w:t>
      </w:r>
    </w:p>
    <w:p>
      <w:pPr>
        <w:spacing w:after="0" w:line="16" w:lineRule="exact"/>
        <w:rPr>
          <w:sz w:val="20"/>
          <w:szCs w:val="20"/>
          <w:color w:val="auto"/>
        </w:rPr>
      </w:pPr>
    </w:p>
    <w:p>
      <w:pPr>
        <w:ind w:left="1520"/>
        <w:spacing w:after="0"/>
        <w:rPr>
          <w:sz w:val="20"/>
          <w:szCs w:val="20"/>
          <w:color w:val="auto"/>
        </w:rPr>
      </w:pPr>
      <w:r>
        <w:rPr>
          <w:rFonts w:ascii="Arial" w:cs="Arial" w:eastAsia="Arial" w:hAnsi="Arial"/>
          <w:sz w:val="22"/>
          <w:szCs w:val="22"/>
          <w:b w:val="1"/>
          <w:bCs w:val="1"/>
          <w:color w:val="auto"/>
        </w:rPr>
        <w:t>Names Jean-Francois Ferret as President of Manpower France</w:t>
      </w:r>
    </w:p>
    <w:p>
      <w:pPr>
        <w:spacing w:after="0" w:line="290" w:lineRule="exact"/>
        <w:rPr>
          <w:sz w:val="20"/>
          <w:szCs w:val="20"/>
          <w:color w:val="auto"/>
        </w:rPr>
      </w:pPr>
    </w:p>
    <w:p>
      <w:pPr>
        <w:ind w:right="1200"/>
        <w:spacing w:after="0" w:line="338" w:lineRule="auto"/>
        <w:rPr>
          <w:sz w:val="20"/>
          <w:szCs w:val="20"/>
          <w:color w:val="auto"/>
        </w:rPr>
      </w:pPr>
      <w:r>
        <w:rPr>
          <w:rFonts w:ascii="Arial" w:cs="Arial" w:eastAsia="Arial" w:hAnsi="Arial"/>
          <w:sz w:val="20"/>
          <w:szCs w:val="20"/>
          <w:color w:val="auto"/>
        </w:rPr>
        <w:t>MILWAUKEE, WI, USA, June 30, 2006 – Manpower Inc. (NYSE: MAN) announced today that Jean-Pierre Lemonnier, President and Managing Director of Manpower France, has left the company. A search has been initiated to find a permanent replacement for Lemonnier, who has led the company’s French operations since 2002.</w:t>
      </w:r>
    </w:p>
    <w:p>
      <w:pPr>
        <w:spacing w:after="0" w:line="1" w:lineRule="exact"/>
        <w:rPr>
          <w:sz w:val="20"/>
          <w:szCs w:val="20"/>
          <w:color w:val="auto"/>
        </w:rPr>
      </w:pPr>
    </w:p>
    <w:p>
      <w:pPr>
        <w:ind w:right="1020" w:firstLine="648"/>
        <w:spacing w:after="0" w:line="361" w:lineRule="auto"/>
        <w:rPr>
          <w:sz w:val="20"/>
          <w:szCs w:val="20"/>
          <w:color w:val="auto"/>
        </w:rPr>
      </w:pPr>
      <w:r>
        <w:rPr>
          <w:rFonts w:ascii="Arial" w:cs="Arial" w:eastAsia="Arial" w:hAnsi="Arial"/>
          <w:sz w:val="19"/>
          <w:szCs w:val="19"/>
          <w:color w:val="auto"/>
        </w:rPr>
        <w:t>The company has appointed Jean-Francois Ferret as President of Manpower France, effective immediately, to lead the organization on an interim basis. Ferret joined Manpower in June 2005 as Deputy General Manager of Manpower France. He previously served as CFO of Western European Markets for COMPASS Group, Senior Vice President of Western European Markets for Thomas Cook, General Manager of Thomas Cook France and as Deputy General Manager of Havas Voyages – American Express.</w:t>
      </w:r>
    </w:p>
    <w:p>
      <w:pPr>
        <w:spacing w:after="0" w:line="302" w:lineRule="exact"/>
        <w:rPr>
          <w:sz w:val="20"/>
          <w:szCs w:val="20"/>
          <w:color w:val="auto"/>
        </w:rPr>
      </w:pPr>
    </w:p>
    <w:p>
      <w:pPr>
        <w:ind w:right="980" w:firstLine="648"/>
        <w:spacing w:after="0" w:line="340" w:lineRule="auto"/>
        <w:rPr>
          <w:sz w:val="20"/>
          <w:szCs w:val="20"/>
          <w:color w:val="auto"/>
        </w:rPr>
      </w:pPr>
      <w:r>
        <w:rPr>
          <w:rFonts w:ascii="Arial" w:cs="Arial" w:eastAsia="Arial" w:hAnsi="Arial"/>
          <w:sz w:val="20"/>
          <w:szCs w:val="20"/>
          <w:color w:val="auto"/>
        </w:rPr>
        <w:t>Commenting on market conditions in France, Jeffrey A. Joerres, Chairman &amp; CEO of Manpower Inc., stated, “Demand for our services has strengthened this year. We expect our French revenue growth in the second quarter to equal or exceed the upper end of our previously issued guidance of 7–9 percent in constant currency over prior year.”</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Manpower Inc.</w:t>
      </w:r>
    </w:p>
    <w:p>
      <w:pPr>
        <w:spacing w:after="0" w:line="43" w:lineRule="exact"/>
        <w:rPr>
          <w:sz w:val="20"/>
          <w:szCs w:val="20"/>
          <w:color w:val="auto"/>
        </w:rPr>
      </w:pPr>
    </w:p>
    <w:p>
      <w:pPr>
        <w:ind w:right="1360"/>
        <w:spacing w:after="0" w:line="231" w:lineRule="auto"/>
        <w:rPr>
          <w:sz w:val="20"/>
          <w:szCs w:val="20"/>
          <w:color w:val="auto"/>
        </w:rPr>
      </w:pPr>
      <w:r>
        <w:rPr>
          <w:rFonts w:ascii="Arial" w:cs="Arial" w:eastAsia="Arial" w:hAnsi="Arial"/>
          <w:sz w:val="22"/>
          <w:szCs w:val="22"/>
          <w:color w:val="auto"/>
        </w:rPr>
        <w:t>Manpower Inc. (NYSE: MAN) is a world leader in the employment services industry; creating and delivering services that enable its clients to win in the changing world of work. The $16 billion company offers employers a range of services for the entire employment and business cycle including permanent, temporary and contract recruitment; employee assessment and selection; training; outplacement; outsourcing and consulting. Manpower's worldwide network of 4,400 offices in 72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 der five brands: Manpower, Manpower Professional, Elan, Jefferson Wells and Right Management. More information on Manpower Inc. is available at www.manpower.com.</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43" w:lineRule="exact"/>
        <w:rPr>
          <w:sz w:val="20"/>
          <w:szCs w:val="20"/>
          <w:color w:val="auto"/>
        </w:rPr>
      </w:pPr>
    </w:p>
    <w:p>
      <w:pPr>
        <w:ind w:right="1380"/>
        <w:spacing w:after="0" w:line="244" w:lineRule="auto"/>
        <w:rPr>
          <w:sz w:val="20"/>
          <w:szCs w:val="20"/>
          <w:color w:val="auto"/>
        </w:rPr>
      </w:pPr>
      <w:r>
        <w:rPr>
          <w:rFonts w:ascii="Arial" w:cs="Arial" w:eastAsia="Arial" w:hAnsi="Arial"/>
          <w:sz w:val="21"/>
          <w:szCs w:val="21"/>
          <w:color w:val="auto"/>
        </w:rPr>
        <w:t>This news release contains statements, including earning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‘Forward-Looking Statements’ in its Annual Report on Form 10-K for the year ended December 31, 2005, which information is incorporated herein by reference.</w:t>
      </w:r>
    </w:p>
    <w:p>
      <w:pPr>
        <w:sectPr>
          <w:pgSz w:w="11900" w:h="16838" w:orient="portrait"/>
          <w:cols w:equalWidth="0" w:num="1">
            <w:col w:w="10440"/>
          </w:cols>
          <w:pgMar w:left="1220" w:top="1108" w:right="239" w:bottom="0" w:gutter="0" w:footer="0" w:header="0"/>
          <w:type w:val="continuous"/>
        </w:sectPr>
      </w:pPr>
    </w:p>
    <w:bookmarkStart w:id="3" w:name="page4"/>
    <w:bookmarkEnd w:id="3"/>
    <w:p>
      <w:pPr>
        <w:jc w:val="center"/>
        <w:ind w:right="319"/>
        <w:spacing w:after="0"/>
        <w:rPr>
          <w:sz w:val="20"/>
          <w:szCs w:val="20"/>
          <w:color w:val="auto"/>
        </w:rPr>
      </w:pPr>
      <w:r>
        <w:rPr>
          <w:rFonts w:ascii="Arial" w:cs="Arial" w:eastAsia="Arial" w:hAnsi="Arial"/>
          <w:sz w:val="20"/>
          <w:szCs w:val="20"/>
          <w:b w:val="1"/>
          <w:bCs w:val="1"/>
          <w:color w:val="auto"/>
        </w:rPr>
        <w:t>- ### -</w:t>
      </w: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Manpower Inc. • P.O. Box 2053 • 5301 N. Ironwood Rd., Milwaukee, WI 53201 • USA • Phone +1.414.961.1000 • www.manpower.com</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2019-12-11T22:29:28Z</dcterms:created>
  <dcterms:modified xsi:type="dcterms:W3CDTF">2019-12-11T22:29:28Z</dcterms:modified>
</cp:coreProperties>
</file>