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Nettles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&amp;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in settlement of performance share units granted in 2022 (which were not derivative securities received under the Company's 2011 Equity Incentive Plan, exempt under Rule 16b-3).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the Issuer to satisfy the tax withholding obligations on shares acquired on February 13, 2025 in settlement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closing price on the New York Stock Exchange on February 13,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restricted stock units under the 2011 Equity Incentive Plan of the Company. The restricted stock units will vest 100% on February 14, 2028 and will be settled in shares of ManpowerGroup common stock on a 1 for 1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Kobylarczyk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150" TargetMode="External"/><Relationship Id="rId5" Type="http://schemas.openxmlformats.org/officeDocument/2006/relationships/hyperlink" Target="http://www.sec.gov/cgi-bin/browse-edgar?action=getcompany&amp;CIK=0000871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3781</Characters>
  <CharactersWithSpaces>4405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