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left="540" w:right="4619" w:hanging="532"/>
        <w:spacing w:after="0" w:line="236"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 for the quarterly period ended:</w:t>
      </w:r>
    </w:p>
    <w:p>
      <w:pPr>
        <w:spacing w:after="0" w:line="203" w:lineRule="exact"/>
        <w:rPr>
          <w:sz w:val="24"/>
          <w:szCs w:val="24"/>
          <w:color w:val="auto"/>
        </w:rPr>
      </w:pPr>
    </w:p>
    <w:p>
      <w:pPr>
        <w:jc w:val="center"/>
        <w:ind w:right="4519"/>
        <w:spacing w:after="0"/>
        <w:rPr>
          <w:sz w:val="20"/>
          <w:szCs w:val="20"/>
          <w:color w:val="auto"/>
        </w:rPr>
      </w:pPr>
      <w:r>
        <w:rPr>
          <w:rFonts w:ascii="Courier New" w:cs="Courier New" w:eastAsia="Courier New" w:hAnsi="Courier New"/>
          <w:sz w:val="18"/>
          <w:szCs w:val="18"/>
          <w:color w:val="auto"/>
        </w:rPr>
        <w:t>September 30, 2000</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w:t>
      </w:r>
    </w:p>
    <w:p>
      <w:pPr>
        <w:spacing w:after="0" w:line="21" w:lineRule="exact"/>
        <w:rPr>
          <w:rFonts w:ascii="Courier New" w:cs="Courier New" w:eastAsia="Courier New" w:hAnsi="Courier New"/>
          <w:sz w:val="16"/>
          <w:szCs w:val="16"/>
          <w:color w:val="auto"/>
        </w:rPr>
      </w:pPr>
    </w:p>
    <w:p>
      <w:pPr>
        <w:ind w:left="540" w:right="4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Securities Exchange Act of 1934 for the transition period from: ______to______</w:t>
      </w:r>
    </w:p>
    <w:p>
      <w:pPr>
        <w:spacing w:after="0" w:line="203" w:lineRule="exact"/>
        <w:rPr>
          <w:sz w:val="24"/>
          <w:szCs w:val="24"/>
          <w:color w:val="auto"/>
        </w:rPr>
      </w:pPr>
    </w:p>
    <w:p>
      <w:pPr>
        <w:jc w:val="center"/>
        <w:ind w:right="4419"/>
        <w:spacing w:after="0"/>
        <w:rPr>
          <w:sz w:val="20"/>
          <w:szCs w:val="20"/>
          <w:color w:val="auto"/>
        </w:rPr>
      </w:pPr>
      <w:r>
        <w:rPr>
          <w:rFonts w:ascii="Courier New" w:cs="Courier New" w:eastAsia="Courier New" w:hAnsi="Courier New"/>
          <w:sz w:val="18"/>
          <w:szCs w:val="18"/>
          <w:color w:val="auto"/>
        </w:rPr>
        <w:t>Commission file number: 1-10686</w:t>
      </w:r>
    </w:p>
    <w:p>
      <w:pPr>
        <w:spacing w:after="0" w:line="201" w:lineRule="exact"/>
        <w:rPr>
          <w:sz w:val="24"/>
          <w:szCs w:val="24"/>
          <w:color w:val="auto"/>
        </w:rPr>
      </w:pPr>
    </w:p>
    <w:p>
      <w:pPr>
        <w:jc w:val="center"/>
        <w:ind w:right="4419"/>
        <w:spacing w:after="0"/>
        <w:rPr>
          <w:sz w:val="20"/>
          <w:szCs w:val="20"/>
          <w:color w:val="auto"/>
        </w:rPr>
      </w:pPr>
      <w:r>
        <w:rPr>
          <w:rFonts w:ascii="Courier New" w:cs="Courier New" w:eastAsia="Courier New" w:hAnsi="Courier New"/>
          <w:sz w:val="18"/>
          <w:szCs w:val="18"/>
          <w:color w:val="auto"/>
        </w:rPr>
        <w:t>MANPOWER INC.</w:t>
      </w:r>
    </w:p>
    <w:p>
      <w:pPr>
        <w:spacing w:after="0" w:line="4" w:lineRule="exact"/>
        <w:rPr>
          <w:sz w:val="24"/>
          <w:szCs w:val="24"/>
          <w:color w:val="auto"/>
        </w:rPr>
      </w:pPr>
    </w:p>
    <w:p>
      <w:pPr>
        <w:jc w:val="center"/>
        <w:ind w:right="42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47" w:right="1440" w:bottom="0" w:gutter="0" w:footer="0" w:header="0"/>
        </w:sectPr>
      </w:pPr>
    </w:p>
    <w:p>
      <w:pPr>
        <w:spacing w:after="0" w:line="218"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39-1672779</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4440" w:space="720"/>
            <w:col w:w="5059"/>
          </w:cols>
          <w:pgMar w:left="240" w:top="447" w:right="1440" w:bottom="0" w:gutter="0" w:footer="0" w:header="0"/>
          <w:type w:val="continuous"/>
        </w:sectPr>
      </w:pPr>
    </w:p>
    <w:p>
      <w:pPr>
        <w:spacing w:after="0" w:line="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5301 N. Ironwood Road</w:t>
      </w:r>
    </w:p>
    <w:p>
      <w:pPr>
        <w:ind w:left="540"/>
        <w:spacing w:after="0" w:line="238" w:lineRule="auto"/>
        <w:rPr>
          <w:sz w:val="20"/>
          <w:szCs w:val="20"/>
          <w:color w:val="auto"/>
        </w:rPr>
      </w:pPr>
      <w:r>
        <w:rPr>
          <w:rFonts w:ascii="Courier New" w:cs="Courier New" w:eastAsia="Courier New" w:hAnsi="Courier New"/>
          <w:sz w:val="18"/>
          <w:szCs w:val="18"/>
          <w:color w:val="auto"/>
        </w:rPr>
        <w:t>Milwaukee, Wisconsin</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53217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4740" w:space="420"/>
            <w:col w:w="5059"/>
          </w:cols>
          <w:pgMar w:left="240" w:top="447" w:right="1440" w:bottom="0" w:gutter="0" w:footer="0" w:header="0"/>
          <w:type w:val="continuous"/>
        </w:sectPr>
      </w:pPr>
    </w:p>
    <w:p>
      <w:pPr>
        <w:spacing w:after="0" w:line="18" w:lineRule="exact"/>
        <w:rPr>
          <w:sz w:val="24"/>
          <w:szCs w:val="24"/>
          <w:color w:val="auto"/>
        </w:rPr>
      </w:pPr>
    </w:p>
    <w:p>
      <w:pPr>
        <w:ind w:left="220"/>
        <w:spacing w:after="0"/>
        <w:tabs>
          <w:tab w:leader="none" w:pos="578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(414) 961-1000</w:t>
      </w:r>
    </w:p>
    <w:p>
      <w:pPr>
        <w:spacing w:after="0" w:line="207" w:lineRule="exact"/>
        <w:rPr>
          <w:sz w:val="24"/>
          <w:szCs w:val="24"/>
          <w:color w:val="auto"/>
        </w:rPr>
      </w:pPr>
    </w:p>
    <w:p>
      <w:pPr>
        <w:ind w:left="540" w:right="441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 w:lineRule="exact"/>
        <w:rPr>
          <w:sz w:val="24"/>
          <w:szCs w:val="24"/>
          <w:color w:val="auto"/>
        </w:rPr>
      </w:pPr>
    </w:p>
    <w:p>
      <w:pPr>
        <w:ind w:left="2120"/>
        <w:spacing w:after="0"/>
        <w:tabs>
          <w:tab w:leader="none" w:pos="2620" w:val="left"/>
          <w:tab w:leader="none" w:pos="3260" w:val="left"/>
        </w:tabs>
        <w:rPr>
          <w:sz w:val="20"/>
          <w:szCs w:val="20"/>
          <w:color w:val="auto"/>
        </w:rPr>
      </w:pPr>
      <w:r>
        <w:rPr>
          <w:rFonts w:ascii="Courier New" w:cs="Courier New" w:eastAsia="Courier New" w:hAnsi="Courier New"/>
          <w:sz w:val="18"/>
          <w:szCs w:val="18"/>
          <w:color w:val="auto"/>
        </w:rPr>
        <w:t>Yes</w:t>
        <w:tab/>
        <w:t>X</w:t>
      </w:r>
      <w:r>
        <w:rPr>
          <w:sz w:val="20"/>
          <w:szCs w:val="20"/>
          <w:color w:val="auto"/>
        </w:rPr>
        <w:tab/>
      </w:r>
      <w:r>
        <w:rPr>
          <w:rFonts w:ascii="Courier New" w:cs="Courier New" w:eastAsia="Courier New" w:hAnsi="Courier New"/>
          <w:sz w:val="16"/>
          <w:szCs w:val="16"/>
          <w:color w:val="auto"/>
        </w:rPr>
        <w:t>No</w:t>
      </w:r>
    </w:p>
    <w:p>
      <w:pPr>
        <w:spacing w:after="0" w:line="207" w:lineRule="exact"/>
        <w:rPr>
          <w:sz w:val="24"/>
          <w:szCs w:val="24"/>
          <w:color w:val="auto"/>
        </w:rPr>
      </w:pPr>
    </w:p>
    <w:p>
      <w:pPr>
        <w:ind w:left="540" w:right="4419"/>
        <w:spacing w:after="0" w:line="236"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Shares Outstanding</w:t>
            </w:r>
          </w:p>
        </w:tc>
        <w:tc>
          <w:tcPr>
            <w:tcW w:w="700" w:type="dxa"/>
            <w:vAlign w:val="bottom"/>
          </w:tcPr>
          <w:p>
            <w:pPr>
              <w:spacing w:after="0"/>
              <w:rPr>
                <w:sz w:val="17"/>
                <w:szCs w:val="17"/>
                <w:color w:val="auto"/>
              </w:rPr>
            </w:pPr>
          </w:p>
        </w:tc>
      </w:tr>
      <w:tr>
        <w:trPr>
          <w:trHeight w:val="203"/>
        </w:trPr>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Class</w:t>
            </w:r>
          </w:p>
        </w:tc>
        <w:tc>
          <w:tcPr>
            <w:tcW w:w="3800" w:type="dxa"/>
            <w:vAlign w:val="bottom"/>
          </w:tcPr>
          <w:p>
            <w:pPr>
              <w:spacing w:after="0"/>
              <w:rPr>
                <w:sz w:val="17"/>
                <w:szCs w:val="17"/>
                <w:color w:val="auto"/>
              </w:rPr>
            </w:pPr>
          </w:p>
        </w:tc>
        <w:tc>
          <w:tcPr>
            <w:tcW w:w="2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at September 30, 2000</w:t>
            </w:r>
          </w:p>
        </w:tc>
        <w:tc>
          <w:tcPr>
            <w:tcW w:w="700" w:type="dxa"/>
            <w:vAlign w:val="bottom"/>
          </w:tcPr>
          <w:p>
            <w:pPr>
              <w:spacing w:after="0"/>
              <w:rPr>
                <w:sz w:val="17"/>
                <w:szCs w:val="17"/>
                <w:color w:val="auto"/>
              </w:rPr>
            </w:pPr>
          </w:p>
        </w:tc>
      </w:tr>
      <w:tr>
        <w:trPr>
          <w:trHeight w:val="203"/>
        </w:trPr>
        <w:tc>
          <w:tcPr>
            <w:tcW w:w="4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Common Stock, $.01 par value</w:t>
            </w:r>
          </w:p>
        </w:tc>
        <w:tc>
          <w:tcPr>
            <w:tcW w:w="2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75,738,824</w:t>
            </w:r>
          </w:p>
        </w:tc>
        <w:tc>
          <w:tcPr>
            <w:tcW w:w="700" w:type="dxa"/>
            <w:vAlign w:val="bottom"/>
          </w:tcPr>
          <w:p>
            <w:pPr>
              <w:spacing w:after="0"/>
              <w:rPr>
                <w:sz w:val="17"/>
                <w:szCs w:val="17"/>
                <w:color w:val="auto"/>
              </w:rPr>
            </w:pPr>
          </w:p>
        </w:tc>
      </w:tr>
      <w:tr>
        <w:trPr>
          <w:trHeight w:val="986"/>
        </w:trPr>
        <w:tc>
          <w:tcPr>
            <w:tcW w:w="900" w:type="dxa"/>
            <w:vAlign w:val="bottom"/>
          </w:tcPr>
          <w:p>
            <w:pPr>
              <w:spacing w:after="0"/>
              <w:rPr>
                <w:sz w:val="24"/>
                <w:szCs w:val="24"/>
                <w:color w:val="auto"/>
              </w:rPr>
            </w:pPr>
          </w:p>
        </w:tc>
        <w:tc>
          <w:tcPr>
            <w:tcW w:w="3800" w:type="dxa"/>
            <w:vAlign w:val="bottom"/>
          </w:tcPr>
          <w:p>
            <w:pPr>
              <w:ind w:left="380"/>
              <w:spacing w:after="0"/>
              <w:rPr>
                <w:sz w:val="20"/>
                <w:szCs w:val="20"/>
                <w:color w:val="auto"/>
              </w:rPr>
            </w:pPr>
            <w:r>
              <w:rPr>
                <w:rFonts w:ascii="Courier New" w:cs="Courier New" w:eastAsia="Courier New" w:hAnsi="Courier New"/>
                <w:sz w:val="18"/>
                <w:szCs w:val="18"/>
                <w:color w:val="auto"/>
              </w:rPr>
              <w:t>MANPOWER INC. AND SUBSIDIARIES</w:t>
            </w: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08"/>
        </w:trPr>
        <w:tc>
          <w:tcPr>
            <w:tcW w:w="900" w:type="dxa"/>
            <w:vAlign w:val="bottom"/>
          </w:tcPr>
          <w:p>
            <w:pPr>
              <w:spacing w:after="0"/>
              <w:rPr>
                <w:sz w:val="24"/>
                <w:szCs w:val="24"/>
                <w:color w:val="auto"/>
              </w:rPr>
            </w:pPr>
          </w:p>
        </w:tc>
        <w:tc>
          <w:tcPr>
            <w:tcW w:w="3800" w:type="dxa"/>
            <w:vAlign w:val="bottom"/>
          </w:tcPr>
          <w:p>
            <w:pPr>
              <w:ind w:left="1740"/>
              <w:spacing w:after="0"/>
              <w:rPr>
                <w:sz w:val="20"/>
                <w:szCs w:val="20"/>
                <w:color w:val="auto"/>
              </w:rPr>
            </w:pPr>
            <w:r>
              <w:rPr>
                <w:rFonts w:ascii="Courier New" w:cs="Courier New" w:eastAsia="Courier New" w:hAnsi="Courier New"/>
                <w:sz w:val="18"/>
                <w:szCs w:val="18"/>
                <w:color w:val="auto"/>
              </w:rPr>
              <w:t>INDEX</w:t>
            </w: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810"/>
        </w:trPr>
        <w:tc>
          <w:tcPr>
            <w:tcW w:w="9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20" w:type="dxa"/>
            <w:vAlign w:val="bottom"/>
          </w:tcPr>
          <w:p>
            <w:pPr>
              <w:jc w:val="right"/>
              <w:ind w:right="1432"/>
              <w:spacing w:after="0"/>
              <w:rPr>
                <w:sz w:val="20"/>
                <w:szCs w:val="20"/>
                <w:color w:val="auto"/>
              </w:rPr>
            </w:pPr>
            <w:r>
              <w:rPr>
                <w:rFonts w:ascii="Courier New" w:cs="Courier New" w:eastAsia="Courier New" w:hAnsi="Courier New"/>
                <w:sz w:val="18"/>
                <w:szCs w:val="18"/>
                <w:color w:val="auto"/>
              </w:rPr>
              <w:t>Page</w:t>
            </w:r>
          </w:p>
        </w:tc>
        <w:tc>
          <w:tcPr>
            <w:tcW w:w="70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620" w:type="dxa"/>
            <w:vAlign w:val="bottom"/>
          </w:tcPr>
          <w:p>
            <w:pPr>
              <w:jc w:val="right"/>
              <w:ind w:right="1432"/>
              <w:spacing w:after="0" w:line="203" w:lineRule="exact"/>
              <w:rPr>
                <w:sz w:val="20"/>
                <w:szCs w:val="20"/>
                <w:color w:val="auto"/>
              </w:rPr>
            </w:pPr>
            <w:r>
              <w:rPr>
                <w:rFonts w:ascii="Courier New" w:cs="Courier New" w:eastAsia="Courier New" w:hAnsi="Courier New"/>
                <w:sz w:val="18"/>
                <w:szCs w:val="18"/>
                <w:color w:val="auto"/>
              </w:rPr>
              <w:t>Number</w:t>
            </w:r>
          </w:p>
        </w:tc>
        <w:tc>
          <w:tcPr>
            <w:tcW w:w="70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3800" w:type="dxa"/>
            <w:vAlign w:val="bottom"/>
          </w:tcPr>
          <w:p>
            <w:pPr>
              <w:ind w:left="160"/>
              <w:spacing w:after="0"/>
              <w:rPr>
                <w:sz w:val="20"/>
                <w:szCs w:val="20"/>
                <w:color w:val="auto"/>
              </w:rPr>
            </w:pPr>
            <w:r>
              <w:rPr>
                <w:rFonts w:ascii="Courier New" w:cs="Courier New" w:eastAsia="Courier New" w:hAnsi="Courier New"/>
                <w:sz w:val="18"/>
                <w:szCs w:val="18"/>
                <w:color w:val="auto"/>
              </w:rPr>
              <w:t>FINANCIAL INFORMATION</w:t>
            </w: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Consolidated Financial Statements (unaudited)</w:t>
            </w:r>
          </w:p>
        </w:tc>
        <w:tc>
          <w:tcPr>
            <w:tcW w:w="700" w:type="dxa"/>
            <w:vAlign w:val="bottom"/>
          </w:tcPr>
          <w:p>
            <w:pPr>
              <w:spacing w:after="0"/>
              <w:rPr>
                <w:sz w:val="24"/>
                <w:szCs w:val="24"/>
                <w:color w:val="auto"/>
              </w:rPr>
            </w:pPr>
          </w:p>
        </w:tc>
      </w:tr>
      <w:tr>
        <w:trPr>
          <w:trHeight w:val="405"/>
        </w:trPr>
        <w:tc>
          <w:tcPr>
            <w:tcW w:w="900" w:type="dxa"/>
            <w:vAlign w:val="bottom"/>
          </w:tcPr>
          <w:p>
            <w:pPr>
              <w:spacing w:after="0"/>
              <w:rPr>
                <w:sz w:val="24"/>
                <w:szCs w:val="24"/>
                <w:color w:val="auto"/>
              </w:rPr>
            </w:pPr>
          </w:p>
        </w:tc>
        <w:tc>
          <w:tcPr>
            <w:tcW w:w="3800" w:type="dxa"/>
            <w:vAlign w:val="bottom"/>
          </w:tcPr>
          <w:p>
            <w:pPr>
              <w:ind w:left="480"/>
              <w:spacing w:after="0"/>
              <w:rPr>
                <w:sz w:val="20"/>
                <w:szCs w:val="20"/>
                <w:color w:val="auto"/>
              </w:rPr>
            </w:pPr>
            <w:r>
              <w:rPr>
                <w:rFonts w:ascii="Courier New" w:cs="Courier New" w:eastAsia="Courier New" w:hAnsi="Courier New"/>
                <w:sz w:val="18"/>
                <w:szCs w:val="18"/>
                <w:color w:val="auto"/>
              </w:rPr>
              <w:t>Consolidated Balance Sheets</w:t>
            </w:r>
          </w:p>
        </w:tc>
        <w:tc>
          <w:tcPr>
            <w:tcW w:w="26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3-4</w:t>
            </w:r>
          </w:p>
        </w:tc>
      </w:tr>
      <w:tr>
        <w:trPr>
          <w:trHeight w:val="405"/>
        </w:trPr>
        <w:tc>
          <w:tcPr>
            <w:tcW w:w="900" w:type="dxa"/>
            <w:vAlign w:val="bottom"/>
          </w:tcPr>
          <w:p>
            <w:pPr>
              <w:spacing w:after="0"/>
              <w:rPr>
                <w:sz w:val="24"/>
                <w:szCs w:val="24"/>
                <w:color w:val="auto"/>
              </w:rPr>
            </w:pPr>
          </w:p>
        </w:tc>
        <w:tc>
          <w:tcPr>
            <w:tcW w:w="642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Consolidated Statements of Operations</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900" w:type="dxa"/>
            <w:vAlign w:val="bottom"/>
          </w:tcPr>
          <w:p>
            <w:pPr>
              <w:spacing w:after="0"/>
              <w:rPr>
                <w:sz w:val="24"/>
                <w:szCs w:val="24"/>
                <w:color w:val="auto"/>
              </w:rPr>
            </w:pPr>
          </w:p>
        </w:tc>
        <w:tc>
          <w:tcPr>
            <w:tcW w:w="642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Consolidated Statements of Cash Flows</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405"/>
        </w:trPr>
        <w:tc>
          <w:tcPr>
            <w:tcW w:w="900" w:type="dxa"/>
            <w:vAlign w:val="bottom"/>
          </w:tcPr>
          <w:p>
            <w:pPr>
              <w:spacing w:after="0"/>
              <w:rPr>
                <w:sz w:val="24"/>
                <w:szCs w:val="24"/>
                <w:color w:val="auto"/>
              </w:rPr>
            </w:pPr>
          </w:p>
        </w:tc>
        <w:tc>
          <w:tcPr>
            <w:tcW w:w="642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Notes to Consolidated Financial Statements</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7-10</w:t>
            </w: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Management's Discussion and Analysis of</w:t>
            </w:r>
          </w:p>
        </w:tc>
        <w:tc>
          <w:tcPr>
            <w:tcW w:w="70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6420" w:type="dxa"/>
            <w:vAlign w:val="bottom"/>
            <w:gridSpan w:val="2"/>
          </w:tcPr>
          <w:p>
            <w:pPr>
              <w:jc w:val="right"/>
              <w:ind w:right="1432"/>
              <w:spacing w:after="0" w:line="203" w:lineRule="exact"/>
              <w:rPr>
                <w:sz w:val="20"/>
                <w:szCs w:val="20"/>
                <w:color w:val="auto"/>
              </w:rPr>
            </w:pPr>
            <w:r>
              <w:rPr>
                <w:rFonts w:ascii="Courier New" w:cs="Courier New" w:eastAsia="Courier New" w:hAnsi="Courier New"/>
                <w:sz w:val="18"/>
                <w:szCs w:val="18"/>
                <w:color w:val="auto"/>
              </w:rPr>
              <w:t>Financial Condition and Results of Operations</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11-14</w:t>
            </w:r>
          </w:p>
        </w:tc>
      </w:tr>
    </w:tbl>
    <w:p>
      <w:pPr>
        <w:sectPr>
          <w:pgSz w:w="11900" w:h="16838" w:orient="portrait"/>
          <w:cols w:equalWidth="0" w:num="1">
            <w:col w:w="10219"/>
          </w:cols>
          <w:pgMar w:left="240" w:top="447"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Item 3</w:t>
            </w:r>
          </w:p>
        </w:tc>
        <w:tc>
          <w:tcPr>
            <w:tcW w:w="1480" w:type="dxa"/>
            <w:vAlign w:val="bottom"/>
          </w:tcPr>
          <w:p>
            <w:pPr>
              <w:ind w:left="160"/>
              <w:spacing w:after="0"/>
              <w:rPr>
                <w:sz w:val="20"/>
                <w:szCs w:val="20"/>
                <w:color w:val="auto"/>
              </w:rPr>
            </w:pPr>
            <w:r>
              <w:rPr>
                <w:rFonts w:ascii="Courier New" w:cs="Courier New" w:eastAsia="Courier New" w:hAnsi="Courier New"/>
                <w:sz w:val="18"/>
                <w:szCs w:val="18"/>
                <w:color w:val="auto"/>
              </w:rPr>
              <w:t>Quantitative</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w w:val="99"/>
              </w:rPr>
              <w:t>and Qualitative</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Disclosures About Market Risk</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608"/>
        </w:trPr>
        <w:tc>
          <w:tcPr>
            <w:tcW w:w="480" w:type="dxa"/>
            <w:vAlign w:val="bottom"/>
          </w:tcPr>
          <w:p>
            <w:pPr>
              <w:spacing w:after="0"/>
              <w:rPr>
                <w:sz w:val="20"/>
                <w:szCs w:val="20"/>
                <w:color w:val="auto"/>
              </w:rPr>
            </w:pPr>
            <w:r>
              <w:rPr>
                <w:rFonts w:ascii="Courier New" w:cs="Courier New" w:eastAsia="Courier New" w:hAnsi="Courier New"/>
                <w:sz w:val="18"/>
                <w:szCs w:val="18"/>
                <w:color w:val="auto"/>
              </w:rPr>
              <w:t>PART</w:t>
            </w:r>
          </w:p>
        </w:tc>
        <w:tc>
          <w:tcPr>
            <w:tcW w:w="696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II   OTHER INFORMATION AND SIGNATURES</w:t>
            </w:r>
          </w:p>
        </w:tc>
        <w:tc>
          <w:tcPr>
            <w:tcW w:w="580" w:type="dxa"/>
            <w:vAlign w:val="bottom"/>
          </w:tcPr>
          <w:p>
            <w:pPr>
              <w:spacing w:after="0"/>
              <w:rPr>
                <w:sz w:val="24"/>
                <w:szCs w:val="24"/>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6</w:t>
            </w:r>
          </w:p>
        </w:tc>
        <w:tc>
          <w:tcPr>
            <w:tcW w:w="1480" w:type="dxa"/>
            <w:vAlign w:val="bottom"/>
          </w:tcPr>
          <w:p>
            <w:pPr>
              <w:ind w:left="160"/>
              <w:spacing w:after="0"/>
              <w:rPr>
                <w:sz w:val="20"/>
                <w:szCs w:val="20"/>
                <w:color w:val="auto"/>
              </w:rPr>
            </w:pPr>
            <w:r>
              <w:rPr>
                <w:rFonts w:ascii="Courier New" w:cs="Courier New" w:eastAsia="Courier New" w:hAnsi="Courier New"/>
                <w:sz w:val="18"/>
                <w:szCs w:val="18"/>
                <w:color w:val="auto"/>
              </w:rPr>
              <w:t>Exhibits and</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w w:val="99"/>
              </w:rPr>
              <w:t>Reports on Form</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8-K</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2280" w:type="dxa"/>
            <w:vAlign w:val="bottom"/>
            <w:gridSpan w:val="3"/>
          </w:tcPr>
          <w:p>
            <w:pPr>
              <w:spacing w:after="0"/>
              <w:rPr>
                <w:sz w:val="20"/>
                <w:szCs w:val="20"/>
                <w:color w:val="auto"/>
              </w:rPr>
            </w:pPr>
            <w:r>
              <w:rPr>
                <w:rFonts w:ascii="Courier New" w:cs="Courier New" w:eastAsia="Courier New" w:hAnsi="Courier New"/>
                <w:sz w:val="18"/>
                <w:szCs w:val="18"/>
                <w:color w:val="auto"/>
              </w:rPr>
              <w:t>Signatures</w:t>
            </w:r>
          </w:p>
        </w:tc>
        <w:tc>
          <w:tcPr>
            <w:tcW w:w="1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bl>
    <w:p>
      <w:pPr>
        <w:sectPr>
          <w:pgSz w:w="11900" w:h="16838" w:orient="portrait"/>
          <w:cols w:equalWidth="0" w:num="1">
            <w:col w:w="10219"/>
          </w:cols>
          <w:pgMar w:left="240" w:top="136"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jc w:val="center"/>
              <w:ind w:left="512"/>
              <w:spacing w:after="0"/>
              <w:rPr>
                <w:sz w:val="20"/>
                <w:szCs w:val="20"/>
                <w:color w:val="auto"/>
              </w:rPr>
            </w:pPr>
            <w:r>
              <w:rPr>
                <w:rFonts w:ascii="Courier New" w:cs="Courier New" w:eastAsia="Courier New" w:hAnsi="Courier New"/>
                <w:sz w:val="18"/>
                <w:szCs w:val="18"/>
                <w:color w:val="auto"/>
                <w:w w:val="97"/>
              </w:rPr>
              <w:t>PART I - FINANCIAL INFORMATION</w:t>
            </w: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Item 1 - Financial Statements</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5120" w:type="dxa"/>
            <w:vAlign w:val="bottom"/>
          </w:tcPr>
          <w:p>
            <w:pPr>
              <w:jc w:val="center"/>
              <w:ind w:left="512"/>
              <w:spacing w:after="0"/>
              <w:rPr>
                <w:sz w:val="20"/>
                <w:szCs w:val="20"/>
                <w:color w:val="auto"/>
              </w:rPr>
            </w:pPr>
            <w:r>
              <w:rPr>
                <w:rFonts w:ascii="Courier New" w:cs="Courier New" w:eastAsia="Courier New" w:hAnsi="Courier New"/>
                <w:sz w:val="18"/>
                <w:szCs w:val="18"/>
                <w:color w:val="auto"/>
                <w:w w:val="97"/>
              </w:rPr>
              <w:t>MANPOWER INC. AND SUBSIDIARIES</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5120" w:type="dxa"/>
            <w:vAlign w:val="bottom"/>
          </w:tcPr>
          <w:p>
            <w:pPr>
              <w:ind w:left="1480"/>
              <w:spacing w:after="0"/>
              <w:rPr>
                <w:sz w:val="20"/>
                <w:szCs w:val="20"/>
                <w:color w:val="auto"/>
              </w:rPr>
            </w:pPr>
            <w:r>
              <w:rPr>
                <w:rFonts w:ascii="Courier New" w:cs="Courier New" w:eastAsia="Courier New" w:hAnsi="Courier New"/>
                <w:sz w:val="18"/>
                <w:szCs w:val="18"/>
                <w:color w:val="auto"/>
              </w:rPr>
              <w:t>Consolidated Balance Sheets</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512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rPr>
              <w:t>(in millions)</w:t>
            </w: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512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5"/>
              </w:rPr>
              <w:t>ASSETS</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5120" w:type="dxa"/>
            <w:vAlign w:val="bottom"/>
          </w:tcPr>
          <w:p>
            <w:pPr>
              <w:spacing w:after="0"/>
              <w:rPr>
                <w:sz w:val="24"/>
                <w:szCs w:val="24"/>
                <w:color w:val="auto"/>
              </w:rPr>
            </w:pP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September 30,</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5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2000</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120" w:type="dxa"/>
            <w:vAlign w:val="bottom"/>
          </w:tcPr>
          <w:p>
            <w:pPr>
              <w:spacing w:after="0"/>
              <w:rPr>
                <w:sz w:val="17"/>
                <w:szCs w:val="17"/>
                <w:color w:val="auto"/>
              </w:rPr>
            </w:pP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(Unaudited)</w:t>
            </w:r>
          </w:p>
        </w:tc>
        <w:tc>
          <w:tcPr>
            <w:tcW w:w="1580" w:type="dxa"/>
            <w:vAlign w:val="bottom"/>
          </w:tcPr>
          <w:p>
            <w:pPr>
              <w:spacing w:after="0"/>
              <w:rPr>
                <w:sz w:val="17"/>
                <w:szCs w:val="17"/>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175.3</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241.7</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less allowance</w:t>
            </w: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 doubtful accounts of $54.1 and</w:t>
            </w: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$47.1, respectively</w:t>
            </w:r>
          </w:p>
        </w:tc>
        <w:tc>
          <w:tcPr>
            <w:tcW w:w="4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2,090.7</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1,897.6</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4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56.6</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66.0</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Future income tax benefits</w:t>
            </w:r>
          </w:p>
        </w:tc>
        <w:tc>
          <w:tcPr>
            <w:tcW w:w="4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57.6</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52.0</w:t>
            </w:r>
          </w:p>
        </w:tc>
      </w:tr>
      <w:tr>
        <w:trPr>
          <w:trHeight w:val="203"/>
        </w:trPr>
        <w:tc>
          <w:tcPr>
            <w:tcW w:w="5120" w:type="dxa"/>
            <w:vAlign w:val="bottom"/>
          </w:tcPr>
          <w:p>
            <w:pPr>
              <w:spacing w:after="0"/>
              <w:rPr>
                <w:sz w:val="17"/>
                <w:szCs w:val="17"/>
                <w:color w:val="auto"/>
              </w:rPr>
            </w:pP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4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2,380.2</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2,257.3</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Investments in licensees</w:t>
            </w:r>
          </w:p>
        </w:tc>
        <w:tc>
          <w:tcPr>
            <w:tcW w:w="480" w:type="dxa"/>
            <w:vAlign w:val="bottom"/>
          </w:tcPr>
          <w:p>
            <w:pPr>
              <w:spacing w:after="0"/>
              <w:rPr>
                <w:sz w:val="24"/>
                <w:szCs w:val="24"/>
                <w:color w:val="auto"/>
              </w:rPr>
            </w:pP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39.5</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37.0</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Intangible assets, less accumulated amortization</w:t>
            </w: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$23.4 and $16.3, respectively</w:t>
            </w:r>
          </w:p>
        </w:tc>
        <w:tc>
          <w:tcPr>
            <w:tcW w:w="4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207.5</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89.4</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4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174.2</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152.6</w:t>
            </w:r>
          </w:p>
        </w:tc>
      </w:tr>
      <w:tr>
        <w:trPr>
          <w:trHeight w:val="203"/>
        </w:trPr>
        <w:tc>
          <w:tcPr>
            <w:tcW w:w="5120" w:type="dxa"/>
            <w:vAlign w:val="bottom"/>
          </w:tcPr>
          <w:p>
            <w:pPr>
              <w:spacing w:after="0"/>
              <w:rPr>
                <w:sz w:val="17"/>
                <w:szCs w:val="17"/>
                <w:color w:val="auto"/>
              </w:rPr>
            </w:pP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other assets</w:t>
            </w:r>
          </w:p>
        </w:tc>
        <w:tc>
          <w:tcPr>
            <w:tcW w:w="4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421.2</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279.0</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5600" w:type="dxa"/>
            <w:vAlign w:val="bottom"/>
            <w:gridSpan w:val="2"/>
          </w:tcPr>
          <w:p>
            <w:pPr>
              <w:spacing w:after="0"/>
              <w:rPr>
                <w:sz w:val="20"/>
                <w:szCs w:val="20"/>
                <w:color w:val="auto"/>
              </w:rPr>
            </w:pPr>
            <w:r>
              <w:rPr>
                <w:rFonts w:ascii="Courier New" w:cs="Courier New" w:eastAsia="Courier New" w:hAnsi="Courier New"/>
                <w:sz w:val="18"/>
                <w:szCs w:val="18"/>
                <w:color w:val="auto"/>
                <w:w w:val="97"/>
              </w:rPr>
              <w:t>Land, buildings, leasehold improvements and equipment</w:t>
            </w: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413.3</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416.1</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 and amortization</w:t>
            </w:r>
          </w:p>
        </w:tc>
        <w:tc>
          <w:tcPr>
            <w:tcW w:w="4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240.1</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233.7</w:t>
            </w:r>
          </w:p>
        </w:tc>
      </w:tr>
      <w:tr>
        <w:trPr>
          <w:trHeight w:val="203"/>
        </w:trPr>
        <w:tc>
          <w:tcPr>
            <w:tcW w:w="5120" w:type="dxa"/>
            <w:vAlign w:val="bottom"/>
          </w:tcPr>
          <w:p>
            <w:pPr>
              <w:spacing w:after="0"/>
              <w:rPr>
                <w:sz w:val="17"/>
                <w:szCs w:val="17"/>
                <w:color w:val="auto"/>
              </w:rPr>
            </w:pP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property and equipment</w:t>
            </w:r>
          </w:p>
        </w:tc>
        <w:tc>
          <w:tcPr>
            <w:tcW w:w="4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173.2</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182.4</w:t>
            </w:r>
          </w:p>
        </w:tc>
      </w:tr>
      <w:tr>
        <w:trPr>
          <w:trHeight w:val="203"/>
        </w:trPr>
        <w:tc>
          <w:tcPr>
            <w:tcW w:w="5120" w:type="dxa"/>
            <w:vAlign w:val="bottom"/>
          </w:tcPr>
          <w:p>
            <w:pPr>
              <w:spacing w:after="0"/>
              <w:rPr>
                <w:sz w:val="17"/>
                <w:szCs w:val="17"/>
                <w:color w:val="auto"/>
              </w:rPr>
            </w:pP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assets</w:t>
            </w: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$ 2,974.6</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$ 2,718.7</w:t>
            </w:r>
          </w:p>
        </w:tc>
      </w:tr>
      <w:tr>
        <w:trPr>
          <w:trHeight w:val="203"/>
        </w:trPr>
        <w:tc>
          <w:tcPr>
            <w:tcW w:w="5120" w:type="dxa"/>
            <w:vAlign w:val="bottom"/>
          </w:tcPr>
          <w:p>
            <w:pPr>
              <w:spacing w:after="0"/>
              <w:rPr>
                <w:sz w:val="17"/>
                <w:szCs w:val="17"/>
                <w:color w:val="auto"/>
              </w:rPr>
            </w:pP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1160" w:right="3679" w:hanging="842"/>
        <w:spacing w:after="0" w:line="290" w:lineRule="auto"/>
        <w:rPr>
          <w:sz w:val="20"/>
          <w:szCs w:val="20"/>
          <w:color w:val="auto"/>
        </w:rPr>
      </w:pPr>
      <w:r>
        <w:rPr>
          <w:rFonts w:ascii="Courier New" w:cs="Courier New" w:eastAsia="Courier New" w:hAnsi="Courier New"/>
          <w:sz w:val="16"/>
          <w:szCs w:val="16"/>
          <w:color w:val="auto"/>
        </w:rPr>
        <w:t>The accompanying notes to consolidated financial statements are an integral part of these balance sheets.</w:t>
      </w:r>
    </w:p>
    <w:p>
      <w:pPr>
        <w:sectPr>
          <w:pgSz w:w="11900" w:h="16838" w:orient="portrait"/>
          <w:cols w:equalWidth="0" w:num="1">
            <w:col w:w="10219"/>
          </w:cols>
          <w:pgMar w:left="240" w:top="717" w:right="1440" w:bottom="1440" w:gutter="0" w:footer="0" w:header="0"/>
        </w:sectPr>
      </w:pPr>
    </w:p>
    <w:bookmarkStart w:id="3" w:name="page4"/>
    <w:bookmarkEnd w:id="3"/>
    <w:p>
      <w:pPr>
        <w:ind w:left="1280"/>
        <w:spacing w:after="0"/>
        <w:rPr>
          <w:sz w:val="20"/>
          <w:szCs w:val="20"/>
          <w:color w:val="auto"/>
        </w:rPr>
      </w:pPr>
      <w:r>
        <w:rPr>
          <w:rFonts w:ascii="Courier New" w:cs="Courier New" w:eastAsia="Courier New" w:hAnsi="Courier New"/>
          <w:sz w:val="18"/>
          <w:szCs w:val="18"/>
          <w:color w:val="auto"/>
        </w:rPr>
        <w:t>MANPOWER INC. AND SUBSIDIARIES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Consolidated Balance Sheets</w:t>
      </w:r>
    </w:p>
    <w:p>
      <w:pPr>
        <w:ind w:left="1160"/>
        <w:spacing w:after="0" w:line="238" w:lineRule="auto"/>
        <w:rPr>
          <w:sz w:val="20"/>
          <w:szCs w:val="20"/>
          <w:color w:val="auto"/>
        </w:rPr>
      </w:pPr>
      <w:r>
        <w:rPr>
          <w:rFonts w:ascii="Courier New" w:cs="Courier New" w:eastAsia="Courier New" w:hAnsi="Courier New"/>
          <w:sz w:val="18"/>
          <w:szCs w:val="18"/>
          <w:color w:val="auto"/>
        </w:rPr>
        <w:t>(in millions, except share data)</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LIABILITIES AND SHAREHOLDERS' EQUITY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September 30,</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5020" w:type="dxa"/>
            <w:vAlign w:val="bottom"/>
          </w:tcPr>
          <w:p>
            <w:pPr>
              <w:spacing w:after="0"/>
              <w:rPr>
                <w:sz w:val="17"/>
                <w:szCs w:val="17"/>
                <w:color w:val="auto"/>
              </w:rPr>
            </w:pPr>
          </w:p>
        </w:tc>
        <w:tc>
          <w:tcPr>
            <w:tcW w:w="158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2000</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020" w:type="dxa"/>
            <w:vAlign w:val="bottom"/>
          </w:tcPr>
          <w:p>
            <w:pPr>
              <w:spacing w:after="0"/>
              <w:rPr>
                <w:sz w:val="17"/>
                <w:szCs w:val="17"/>
                <w:color w:val="auto"/>
              </w:rPr>
            </w:pP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(Unaudited)</w:t>
            </w:r>
          </w:p>
        </w:tc>
        <w:tc>
          <w:tcPr>
            <w:tcW w:w="1520" w:type="dxa"/>
            <w:vAlign w:val="bottom"/>
          </w:tcPr>
          <w:p>
            <w:pPr>
              <w:spacing w:after="0"/>
              <w:rPr>
                <w:sz w:val="17"/>
                <w:szCs w:val="17"/>
                <w:color w:val="auto"/>
              </w:rPr>
            </w:pP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Accounts payable</w:t>
            </w: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443.1</w:t>
            </w:r>
          </w:p>
        </w:tc>
        <w:tc>
          <w:tcPr>
            <w:tcW w:w="1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388.0</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 compensation payable</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79.7</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71.9</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224.2</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180.2</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payroll taxes and insurance</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321.0</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340.9</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added taxes payable</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318.7</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305.6</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borrowings and current</w:t>
            </w: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maturities of long-term debt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126.4</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131.5</w:t>
            </w:r>
          </w:p>
        </w:tc>
      </w:tr>
      <w:tr>
        <w:trPr>
          <w:trHeight w:val="203"/>
        </w:trPr>
        <w:tc>
          <w:tcPr>
            <w:tcW w:w="5020" w:type="dxa"/>
            <w:vAlign w:val="bottom"/>
          </w:tcPr>
          <w:p>
            <w:pPr>
              <w:spacing w:after="0"/>
              <w:rPr>
                <w:sz w:val="17"/>
                <w:szCs w:val="17"/>
                <w:color w:val="auto"/>
              </w:rPr>
            </w:pPr>
          </w:p>
        </w:tc>
        <w:tc>
          <w:tcPr>
            <w:tcW w:w="158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1,513.1</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1,418.1</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OTHER LIABILITIES:</w:t>
            </w: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491.1</w:t>
            </w:r>
          </w:p>
        </w:tc>
        <w:tc>
          <w:tcPr>
            <w:tcW w:w="1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357.5</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long-term liabilities</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295.1</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292.5</w:t>
            </w:r>
          </w:p>
        </w:tc>
      </w:tr>
      <w:tr>
        <w:trPr>
          <w:trHeight w:val="203"/>
        </w:trPr>
        <w:tc>
          <w:tcPr>
            <w:tcW w:w="5020" w:type="dxa"/>
            <w:vAlign w:val="bottom"/>
          </w:tcPr>
          <w:p>
            <w:pPr>
              <w:spacing w:after="0"/>
              <w:rPr>
                <w:sz w:val="17"/>
                <w:szCs w:val="17"/>
                <w:color w:val="auto"/>
              </w:rPr>
            </w:pPr>
          </w:p>
        </w:tc>
        <w:tc>
          <w:tcPr>
            <w:tcW w:w="158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other liabilities</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786.2</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650.0</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Preferred stock, $0.01 par value,</w:t>
            </w: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authorized 25,000,000 shares, none issued</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$0.01 par value, authorized</w:t>
            </w: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125,000,000 shares, issued 84,684,124 and</w:t>
            </w: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84,272,460 shares, respectively</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0.8</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1,630.0</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1,621.4</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(542.9)</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(653.0)</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other comprehensive income (loss)</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(162.8)</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(88.8)</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Treasury stock at cost, 8,945,200 and</w:t>
            </w: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8,286,400 shares, respectively</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(249.8)</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(229.8)</w:t>
            </w:r>
          </w:p>
        </w:tc>
      </w:tr>
      <w:tr>
        <w:trPr>
          <w:trHeight w:val="203"/>
        </w:trPr>
        <w:tc>
          <w:tcPr>
            <w:tcW w:w="5020" w:type="dxa"/>
            <w:vAlign w:val="bottom"/>
          </w:tcPr>
          <w:p>
            <w:pPr>
              <w:spacing w:after="0"/>
              <w:rPr>
                <w:sz w:val="17"/>
                <w:szCs w:val="17"/>
                <w:color w:val="auto"/>
              </w:rPr>
            </w:pPr>
          </w:p>
        </w:tc>
        <w:tc>
          <w:tcPr>
            <w:tcW w:w="158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675.3</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650.6</w:t>
            </w:r>
          </w:p>
        </w:tc>
      </w:tr>
      <w:tr>
        <w:trPr>
          <w:trHeight w:val="203"/>
        </w:trPr>
        <w:tc>
          <w:tcPr>
            <w:tcW w:w="5020" w:type="dxa"/>
            <w:vAlign w:val="bottom"/>
          </w:tcPr>
          <w:p>
            <w:pPr>
              <w:spacing w:after="0"/>
              <w:rPr>
                <w:sz w:val="17"/>
                <w:szCs w:val="17"/>
                <w:color w:val="auto"/>
              </w:rPr>
            </w:pPr>
          </w:p>
        </w:tc>
        <w:tc>
          <w:tcPr>
            <w:tcW w:w="158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Total liabilities and shareholders' equity</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$ 2,974.6</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$ 2,718.7</w:t>
            </w:r>
          </w:p>
        </w:tc>
      </w:tr>
      <w:tr>
        <w:trPr>
          <w:trHeight w:val="203"/>
        </w:trPr>
        <w:tc>
          <w:tcPr>
            <w:tcW w:w="5020" w:type="dxa"/>
            <w:vAlign w:val="bottom"/>
          </w:tcPr>
          <w:p>
            <w:pPr>
              <w:spacing w:after="0"/>
              <w:rPr>
                <w:sz w:val="17"/>
                <w:szCs w:val="17"/>
                <w:color w:val="auto"/>
              </w:rPr>
            </w:pPr>
          </w:p>
        </w:tc>
        <w:tc>
          <w:tcPr>
            <w:tcW w:w="158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60" w:right="3679" w:hanging="842"/>
        <w:spacing w:after="0" w:line="290" w:lineRule="auto"/>
        <w:rPr>
          <w:sz w:val="20"/>
          <w:szCs w:val="20"/>
          <w:color w:val="auto"/>
        </w:rPr>
      </w:pPr>
      <w:r>
        <w:rPr>
          <w:rFonts w:ascii="Courier New" w:cs="Courier New" w:eastAsia="Courier New" w:hAnsi="Courier New"/>
          <w:sz w:val="16"/>
          <w:szCs w:val="16"/>
          <w:color w:val="auto"/>
        </w:rPr>
        <w:t>The accompanying notes to consolidated financial statements are an integral part of these balance sheets.</w:t>
      </w:r>
    </w:p>
    <w:p>
      <w:pPr>
        <w:sectPr>
          <w:pgSz w:w="11900" w:h="16838" w:orient="portrait"/>
          <w:cols w:equalWidth="0" w:num="1">
            <w:col w:w="10219"/>
          </w:cols>
          <w:pgMar w:left="240" w:top="717" w:right="1440" w:bottom="1440" w:gutter="0" w:footer="0" w:header="0"/>
        </w:sectPr>
      </w:pPr>
    </w:p>
    <w:bookmarkStart w:id="4" w:name="page5"/>
    <w:bookmarkEnd w:id="4"/>
    <w:p>
      <w:pPr>
        <w:jc w:val="center"/>
        <w:ind w:right="4519"/>
        <w:spacing w:after="0"/>
        <w:rPr>
          <w:sz w:val="20"/>
          <w:szCs w:val="20"/>
          <w:color w:val="auto"/>
        </w:rPr>
      </w:pPr>
      <w:r>
        <w:rPr>
          <w:rFonts w:ascii="Courier New" w:cs="Courier New" w:eastAsia="Courier New" w:hAnsi="Courier New"/>
          <w:sz w:val="18"/>
          <w:szCs w:val="18"/>
          <w:color w:val="auto"/>
        </w:rPr>
        <w:t>MANPOWER INC. AND SUBSIDIARIES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Consolidated Statements of Operations (Unaudited)</w:t>
      </w:r>
    </w:p>
    <w:p>
      <w:pPr>
        <w:ind w:left="960"/>
        <w:spacing w:after="0" w:line="238" w:lineRule="auto"/>
        <w:rPr>
          <w:sz w:val="20"/>
          <w:szCs w:val="20"/>
          <w:color w:val="auto"/>
        </w:rPr>
      </w:pPr>
      <w:r>
        <w:rPr>
          <w:rFonts w:ascii="Courier New" w:cs="Courier New" w:eastAsia="Courier New" w:hAnsi="Courier New"/>
          <w:sz w:val="18"/>
          <w:szCs w:val="18"/>
          <w:color w:val="auto"/>
        </w:rPr>
        <w:t>(in millions,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3 Months Ended</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9 Months</w:t>
            </w:r>
          </w:p>
        </w:tc>
        <w:tc>
          <w:tcPr>
            <w:tcW w:w="10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Ended</w:t>
            </w:r>
          </w:p>
        </w:tc>
      </w:tr>
      <w:tr>
        <w:trPr>
          <w:trHeight w:val="203"/>
        </w:trPr>
        <w:tc>
          <w:tcPr>
            <w:tcW w:w="3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September 30,</w:t>
            </w:r>
          </w:p>
        </w:tc>
        <w:tc>
          <w:tcPr>
            <w:tcW w:w="260" w:type="dxa"/>
            <w:vAlign w:val="bottom"/>
          </w:tcPr>
          <w:p>
            <w:pPr>
              <w:spacing w:after="0"/>
              <w:rPr>
                <w:sz w:val="17"/>
                <w:szCs w:val="17"/>
                <w:color w:val="auto"/>
              </w:rPr>
            </w:pPr>
          </w:p>
        </w:tc>
        <w:tc>
          <w:tcPr>
            <w:tcW w:w="194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3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c>
          <w:tcPr>
            <w:tcW w:w="2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c>
          <w:tcPr>
            <w:tcW w:w="260" w:type="dxa"/>
            <w:vAlign w:val="bottom"/>
          </w:tcPr>
          <w:p>
            <w:pPr>
              <w:spacing w:after="0"/>
              <w:rPr>
                <w:sz w:val="17"/>
                <w:szCs w:val="17"/>
                <w:color w:val="auto"/>
              </w:rPr>
            </w:pPr>
          </w:p>
        </w:tc>
        <w:tc>
          <w:tcPr>
            <w:tcW w:w="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w:t>
            </w:r>
          </w:p>
        </w:tc>
        <w:tc>
          <w:tcPr>
            <w:tcW w:w="22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Revenues from services</w:t>
            </w:r>
          </w:p>
        </w:tc>
        <w:tc>
          <w:tcPr>
            <w:tcW w:w="11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$ 2,820.9</w:t>
            </w:r>
          </w:p>
        </w:tc>
        <w:tc>
          <w:tcPr>
            <w:tcW w:w="11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$ 2,606.8</w:t>
            </w:r>
          </w:p>
        </w:tc>
        <w:tc>
          <w:tcPr>
            <w:tcW w:w="12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$ 8,103.3</w:t>
            </w:r>
          </w:p>
        </w:tc>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$ 7,109.6</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Cost of services</w:t>
            </w:r>
          </w:p>
        </w:tc>
        <w:tc>
          <w:tcPr>
            <w:tcW w:w="22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2,313.5</w:t>
            </w:r>
          </w:p>
        </w:tc>
        <w:tc>
          <w:tcPr>
            <w:tcW w:w="26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2,155.0</w:t>
            </w:r>
          </w:p>
        </w:tc>
        <w:tc>
          <w:tcPr>
            <w:tcW w:w="26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6,672.2</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5,872.9</w:t>
            </w:r>
          </w:p>
        </w:tc>
      </w:tr>
      <w:tr>
        <w:trPr>
          <w:trHeight w:val="203"/>
        </w:trPr>
        <w:tc>
          <w:tcPr>
            <w:tcW w:w="3740" w:type="dxa"/>
            <w:vAlign w:val="bottom"/>
          </w:tcPr>
          <w:p>
            <w:pPr>
              <w:spacing w:after="0"/>
              <w:rPr>
                <w:sz w:val="17"/>
                <w:szCs w:val="17"/>
                <w:color w:val="auto"/>
              </w:rPr>
            </w:pP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Gross profit</w:t>
            </w:r>
          </w:p>
        </w:tc>
        <w:tc>
          <w:tcPr>
            <w:tcW w:w="22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507.4</w:t>
            </w: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451.8</w:t>
            </w:r>
          </w:p>
        </w:tc>
        <w:tc>
          <w:tcPr>
            <w:tcW w:w="26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1,431.1</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1,236.7</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w w:val="98"/>
              </w:rPr>
              <w:t>Selling and administrative expenses</w:t>
            </w:r>
          </w:p>
        </w:tc>
        <w:tc>
          <w:tcPr>
            <w:tcW w:w="22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411.5</w:t>
            </w:r>
          </w:p>
        </w:tc>
        <w:tc>
          <w:tcPr>
            <w:tcW w:w="26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369.0</w:t>
            </w:r>
          </w:p>
        </w:tc>
        <w:tc>
          <w:tcPr>
            <w:tcW w:w="26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1,215.0</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1,089.7</w:t>
            </w:r>
          </w:p>
        </w:tc>
      </w:tr>
      <w:tr>
        <w:trPr>
          <w:trHeight w:val="203"/>
        </w:trPr>
        <w:tc>
          <w:tcPr>
            <w:tcW w:w="3740" w:type="dxa"/>
            <w:vAlign w:val="bottom"/>
          </w:tcPr>
          <w:p>
            <w:pPr>
              <w:spacing w:after="0"/>
              <w:rPr>
                <w:sz w:val="17"/>
                <w:szCs w:val="17"/>
                <w:color w:val="auto"/>
              </w:rPr>
            </w:pP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Operating profit</w:t>
            </w:r>
          </w:p>
        </w:tc>
        <w:tc>
          <w:tcPr>
            <w:tcW w:w="22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95.9</w:t>
            </w: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82.8</w:t>
            </w:r>
          </w:p>
        </w:tc>
        <w:tc>
          <w:tcPr>
            <w:tcW w:w="26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216.1</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147.0</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Interest and other expense</w:t>
            </w:r>
          </w:p>
        </w:tc>
        <w:tc>
          <w:tcPr>
            <w:tcW w:w="22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12.1</w:t>
            </w:r>
          </w:p>
        </w:tc>
        <w:tc>
          <w:tcPr>
            <w:tcW w:w="26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7.1</w:t>
            </w:r>
          </w:p>
        </w:tc>
        <w:tc>
          <w:tcPr>
            <w:tcW w:w="26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33.6</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16.9</w:t>
            </w:r>
          </w:p>
        </w:tc>
      </w:tr>
      <w:tr>
        <w:trPr>
          <w:trHeight w:val="203"/>
        </w:trPr>
        <w:tc>
          <w:tcPr>
            <w:tcW w:w="3740" w:type="dxa"/>
            <w:vAlign w:val="bottom"/>
          </w:tcPr>
          <w:p>
            <w:pPr>
              <w:spacing w:after="0"/>
              <w:rPr>
                <w:sz w:val="17"/>
                <w:szCs w:val="17"/>
                <w:color w:val="auto"/>
              </w:rPr>
            </w:pP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Earnings before income taxes</w:t>
            </w:r>
          </w:p>
        </w:tc>
        <w:tc>
          <w:tcPr>
            <w:tcW w:w="22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83.8</w:t>
            </w: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75.7</w:t>
            </w:r>
          </w:p>
        </w:tc>
        <w:tc>
          <w:tcPr>
            <w:tcW w:w="26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182.5</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130.1</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22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29.7</w:t>
            </w:r>
          </w:p>
        </w:tc>
        <w:tc>
          <w:tcPr>
            <w:tcW w:w="26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26.8</w:t>
            </w:r>
          </w:p>
        </w:tc>
        <w:tc>
          <w:tcPr>
            <w:tcW w:w="26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64.8</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28.8</w:t>
            </w:r>
          </w:p>
        </w:tc>
      </w:tr>
      <w:tr>
        <w:trPr>
          <w:trHeight w:val="203"/>
        </w:trPr>
        <w:tc>
          <w:tcPr>
            <w:tcW w:w="3740" w:type="dxa"/>
            <w:vAlign w:val="bottom"/>
          </w:tcPr>
          <w:p>
            <w:pPr>
              <w:spacing w:after="0"/>
              <w:rPr>
                <w:sz w:val="17"/>
                <w:szCs w:val="17"/>
                <w:color w:val="auto"/>
              </w:rPr>
            </w:pP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earnings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117.7</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101.3</w:t>
            </w:r>
          </w:p>
        </w:tc>
      </w:tr>
      <w:tr>
        <w:trPr>
          <w:trHeight w:val="203"/>
        </w:trPr>
        <w:tc>
          <w:tcPr>
            <w:tcW w:w="3740" w:type="dxa"/>
            <w:vAlign w:val="bottom"/>
          </w:tcPr>
          <w:p>
            <w:pPr>
              <w:spacing w:after="0"/>
              <w:rPr>
                <w:sz w:val="17"/>
                <w:szCs w:val="17"/>
                <w:color w:val="auto"/>
              </w:rPr>
            </w:pP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740" w:type="dxa"/>
            <w:vAlign w:val="bottom"/>
          </w:tcPr>
          <w:p>
            <w:pPr>
              <w:spacing w:after="0"/>
              <w:rPr>
                <w:sz w:val="20"/>
                <w:szCs w:val="20"/>
                <w:color w:val="auto"/>
              </w:rPr>
            </w:pPr>
            <w:r>
              <w:rPr>
                <w:rFonts w:ascii="Courier New" w:cs="Courier New" w:eastAsia="Courier New" w:hAnsi="Courier New"/>
                <w:sz w:val="18"/>
                <w:szCs w:val="18"/>
                <w:color w:val="auto"/>
              </w:rPr>
              <w:t>Net earnings per share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0.71</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0.64</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1.55</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1.30</w:t>
            </w:r>
          </w:p>
        </w:tc>
      </w:tr>
      <w:tr>
        <w:trPr>
          <w:trHeight w:val="203"/>
        </w:trPr>
        <w:tc>
          <w:tcPr>
            <w:tcW w:w="3740" w:type="dxa"/>
            <w:vAlign w:val="bottom"/>
          </w:tcPr>
          <w:p>
            <w:pPr>
              <w:spacing w:after="0"/>
              <w:rPr>
                <w:sz w:val="17"/>
                <w:szCs w:val="17"/>
                <w:color w:val="auto"/>
              </w:rPr>
            </w:pP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740" w:type="dxa"/>
            <w:vAlign w:val="bottom"/>
          </w:tcPr>
          <w:p>
            <w:pPr>
              <w:spacing w:after="0"/>
              <w:rPr>
                <w:sz w:val="20"/>
                <w:szCs w:val="20"/>
                <w:color w:val="auto"/>
              </w:rPr>
            </w:pPr>
            <w:r>
              <w:rPr>
                <w:rFonts w:ascii="Courier New" w:cs="Courier New" w:eastAsia="Courier New" w:hAnsi="Courier New"/>
                <w:sz w:val="18"/>
                <w:szCs w:val="18"/>
                <w:color w:val="auto"/>
              </w:rPr>
              <w:t>Net earnings per share - diluted</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0.70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0.63</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1.52</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1.29</w:t>
            </w:r>
          </w:p>
        </w:tc>
      </w:tr>
      <w:tr>
        <w:trPr>
          <w:trHeight w:val="203"/>
        </w:trPr>
        <w:tc>
          <w:tcPr>
            <w:tcW w:w="3740" w:type="dxa"/>
            <w:vAlign w:val="bottom"/>
          </w:tcPr>
          <w:p>
            <w:pPr>
              <w:spacing w:after="0"/>
              <w:rPr>
                <w:sz w:val="17"/>
                <w:szCs w:val="17"/>
                <w:color w:val="auto"/>
              </w:rPr>
            </w:pP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74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22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75.8</w:t>
            </w:r>
          </w:p>
        </w:tc>
        <w:tc>
          <w:tcPr>
            <w:tcW w:w="26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76.2</w:t>
            </w:r>
          </w:p>
        </w:tc>
        <w:tc>
          <w:tcPr>
            <w:tcW w:w="26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76.0</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77.7</w:t>
            </w:r>
          </w:p>
        </w:tc>
      </w:tr>
      <w:tr>
        <w:trPr>
          <w:trHeight w:val="203"/>
        </w:trPr>
        <w:tc>
          <w:tcPr>
            <w:tcW w:w="3740" w:type="dxa"/>
            <w:vAlign w:val="bottom"/>
          </w:tcPr>
          <w:p>
            <w:pPr>
              <w:spacing w:after="0"/>
              <w:rPr>
                <w:sz w:val="17"/>
                <w:szCs w:val="17"/>
                <w:color w:val="auto"/>
              </w:rPr>
            </w:pP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diluted</w:t>
            </w:r>
          </w:p>
        </w:tc>
        <w:tc>
          <w:tcPr>
            <w:tcW w:w="22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77.1</w:t>
            </w: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77.1</w:t>
            </w:r>
          </w:p>
        </w:tc>
        <w:tc>
          <w:tcPr>
            <w:tcW w:w="26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77.2</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78.5</w:t>
            </w:r>
          </w:p>
        </w:tc>
      </w:tr>
      <w:tr>
        <w:trPr>
          <w:trHeight w:val="203"/>
        </w:trPr>
        <w:tc>
          <w:tcPr>
            <w:tcW w:w="3740" w:type="dxa"/>
            <w:vAlign w:val="bottom"/>
          </w:tcPr>
          <w:p>
            <w:pPr>
              <w:spacing w:after="0"/>
              <w:rPr>
                <w:sz w:val="17"/>
                <w:szCs w:val="17"/>
                <w:color w:val="auto"/>
              </w:rPr>
            </w:pP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1280" w:right="3579" w:hanging="842"/>
        <w:spacing w:after="0" w:line="290" w:lineRule="auto"/>
        <w:rPr>
          <w:sz w:val="20"/>
          <w:szCs w:val="20"/>
          <w:color w:val="auto"/>
        </w:rPr>
      </w:pPr>
      <w:r>
        <w:rPr>
          <w:rFonts w:ascii="Courier New" w:cs="Courier New" w:eastAsia="Courier New" w:hAnsi="Courier New"/>
          <w:sz w:val="16"/>
          <w:szCs w:val="16"/>
          <w:color w:val="auto"/>
        </w:rPr>
        <w:t>The accompanying notes to consolidated financial statements are an integral part of these statements.</w:t>
      </w:r>
    </w:p>
    <w:p>
      <w:pPr>
        <w:spacing w:after="0" w:line="367"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Supplemental Systemwide Information (Unaudited)</w:t>
      </w:r>
    </w:p>
    <w:p>
      <w:pPr>
        <w:jc w:val="center"/>
        <w:ind w:right="3359"/>
        <w:spacing w:after="0" w:line="238" w:lineRule="auto"/>
        <w:rPr>
          <w:sz w:val="20"/>
          <w:szCs w:val="20"/>
          <w:color w:val="auto"/>
        </w:rPr>
      </w:pPr>
      <w:r>
        <w:rPr>
          <w:rFonts w:ascii="Courier New" w:cs="Courier New" w:eastAsia="Courier New" w:hAnsi="Courier New"/>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32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3 Months Ended</w:t>
            </w:r>
          </w:p>
        </w:tc>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9 Months</w:t>
            </w:r>
          </w:p>
        </w:tc>
        <w:tc>
          <w:tcPr>
            <w:tcW w:w="10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Ended</w:t>
            </w:r>
          </w:p>
        </w:tc>
      </w:tr>
      <w:tr>
        <w:trPr>
          <w:trHeight w:val="203"/>
        </w:trPr>
        <w:tc>
          <w:tcPr>
            <w:tcW w:w="2740" w:type="dxa"/>
            <w:vAlign w:val="bottom"/>
          </w:tcPr>
          <w:p>
            <w:pPr>
              <w:spacing w:after="0"/>
              <w:rPr>
                <w:sz w:val="17"/>
                <w:szCs w:val="17"/>
                <w:color w:val="auto"/>
              </w:rPr>
            </w:pPr>
          </w:p>
        </w:tc>
        <w:tc>
          <w:tcPr>
            <w:tcW w:w="3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September 30,</w:t>
            </w:r>
          </w:p>
        </w:tc>
        <w:tc>
          <w:tcPr>
            <w:tcW w:w="14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September</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2740" w:type="dxa"/>
            <w:vAlign w:val="bottom"/>
          </w:tcPr>
          <w:p>
            <w:pPr>
              <w:spacing w:after="0"/>
              <w:rPr>
                <w:sz w:val="17"/>
                <w:szCs w:val="17"/>
                <w:color w:val="auto"/>
              </w:rPr>
            </w:pP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c>
          <w:tcPr>
            <w:tcW w:w="1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2000</w:t>
            </w:r>
          </w:p>
        </w:tc>
        <w:tc>
          <w:tcPr>
            <w:tcW w:w="22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1999</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Systemwide Sales</w:t>
            </w:r>
          </w:p>
        </w:tc>
        <w:tc>
          <w:tcPr>
            <w:tcW w:w="2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$ 3,226.1</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$ 3,071.4</w:t>
            </w: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$ 9,323.6</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w w:val="95"/>
              </w:rPr>
              <w:t>8,390.0</w:t>
            </w:r>
          </w:p>
        </w:tc>
      </w:tr>
      <w:tr>
        <w:trPr>
          <w:trHeight w:val="203"/>
        </w:trPr>
        <w:tc>
          <w:tcPr>
            <w:tcW w:w="2740" w:type="dxa"/>
            <w:vAlign w:val="bottom"/>
          </w:tcPr>
          <w:p>
            <w:pPr>
              <w:spacing w:after="0"/>
              <w:rPr>
                <w:sz w:val="17"/>
                <w:szCs w:val="17"/>
                <w:color w:val="auto"/>
              </w:rPr>
            </w:pPr>
          </w:p>
        </w:tc>
        <w:tc>
          <w:tcPr>
            <w:tcW w:w="2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Systemwide information represents the total of Company-owned</w:t>
      </w:r>
    </w:p>
    <w:p>
      <w:pPr>
        <w:jc w:val="center"/>
        <w:ind w:right="3259"/>
        <w:spacing w:after="0" w:line="238" w:lineRule="auto"/>
        <w:rPr>
          <w:sz w:val="20"/>
          <w:szCs w:val="20"/>
          <w:color w:val="auto"/>
        </w:rPr>
      </w:pPr>
      <w:r>
        <w:rPr>
          <w:rFonts w:ascii="Courier New" w:cs="Courier New" w:eastAsia="Courier New" w:hAnsi="Courier New"/>
          <w:sz w:val="18"/>
          <w:szCs w:val="18"/>
          <w:color w:val="auto"/>
        </w:rPr>
        <w:t>branches and franchises.</w:t>
      </w:r>
    </w:p>
    <w:p>
      <w:pPr>
        <w:sectPr>
          <w:pgSz w:w="11900" w:h="16838" w:orient="portrait"/>
          <w:cols w:equalWidth="0" w:num="1">
            <w:col w:w="10219"/>
          </w:cols>
          <w:pgMar w:left="240" w:top="7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5640" w:type="dxa"/>
            <w:vAlign w:val="bottom"/>
          </w:tcPr>
          <w:p>
            <w:pPr>
              <w:ind w:left="1280"/>
              <w:spacing w:after="0"/>
              <w:rPr>
                <w:sz w:val="20"/>
                <w:szCs w:val="20"/>
                <w:color w:val="auto"/>
              </w:rPr>
            </w:pPr>
            <w:r>
              <w:rPr>
                <w:rFonts w:ascii="Courier New" w:cs="Courier New" w:eastAsia="Courier New" w:hAnsi="Courier New"/>
                <w:sz w:val="18"/>
                <w:szCs w:val="18"/>
                <w:color w:val="auto"/>
              </w:rPr>
              <w:t>MANPOWER INC. AND SUBSIDIARIES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5"/>
        </w:trPr>
        <w:tc>
          <w:tcPr>
            <w:tcW w:w="56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Consolidated Statements of Cash Flows (Unaudited)</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56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(in millions)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5"/>
        </w:trPr>
        <w:tc>
          <w:tcPr>
            <w:tcW w:w="5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w w:val="99"/>
              </w:rPr>
              <w:t>9 Months Ended</w:t>
            </w:r>
          </w:p>
        </w:tc>
      </w:tr>
      <w:tr>
        <w:trPr>
          <w:trHeight w:val="203"/>
        </w:trPr>
        <w:tc>
          <w:tcPr>
            <w:tcW w:w="5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5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w:t>
            </w:r>
          </w:p>
        </w:tc>
        <w:tc>
          <w:tcPr>
            <w:tcW w:w="26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1999</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earnings</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117.7</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101.3</w:t>
            </w:r>
          </w:p>
        </w:tc>
      </w:tr>
      <w:tr>
        <w:trPr>
          <w:trHeight w:val="203"/>
        </w:trPr>
        <w:tc>
          <w:tcPr>
            <w:tcW w:w="56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Adjustments to reconcile net earnings to net cash</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provided (used) by operating activities: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52.0</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51.3</w:t>
            </w: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2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Provision for doubtful accounts</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17.3</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w:t>
            </w:r>
          </w:p>
        </w:tc>
      </w:tr>
      <w:tr>
        <w:trPr>
          <w:trHeight w:val="203"/>
        </w:trPr>
        <w:tc>
          <w:tcPr>
            <w:tcW w:w="5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Change in amounts advanced under the</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Receivables Facility</w:t>
            </w:r>
          </w:p>
        </w:tc>
        <w:tc>
          <w:tcPr>
            <w:tcW w:w="32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(70.0)</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32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(321.2)</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(362.2)</w:t>
            </w:r>
          </w:p>
        </w:tc>
      </w:tr>
      <w:tr>
        <w:trPr>
          <w:trHeight w:val="203"/>
        </w:trPr>
        <w:tc>
          <w:tcPr>
            <w:tcW w:w="5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Other assets</w:t>
            </w:r>
          </w:p>
        </w:tc>
        <w:tc>
          <w:tcPr>
            <w:tcW w:w="32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(11.2)</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w:t>
            </w:r>
          </w:p>
        </w:tc>
      </w:tr>
      <w:tr>
        <w:trPr>
          <w:trHeight w:val="203"/>
        </w:trPr>
        <w:tc>
          <w:tcPr>
            <w:tcW w:w="5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Other liabilities</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269.0</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161.4</w:t>
            </w:r>
          </w:p>
        </w:tc>
      </w:tr>
      <w:tr>
        <w:trPr>
          <w:trHeight w:val="203"/>
        </w:trPr>
        <w:tc>
          <w:tcPr>
            <w:tcW w:w="5640" w:type="dxa"/>
            <w:vAlign w:val="bottom"/>
          </w:tcPr>
          <w:p>
            <w:pPr>
              <w:spacing w:after="0"/>
              <w:rPr>
                <w:sz w:val="17"/>
                <w:szCs w:val="17"/>
                <w:color w:val="auto"/>
              </w:rPr>
            </w:pP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Cash provided (used) by operating activities</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46.1</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(75.4)</w:t>
            </w:r>
          </w:p>
        </w:tc>
      </w:tr>
      <w:tr>
        <w:trPr>
          <w:trHeight w:val="203"/>
        </w:trPr>
        <w:tc>
          <w:tcPr>
            <w:tcW w:w="5640" w:type="dxa"/>
            <w:vAlign w:val="bottom"/>
          </w:tcPr>
          <w:p>
            <w:pPr>
              <w:spacing w:after="0"/>
              <w:rPr>
                <w:sz w:val="17"/>
                <w:szCs w:val="17"/>
                <w:color w:val="auto"/>
              </w:rPr>
            </w:pP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32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(50.9)</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(53.4)</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the sale of property and equipment</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Acquisitions of businesses, net of cash aquired</w:t>
            </w:r>
          </w:p>
        </w:tc>
        <w:tc>
          <w:tcPr>
            <w:tcW w:w="32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(162.6)</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w:t>
            </w:r>
          </w:p>
        </w:tc>
      </w:tr>
      <w:tr>
        <w:trPr>
          <w:trHeight w:val="203"/>
        </w:trPr>
        <w:tc>
          <w:tcPr>
            <w:tcW w:w="5640" w:type="dxa"/>
            <w:vAlign w:val="bottom"/>
          </w:tcPr>
          <w:p>
            <w:pPr>
              <w:spacing w:after="0"/>
              <w:rPr>
                <w:sz w:val="17"/>
                <w:szCs w:val="17"/>
                <w:color w:val="auto"/>
              </w:rPr>
            </w:pP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used by investing activities</w:t>
            </w:r>
          </w:p>
        </w:tc>
        <w:tc>
          <w:tcPr>
            <w:tcW w:w="32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(209.4)</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(49.5)</w:t>
            </w:r>
          </w:p>
        </w:tc>
      </w:tr>
      <w:tr>
        <w:trPr>
          <w:trHeight w:val="203"/>
        </w:trPr>
        <w:tc>
          <w:tcPr>
            <w:tcW w:w="5640" w:type="dxa"/>
            <w:vAlign w:val="bottom"/>
          </w:tcPr>
          <w:p>
            <w:pPr>
              <w:spacing w:after="0"/>
              <w:rPr>
                <w:sz w:val="17"/>
                <w:szCs w:val="17"/>
                <w:color w:val="auto"/>
              </w:rPr>
            </w:pP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change in payable to banks</w:t>
            </w:r>
          </w:p>
        </w:tc>
        <w:tc>
          <w:tcPr>
            <w:tcW w:w="32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long-term debt</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268.1</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304.7</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Repayment of long-term debt</w:t>
            </w:r>
          </w:p>
        </w:tc>
        <w:tc>
          <w:tcPr>
            <w:tcW w:w="32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(107.4)</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(149.4)</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stock option and purchase plans</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Repurchase of common stock</w:t>
            </w:r>
          </w:p>
        </w:tc>
        <w:tc>
          <w:tcPr>
            <w:tcW w:w="32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(80.3)</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Dividends paid</w:t>
            </w:r>
          </w:p>
        </w:tc>
        <w:tc>
          <w:tcPr>
            <w:tcW w:w="32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5640" w:type="dxa"/>
            <w:vAlign w:val="bottom"/>
          </w:tcPr>
          <w:p>
            <w:pPr>
              <w:spacing w:after="0"/>
              <w:rPr>
                <w:sz w:val="17"/>
                <w:szCs w:val="17"/>
                <w:color w:val="auto"/>
              </w:rPr>
            </w:pP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provided by financing activities</w:t>
            </w:r>
          </w:p>
        </w:tc>
        <w:tc>
          <w:tcPr>
            <w:tcW w:w="32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137.9</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87.9</w:t>
            </w:r>
          </w:p>
        </w:tc>
      </w:tr>
      <w:tr>
        <w:trPr>
          <w:trHeight w:val="203"/>
        </w:trPr>
        <w:tc>
          <w:tcPr>
            <w:tcW w:w="5640" w:type="dxa"/>
            <w:vAlign w:val="bottom"/>
          </w:tcPr>
          <w:p>
            <w:pPr>
              <w:spacing w:after="0"/>
              <w:rPr>
                <w:sz w:val="17"/>
                <w:szCs w:val="17"/>
                <w:color w:val="auto"/>
              </w:rPr>
            </w:pP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5640" w:type="dxa"/>
            <w:vAlign w:val="bottom"/>
          </w:tcPr>
          <w:p>
            <w:pPr>
              <w:ind w:left="120"/>
              <w:spacing w:after="0"/>
              <w:rPr>
                <w:sz w:val="20"/>
                <w:szCs w:val="20"/>
                <w:color w:val="auto"/>
              </w:rPr>
            </w:pPr>
            <w:r>
              <w:rPr>
                <w:rFonts w:ascii="Courier New" w:cs="Courier New" w:eastAsia="Courier New" w:hAnsi="Courier New"/>
                <w:sz w:val="18"/>
                <w:szCs w:val="18"/>
                <w:color w:val="auto"/>
              </w:rPr>
              <w:t>Effect of exchange rate changes on cash</w:t>
            </w:r>
          </w:p>
        </w:tc>
        <w:tc>
          <w:tcPr>
            <w:tcW w:w="32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(41.0)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(5.0)</w:t>
            </w:r>
          </w:p>
        </w:tc>
      </w:tr>
      <w:tr>
        <w:trPr>
          <w:trHeight w:val="203"/>
        </w:trPr>
        <w:tc>
          <w:tcPr>
            <w:tcW w:w="5640" w:type="dxa"/>
            <w:vAlign w:val="bottom"/>
          </w:tcPr>
          <w:p>
            <w:pPr>
              <w:spacing w:after="0"/>
              <w:rPr>
                <w:sz w:val="17"/>
                <w:szCs w:val="17"/>
                <w:color w:val="auto"/>
              </w:rPr>
            </w:pP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change in cash and cash equivalents</w:t>
            </w:r>
          </w:p>
        </w:tc>
        <w:tc>
          <w:tcPr>
            <w:tcW w:w="32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(66.4)</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w:t>
            </w:r>
          </w:p>
        </w:tc>
      </w:tr>
      <w:tr>
        <w:trPr>
          <w:trHeight w:val="405"/>
        </w:trPr>
        <w:tc>
          <w:tcPr>
            <w:tcW w:w="5640" w:type="dxa"/>
            <w:vAlign w:val="bottom"/>
          </w:tcPr>
          <w:p>
            <w:pPr>
              <w:ind w:left="120"/>
              <w:spacing w:after="0"/>
              <w:rPr>
                <w:sz w:val="20"/>
                <w:szCs w:val="20"/>
                <w:color w:val="auto"/>
              </w:rPr>
            </w:pPr>
            <w:r>
              <w:rPr>
                <w:rFonts w:ascii="Courier New" w:cs="Courier New" w:eastAsia="Courier New" w:hAnsi="Courier New"/>
                <w:sz w:val="18"/>
                <w:szCs w:val="18"/>
                <w:color w:val="auto"/>
              </w:rPr>
              <w:t>Cash and cash equivalents, beginning of period</w:t>
            </w:r>
          </w:p>
        </w:tc>
        <w:tc>
          <w:tcPr>
            <w:tcW w:w="320" w:type="dxa"/>
            <w:vAlign w:val="bottom"/>
          </w:tcPr>
          <w:p>
            <w:pPr>
              <w:spacing w:after="0"/>
              <w:rPr>
                <w:sz w:val="24"/>
                <w:szCs w:val="24"/>
                <w:color w:val="auto"/>
              </w:rPr>
            </w:pP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241.7</w:t>
            </w:r>
          </w:p>
        </w:tc>
        <w:tc>
          <w:tcPr>
            <w:tcW w:w="26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180.5</w:t>
            </w:r>
          </w:p>
        </w:tc>
      </w:tr>
      <w:tr>
        <w:trPr>
          <w:trHeight w:val="203"/>
        </w:trPr>
        <w:tc>
          <w:tcPr>
            <w:tcW w:w="5640" w:type="dxa"/>
            <w:vAlign w:val="bottom"/>
          </w:tcPr>
          <w:p>
            <w:pPr>
              <w:spacing w:after="0"/>
              <w:rPr>
                <w:sz w:val="17"/>
                <w:szCs w:val="17"/>
                <w:color w:val="auto"/>
              </w:rPr>
            </w:pP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cash equivalents, end of period</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175.3</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138.5</w:t>
            </w:r>
          </w:p>
        </w:tc>
      </w:tr>
      <w:tr>
        <w:trPr>
          <w:trHeight w:val="203"/>
        </w:trPr>
        <w:tc>
          <w:tcPr>
            <w:tcW w:w="5640" w:type="dxa"/>
            <w:vAlign w:val="bottom"/>
          </w:tcPr>
          <w:p>
            <w:pPr>
              <w:spacing w:after="0"/>
              <w:rPr>
                <w:sz w:val="17"/>
                <w:szCs w:val="17"/>
                <w:color w:val="auto"/>
              </w:rPr>
            </w:pP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608"/>
        </w:trPr>
        <w:tc>
          <w:tcPr>
            <w:tcW w:w="5640" w:type="dxa"/>
            <w:vAlign w:val="bottom"/>
          </w:tcPr>
          <w:p>
            <w:pPr>
              <w:spacing w:after="0"/>
              <w:rPr>
                <w:sz w:val="20"/>
                <w:szCs w:val="20"/>
                <w:color w:val="auto"/>
              </w:rPr>
            </w:pPr>
            <w:r>
              <w:rPr>
                <w:rFonts w:ascii="Courier New" w:cs="Courier New" w:eastAsia="Courier New" w:hAnsi="Courier New"/>
                <w:sz w:val="18"/>
                <w:szCs w:val="18"/>
                <w:color w:val="auto"/>
              </w:rPr>
              <w:t>SUPPLEMENTAL CASH FLOW INFORMATION:</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paid</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23.1</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w:t>
            </w:r>
          </w:p>
        </w:tc>
      </w:tr>
      <w:tr>
        <w:trPr>
          <w:trHeight w:val="203"/>
        </w:trPr>
        <w:tc>
          <w:tcPr>
            <w:tcW w:w="5640" w:type="dxa"/>
            <w:vAlign w:val="bottom"/>
          </w:tcPr>
          <w:p>
            <w:pPr>
              <w:spacing w:after="0"/>
              <w:rPr>
                <w:sz w:val="17"/>
                <w:szCs w:val="17"/>
                <w:color w:val="auto"/>
              </w:rPr>
            </w:pP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 paid</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56.8</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48.6</w:t>
            </w:r>
          </w:p>
        </w:tc>
      </w:tr>
      <w:tr>
        <w:trPr>
          <w:trHeight w:val="203"/>
        </w:trPr>
        <w:tc>
          <w:tcPr>
            <w:tcW w:w="5640" w:type="dxa"/>
            <w:vAlign w:val="bottom"/>
          </w:tcPr>
          <w:p>
            <w:pPr>
              <w:spacing w:after="0"/>
              <w:rPr>
                <w:sz w:val="17"/>
                <w:szCs w:val="17"/>
                <w:color w:val="auto"/>
              </w:rPr>
            </w:pP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0" w:lineRule="exact"/>
        <w:rPr>
          <w:sz w:val="20"/>
          <w:szCs w:val="20"/>
          <w:color w:val="auto"/>
        </w:rPr>
      </w:pPr>
    </w:p>
    <w:p>
      <w:pPr>
        <w:spacing w:after="0" w:line="209" w:lineRule="exact"/>
        <w:rPr>
          <w:sz w:val="20"/>
          <w:szCs w:val="20"/>
          <w:color w:val="auto"/>
        </w:rPr>
      </w:pPr>
    </w:p>
    <w:p>
      <w:pPr>
        <w:ind w:left="1160" w:right="3679" w:hanging="842"/>
        <w:spacing w:after="0" w:line="290" w:lineRule="auto"/>
        <w:rPr>
          <w:sz w:val="20"/>
          <w:szCs w:val="20"/>
          <w:color w:val="auto"/>
        </w:rPr>
      </w:pPr>
      <w:r>
        <w:rPr>
          <w:rFonts w:ascii="Courier New" w:cs="Courier New" w:eastAsia="Courier New" w:hAnsi="Courier New"/>
          <w:sz w:val="16"/>
          <w:szCs w:val="16"/>
          <w:color w:val="auto"/>
        </w:rPr>
        <w:t>The accompanying notes to consolidated financial statements are an integral part of these statements.</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4099"/>
        <w:spacing w:after="0"/>
        <w:rPr>
          <w:sz w:val="20"/>
          <w:szCs w:val="20"/>
          <w:color w:val="auto"/>
        </w:rPr>
      </w:pPr>
      <w:r>
        <w:rPr>
          <w:rFonts w:ascii="Courier New" w:cs="Courier New" w:eastAsia="Courier New" w:hAnsi="Courier New"/>
          <w:sz w:val="18"/>
          <w:szCs w:val="18"/>
          <w:color w:val="auto"/>
        </w:rPr>
        <w:t>MANPOWER INC. AND SUBSIDIARIES</w:t>
      </w:r>
    </w:p>
    <w:p>
      <w:pPr>
        <w:spacing w:after="0" w:line="207" w:lineRule="exact"/>
        <w:rPr>
          <w:sz w:val="20"/>
          <w:szCs w:val="20"/>
          <w:color w:val="auto"/>
        </w:rPr>
      </w:pPr>
    </w:p>
    <w:p>
      <w:pPr>
        <w:jc w:val="center"/>
        <w:ind w:left="460"/>
        <w:spacing w:after="0" w:line="236" w:lineRule="auto"/>
        <w:rPr>
          <w:sz w:val="20"/>
          <w:szCs w:val="20"/>
          <w:color w:val="auto"/>
        </w:rPr>
      </w:pPr>
      <w:r>
        <w:rPr>
          <w:rFonts w:ascii="Courier New" w:cs="Courier New" w:eastAsia="Courier New" w:hAnsi="Courier New"/>
          <w:sz w:val="18"/>
          <w:szCs w:val="18"/>
          <w:color w:val="auto"/>
        </w:rPr>
        <w:t>Notes to Consolidated Financial Statements (Unaudited) For the Nine Months Ended September 30, 2000 and 1999 (in millions, except per share data)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Presentation</w:t>
      </w:r>
    </w:p>
    <w:p>
      <w:pPr>
        <w:spacing w:after="0" w:line="207" w:lineRule="exact"/>
        <w:rPr>
          <w:sz w:val="20"/>
          <w:szCs w:val="20"/>
          <w:color w:val="auto"/>
        </w:rPr>
      </w:pPr>
    </w:p>
    <w:p>
      <w:pPr>
        <w:ind w:right="4419"/>
        <w:spacing w:after="0" w:line="270" w:lineRule="auto"/>
        <w:rPr>
          <w:sz w:val="20"/>
          <w:szCs w:val="20"/>
          <w:color w:val="auto"/>
        </w:rPr>
      </w:pPr>
      <w:r>
        <w:rPr>
          <w:rFonts w:ascii="Courier New" w:cs="Courier New" w:eastAsia="Courier New" w:hAnsi="Courier New"/>
          <w:sz w:val="16"/>
          <w:szCs w:val="16"/>
          <w:color w:val="auto"/>
        </w:rPr>
        <w:t>Certain information and footnote disclosures normally included in financial statements prepared in accordance with generally accepted accounting principles have been condensed or omitted pursuant to the rules and regulations of the Securities and Exchange Commission, although the Company believes that the disclosures are adequate to make the information presented not misleading. These consolidated financial statements should be read in conjunction with the consolidated financial statements included in the Company's 1999 Annual Report to Shareholders.</w:t>
      </w:r>
    </w:p>
    <w:p>
      <w:pPr>
        <w:spacing w:after="0" w:line="392"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The information furnished reflects all adjustments that, in the opinion of management, are necessary for a fair statement of the results of operations for the periods presented. Such adjustments are of a normal recurring nature.</w:t>
      </w:r>
    </w:p>
    <w:p>
      <w:pPr>
        <w:spacing w:after="0" w:line="209" w:lineRule="exact"/>
        <w:rPr>
          <w:sz w:val="20"/>
          <w:szCs w:val="20"/>
          <w:color w:val="auto"/>
        </w:rPr>
      </w:pPr>
    </w:p>
    <w:p>
      <w:pPr>
        <w:ind w:right="4419"/>
        <w:spacing w:after="0" w:line="236" w:lineRule="auto"/>
        <w:rPr>
          <w:sz w:val="20"/>
          <w:szCs w:val="20"/>
          <w:color w:val="auto"/>
        </w:rPr>
      </w:pPr>
      <w:r>
        <w:rPr>
          <w:rFonts w:ascii="Courier New" w:cs="Courier New" w:eastAsia="Courier New" w:hAnsi="Courier New"/>
          <w:sz w:val="18"/>
          <w:szCs w:val="18"/>
          <w:color w:val="auto"/>
        </w:rPr>
        <w:t>Certain amounts in the 1999 consolidated financial statements have been reclassified to be consistent with the current year presentation.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New Accounting Pronouncements</w:t>
      </w:r>
    </w:p>
    <w:p>
      <w:pPr>
        <w:spacing w:after="0" w:line="207" w:lineRule="exact"/>
        <w:rPr>
          <w:sz w:val="20"/>
          <w:szCs w:val="20"/>
          <w:color w:val="auto"/>
        </w:rPr>
      </w:pPr>
    </w:p>
    <w:p>
      <w:pPr>
        <w:ind w:right="4419"/>
        <w:spacing w:after="0" w:line="270" w:lineRule="auto"/>
        <w:rPr>
          <w:sz w:val="20"/>
          <w:szCs w:val="20"/>
          <w:color w:val="auto"/>
        </w:rPr>
      </w:pPr>
      <w:r>
        <w:rPr>
          <w:rFonts w:ascii="Courier New" w:cs="Courier New" w:eastAsia="Courier New" w:hAnsi="Courier New"/>
          <w:sz w:val="16"/>
          <w:szCs w:val="16"/>
          <w:color w:val="auto"/>
        </w:rPr>
        <w:t>Since June 1998, the Financial Accounting Standards Board ("FASB") has issued SFAS Nos. 133, 137, and 138 related to "Accounting for Derivative Instruments and Hedging Activities" ("SFAS No. 133, as amended" or "Statements"). These Statements establish accounting and reporting standards requiring that every derivative instrument be recorded on the balance sheet as either an asset or liability measured at its fair value. The Statements require that changes in the derivative's fair value be recognized currently in earnings unless specific hedge accounting criteria are met, in which case the gains or losses would offset the related results of the hedged item. The Company is required to adopt these Statements on January 1, 2001.</w:t>
      </w:r>
    </w:p>
    <w:p>
      <w:pPr>
        <w:spacing w:after="0" w:line="388"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The Company has identified all instruments currently in place that will be subject to the requirements of SFAS No. 133, as amended. Based on the nature and value of the instruments identified, the impact of adopting SFAS No. 133, as amended, is not expected to have a material impact on the consolidated financial statements. However, these Statements could increase volatility in future earnings and other comprehensive income once adopted by the Company.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Acquisitions</w:t>
      </w:r>
    </w:p>
    <w:p>
      <w:pPr>
        <w:spacing w:after="0" w:line="207"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During January 2000, the Company acquired Elan Group Limited ("Elan"), a European specialty IT staffing company with significant operations in the U.K. and several other countries throughout the world. As of September 30, 2000, the total consideration paid for Elan was approximately $116.2. In addition, there is approximately $30.0 in deferred consideration expected to be paid during 2001. This transaction was accounted for as a purchase and the excess of the purchase price over the fair value of net assets acquired was recorded as intangible assets.</w:t>
      </w:r>
    </w:p>
    <w:p>
      <w:pPr>
        <w:spacing w:after="0" w:line="216" w:lineRule="exact"/>
        <w:rPr>
          <w:sz w:val="20"/>
          <w:szCs w:val="20"/>
          <w:color w:val="auto"/>
        </w:rPr>
      </w:pPr>
    </w:p>
    <w:p>
      <w:pPr>
        <w:ind w:right="4419"/>
        <w:spacing w:after="0" w:line="273" w:lineRule="auto"/>
        <w:rPr>
          <w:sz w:val="20"/>
          <w:szCs w:val="20"/>
          <w:color w:val="auto"/>
        </w:rPr>
      </w:pPr>
      <w:r>
        <w:rPr>
          <w:rFonts w:ascii="Courier New" w:cs="Courier New" w:eastAsia="Courier New" w:hAnsi="Courier New"/>
          <w:sz w:val="16"/>
          <w:szCs w:val="16"/>
          <w:color w:val="auto"/>
        </w:rPr>
        <w:t>Throughout the first nine months of 2000, the Company also acquired and invested in several companies throughout the world. The total consideration paid for such transactions was $51.0 as of September 30, 2000, the majority of which was recorded as intangible</w:t>
      </w:r>
    </w:p>
    <w:p>
      <w:pPr>
        <w:sectPr>
          <w:pgSz w:w="11900" w:h="16838" w:orient="portrait"/>
          <w:cols w:equalWidth="0" w:num="1">
            <w:col w:w="10219"/>
          </w:cols>
          <w:pgMar w:left="240" w:top="717"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assets.</w:t>
      </w:r>
    </w:p>
    <w:p>
      <w:pPr>
        <w:sectPr>
          <w:pgSz w:w="11900" w:h="16838" w:orient="portrait"/>
          <w:cols w:equalWidth="0" w:num="1">
            <w:col w:w="10219"/>
          </w:cols>
          <w:pgMar w:left="240" w:top="14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(4) Income Taxes</w:t>
      </w:r>
    </w:p>
    <w:p>
      <w:pPr>
        <w:spacing w:after="0" w:line="207" w:lineRule="exact"/>
        <w:rPr>
          <w:sz w:val="20"/>
          <w:szCs w:val="20"/>
          <w:color w:val="auto"/>
        </w:rPr>
      </w:pPr>
    </w:p>
    <w:p>
      <w:pPr>
        <w:spacing w:after="0" w:line="272" w:lineRule="auto"/>
        <w:rPr>
          <w:sz w:val="20"/>
          <w:szCs w:val="20"/>
          <w:color w:val="auto"/>
        </w:rPr>
      </w:pPr>
      <w:r>
        <w:rPr>
          <w:rFonts w:ascii="Courier New" w:cs="Courier New" w:eastAsia="Courier New" w:hAnsi="Courier New"/>
          <w:sz w:val="16"/>
          <w:szCs w:val="16"/>
          <w:color w:val="auto"/>
        </w:rPr>
        <w:t>The Company provided for income taxes during the first nine months of 2000 at a rate of 35.5%, which is equal to the estimated annual effective tax rate based on information currently available. This rate is higher than the U.S. Federal statutory rate due to foreign tax rate differences and U.S. state income taxes.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Debt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Swaps</w:t>
      </w:r>
    </w:p>
    <w:p>
      <w:pPr>
        <w:spacing w:after="0" w:line="207" w:lineRule="exact"/>
        <w:rPr>
          <w:sz w:val="20"/>
          <w:szCs w:val="20"/>
          <w:color w:val="auto"/>
        </w:rPr>
      </w:pPr>
    </w:p>
    <w:p>
      <w:pPr>
        <w:spacing w:after="0" w:line="270" w:lineRule="auto"/>
        <w:rPr>
          <w:sz w:val="20"/>
          <w:szCs w:val="20"/>
          <w:color w:val="auto"/>
        </w:rPr>
      </w:pPr>
      <w:r>
        <w:rPr>
          <w:rFonts w:ascii="Courier New" w:cs="Courier New" w:eastAsia="Courier New" w:hAnsi="Courier New"/>
          <w:sz w:val="16"/>
          <w:szCs w:val="16"/>
          <w:color w:val="auto"/>
        </w:rPr>
        <w:t>During June 2000, the Company entered into various interest rate swap agreements in order to fix its interest costs on a portion of its Euro and Yen denominated variable rate borrowings. The Euro interest rate swap agreements have a notional value of Euro 100.0 ($88.0), a weighted average fixed rate of 6.1% and expire in 2010. The Yen interest rate swap agreement has a notional value of Yen 4,000.0 ($36.9), a fixed rate of 1.2% and expires in 2003. These swap agreements have had an immaterial impact on the recorded interest expense during 2000. As of September 30, 2000, the weighted average variable interest rate under the revolving credit agreement was 3.4%.</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 Notes</w:t>
      </w:r>
    </w:p>
    <w:p>
      <w:pPr>
        <w:spacing w:after="0" w:line="207"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On March 7, 2000, the Company issued Euro 150.0 in unsecured notes, due March 2005, with an effective interest rate of 6.3%. Net proceeds of $143.1 from the issuance were used to repay amounts under the Company's unsecured revolving credit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Earnings Per Share</w:t>
      </w:r>
    </w:p>
    <w:p>
      <w:pPr>
        <w:spacing w:after="0" w:line="207" w:lineRule="exact"/>
        <w:rPr>
          <w:sz w:val="20"/>
          <w:szCs w:val="20"/>
          <w:color w:val="auto"/>
        </w:rPr>
      </w:pPr>
    </w:p>
    <w:p>
      <w:pPr>
        <w:ind w:right="520"/>
        <w:spacing w:after="0" w:line="235" w:lineRule="auto"/>
        <w:rPr>
          <w:sz w:val="20"/>
          <w:szCs w:val="20"/>
          <w:color w:val="auto"/>
        </w:rPr>
      </w:pPr>
      <w:r>
        <w:rPr>
          <w:rFonts w:ascii="Courier New" w:cs="Courier New" w:eastAsia="Courier New" w:hAnsi="Courier New"/>
          <w:sz w:val="18"/>
          <w:szCs w:val="18"/>
          <w:color w:val="auto"/>
        </w:rPr>
        <w:t>The calculations of net earnings per share and net earnings per share - diluted are as follows:</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680" w:type="dxa"/>
            <w:vAlign w:val="bottom"/>
          </w:tcPr>
          <w:p>
            <w:pPr>
              <w:spacing w:after="0"/>
              <w:rPr>
                <w:sz w:val="17"/>
                <w:szCs w:val="17"/>
                <w:color w:val="auto"/>
              </w:rPr>
            </w:pPr>
          </w:p>
        </w:tc>
        <w:tc>
          <w:tcPr>
            <w:tcW w:w="19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3 Months Ended</w:t>
            </w:r>
          </w:p>
        </w:tc>
      </w:tr>
      <w:tr>
        <w:trPr>
          <w:trHeight w:val="203"/>
        </w:trPr>
        <w:tc>
          <w:tcPr>
            <w:tcW w:w="3680" w:type="dxa"/>
            <w:vAlign w:val="bottom"/>
          </w:tcPr>
          <w:p>
            <w:pPr>
              <w:spacing w:after="0"/>
              <w:rPr>
                <w:sz w:val="17"/>
                <w:szCs w:val="17"/>
                <w:color w:val="auto"/>
              </w:rPr>
            </w:pPr>
          </w:p>
        </w:tc>
        <w:tc>
          <w:tcPr>
            <w:tcW w:w="19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368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 per share:</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Net earnings available to</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shareholders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$ 54.1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$ 48.9</w:t>
            </w:r>
          </w:p>
        </w:tc>
      </w:tr>
      <w:tr>
        <w:trPr>
          <w:trHeight w:val="203"/>
        </w:trPr>
        <w:tc>
          <w:tcPr>
            <w:tcW w:w="3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Weighted average common shares</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76.2</w:t>
            </w:r>
          </w:p>
        </w:tc>
      </w:tr>
      <w:tr>
        <w:trPr>
          <w:trHeight w:val="203"/>
        </w:trPr>
        <w:tc>
          <w:tcPr>
            <w:tcW w:w="36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$ 0.71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$ 0.64</w:t>
            </w:r>
          </w:p>
        </w:tc>
      </w:tr>
      <w:tr>
        <w:trPr>
          <w:trHeight w:val="203"/>
        </w:trPr>
        <w:tc>
          <w:tcPr>
            <w:tcW w:w="36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680" w:type="dxa"/>
            <w:vAlign w:val="bottom"/>
          </w:tcPr>
          <w:p>
            <w:pPr>
              <w:spacing w:after="0"/>
              <w:rPr>
                <w:sz w:val="20"/>
                <w:szCs w:val="20"/>
                <w:color w:val="auto"/>
              </w:rPr>
            </w:pPr>
            <w:r>
              <w:rPr>
                <w:rFonts w:ascii="Courier New" w:cs="Courier New" w:eastAsia="Courier New" w:hAnsi="Courier New"/>
                <w:sz w:val="18"/>
                <w:szCs w:val="18"/>
                <w:color w:val="auto"/>
              </w:rPr>
              <w:t>Net earnings per share - diluted:</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Net earnings available to</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shareholders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$ 54.1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$ 48.9</w:t>
            </w:r>
          </w:p>
        </w:tc>
      </w:tr>
      <w:tr>
        <w:trPr>
          <w:trHeight w:val="405"/>
        </w:trPr>
        <w:tc>
          <w:tcPr>
            <w:tcW w:w="3680" w:type="dxa"/>
            <w:vAlign w:val="bottom"/>
          </w:tcPr>
          <w:p>
            <w:pPr>
              <w:ind w:left="200"/>
              <w:spacing w:after="0"/>
              <w:rPr>
                <w:sz w:val="20"/>
                <w:szCs w:val="20"/>
                <w:color w:val="auto"/>
              </w:rPr>
            </w:pPr>
            <w:r>
              <w:rPr>
                <w:rFonts w:ascii="Courier New" w:cs="Courier New" w:eastAsia="Courier New" w:hAnsi="Courier New"/>
                <w:sz w:val="18"/>
                <w:szCs w:val="18"/>
                <w:color w:val="auto"/>
              </w:rPr>
              <w:t>Weighted average common shares</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76.2</w:t>
            </w:r>
          </w:p>
        </w:tc>
      </w:tr>
      <w:tr>
        <w:trPr>
          <w:trHeight w:val="203"/>
        </w:trPr>
        <w:tc>
          <w:tcPr>
            <w:tcW w:w="3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Effect of dilutive stock options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w:t>
            </w:r>
          </w:p>
        </w:tc>
      </w:tr>
      <w:tr>
        <w:trPr>
          <w:trHeight w:val="203"/>
        </w:trPr>
        <w:tc>
          <w:tcPr>
            <w:tcW w:w="36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77.1</w:t>
            </w:r>
          </w:p>
        </w:tc>
      </w:tr>
      <w:tr>
        <w:trPr>
          <w:trHeight w:val="203"/>
        </w:trPr>
        <w:tc>
          <w:tcPr>
            <w:tcW w:w="36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$ 0.70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$ 0.63</w:t>
            </w:r>
          </w:p>
        </w:tc>
      </w:tr>
      <w:tr>
        <w:trPr>
          <w:trHeight w:val="203"/>
        </w:trPr>
        <w:tc>
          <w:tcPr>
            <w:tcW w:w="36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Retirement Plans</w:t>
      </w:r>
    </w:p>
    <w:p>
      <w:pPr>
        <w:spacing w:after="0" w:line="207"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On February 29, 2000, the Company froze all benefits in each of its U.S. defined benefit pension plans. The Company also offered a voluntary early retirement package and certain other benefits to eligible employees. These benefits are expected to be paid from the respective defined benefit pension plans.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8"/>
          <w:szCs w:val="18"/>
          <w:color w:val="auto"/>
        </w:rPr>
        <w:t>9 Months Ended</w:t>
      </w:r>
    </w:p>
    <w:p>
      <w:pPr>
        <w:jc w:val="right"/>
        <w:ind w:right="2419"/>
        <w:spacing w:after="0" w:line="238" w:lineRule="auto"/>
        <w:rPr>
          <w:sz w:val="20"/>
          <w:szCs w:val="20"/>
          <w:color w:val="auto"/>
        </w:rPr>
      </w:pPr>
      <w:r>
        <w:rPr>
          <w:rFonts w:ascii="Courier New" w:cs="Courier New" w:eastAsia="Courier New" w:hAnsi="Courier New"/>
          <w:sz w:val="18"/>
          <w:szCs w:val="18"/>
          <w:color w:val="auto"/>
        </w:rPr>
        <w:t>September 30,</w:t>
      </w:r>
    </w:p>
    <w:p>
      <w:pPr>
        <w:ind w:left="100"/>
        <w:spacing w:after="0"/>
        <w:tabs>
          <w:tab w:leader="none" w:pos="1240" w:val="left"/>
        </w:tabs>
        <w:rPr>
          <w:sz w:val="20"/>
          <w:szCs w:val="20"/>
          <w:color w:val="auto"/>
        </w:rPr>
      </w:pPr>
      <w:r>
        <w:rPr>
          <w:rFonts w:ascii="Courier New" w:cs="Courier New" w:eastAsia="Courier New" w:hAnsi="Courier New"/>
          <w:sz w:val="18"/>
          <w:szCs w:val="18"/>
          <w:color w:val="auto"/>
        </w:rPr>
        <w:t>2000</w:t>
      </w:r>
      <w:r>
        <w:rPr>
          <w:sz w:val="20"/>
          <w:szCs w:val="20"/>
          <w:color w:val="auto"/>
        </w:rPr>
        <w:tab/>
      </w:r>
      <w:r>
        <w:rPr>
          <w:rFonts w:ascii="Courier New" w:cs="Courier New" w:eastAsia="Courier New" w:hAnsi="Courier New"/>
          <w:sz w:val="18"/>
          <w:szCs w:val="18"/>
          <w:color w:val="auto"/>
        </w:rPr>
        <w:t>1999</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$117.7</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$101.3</w:t>
            </w:r>
          </w:p>
        </w:tc>
      </w:tr>
      <w:tr>
        <w:trPr>
          <w:trHeight w:val="405"/>
        </w:trPr>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76.0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77.7</w:t>
            </w:r>
          </w:p>
        </w:tc>
      </w:tr>
      <w:tr>
        <w:trPr>
          <w:trHeight w:val="203"/>
        </w:trPr>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$ 1.55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$ 1.30</w:t>
            </w:r>
          </w:p>
        </w:tc>
      </w:tr>
      <w:tr>
        <w:trPr>
          <w:trHeight w:val="203"/>
        </w:trPr>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$117.7</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$101.3</w:t>
            </w:r>
          </w:p>
        </w:tc>
      </w:tr>
      <w:tr>
        <w:trPr>
          <w:trHeight w:val="608"/>
        </w:trPr>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76.0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77.7</w:t>
            </w:r>
          </w:p>
        </w:tc>
      </w:tr>
      <w:tr>
        <w:trPr>
          <w:trHeight w:val="203"/>
        </w:trPr>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78.5</w:t>
            </w:r>
          </w:p>
        </w:tc>
      </w:tr>
      <w:tr>
        <w:trPr>
          <w:trHeight w:val="203"/>
        </w:trPr>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$ 1.52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$ 1.29</w:t>
            </w:r>
          </w:p>
        </w:tc>
      </w:tr>
      <w:tr>
        <w:trPr>
          <w:trHeight w:val="203"/>
        </w:trPr>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2">
            <w:col w:w="5800" w:space="420"/>
            <w:col w:w="3999"/>
          </w:cols>
          <w:pgMar w:left="240" w:top="717" w:right="1440" w:bottom="365" w:gutter="0" w:footer="0" w:header="0"/>
        </w:sectPr>
      </w:pPr>
    </w:p>
    <w:bookmarkStart w:id="9" w:name="page10"/>
    <w:bookmarkEnd w:id="9"/>
    <w:p>
      <w:pPr>
        <w:ind w:right="4419"/>
        <w:spacing w:after="0" w:line="273" w:lineRule="auto"/>
        <w:rPr>
          <w:sz w:val="20"/>
          <w:szCs w:val="20"/>
          <w:color w:val="auto"/>
        </w:rPr>
      </w:pPr>
      <w:r>
        <w:rPr>
          <w:rFonts w:ascii="Courier New" w:cs="Courier New" w:eastAsia="Courier New" w:hAnsi="Courier New"/>
          <w:sz w:val="16"/>
          <w:szCs w:val="16"/>
          <w:color w:val="auto"/>
        </w:rPr>
        <w:t>addition, the Company will no longer provide medical and dental benefits under its U.S. retiree health care plan to certain employees retiring on or after March 1, 2000. The net impact of these plan changes was not material to the consolidated financial statements.</w:t>
      </w:r>
    </w:p>
    <w:p>
      <w:pPr>
        <w:spacing w:after="0" w:line="387" w:lineRule="exact"/>
        <w:rPr>
          <w:sz w:val="20"/>
          <w:szCs w:val="20"/>
          <w:color w:val="auto"/>
        </w:rPr>
      </w:pPr>
    </w:p>
    <w:p>
      <w:pPr>
        <w:ind w:right="7359" w:firstLine="8"/>
        <w:spacing w:after="0" w:line="536"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Shareholders' Equity Comprehensive Income (Loss)</w:t>
      </w:r>
    </w:p>
    <w:p>
      <w:pPr>
        <w:spacing w:after="0" w:line="1"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8"/>
          <w:szCs w:val="18"/>
          <w:color w:val="auto"/>
        </w:rPr>
        <w:t>Total comprehensive income (loss) consists of net earnings and foreign currency translation adjustments and is as follows:</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420" w:type="dxa"/>
            <w:vAlign w:val="bottom"/>
          </w:tcPr>
          <w:p>
            <w:pPr>
              <w:spacing w:after="0"/>
              <w:rPr>
                <w:sz w:val="17"/>
                <w:szCs w:val="17"/>
                <w:color w:val="auto"/>
              </w:rPr>
            </w:pPr>
          </w:p>
        </w:tc>
        <w:tc>
          <w:tcPr>
            <w:tcW w:w="254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3 Months Ended</w:t>
            </w:r>
          </w:p>
        </w:tc>
        <w:tc>
          <w:tcPr>
            <w:tcW w:w="20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9 Months Ended</w:t>
            </w:r>
          </w:p>
        </w:tc>
      </w:tr>
      <w:tr>
        <w:trPr>
          <w:trHeight w:val="203"/>
        </w:trPr>
        <w:tc>
          <w:tcPr>
            <w:tcW w:w="342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30,</w:t>
            </w:r>
          </w:p>
        </w:tc>
        <w:tc>
          <w:tcPr>
            <w:tcW w:w="13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4"/>
              </w:rPr>
              <w:t>September</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3420" w:type="dxa"/>
            <w:vAlign w:val="bottom"/>
          </w:tcPr>
          <w:p>
            <w:pPr>
              <w:spacing w:after="0"/>
              <w:rPr>
                <w:sz w:val="17"/>
                <w:szCs w:val="17"/>
                <w:color w:val="auto"/>
              </w:rPr>
            </w:pP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2000</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1999</w:t>
            </w:r>
          </w:p>
        </w:tc>
        <w:tc>
          <w:tcPr>
            <w:tcW w:w="13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2000</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1999</w:t>
            </w:r>
          </w:p>
        </w:tc>
      </w:tr>
      <w:tr>
        <w:trPr>
          <w:trHeight w:val="405"/>
        </w:trPr>
        <w:tc>
          <w:tcPr>
            <w:tcW w:w="3420" w:type="dxa"/>
            <w:vAlign w:val="bottom"/>
          </w:tcPr>
          <w:p>
            <w:pPr>
              <w:spacing w:after="0"/>
              <w:rPr>
                <w:sz w:val="20"/>
                <w:szCs w:val="20"/>
                <w:color w:val="auto"/>
              </w:rPr>
            </w:pPr>
            <w:r>
              <w:rPr>
                <w:rFonts w:ascii="Courier New" w:cs="Courier New" w:eastAsia="Courier New" w:hAnsi="Courier New"/>
                <w:sz w:val="18"/>
                <w:szCs w:val="18"/>
                <w:color w:val="auto"/>
              </w:rPr>
              <w:t>Net earnings</w:t>
            </w:r>
          </w:p>
        </w:tc>
        <w:tc>
          <w:tcPr>
            <w:tcW w:w="1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$ 54.1</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$ 48.9</w:t>
            </w:r>
          </w:p>
        </w:tc>
        <w:tc>
          <w:tcPr>
            <w:tcW w:w="1300" w:type="dxa"/>
            <w:vAlign w:val="bottom"/>
          </w:tcPr>
          <w:p>
            <w:pPr>
              <w:ind w:left="140"/>
              <w:spacing w:after="0"/>
              <w:rPr>
                <w:sz w:val="20"/>
                <w:szCs w:val="20"/>
                <w:color w:val="auto"/>
              </w:rPr>
            </w:pPr>
            <w:r>
              <w:rPr>
                <w:rFonts w:ascii="Courier New" w:cs="Courier New" w:eastAsia="Courier New" w:hAnsi="Courier New"/>
                <w:sz w:val="18"/>
                <w:szCs w:val="18"/>
                <w:color w:val="auto"/>
              </w:rPr>
              <w:t>$117.7</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$101.3</w:t>
            </w:r>
          </w:p>
        </w:tc>
      </w:t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currency translation</w:t>
            </w: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adjustments</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(29.3)</w:t>
            </w:r>
          </w:p>
        </w:tc>
        <w:tc>
          <w:tcPr>
            <w:tcW w:w="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10.6</w:t>
            </w:r>
          </w:p>
        </w:tc>
        <w:tc>
          <w:tcPr>
            <w:tcW w:w="13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(74.0)</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(51.6)</w:t>
            </w:r>
          </w:p>
        </w:tc>
      </w:tr>
      <w:tr>
        <w:trPr>
          <w:trHeight w:val="203"/>
        </w:trPr>
        <w:tc>
          <w:tcPr>
            <w:tcW w:w="342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0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Total comprehensive income (loss) $ 24.8</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$ 59.5</w:t>
            </w:r>
          </w:p>
        </w:tc>
        <w:tc>
          <w:tcPr>
            <w:tcW w:w="13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$ 43.7</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$ 49.7</w:t>
            </w:r>
          </w:p>
        </w:tc>
      </w:tr>
      <w:tr>
        <w:trPr>
          <w:trHeight w:val="203"/>
        </w:trPr>
        <w:tc>
          <w:tcPr>
            <w:tcW w:w="342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Equity Contract</w:t>
      </w:r>
    </w:p>
    <w:p>
      <w:pPr>
        <w:spacing w:after="0" w:line="207" w:lineRule="exact"/>
        <w:rPr>
          <w:sz w:val="20"/>
          <w:szCs w:val="20"/>
          <w:color w:val="auto"/>
        </w:rPr>
      </w:pPr>
    </w:p>
    <w:p>
      <w:pPr>
        <w:ind w:right="4419"/>
        <w:spacing w:after="0" w:line="270" w:lineRule="auto"/>
        <w:rPr>
          <w:sz w:val="20"/>
          <w:szCs w:val="20"/>
          <w:color w:val="auto"/>
        </w:rPr>
      </w:pPr>
      <w:r>
        <w:rPr>
          <w:rFonts w:ascii="Courier New" w:cs="Courier New" w:eastAsia="Courier New" w:hAnsi="Courier New"/>
          <w:sz w:val="16"/>
          <w:szCs w:val="16"/>
          <w:color w:val="auto"/>
        </w:rPr>
        <w:t>During September 2000, the Company entered into a forward repurchase agreement to purchase shares of its common stock under its share repurchase program. Under the agreement, the Company will, from time to time over the next two years, repurchase a total of one million shares at a forward price of $31.70, which approximates the market price at the inception of the agreement, plus a financing charge. The Company may choose the method by which it settles the agreement (i.e., cash or shares). As of September 30, 2000, no shares have been purchased under this agreement.</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Interest and Other Expense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and other expense consists of the following:</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210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3 Months Ended</w:t>
            </w:r>
          </w:p>
        </w:tc>
        <w:tc>
          <w:tcPr>
            <w:tcW w:w="20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9 Months Ended</w:t>
            </w:r>
          </w:p>
        </w:tc>
      </w:tr>
      <w:tr>
        <w:trPr>
          <w:trHeight w:val="203"/>
        </w:trPr>
        <w:tc>
          <w:tcPr>
            <w:tcW w:w="3740" w:type="dxa"/>
            <w:vAlign w:val="bottom"/>
          </w:tcPr>
          <w:p>
            <w:pPr>
              <w:spacing w:after="0"/>
              <w:rPr>
                <w:sz w:val="17"/>
                <w:szCs w:val="17"/>
                <w:color w:val="auto"/>
              </w:rPr>
            </w:pPr>
          </w:p>
        </w:tc>
        <w:tc>
          <w:tcPr>
            <w:tcW w:w="21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September 30,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374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w:t>
            </w:r>
          </w:p>
        </w:tc>
        <w:tc>
          <w:tcPr>
            <w:tcW w:w="1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1999</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2000</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1999</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9.8</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4.9</w:t>
            </w:r>
          </w:p>
        </w:tc>
        <w:tc>
          <w:tcPr>
            <w:tcW w:w="1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$ 25.6</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$ 12.7</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exchange losses</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0.5</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Loss on sale of accounts receivable</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7.4</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Miscellaneous, net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4.2</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374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$ 12.1</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$ 7.1</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$ 33.6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$ 16.9</w:t>
            </w:r>
          </w:p>
        </w:tc>
      </w:tr>
      <w:tr>
        <w:trPr>
          <w:trHeight w:val="203"/>
        </w:trPr>
        <w:tc>
          <w:tcPr>
            <w:tcW w:w="374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bl>
    <w:p>
      <w:pPr>
        <w:sectPr>
          <w:pgSz w:w="11900" w:h="16838" w:orient="portrait"/>
          <w:cols w:equalWidth="0" w:num="1">
            <w:col w:w="10219"/>
          </w:cols>
          <w:pgMar w:left="240" w:top="723"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rPr>
              <w:t>(10) Segment Information</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Segment information is as follows: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3 Months Ended</w:t>
            </w:r>
          </w:p>
        </w:tc>
        <w:tc>
          <w:tcPr>
            <w:tcW w:w="200" w:type="dxa"/>
            <w:vAlign w:val="bottom"/>
          </w:tcPr>
          <w:p>
            <w:pPr>
              <w:spacing w:after="0"/>
              <w:rPr>
                <w:sz w:val="24"/>
                <w:szCs w:val="24"/>
                <w:color w:val="auto"/>
              </w:rPr>
            </w:pPr>
          </w:p>
        </w:tc>
        <w:tc>
          <w:tcPr>
            <w:tcW w:w="190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9 Months Ended</w:t>
            </w:r>
          </w:p>
        </w:tc>
      </w:tr>
      <w:tr>
        <w:trPr>
          <w:trHeight w:val="203"/>
        </w:trPr>
        <w:tc>
          <w:tcPr>
            <w:tcW w:w="3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September 30,</w:t>
            </w:r>
          </w:p>
        </w:tc>
        <w:tc>
          <w:tcPr>
            <w:tcW w:w="200" w:type="dxa"/>
            <w:vAlign w:val="bottom"/>
          </w:tcPr>
          <w:p>
            <w:pPr>
              <w:spacing w:after="0"/>
              <w:rPr>
                <w:sz w:val="17"/>
                <w:szCs w:val="17"/>
                <w:color w:val="auto"/>
              </w:rPr>
            </w:pPr>
          </w:p>
        </w:tc>
        <w:tc>
          <w:tcPr>
            <w:tcW w:w="190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3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2000</w:t>
            </w:r>
          </w:p>
        </w:tc>
        <w:tc>
          <w:tcPr>
            <w:tcW w:w="2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c>
          <w:tcPr>
            <w:tcW w:w="20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2000</w:t>
            </w:r>
          </w:p>
        </w:tc>
        <w:tc>
          <w:tcPr>
            <w:tcW w:w="2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Revenues from services: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United States (a)</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638.1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583.5</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$1,811.6</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$1,659.5</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France</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1,036.4</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1,045.2</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2,971.0</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2,766.5</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United Kingdom</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368.3</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306.1</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1,080.5</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843.6</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Europe</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480.3</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438.2</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1,399.6</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1,196.3</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Countries</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297.8</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233.8</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840.6</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643.7</w:t>
            </w:r>
          </w:p>
        </w:tc>
      </w:tr>
      <w:tr>
        <w:trPr>
          <w:trHeight w:val="203"/>
        </w:trPr>
        <w:tc>
          <w:tcPr>
            <w:tcW w:w="380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$2,820.9</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$2,606.8</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$8,103.3</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$7,109.6</w:t>
            </w:r>
          </w:p>
        </w:tc>
      </w:tr>
      <w:tr>
        <w:trPr>
          <w:trHeight w:val="203"/>
        </w:trPr>
        <w:tc>
          <w:tcPr>
            <w:tcW w:w="380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tcPr>
          <w:p>
            <w:pPr>
              <w:ind w:left="220"/>
              <w:spacing w:after="0"/>
              <w:rPr>
                <w:sz w:val="20"/>
                <w:szCs w:val="20"/>
                <w:color w:val="auto"/>
              </w:rPr>
            </w:pPr>
            <w:r>
              <w:rPr>
                <w:rFonts w:ascii="Courier New" w:cs="Courier New" w:eastAsia="Courier New" w:hAnsi="Courier New"/>
                <w:sz w:val="18"/>
                <w:szCs w:val="18"/>
                <w:color w:val="auto"/>
              </w:rPr>
              <w:t>Operating Unit Profit:</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United States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56.8</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France</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39.3</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33.6</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91.6</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68.3</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United Kingdom</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14.9</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13.1</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32.5</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Europe</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24.7</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20.3</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57.2</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45.7</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Countries</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380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108.3</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93.2</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254.3</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205.7</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Corporate expenses</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8.6</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28.2</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Amortization of intangible assets</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Non-recurring expenses (b)</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other expense</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33.6</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w:t>
            </w:r>
          </w:p>
        </w:tc>
      </w:tr>
      <w:tr>
        <w:trPr>
          <w:trHeight w:val="203"/>
        </w:trPr>
        <w:tc>
          <w:tcPr>
            <w:tcW w:w="380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Earnings before income taxes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75.7</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182.5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130.1</w:t>
            </w:r>
          </w:p>
        </w:tc>
      </w:tr>
      <w:tr>
        <w:trPr>
          <w:trHeight w:val="203"/>
        </w:trPr>
        <w:tc>
          <w:tcPr>
            <w:tcW w:w="380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(a)Total systemwide sales in the United States,</w:t>
      </w:r>
    </w:p>
    <w:p>
      <w:pPr>
        <w:ind w:left="540"/>
        <w:spacing w:after="0" w:line="238" w:lineRule="auto"/>
        <w:rPr>
          <w:sz w:val="20"/>
          <w:szCs w:val="20"/>
          <w:color w:val="auto"/>
        </w:rPr>
      </w:pPr>
      <w:r>
        <w:rPr>
          <w:rFonts w:ascii="Courier New" w:cs="Courier New" w:eastAsia="Courier New" w:hAnsi="Courier New"/>
          <w:sz w:val="18"/>
          <w:szCs w:val="18"/>
          <w:color w:val="auto"/>
        </w:rPr>
        <w:t>which includes sales of Company-owned branches and</w:t>
      </w:r>
    </w:p>
    <w:p>
      <w:pPr>
        <w:ind w:left="540"/>
        <w:spacing w:after="0"/>
        <w:rPr>
          <w:sz w:val="20"/>
          <w:szCs w:val="20"/>
          <w:color w:val="auto"/>
        </w:rPr>
      </w:pPr>
      <w:r>
        <w:rPr>
          <w:rFonts w:ascii="Courier New" w:cs="Courier New" w:eastAsia="Courier New" w:hAnsi="Courier New"/>
          <w:sz w:val="18"/>
          <w:szCs w:val="18"/>
          <w:color w:val="auto"/>
        </w:rPr>
        <w:t>franchises, were $990.8 and $985.6 for the three</w:t>
      </w:r>
    </w:p>
    <w:p>
      <w:pPr>
        <w:ind w:left="540"/>
        <w:spacing w:after="0" w:line="237" w:lineRule="auto"/>
        <w:rPr>
          <w:sz w:val="20"/>
          <w:szCs w:val="20"/>
          <w:color w:val="auto"/>
        </w:rPr>
      </w:pPr>
      <w:r>
        <w:rPr>
          <w:rFonts w:ascii="Courier New" w:cs="Courier New" w:eastAsia="Courier New" w:hAnsi="Courier New"/>
          <w:sz w:val="18"/>
          <w:szCs w:val="18"/>
          <w:color w:val="auto"/>
        </w:rPr>
        <w:t>months ended September 30, 2000 and 1999,</w:t>
      </w:r>
    </w:p>
    <w:p>
      <w:pPr>
        <w:ind w:left="540"/>
        <w:spacing w:after="0" w:line="238" w:lineRule="auto"/>
        <w:rPr>
          <w:sz w:val="20"/>
          <w:szCs w:val="20"/>
          <w:color w:val="auto"/>
        </w:rPr>
      </w:pPr>
      <w:r>
        <w:rPr>
          <w:rFonts w:ascii="Courier New" w:cs="Courier New" w:eastAsia="Courier New" w:hAnsi="Courier New"/>
          <w:sz w:val="18"/>
          <w:szCs w:val="18"/>
          <w:color w:val="auto"/>
        </w:rPr>
        <w:t>respectively, and $2,878.1 and $2,766.5 for the</w:t>
      </w:r>
    </w:p>
    <w:p>
      <w:pPr>
        <w:ind w:left="540"/>
        <w:spacing w:after="0"/>
        <w:rPr>
          <w:sz w:val="20"/>
          <w:szCs w:val="20"/>
          <w:color w:val="auto"/>
        </w:rPr>
      </w:pPr>
      <w:r>
        <w:rPr>
          <w:rFonts w:ascii="Courier New" w:cs="Courier New" w:eastAsia="Courier New" w:hAnsi="Courier New"/>
          <w:sz w:val="18"/>
          <w:szCs w:val="18"/>
          <w:color w:val="auto"/>
        </w:rPr>
        <w:t>nine months ended September 30, 2000 and 1999,</w:t>
      </w:r>
    </w:p>
    <w:p>
      <w:pPr>
        <w:ind w:left="540"/>
        <w:spacing w:after="0" w:line="237" w:lineRule="auto"/>
        <w:rPr>
          <w:sz w:val="20"/>
          <w:szCs w:val="20"/>
          <w:color w:val="auto"/>
        </w:rPr>
      </w:pPr>
      <w:r>
        <w:rPr>
          <w:rFonts w:ascii="Courier New" w:cs="Courier New" w:eastAsia="Courier New" w:hAnsi="Courier New"/>
          <w:sz w:val="18"/>
          <w:szCs w:val="18"/>
          <w:color w:val="auto"/>
        </w:rPr>
        <w:t>respectively.</w:t>
      </w:r>
    </w:p>
    <w:p>
      <w:pPr>
        <w:spacing w:after="0" w:line="207" w:lineRule="exact"/>
        <w:rPr>
          <w:sz w:val="20"/>
          <w:szCs w:val="20"/>
          <w:color w:val="auto"/>
        </w:rPr>
      </w:pPr>
    </w:p>
    <w:p>
      <w:pPr>
        <w:ind w:left="540" w:right="4739" w:hanging="315"/>
        <w:spacing w:after="0" w:line="237" w:lineRule="auto"/>
        <w:rPr>
          <w:sz w:val="20"/>
          <w:szCs w:val="20"/>
          <w:color w:val="auto"/>
        </w:rPr>
      </w:pPr>
      <w:r>
        <w:rPr>
          <w:rFonts w:ascii="Courier New" w:cs="Courier New" w:eastAsia="Courier New" w:hAnsi="Courier New"/>
          <w:sz w:val="18"/>
          <w:szCs w:val="18"/>
          <w:color w:val="auto"/>
        </w:rPr>
        <w:t>(b)Represents non-recurring items ($16.4 after tax) in the second quarter of 1999 related to employee severances, retirement costs and other associated realignment costs.</w:t>
      </w:r>
    </w:p>
    <w:p>
      <w:pPr>
        <w:sectPr>
          <w:pgSz w:w="11900" w:h="16838" w:orient="portrait"/>
          <w:cols w:equalWidth="0" w:num="1">
            <w:col w:w="10219"/>
          </w:cols>
          <w:pgMar w:left="240" w:top="71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Item 2 - Management's Discussion and Analysis of</w:t>
      </w:r>
    </w:p>
    <w:p>
      <w:pPr>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7" w:lineRule="exact"/>
        <w:rPr>
          <w:sz w:val="20"/>
          <w:szCs w:val="20"/>
          <w:color w:val="auto"/>
        </w:rPr>
      </w:pPr>
    </w:p>
    <w:p>
      <w:pPr>
        <w:ind w:right="4739"/>
        <w:spacing w:after="0" w:line="235" w:lineRule="auto"/>
        <w:rPr>
          <w:sz w:val="20"/>
          <w:szCs w:val="20"/>
          <w:color w:val="auto"/>
        </w:rPr>
      </w:pPr>
      <w:r>
        <w:rPr>
          <w:rFonts w:ascii="Courier New" w:cs="Courier New" w:eastAsia="Courier New" w:hAnsi="Courier New"/>
          <w:sz w:val="18"/>
          <w:szCs w:val="18"/>
          <w:color w:val="auto"/>
        </w:rPr>
        <w:t>Operating Results - Three Months Ended September 30, 2000 and 1999</w:t>
      </w:r>
    </w:p>
    <w:p>
      <w:pPr>
        <w:spacing w:after="0" w:line="208"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Revenues increased 8.2% to $2,820.9 million for the third quarter of 2000. Revenues were unfavorably impacted by changes in currency exchange rates during the third quarter of 2000 due to the strengthening of the U.S. Dollar, as compared to the third quarter of 1999, relative to the currencies in the Company's European markets. At constant exchange rates, the increase in revenues would have been 18.0%. Volume, as measured by billable hours of branch operations, increased 9.2% in the quarter. All of the Company's major markets experienced revenue increases, as measured in their local currencies, including the United States (9.3%), France (14.6%) and the United Kingdom (30.4%). The revenue increase in the United Kingdom was favorably impacted by the Elan acquisition (see Note 3 to the consolidated financial statements). The Company's Other Europe and Other Countries segments reported constant currency revenue increases of 24.2% and 25.9%, respectively.</w:t>
      </w:r>
    </w:p>
    <w:p>
      <w:pPr>
        <w:spacing w:after="0" w:line="210" w:lineRule="exact"/>
        <w:rPr>
          <w:sz w:val="20"/>
          <w:szCs w:val="20"/>
          <w:color w:val="auto"/>
        </w:rPr>
      </w:pPr>
    </w:p>
    <w:p>
      <w:pPr>
        <w:ind w:right="4419"/>
        <w:spacing w:after="0" w:line="271" w:lineRule="auto"/>
        <w:rPr>
          <w:sz w:val="20"/>
          <w:szCs w:val="20"/>
          <w:color w:val="auto"/>
        </w:rPr>
      </w:pPr>
      <w:r>
        <w:rPr>
          <w:rFonts w:ascii="Courier New" w:cs="Courier New" w:eastAsia="Courier New" w:hAnsi="Courier New"/>
          <w:sz w:val="16"/>
          <w:szCs w:val="16"/>
          <w:color w:val="auto"/>
        </w:rPr>
        <w:t>Gross profit, which represents revenues less payroll and related expenses of temporary workers, increased as a percent of revenues to 18.0% in the third quarter of 2000 from 17.3% in the third quarter of 1999. This increase is primarily due to increased margins in certain European markets as a result of enhanced pricing and continued focus on higher margin business.</w:t>
      </w:r>
    </w:p>
    <w:p>
      <w:pPr>
        <w:spacing w:after="0" w:line="188"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Selling and administrative expenses were 14.6% of revenues in the third quarter of 2000, compared to 14.2% for the same period in the prior year. This expense level reflects our continued investments in new or expanding markets.</w:t>
      </w:r>
    </w:p>
    <w:p>
      <w:pPr>
        <w:spacing w:after="0" w:line="209" w:lineRule="exact"/>
        <w:rPr>
          <w:sz w:val="20"/>
          <w:szCs w:val="20"/>
          <w:color w:val="auto"/>
        </w:rPr>
      </w:pPr>
    </w:p>
    <w:p>
      <w:pPr>
        <w:ind w:right="4519"/>
        <w:spacing w:after="0" w:line="237" w:lineRule="auto"/>
        <w:rPr>
          <w:sz w:val="20"/>
          <w:szCs w:val="20"/>
          <w:color w:val="auto"/>
        </w:rPr>
      </w:pPr>
      <w:r>
        <w:rPr>
          <w:rFonts w:ascii="Courier New" w:cs="Courier New" w:eastAsia="Courier New" w:hAnsi="Courier New"/>
          <w:sz w:val="18"/>
          <w:szCs w:val="18"/>
          <w:color w:val="auto"/>
        </w:rPr>
        <w:t>Interest and other expense was $12.1 million in the third quarter of 2000 compared to $7.1 million in the third quarter of 1999. This increase is primarily due to an increase in interest expense related to the higher borrowing levels needed to finance the acquisitions made throughout 2000, the continued investments in new or expanding markets and the share repurchase program.</w:t>
      </w:r>
    </w:p>
    <w:p>
      <w:pPr>
        <w:spacing w:after="0" w:line="212" w:lineRule="exact"/>
        <w:rPr>
          <w:sz w:val="20"/>
          <w:szCs w:val="20"/>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Company provided for income taxes during the third quarter of 2000 at a rate of 35.5%, which is equal to the estimated annual effective tax rate based on information currently available. This rate is higher than the U.S. Federal statutory rate due to foreign tax rate differences and U.S. state income taxes.</w:t>
      </w:r>
    </w:p>
    <w:p>
      <w:pPr>
        <w:spacing w:after="0" w:line="186"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On a diluted basis, net earnings per share was $0.70 in the third quarter of 2000 compared to $0.63 in the third quarter of 1999. The net earnings per share, on a diluted basis, for the third quarter of 2000 was negatively impacted by $0.08 due to changes in exchange rates. Diluted weighted average shares for the third quarter of 2000 was equal to the third quarter of 1999, as the Company's treasury stock purchases offset issuances and an increase in the number of dilutive stock options because of the higher average share price during the third quarter of 2000 compared to the third quarter of 1999.</w:t>
      </w:r>
    </w:p>
    <w:p>
      <w:pPr>
        <w:spacing w:after="0" w:line="207" w:lineRule="exact"/>
        <w:rPr>
          <w:sz w:val="20"/>
          <w:szCs w:val="20"/>
          <w:color w:val="auto"/>
        </w:rPr>
      </w:pPr>
    </w:p>
    <w:p>
      <w:pPr>
        <w:ind w:right="4839"/>
        <w:spacing w:after="0" w:line="235" w:lineRule="auto"/>
        <w:rPr>
          <w:sz w:val="20"/>
          <w:szCs w:val="20"/>
          <w:color w:val="auto"/>
        </w:rPr>
      </w:pPr>
      <w:r>
        <w:rPr>
          <w:rFonts w:ascii="Courier New" w:cs="Courier New" w:eastAsia="Courier New" w:hAnsi="Courier New"/>
          <w:sz w:val="18"/>
          <w:szCs w:val="18"/>
          <w:color w:val="auto"/>
        </w:rPr>
        <w:t>Operating Results - Nine Months Ended September 30, 2000 and 1999</w:t>
      </w:r>
    </w:p>
    <w:p>
      <w:pPr>
        <w:spacing w:after="0" w:line="208" w:lineRule="exact"/>
        <w:rPr>
          <w:sz w:val="20"/>
          <w:szCs w:val="20"/>
          <w:color w:val="auto"/>
        </w:rPr>
      </w:pPr>
    </w:p>
    <w:p>
      <w:pPr>
        <w:ind w:right="4519"/>
        <w:spacing w:after="0" w:line="272" w:lineRule="auto"/>
        <w:rPr>
          <w:sz w:val="20"/>
          <w:szCs w:val="20"/>
          <w:color w:val="auto"/>
        </w:rPr>
      </w:pPr>
      <w:r>
        <w:rPr>
          <w:rFonts w:ascii="Courier New" w:cs="Courier New" w:eastAsia="Courier New" w:hAnsi="Courier New"/>
          <w:sz w:val="16"/>
          <w:szCs w:val="16"/>
          <w:color w:val="auto"/>
        </w:rPr>
        <w:t>Revenues increased 14.0% to $8,103.3 million for the first nine months of 2000. Revenues were unfavorably impacted by changes in currency exchange rates during the first nine months of 1999 due to the strengthening of the U.S. Dollar, as compared to the first nine months of 1999, relative to the currencies in the</w:t>
      </w:r>
    </w:p>
    <w:p>
      <w:pPr>
        <w:sectPr>
          <w:pgSz w:w="11900" w:h="16838" w:orient="portrait"/>
          <w:cols w:equalWidth="0" w:num="1">
            <w:col w:w="10219"/>
          </w:cols>
          <w:pgMar w:left="240" w:top="717" w:right="1440" w:bottom="0" w:gutter="0" w:footer="0" w:header="0"/>
        </w:sectPr>
      </w:pPr>
    </w:p>
    <w:bookmarkStart w:id="12" w:name="page13"/>
    <w:bookmarkEnd w:id="12"/>
    <w:p>
      <w:pPr>
        <w:ind w:right="4419"/>
        <w:spacing w:after="0" w:line="268" w:lineRule="auto"/>
        <w:rPr>
          <w:sz w:val="20"/>
          <w:szCs w:val="20"/>
          <w:color w:val="auto"/>
        </w:rPr>
      </w:pPr>
      <w:r>
        <w:rPr>
          <w:rFonts w:ascii="Courier New" w:cs="Courier New" w:eastAsia="Courier New" w:hAnsi="Courier New"/>
          <w:sz w:val="16"/>
          <w:szCs w:val="16"/>
          <w:color w:val="auto"/>
        </w:rPr>
        <w:t>Company's European markets. At constant exchange rates, the increase in revenues would have been 22.6%. Volume, as measured by billable hours of branch operations, increased 14.1% in the first nine months of 2000 compared to 1999. All of the Company's major markets experienced revenue increases, as measured in their local currencies, including the United States</w:t>
      </w:r>
    </w:p>
    <w:p>
      <w:pPr>
        <w:spacing w:after="0" w:line="1" w:lineRule="exact"/>
        <w:rPr>
          <w:sz w:val="20"/>
          <w:szCs w:val="20"/>
          <w:color w:val="auto"/>
        </w:rPr>
      </w:pPr>
    </w:p>
    <w:p>
      <w:pPr>
        <w:ind w:right="4519"/>
        <w:spacing w:after="0" w:line="237" w:lineRule="auto"/>
        <w:rPr>
          <w:sz w:val="20"/>
          <w:szCs w:val="20"/>
          <w:color w:val="auto"/>
        </w:rPr>
      </w:pPr>
      <w:r>
        <w:rPr>
          <w:rFonts w:ascii="Courier New" w:cs="Courier New" w:eastAsia="Courier New" w:hAnsi="Courier New"/>
          <w:sz w:val="18"/>
          <w:szCs w:val="18"/>
          <w:color w:val="auto"/>
        </w:rPr>
        <w:t>(9.2%), France (22.6%) and the United Kingdom (34.6%). The revenue increase in the United Kingdom was favorably impacted by the Elan acquisition (see Note 3 to the consolidated financial statements). The Company's Other Europe and Other Countries segments reported constant currency revenue increases of 30.6% and 26.7%, respectively.</w:t>
      </w:r>
    </w:p>
    <w:p>
      <w:pPr>
        <w:sectPr>
          <w:pgSz w:w="11900" w:h="16838" w:orient="portrait"/>
          <w:cols w:equalWidth="0" w:num="1">
            <w:col w:w="10219"/>
          </w:cols>
          <w:pgMar w:left="240" w:top="142" w:right="1440" w:bottom="1440" w:gutter="0" w:footer="0" w:header="0"/>
        </w:sectPr>
      </w:pPr>
    </w:p>
    <w:bookmarkStart w:id="13" w:name="page14"/>
    <w:bookmarkEnd w:id="13"/>
    <w:p>
      <w:pPr>
        <w:ind w:right="4419"/>
        <w:spacing w:after="0" w:line="271" w:lineRule="auto"/>
        <w:rPr>
          <w:sz w:val="20"/>
          <w:szCs w:val="20"/>
          <w:color w:val="auto"/>
        </w:rPr>
      </w:pPr>
      <w:r>
        <w:rPr>
          <w:rFonts w:ascii="Courier New" w:cs="Courier New" w:eastAsia="Courier New" w:hAnsi="Courier New"/>
          <w:sz w:val="16"/>
          <w:szCs w:val="16"/>
          <w:color w:val="auto"/>
        </w:rPr>
        <w:t>Gross profit, which represents revenues less payroll and related expenses of temporary workers, increased as a percent of revenues to 17.7% in the first nine months of 2000 from 17.4% for the same period in 1999. This increase is primarily due to increased margins in certain European markets as a result of enhanced pricing and continued focus on higher margin business.</w:t>
      </w:r>
    </w:p>
    <w:p>
      <w:pPr>
        <w:spacing w:after="0" w:line="188"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8"/>
          <w:szCs w:val="18"/>
          <w:color w:val="auto"/>
        </w:rPr>
        <w:t>Selling and administrative expenses were 15.0% of revenues in the first nine months of 2000 compared to 14.9% for the same period in 1999 excluding the non-recurring items incurred during 1999. This expense level reflects continued investments in new or expanding markets.</w:t>
      </w:r>
    </w:p>
    <w:p>
      <w:pPr>
        <w:spacing w:after="0" w:line="210"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8"/>
          <w:szCs w:val="18"/>
          <w:color w:val="auto"/>
        </w:rPr>
        <w:t>Interest and other expense was $33.6 million in the first nine months of 2000 compared to $16.9 million during the same period in 1999. This increase is primarily due to an increase in interest expense related to the higher borrowing levels needed to finance the acquisitions made throughout 2000, the continued investments in new or expanding markets and the share repurchase program.</w:t>
      </w:r>
    </w:p>
    <w:p>
      <w:pPr>
        <w:spacing w:after="0" w:line="212"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The Company provided for income taxes during the first nine months of 2000 at a rate of 35.5%, which is equal to the estimated annual effective tax rate based on information currently available. This rate is higher than the U.S. Federal statutory rate due to foreign tax rate differences and U.S. state income taxes. During the nine month period ended September 30, 1999, the Company had a one-time tax benefit of $15.7 million in connection with the dissolution of a non-operating subsidiary.</w:t>
      </w:r>
    </w:p>
    <w:p>
      <w:pPr>
        <w:spacing w:after="0" w:line="215" w:lineRule="exact"/>
        <w:rPr>
          <w:sz w:val="20"/>
          <w:szCs w:val="20"/>
          <w:color w:val="auto"/>
        </w:rPr>
      </w:pPr>
    </w:p>
    <w:p>
      <w:pPr>
        <w:ind w:right="4419"/>
        <w:spacing w:after="0" w:line="270" w:lineRule="auto"/>
        <w:rPr>
          <w:sz w:val="20"/>
          <w:szCs w:val="20"/>
          <w:color w:val="auto"/>
        </w:rPr>
      </w:pPr>
      <w:r>
        <w:rPr>
          <w:rFonts w:ascii="Courier New" w:cs="Courier New" w:eastAsia="Courier New" w:hAnsi="Courier New"/>
          <w:sz w:val="16"/>
          <w:szCs w:val="16"/>
          <w:color w:val="auto"/>
        </w:rPr>
        <w:t>On a diluted basis, net earnings per share was $1.52 for the first nine months of 2000 compared to $1.29 for the same period in 1999. The net earnings per share, on a diluted basis, for the first nine months of 2000 was negatively impacted by $0.19 due to changes in exchange rates. Excluding the non-recurring items and one-time income tax gain in the first nine months of 1999, net earnings per share on a diluted basis would have been $1.30. The diluted weighted average shares decreased by 1.7% for the first nine months of 2000 due to the Company's treasury stock purchases, which were partially offset by an increased number of dilutive stock options because of the higher average share price during the first nine months of 2000 compared to the first nine months of 1999.</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4419"/>
        <w:spacing w:after="0" w:line="270" w:lineRule="auto"/>
        <w:rPr>
          <w:sz w:val="20"/>
          <w:szCs w:val="20"/>
          <w:color w:val="auto"/>
        </w:rPr>
      </w:pPr>
      <w:r>
        <w:rPr>
          <w:rFonts w:ascii="Courier New" w:cs="Courier New" w:eastAsia="Courier New" w:hAnsi="Courier New"/>
          <w:sz w:val="16"/>
          <w:szCs w:val="16"/>
          <w:color w:val="auto"/>
        </w:rPr>
        <w:t>Cash provided by operating activities was $46.1 million in the first nine months of 2000 compared to cash used by operating activities of $75.4 million in the first nine months of 1999. This change reflects the increased earnings during the first nine months of 2000 and the change in working capital requirements between periods. Cash provided by operating activities before the changes in working capital requirements was $179.5 million in the first nine months of 2000 compared to $166.7 million in the first nine months of 1999. Cash used by changes in working capital was $133.4 million and $242.1 million in the first nine months of 2000 and 1999, respectively.</w:t>
      </w:r>
    </w:p>
    <w:p>
      <w:pPr>
        <w:spacing w:after="0" w:line="389"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Capital expenditures were $50.9 million in the first nine months of 2000 compared to $53.4 million during the first nine months of 1999. These expenditures were primarily comprised of purchases of computer equipment, office furniture and other costs related to office openings and refurbishments.</w:t>
      </w:r>
    </w:p>
    <w:p>
      <w:pPr>
        <w:spacing w:after="0" w:line="210" w:lineRule="exact"/>
        <w:rPr>
          <w:sz w:val="20"/>
          <w:szCs w:val="20"/>
          <w:color w:val="auto"/>
        </w:rPr>
      </w:pPr>
    </w:p>
    <w:p>
      <w:pPr>
        <w:ind w:right="4739"/>
        <w:spacing w:after="0" w:line="275" w:lineRule="auto"/>
        <w:rPr>
          <w:sz w:val="20"/>
          <w:szCs w:val="20"/>
          <w:color w:val="auto"/>
        </w:rPr>
      </w:pPr>
      <w:r>
        <w:rPr>
          <w:rFonts w:ascii="Courier New" w:cs="Courier New" w:eastAsia="Courier New" w:hAnsi="Courier New"/>
          <w:sz w:val="16"/>
          <w:szCs w:val="16"/>
          <w:color w:val="auto"/>
        </w:rPr>
        <w:t>During January 2000, the Company acquired Elan Group Limited ("Elan"), a European specialty IT staffing company with significant operations in the U.K. and several other countries throughout the world. As of</w:t>
      </w:r>
    </w:p>
    <w:p>
      <w:pPr>
        <w:sectPr>
          <w:pgSz w:w="11900" w:h="16838" w:orient="portrait"/>
          <w:cols w:equalWidth="0" w:num="1">
            <w:col w:w="10219"/>
          </w:cols>
          <w:pgMar w:left="240" w:top="723" w:right="1440" w:bottom="0" w:gutter="0" w:footer="0" w:header="0"/>
        </w:sectPr>
      </w:pPr>
    </w:p>
    <w:bookmarkStart w:id="14" w:name="page15"/>
    <w:bookmarkEnd w:id="14"/>
    <w:p>
      <w:pPr>
        <w:ind w:right="4739"/>
        <w:spacing w:after="0" w:line="275" w:lineRule="auto"/>
        <w:rPr>
          <w:sz w:val="20"/>
          <w:szCs w:val="20"/>
          <w:color w:val="auto"/>
        </w:rPr>
      </w:pPr>
      <w:r>
        <w:rPr>
          <w:rFonts w:ascii="Courier New" w:cs="Courier New" w:eastAsia="Courier New" w:hAnsi="Courier New"/>
          <w:sz w:val="16"/>
          <w:szCs w:val="16"/>
          <w:color w:val="auto"/>
        </w:rPr>
        <w:t>September 30, 2000, the total consideration paid for Elan was approximately $116.2 million. In addition, there is approximately $30.0 million in deferred consideration expected to be paid during 2001.</w:t>
      </w:r>
    </w:p>
    <w:p>
      <w:pPr>
        <w:spacing w:after="0" w:line="182" w:lineRule="exact"/>
        <w:rPr>
          <w:sz w:val="20"/>
          <w:szCs w:val="20"/>
          <w:color w:val="auto"/>
        </w:rPr>
      </w:pPr>
    </w:p>
    <w:p>
      <w:pPr>
        <w:ind w:right="4519"/>
        <w:spacing w:after="0" w:line="237" w:lineRule="auto"/>
        <w:rPr>
          <w:sz w:val="20"/>
          <w:szCs w:val="20"/>
          <w:color w:val="auto"/>
        </w:rPr>
      </w:pPr>
      <w:r>
        <w:rPr>
          <w:rFonts w:ascii="Courier New" w:cs="Courier New" w:eastAsia="Courier New" w:hAnsi="Courier New"/>
          <w:sz w:val="18"/>
          <w:szCs w:val="18"/>
          <w:color w:val="auto"/>
        </w:rPr>
        <w:t>During the first nine months of 2000, the Company also acquired and invested in several companies throughout the world. The total consideration paid for such transactions was $51.0 million as of September 30, 2000, the majority of which was recorded as intangible assets.</w:t>
      </w:r>
    </w:p>
    <w:p>
      <w:pPr>
        <w:sectPr>
          <w:pgSz w:w="11900" w:h="16838" w:orient="portrait"/>
          <w:cols w:equalWidth="0" w:num="1">
            <w:col w:w="10219"/>
          </w:cols>
          <w:pgMar w:left="240" w:top="142" w:right="1440" w:bottom="1440" w:gutter="0" w:footer="0" w:header="0"/>
        </w:sectPr>
      </w:pPr>
    </w:p>
    <w:bookmarkStart w:id="15" w:name="page16"/>
    <w:bookmarkEnd w:id="15"/>
    <w:p>
      <w:pPr>
        <w:ind w:right="4419"/>
        <w:spacing w:after="0" w:line="238" w:lineRule="auto"/>
        <w:rPr>
          <w:sz w:val="20"/>
          <w:szCs w:val="20"/>
          <w:color w:val="auto"/>
        </w:rPr>
      </w:pPr>
      <w:r>
        <w:rPr>
          <w:rFonts w:ascii="Courier New" w:cs="Courier New" w:eastAsia="Courier New" w:hAnsi="Courier New"/>
          <w:sz w:val="18"/>
          <w:szCs w:val="18"/>
          <w:color w:val="auto"/>
        </w:rPr>
        <w:t>Net cash provided by additional borrowings was $156.9 million and $170.0 million in the first nine months of 2000 and 1999, respectively. The additional borrowings in 2000 were primarily used to fund the acquisitions and investments made throughout 2000, to support the working capital growth and to repurchase the Company's common stock. The Company repurchased 658,800 shares at a cost of $20.0 million during the first nine months of 2000. The additional borrowings in 1999 were primarily used to support the working capital growth, investments in new markets and to repurchase the Company's common stock.</w:t>
      </w:r>
    </w:p>
    <w:p>
      <w:pPr>
        <w:spacing w:after="0" w:line="207" w:lineRule="exact"/>
        <w:rPr>
          <w:sz w:val="20"/>
          <w:szCs w:val="20"/>
          <w:color w:val="auto"/>
        </w:rPr>
      </w:pPr>
    </w:p>
    <w:p>
      <w:pPr>
        <w:ind w:right="4519"/>
        <w:spacing w:after="0" w:line="238" w:lineRule="auto"/>
        <w:rPr>
          <w:sz w:val="20"/>
          <w:szCs w:val="20"/>
          <w:color w:val="auto"/>
        </w:rPr>
      </w:pPr>
      <w:r>
        <w:rPr>
          <w:rFonts w:ascii="Courier New" w:cs="Courier New" w:eastAsia="Courier New" w:hAnsi="Courier New"/>
          <w:sz w:val="18"/>
          <w:szCs w:val="18"/>
          <w:color w:val="auto"/>
        </w:rPr>
        <w:t>Accounts receivable increased to $2,090.7 million at September 30, 2000 from $1,897.6 million at December 31, 1999. This increase is partially due to a $70.0 million reduction in the amount advanced under the Company's U.S. Receivable Facility from December 31, 1999 to September 30, 2000. The remaining increase is due to the growth in many of the Company's foreign markets and the impact of 2000 acquisitions, offset by the impact of changes in exchange rates. At December 31, 1999 exchange rates, the September 30, 2000 receivable balance would have been $228.0 million higher.</w:t>
      </w:r>
    </w:p>
    <w:p>
      <w:pPr>
        <w:spacing w:after="0" w:line="207"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As of September 30, 2000, the Company had borrowings of $157.3 million and letters of credit of $60.0 million outstanding under its $415.0 million U.S. revolving credit facility, and borrowings of $6.7 million outstanding under its U.S. commercial paper program. The commercial paper borrowings have been classified as long-term debt due to the availability to refinance them on a long-term basis under the revolving credit facility.</w:t>
      </w:r>
    </w:p>
    <w:p>
      <w:pPr>
        <w:spacing w:after="0" w:line="214"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During June 2000, the Company entered into various interest rate swap agreements in order to fix its interest costs on a portion of its Euro and Yen denominated variable rate borrowings. The Euro interest rate swap agreements have a notional value of Euro 100.0 million ($88.0 million), a weighted average fixed rate of 6.1% and expire in 2010. The Yen interest rate swap agreement has a notional value of Yen 4.0 billion ($36.9 million), a fixed rate of 1.2% and expires in 2003. These swap agreements have had an immaterial impact on the recorded interest expense during 2000. As of September 30, 2000, the weighted average variable interest rate under the revolving credit agreement was 3.4%.</w:t>
      </w:r>
    </w:p>
    <w:p>
      <w:pPr>
        <w:spacing w:after="0" w:line="208" w:lineRule="exact"/>
        <w:rPr>
          <w:sz w:val="20"/>
          <w:szCs w:val="20"/>
          <w:color w:val="auto"/>
        </w:rPr>
      </w:pPr>
    </w:p>
    <w:p>
      <w:pPr>
        <w:ind w:right="4419"/>
        <w:spacing w:after="0" w:line="273" w:lineRule="auto"/>
        <w:rPr>
          <w:sz w:val="20"/>
          <w:szCs w:val="20"/>
          <w:color w:val="auto"/>
        </w:rPr>
      </w:pPr>
      <w:r>
        <w:rPr>
          <w:rFonts w:ascii="Courier New" w:cs="Courier New" w:eastAsia="Courier New" w:hAnsi="Courier New"/>
          <w:sz w:val="16"/>
          <w:szCs w:val="16"/>
          <w:color w:val="auto"/>
        </w:rPr>
        <w:t>On March 7, 2000, the Company issued Euro 150.0 million in unsecured notes, due March 2005, with an effective interest rate of 6.3%. Net proceeds of $143.1 million from the issuance were used to repay amounts under the Company's unsecured revolving credit agreement.</w:t>
      </w:r>
    </w:p>
    <w:p>
      <w:pPr>
        <w:spacing w:after="0" w:line="185"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8"/>
          <w:szCs w:val="18"/>
          <w:color w:val="auto"/>
        </w:rPr>
        <w:t>The Company and some of its foreign subsidiaries maintain separate lines of credit with foreign financial institutions to meet short-term working capital needs. As of September 30, 2000, such lines totaled $214.4 million, of which $94.3 million was unused.</w:t>
      </w:r>
    </w:p>
    <w:p>
      <w:pPr>
        <w:spacing w:after="0" w:line="209" w:lineRule="exact"/>
        <w:rPr>
          <w:sz w:val="20"/>
          <w:szCs w:val="20"/>
          <w:color w:val="auto"/>
        </w:rPr>
      </w:pPr>
    </w:p>
    <w:p>
      <w:pPr>
        <w:ind w:right="4419"/>
        <w:spacing w:after="0" w:line="270" w:lineRule="auto"/>
        <w:rPr>
          <w:sz w:val="20"/>
          <w:szCs w:val="20"/>
          <w:color w:val="auto"/>
        </w:rPr>
      </w:pPr>
      <w:r>
        <w:rPr>
          <w:rFonts w:ascii="Courier New" w:cs="Courier New" w:eastAsia="Courier New" w:hAnsi="Courier New"/>
          <w:sz w:val="16"/>
          <w:szCs w:val="16"/>
          <w:color w:val="auto"/>
        </w:rPr>
        <w:t>During September 2000, the Company entered into a forward repurchase agreement to purchase shares of its common stock under its share repurchase program. Under the agreement, the Company will, from time to time over the next two years, repurchase a total of one million shares at a forward price of $31.70, which approximates the market price at the inception of the agreement, plus a financing charge. The Company may choose the method by which it settles the agreement (i.e., cash or shares). As of September 30, 2000, no shares have been purchased under this agreement.</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Euro</w:t>
      </w:r>
    </w:p>
    <w:p>
      <w:pPr>
        <w:sectPr>
          <w:pgSz w:w="11900" w:h="16838" w:orient="portrait"/>
          <w:cols w:equalWidth="0" w:num="1">
            <w:col w:w="10219"/>
          </w:cols>
          <w:pgMar w:left="240" w:top="723" w:right="1440" w:bottom="0" w:gutter="0" w:footer="0" w:header="0"/>
        </w:sectPr>
      </w:pPr>
    </w:p>
    <w:bookmarkStart w:id="16" w:name="page17"/>
    <w:bookmarkEnd w:id="16"/>
    <w:p>
      <w:pPr>
        <w:ind w:right="4519"/>
        <w:spacing w:after="0" w:line="238" w:lineRule="auto"/>
        <w:rPr>
          <w:sz w:val="20"/>
          <w:szCs w:val="20"/>
          <w:color w:val="auto"/>
        </w:rPr>
      </w:pPr>
      <w:r>
        <w:rPr>
          <w:rFonts w:ascii="Courier New" w:cs="Courier New" w:eastAsia="Courier New" w:hAnsi="Courier New"/>
          <w:sz w:val="18"/>
          <w:szCs w:val="18"/>
          <w:color w:val="auto"/>
        </w:rPr>
        <w:t>On January 1, 1999, eleven of the fifteen member countries of the European Union (the "participating countries") established fixed conversion rates between their existing sovereign currencies (the "legacy currencies") and the Euro and have agreed to adopt the Euro as their common legal currency. The legacy currencies will remain legal tender in the participating countries as denominations of the Euro between January 1, 1999 and January 1, 2002 (the "transition period"). During the transition period, public and private parties may pay for goods and services using either the Euro or the participating country's legacy</w:t>
      </w:r>
    </w:p>
    <w:p>
      <w:pPr>
        <w:sectPr>
          <w:pgSz w:w="11900" w:h="16838" w:orient="portrait"/>
          <w:cols w:equalWidth="0" w:num="1">
            <w:col w:w="10219"/>
          </w:cols>
          <w:pgMar w:left="240" w:top="142" w:right="1440" w:bottom="1440" w:gutter="0" w:footer="0" w:header="0"/>
        </w:sectPr>
      </w:pPr>
    </w:p>
    <w:bookmarkStart w:id="17" w:name="page18"/>
    <w:bookmarkEnd w:id="17"/>
    <w:p>
      <w:pPr>
        <w:ind w:right="4199"/>
        <w:spacing w:after="0" w:line="236" w:lineRule="auto"/>
        <w:rPr>
          <w:sz w:val="20"/>
          <w:szCs w:val="20"/>
          <w:color w:val="auto"/>
        </w:rPr>
      </w:pPr>
      <w:r>
        <w:rPr>
          <w:rFonts w:ascii="Courier New" w:cs="Courier New" w:eastAsia="Courier New" w:hAnsi="Courier New"/>
          <w:sz w:val="18"/>
          <w:szCs w:val="18"/>
          <w:color w:val="auto"/>
        </w:rPr>
        <w:t>currency. Beginning on January 1, 2002, Euro-denominated bills and coins will be issued and legacy currencies will be withdrawn from circulation.</w:t>
      </w:r>
    </w:p>
    <w:p>
      <w:pPr>
        <w:spacing w:after="0" w:line="209" w:lineRule="exact"/>
        <w:rPr>
          <w:sz w:val="20"/>
          <w:szCs w:val="20"/>
          <w:color w:val="auto"/>
        </w:rPr>
      </w:pPr>
    </w:p>
    <w:p>
      <w:pPr>
        <w:ind w:right="4519"/>
        <w:spacing w:after="0" w:line="238" w:lineRule="auto"/>
        <w:rPr>
          <w:sz w:val="20"/>
          <w:szCs w:val="20"/>
          <w:color w:val="auto"/>
        </w:rPr>
      </w:pPr>
      <w:r>
        <w:rPr>
          <w:rFonts w:ascii="Courier New" w:cs="Courier New" w:eastAsia="Courier New" w:hAnsi="Courier New"/>
          <w:sz w:val="18"/>
          <w:szCs w:val="18"/>
          <w:color w:val="auto"/>
        </w:rPr>
        <w:t>The Company has significant operations in many of the participating countries and continues to assess the impact of the Euro on its business operations. Since the Company's labor costs and prices are generally determined on a local basis, the near-term impact of the Euro has been and is expected to be primarily related to making internal information systems modifications to meet customer invoicing and financial reporting requirements. Such modifications relate to converting currency values and to operating in a dual currency environment during the transition period. Modifications of internal information systems will occur throughout the transition period and will be coordinated with other system-related upgrades and enhancements.</w:t>
      </w:r>
    </w:p>
    <w:p>
      <w:pPr>
        <w:spacing w:after="0" w:line="208"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On a long-term basis, the Company believes that the introduction of the Euro may cause a greater level of price harmonization between participating countries, notwithstanding certain country-specific costs. In addition, the Company expects to begin paying permanent employees and temporary workers in the participating countries in Euro during 2001.</w:t>
      </w:r>
    </w:p>
    <w:p>
      <w:pPr>
        <w:spacing w:after="0" w:line="211"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The Company will account for all related system modification costs in accordance with its existing policy and does not expect such costs to be material to the Company's consolidated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Certain information included or incorporated by reference in this filing and identified by use of the words "expects," "believes," "plans" or the like constitutes forward-looking statements, as such term is defined in Section 27A of the Securities Act of 1933 and Section 21E of the Securities Exchange Act of 1934. In addition, any information included or incorporated by reference in future filings by the Company with the Securities and Exchange Commission, as well as information contained in written material, releases and oral statements issued by or on behalf of the Company may include forward-looking statements. All statements which address operating performance, events or developments that the Company expects or anticipates will occur or future financial performance are forward-looking statements.</w:t>
      </w:r>
    </w:p>
    <w:p>
      <w:pPr>
        <w:spacing w:after="0" w:line="208"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These forward-looking statements speak only as of the date on which they are made. They rely on a number of assumptions concerning future events and are subject to a number of risks and uncertainties, many of which are outside of the Company's control, that could cause actual results to differ materially from such statements. These risks and uncertainties include, but are not limited to:</w:t>
      </w:r>
    </w:p>
    <w:p>
      <w:pPr>
        <w:spacing w:after="0" w:line="207"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changes in the demand from larger</w:t>
      </w:r>
    </w:p>
    <w:p>
      <w:pPr>
        <w:spacing w:after="0" w:line="4" w:lineRule="exact"/>
        <w:rPr>
          <w:rFonts w:ascii="Courier New" w:cs="Courier New" w:eastAsia="Courier New" w:hAnsi="Courier New"/>
          <w:sz w:val="18"/>
          <w:szCs w:val="18"/>
          <w:color w:val="auto"/>
        </w:rPr>
      </w:pPr>
    </w:p>
    <w:p>
      <w:pPr>
        <w:ind w:left="540"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customers, including customers with which the Company has national or global arrangements</w:t>
      </w:r>
    </w:p>
    <w:p>
      <w:pPr>
        <w:spacing w:after="0" w:line="5" w:lineRule="exact"/>
        <w:rPr>
          <w:rFonts w:ascii="Courier New" w:cs="Courier New" w:eastAsia="Courier New" w:hAnsi="Courier New"/>
          <w:sz w:val="18"/>
          <w:szCs w:val="18"/>
          <w:color w:val="auto"/>
        </w:rPr>
      </w:pPr>
    </w:p>
    <w:p>
      <w:pPr>
        <w:ind w:left="540" w:right="451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of temporary workers or workers with the skills required by customers</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increases in the wages paid to temporary workers</w:t>
      </w:r>
    </w:p>
    <w:p>
      <w:pPr>
        <w:spacing w:after="0" w:line="4" w:lineRule="exact"/>
        <w:rPr>
          <w:rFonts w:ascii="Courier New" w:cs="Courier New" w:eastAsia="Courier New" w:hAnsi="Courier New"/>
          <w:sz w:val="18"/>
          <w:szCs w:val="18"/>
          <w:color w:val="auto"/>
        </w:rPr>
      </w:pPr>
    </w:p>
    <w:p>
      <w:pPr>
        <w:ind w:left="540" w:right="3899" w:hanging="532"/>
        <w:spacing w:after="0" w:line="236"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competitive market pressures, including pricing pressures and the expansion into new markets or service lines</w:t>
      </w:r>
    </w:p>
    <w:p>
      <w:pPr>
        <w:spacing w:after="0" w:line="6" w:lineRule="exact"/>
        <w:rPr>
          <w:rFonts w:ascii="Courier New" w:cs="Courier New" w:eastAsia="Courier New" w:hAnsi="Courier New"/>
          <w:sz w:val="18"/>
          <w:szCs w:val="18"/>
          <w:color w:val="auto"/>
        </w:rPr>
      </w:pPr>
    </w:p>
    <w:p>
      <w:pPr>
        <w:ind w:left="540" w:right="473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ability to successfully invest in and implement information systems</w:t>
      </w:r>
    </w:p>
    <w:p>
      <w:pPr>
        <w:spacing w:after="0" w:line="5" w:lineRule="exact"/>
        <w:rPr>
          <w:rFonts w:ascii="Courier New" w:cs="Courier New" w:eastAsia="Courier New" w:hAnsi="Courier New"/>
          <w:sz w:val="18"/>
          <w:szCs w:val="18"/>
          <w:color w:val="auto"/>
        </w:rPr>
      </w:pPr>
    </w:p>
    <w:p>
      <w:pPr>
        <w:ind w:left="540" w:right="4519" w:hanging="532"/>
        <w:spacing w:after="0" w:line="268" w:lineRule="auto"/>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unanticipated technological changes, including obsolescence or impairment of information systems</w:t>
      </w:r>
    </w:p>
    <w:p>
      <w:pPr>
        <w:ind w:left="540" w:right="473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customer attitudes toward the use of staffing services</w:t>
      </w:r>
    </w:p>
    <w:p>
      <w:pPr>
        <w:spacing w:after="0" w:line="5" w:lineRule="exact"/>
        <w:rPr>
          <w:rFonts w:ascii="Courier New" w:cs="Courier New" w:eastAsia="Courier New" w:hAnsi="Courier New"/>
          <w:sz w:val="18"/>
          <w:szCs w:val="18"/>
          <w:color w:val="auto"/>
        </w:rPr>
      </w:pPr>
    </w:p>
    <w:p>
      <w:pPr>
        <w:ind w:left="540" w:right="451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 tax or regulatory policies adverse to the employment services industry</w:t>
      </w:r>
    </w:p>
    <w:p>
      <w:pPr>
        <w:sectPr>
          <w:pgSz w:w="11900" w:h="16838" w:orient="portrait"/>
          <w:cols w:equalWidth="0" w:num="1">
            <w:col w:w="10219"/>
          </w:cols>
          <w:pgMar w:left="240" w:top="723" w:right="1440" w:bottom="0" w:gutter="0" w:footer="0" w:header="0"/>
        </w:sectPr>
      </w:pPr>
    </w:p>
    <w:bookmarkStart w:id="18" w:name="page19"/>
    <w:bookmarkEnd w:id="18"/>
    <w:p>
      <w:pPr>
        <w:ind w:left="540" w:hanging="532"/>
        <w:spacing w:after="0"/>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conditions in international markets</w:t>
      </w:r>
    </w:p>
    <w:p>
      <w:pPr>
        <w:spacing w:after="0" w:line="16" w:lineRule="exact"/>
        <w:rPr>
          <w:rFonts w:ascii="Courier New" w:cs="Courier New" w:eastAsia="Courier New" w:hAnsi="Courier New"/>
          <w:sz w:val="16"/>
          <w:szCs w:val="16"/>
          <w:color w:val="auto"/>
        </w:rPr>
      </w:pPr>
    </w:p>
    <w:p>
      <w:pPr>
        <w:ind w:left="540" w:hanging="532"/>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and exchange rate fluctuations</w:t>
      </w:r>
    </w:p>
    <w:p>
      <w:pPr>
        <w:spacing w:after="0" w:line="4" w:lineRule="exact"/>
        <w:rPr>
          <w:rFonts w:ascii="Courier New" w:cs="Courier New" w:eastAsia="Courier New" w:hAnsi="Courier New"/>
          <w:sz w:val="18"/>
          <w:szCs w:val="18"/>
          <w:color w:val="auto"/>
        </w:rPr>
      </w:pPr>
    </w:p>
    <w:p>
      <w:pPr>
        <w:ind w:left="540" w:right="4199" w:hanging="532"/>
        <w:spacing w:after="0" w:line="236"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related to acquisitions, including integrating the acquired companies and achieving the expected benefits</w:t>
      </w:r>
    </w:p>
    <w:p>
      <w:pPr>
        <w:spacing w:after="0" w:line="209" w:lineRule="exact"/>
        <w:rPr>
          <w:sz w:val="20"/>
          <w:szCs w:val="20"/>
          <w:color w:val="auto"/>
        </w:rPr>
      </w:pPr>
    </w:p>
    <w:p>
      <w:pPr>
        <w:ind w:right="4419"/>
        <w:spacing w:after="0" w:line="279" w:lineRule="auto"/>
        <w:rPr>
          <w:sz w:val="20"/>
          <w:szCs w:val="20"/>
          <w:color w:val="auto"/>
        </w:rPr>
      </w:pPr>
      <w:r>
        <w:rPr>
          <w:rFonts w:ascii="Courier New" w:cs="Courier New" w:eastAsia="Courier New" w:hAnsi="Courier New"/>
          <w:sz w:val="16"/>
          <w:szCs w:val="16"/>
          <w:color w:val="auto"/>
        </w:rPr>
        <w:t>The Company disclaims any obligation to update publicly or revise any forward-looking statements, whether as a result of new information, future events or otherwise.</w:t>
      </w:r>
    </w:p>
    <w:p>
      <w:pPr>
        <w:sectPr>
          <w:pgSz w:w="11900" w:h="16838" w:orient="portrait"/>
          <w:cols w:equalWidth="0" w:num="1">
            <w:col w:w="10219"/>
          </w:cols>
          <w:pgMar w:left="240" w:top="142" w:right="1440" w:bottom="1440" w:gutter="0" w:footer="0" w:header="0"/>
        </w:sectPr>
      </w:pPr>
    </w:p>
    <w:bookmarkStart w:id="19" w:name="page20"/>
    <w:bookmarkEnd w:id="19"/>
    <w:p>
      <w:pPr>
        <w:ind w:right="4419"/>
        <w:spacing w:after="0" w:line="235" w:lineRule="auto"/>
        <w:rPr>
          <w:sz w:val="20"/>
          <w:szCs w:val="20"/>
          <w:color w:val="auto"/>
        </w:rPr>
      </w:pPr>
      <w:r>
        <w:rPr>
          <w:rFonts w:ascii="Courier New" w:cs="Courier New" w:eastAsia="Courier New" w:hAnsi="Courier New"/>
          <w:sz w:val="18"/>
          <w:szCs w:val="18"/>
          <w:color w:val="auto"/>
        </w:rPr>
        <w:t>Item 3 - Quantitative and Qualitative Disclosures About Market Risk</w:t>
      </w:r>
    </w:p>
    <w:p>
      <w:pPr>
        <w:spacing w:after="0" w:line="208" w:lineRule="exact"/>
        <w:rPr>
          <w:sz w:val="20"/>
          <w:szCs w:val="20"/>
          <w:color w:val="auto"/>
        </w:rPr>
      </w:pPr>
    </w:p>
    <w:p>
      <w:pPr>
        <w:ind w:right="4519"/>
        <w:spacing w:after="0" w:line="273" w:lineRule="auto"/>
        <w:rPr>
          <w:sz w:val="20"/>
          <w:szCs w:val="20"/>
          <w:color w:val="auto"/>
        </w:rPr>
      </w:pPr>
      <w:r>
        <w:rPr>
          <w:rFonts w:ascii="Courier New" w:cs="Courier New" w:eastAsia="Courier New" w:hAnsi="Courier New"/>
          <w:sz w:val="16"/>
          <w:szCs w:val="16"/>
          <w:color w:val="auto"/>
        </w:rPr>
        <w:t>The Company's 1999 annual report on Form 10-K contains certain disclosures about market risks affecting the Company. There have been no material changes to the information provided which would require additional disclosures as of the date of this filing.</w:t>
      </w:r>
    </w:p>
    <w:p>
      <w:pPr>
        <w:sectPr>
          <w:pgSz w:w="11900" w:h="16838" w:orient="portrait"/>
          <w:cols w:equalWidth="0" w:num="1">
            <w:col w:w="10219"/>
          </w:cols>
          <w:pgMar w:left="240" w:top="723" w:right="1440" w:bottom="1440" w:gutter="0" w:footer="0" w:header="0"/>
        </w:sectPr>
      </w:pPr>
    </w:p>
    <w:bookmarkStart w:id="20" w:name="page21"/>
    <w:bookmarkEnd w:id="20"/>
    <w:p>
      <w:pPr>
        <w:ind w:left="1480"/>
        <w:spacing w:after="0"/>
        <w:rPr>
          <w:sz w:val="20"/>
          <w:szCs w:val="20"/>
          <w:color w:val="auto"/>
        </w:rPr>
      </w:pPr>
      <w:r>
        <w:rPr>
          <w:rFonts w:ascii="Courier New" w:cs="Courier New" w:eastAsia="Courier New" w:hAnsi="Courier New"/>
          <w:sz w:val="18"/>
          <w:szCs w:val="18"/>
          <w:color w:val="auto"/>
        </w:rPr>
        <w:t>PART II - 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 Exhibits and Reports on Form 8-K</w:t>
      </w:r>
    </w:p>
    <w:p>
      <w:pPr>
        <w:spacing w:after="0" w:line="201" w:lineRule="exact"/>
        <w:rPr>
          <w:sz w:val="20"/>
          <w:szCs w:val="20"/>
          <w:color w:val="auto"/>
        </w:rPr>
      </w:pPr>
    </w:p>
    <w:p>
      <w:pPr>
        <w:ind w:left="640" w:hanging="421"/>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w:t>
      </w:r>
      <w:r>
        <w:rPr>
          <w:rFonts w:ascii="Courier New" w:cs="Courier New" w:eastAsia="Courier New" w:hAnsi="Courier New"/>
          <w:sz w:val="16"/>
          <w:szCs w:val="16"/>
          <w:color w:val="auto"/>
        </w:rPr>
        <w:t>Financial Data Schedule</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filed one current report on Form 8-K</w:t>
      </w:r>
    </w:p>
    <w:p>
      <w:pPr>
        <w:spacing w:after="0" w:line="4"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dated July 25, 2000 with respect to Item 5 - Other Events.</w:t>
      </w:r>
    </w:p>
    <w:p>
      <w:pPr>
        <w:sectPr>
          <w:pgSz w:w="11900" w:h="16838" w:orient="portrait"/>
          <w:cols w:equalWidth="0" w:num="1">
            <w:col w:w="10219"/>
          </w:cols>
          <w:pgMar w:left="240" w:top="717" w:right="1440" w:bottom="1440" w:gutter="0" w:footer="0" w:header="0"/>
        </w:sectPr>
      </w:pPr>
    </w:p>
    <w:bookmarkStart w:id="21" w:name="page22"/>
    <w:bookmarkEnd w:id="21"/>
    <w:p>
      <w:pPr>
        <w:ind w:left="232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4419"/>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4619"/>
        <w:spacing w:after="0"/>
        <w:rPr>
          <w:sz w:val="20"/>
          <w:szCs w:val="20"/>
          <w:color w:val="auto"/>
        </w:rPr>
      </w:pPr>
      <w:r>
        <w:rPr>
          <w:rFonts w:ascii="Courier New" w:cs="Courier New" w:eastAsia="Courier New" w:hAnsi="Courier New"/>
          <w:sz w:val="18"/>
          <w:szCs w:val="18"/>
          <w:color w:val="auto"/>
        </w:rPr>
        <w:t>MANPOWER INC.</w:t>
      </w:r>
    </w:p>
    <w:p>
      <w:pPr>
        <w:jc w:val="right"/>
        <w:ind w:right="4619"/>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13,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3039"/>
        <w:spacing w:after="0"/>
        <w:rPr>
          <w:sz w:val="20"/>
          <w:szCs w:val="20"/>
          <w:color w:val="auto"/>
        </w:rPr>
      </w:pPr>
      <w:r>
        <w:rPr>
          <w:rFonts w:ascii="Courier New" w:cs="Courier New" w:eastAsia="Courier New" w:hAnsi="Courier New"/>
          <w:sz w:val="18"/>
          <w:szCs w:val="18"/>
          <w:color w:val="auto"/>
        </w:rPr>
        <w:t>/s/ Michael J. Van Handel -------------------------------------- Michael J. Van Handel Senior Vice President, Chief Financial Officer and Secretary (Signing on behalf of the Registrant and as the Principal Financial Officer and Principal Accounting Officer)</w:t>
      </w:r>
    </w:p>
    <w:p>
      <w:pPr>
        <w:sectPr>
          <w:pgSz w:w="11900" w:h="16838" w:orient="portrait"/>
          <w:cols w:equalWidth="0" w:num="2">
            <w:col w:w="2440" w:space="720"/>
            <w:col w:w="7059"/>
          </w:cols>
          <w:pgMar w:left="240" w:top="919" w:right="1440" w:bottom="1440" w:gutter="0" w:footer="0" w:header="0"/>
          <w:type w:val="continuous"/>
        </w:sectPr>
      </w:pPr>
    </w:p>
    <w:bookmarkStart w:id="22" w:name="page23"/>
    <w:bookmarkEnd w:id="22"/>
    <w:p>
      <w:pPr>
        <w:jc w:val="center"/>
        <w:ind w:right="119"/>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left="420" w:right="3539" w:hanging="842"/>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FINANCIAL STATEMENTS OF THE REGISTRANT AS OF AND FOR THE NINE MONTHS ENDED SEPTEMBER 30, 2000 AND IS QUALIFIED IN ITS ENTIRETY BY REFERENCE TO SUCH FINANCIAL STATEMENTS. ALL AMOUNTS BELOW, EXCEPT FOR EPS FIGURES, HAVE BEEN ROUNDED TO THE NEAREST HUNDRED.</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1,000</w:t>
      </w:r>
    </w:p>
    <w:p>
      <w:pPr>
        <w:ind w:left="3580"/>
        <w:spacing w:after="0" w:line="238" w:lineRule="auto"/>
        <w:rPr>
          <w:sz w:val="20"/>
          <w:szCs w:val="20"/>
          <w:color w:val="auto"/>
        </w:rPr>
      </w:pPr>
      <w:r>
        <w:rPr>
          <w:rFonts w:ascii="Courier New" w:cs="Courier New" w:eastAsia="Courier New" w:hAnsi="Courier New"/>
          <w:sz w:val="18"/>
          <w:szCs w:val="18"/>
          <w:color w:val="auto"/>
        </w:rPr>
        <w:t>9-MOS</w:t>
      </w:r>
    </w:p>
    <w:p>
      <w:pPr>
        <w:ind w:left="2520"/>
        <w:spacing w:after="0"/>
        <w:rPr>
          <w:sz w:val="20"/>
          <w:szCs w:val="20"/>
          <w:color w:val="auto"/>
        </w:rPr>
      </w:pPr>
      <w:r>
        <w:rPr>
          <w:rFonts w:ascii="Courier New" w:cs="Courier New" w:eastAsia="Courier New" w:hAnsi="Courier New"/>
          <w:sz w:val="18"/>
          <w:szCs w:val="18"/>
          <w:color w:val="auto"/>
        </w:rPr>
        <w:t>DEC-31-2000</w:t>
      </w:r>
    </w:p>
    <w:p>
      <w:pPr>
        <w:ind w:left="3040"/>
        <w:spacing w:after="0" w:line="237" w:lineRule="auto"/>
        <w:rPr>
          <w:sz w:val="20"/>
          <w:szCs w:val="20"/>
          <w:color w:val="auto"/>
        </w:rPr>
      </w:pPr>
      <w:r>
        <w:rPr>
          <w:rFonts w:ascii="Courier New" w:cs="Courier New" w:eastAsia="Courier New" w:hAnsi="Courier New"/>
          <w:sz w:val="18"/>
          <w:szCs w:val="18"/>
          <w:color w:val="auto"/>
        </w:rPr>
        <w:t>SEP-30-2000</w:t>
      </w:r>
    </w:p>
    <w:p>
      <w:pPr>
        <w:ind w:left="4100"/>
        <w:spacing w:after="0" w:line="238" w:lineRule="auto"/>
        <w:rPr>
          <w:sz w:val="20"/>
          <w:szCs w:val="20"/>
          <w:color w:val="auto"/>
        </w:rPr>
      </w:pPr>
      <w:r>
        <w:rPr>
          <w:rFonts w:ascii="Courier New" w:cs="Courier New" w:eastAsia="Courier New" w:hAnsi="Courier New"/>
          <w:sz w:val="18"/>
          <w:szCs w:val="18"/>
          <w:color w:val="auto"/>
        </w:rPr>
        <w:t>175,300</w:t>
      </w:r>
    </w:p>
    <w:p>
      <w:pPr>
        <w:ind w:left="4100"/>
        <w:spacing w:after="0"/>
        <w:rPr>
          <w:sz w:val="20"/>
          <w:szCs w:val="20"/>
          <w:color w:val="auto"/>
        </w:rPr>
      </w:pPr>
      <w:r>
        <w:rPr>
          <w:rFonts w:ascii="Courier New" w:cs="Courier New" w:eastAsia="Courier New" w:hAnsi="Courier New"/>
          <w:sz w:val="18"/>
          <w:szCs w:val="18"/>
          <w:color w:val="auto"/>
        </w:rPr>
        <w:t>0</w:t>
      </w:r>
    </w:p>
    <w:p>
      <w:pPr>
        <w:ind w:left="3160"/>
        <w:spacing w:after="0" w:line="237" w:lineRule="auto"/>
        <w:rPr>
          <w:sz w:val="20"/>
          <w:szCs w:val="20"/>
          <w:color w:val="auto"/>
        </w:rPr>
      </w:pPr>
      <w:r>
        <w:rPr>
          <w:rFonts w:ascii="Courier New" w:cs="Courier New" w:eastAsia="Courier New" w:hAnsi="Courier New"/>
          <w:sz w:val="18"/>
          <w:szCs w:val="18"/>
          <w:color w:val="auto"/>
        </w:rPr>
        <w:t>2,090,700</w:t>
      </w:r>
    </w:p>
    <w:p>
      <w:pPr>
        <w:ind w:left="3580"/>
        <w:spacing w:after="0"/>
        <w:rPr>
          <w:sz w:val="20"/>
          <w:szCs w:val="20"/>
          <w:color w:val="auto"/>
        </w:rPr>
      </w:pPr>
      <w:r>
        <w:rPr>
          <w:rFonts w:ascii="Courier New" w:cs="Courier New" w:eastAsia="Courier New" w:hAnsi="Courier New"/>
          <w:sz w:val="18"/>
          <w:szCs w:val="18"/>
          <w:color w:val="auto"/>
        </w:rPr>
        <w:t>54,100</w:t>
      </w:r>
    </w:p>
    <w:p>
      <w:pPr>
        <w:jc w:val="center"/>
        <w:ind w:right="499"/>
        <w:spacing w:after="0" w:line="237" w:lineRule="auto"/>
        <w:rPr>
          <w:sz w:val="20"/>
          <w:szCs w:val="20"/>
          <w:color w:val="auto"/>
        </w:rPr>
      </w:pPr>
      <w:r>
        <w:rPr>
          <w:rFonts w:ascii="Courier New" w:cs="Courier New" w:eastAsia="Courier New" w:hAnsi="Courier New"/>
          <w:sz w:val="18"/>
          <w:szCs w:val="18"/>
          <w:color w:val="auto"/>
        </w:rPr>
        <w:t>0</w:t>
      </w:r>
    </w:p>
    <w:p>
      <w:pPr>
        <w:ind w:left="2840"/>
        <w:spacing w:after="0"/>
        <w:rPr>
          <w:sz w:val="20"/>
          <w:szCs w:val="20"/>
          <w:color w:val="auto"/>
        </w:rPr>
      </w:pPr>
      <w:r>
        <w:rPr>
          <w:rFonts w:ascii="Courier New" w:cs="Courier New" w:eastAsia="Courier New" w:hAnsi="Courier New"/>
          <w:sz w:val="18"/>
          <w:szCs w:val="18"/>
          <w:color w:val="auto"/>
        </w:rPr>
        <w:t>2,380,200</w:t>
      </w:r>
    </w:p>
    <w:p>
      <w:pPr>
        <w:jc w:val="center"/>
        <w:ind w:right="79"/>
        <w:spacing w:after="0" w:line="237" w:lineRule="auto"/>
        <w:rPr>
          <w:sz w:val="20"/>
          <w:szCs w:val="20"/>
          <w:color w:val="auto"/>
        </w:rPr>
      </w:pPr>
      <w:r>
        <w:rPr>
          <w:rFonts w:ascii="Courier New" w:cs="Courier New" w:eastAsia="Courier New" w:hAnsi="Courier New"/>
          <w:sz w:val="18"/>
          <w:szCs w:val="18"/>
          <w:color w:val="auto"/>
        </w:rPr>
        <w:t>413,300</w:t>
      </w:r>
    </w:p>
    <w:p>
      <w:pPr>
        <w:ind w:left="3260"/>
        <w:spacing w:after="0" w:line="238" w:lineRule="auto"/>
        <w:rPr>
          <w:sz w:val="20"/>
          <w:szCs w:val="20"/>
          <w:color w:val="auto"/>
        </w:rPr>
      </w:pPr>
      <w:r>
        <w:rPr>
          <w:rFonts w:ascii="Courier New" w:cs="Courier New" w:eastAsia="Courier New" w:hAnsi="Courier New"/>
          <w:sz w:val="18"/>
          <w:szCs w:val="18"/>
          <w:color w:val="auto"/>
        </w:rPr>
        <w:t>240,100</w:t>
      </w:r>
    </w:p>
    <w:p>
      <w:pPr>
        <w:ind w:left="3040"/>
        <w:spacing w:after="0"/>
        <w:rPr>
          <w:sz w:val="20"/>
          <w:szCs w:val="20"/>
          <w:color w:val="auto"/>
        </w:rPr>
      </w:pPr>
      <w:r>
        <w:rPr>
          <w:rFonts w:ascii="Courier New" w:cs="Courier New" w:eastAsia="Courier New" w:hAnsi="Courier New"/>
          <w:sz w:val="18"/>
          <w:szCs w:val="18"/>
          <w:color w:val="auto"/>
        </w:rPr>
        <w:t>2,974,600</w:t>
      </w:r>
    </w:p>
    <w:p>
      <w:pPr>
        <w:ind w:left="2320"/>
        <w:spacing w:after="0" w:line="237" w:lineRule="auto"/>
        <w:rPr>
          <w:sz w:val="20"/>
          <w:szCs w:val="20"/>
          <w:color w:val="auto"/>
        </w:rPr>
      </w:pPr>
      <w:r>
        <w:rPr>
          <w:rFonts w:ascii="Courier New" w:cs="Courier New" w:eastAsia="Courier New" w:hAnsi="Courier New"/>
          <w:sz w:val="18"/>
          <w:szCs w:val="18"/>
          <w:color w:val="auto"/>
        </w:rPr>
        <w:t>1,513,100</w:t>
      </w:r>
    </w:p>
    <w:p>
      <w:pPr>
        <w:jc w:val="center"/>
        <w:ind w:right="279"/>
        <w:spacing w:after="0"/>
        <w:rPr>
          <w:sz w:val="20"/>
          <w:szCs w:val="20"/>
          <w:color w:val="auto"/>
        </w:rPr>
      </w:pPr>
      <w:r>
        <w:rPr>
          <w:rFonts w:ascii="Courier New" w:cs="Courier New" w:eastAsia="Courier New" w:hAnsi="Courier New"/>
          <w:sz w:val="18"/>
          <w:szCs w:val="18"/>
          <w:color w:val="auto"/>
        </w:rPr>
        <w:t>491,100</w:t>
      </w:r>
    </w:p>
    <w:p>
      <w:pPr>
        <w:ind w:left="3160"/>
        <w:spacing w:after="0" w:line="237" w:lineRule="auto"/>
        <w:rPr>
          <w:sz w:val="20"/>
          <w:szCs w:val="20"/>
          <w:color w:val="auto"/>
        </w:rPr>
      </w:pPr>
      <w:r>
        <w:rPr>
          <w:rFonts w:ascii="Courier New" w:cs="Courier New" w:eastAsia="Courier New" w:hAnsi="Courier New"/>
          <w:sz w:val="18"/>
          <w:szCs w:val="18"/>
          <w:color w:val="auto"/>
        </w:rPr>
        <w:t>0</w:t>
      </w:r>
    </w:p>
    <w:p>
      <w:pPr>
        <w:jc w:val="center"/>
        <w:ind w:right="499"/>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800</w:t>
      </w:r>
    </w:p>
    <w:p>
      <w:pPr>
        <w:ind w:left="3680"/>
        <w:spacing w:after="0" w:line="238" w:lineRule="auto"/>
        <w:rPr>
          <w:sz w:val="20"/>
          <w:szCs w:val="20"/>
          <w:color w:val="auto"/>
        </w:rPr>
      </w:pPr>
      <w:r>
        <w:rPr>
          <w:rFonts w:ascii="Courier New" w:cs="Courier New" w:eastAsia="Courier New" w:hAnsi="Courier New"/>
          <w:sz w:val="18"/>
          <w:szCs w:val="18"/>
          <w:color w:val="auto"/>
        </w:rPr>
        <w:t>674,500</w:t>
      </w:r>
    </w:p>
    <w:p>
      <w:pPr>
        <w:ind w:left="1580"/>
        <w:spacing w:after="0"/>
        <w:rPr>
          <w:sz w:val="20"/>
          <w:szCs w:val="20"/>
          <w:color w:val="auto"/>
        </w:rPr>
      </w:pPr>
      <w:r>
        <w:rPr>
          <w:rFonts w:ascii="Courier New" w:cs="Courier New" w:eastAsia="Courier New" w:hAnsi="Courier New"/>
          <w:sz w:val="18"/>
          <w:szCs w:val="18"/>
          <w:color w:val="auto"/>
        </w:rPr>
        <w:t>2,974,600</w:t>
      </w:r>
    </w:p>
    <w:p>
      <w:pPr>
        <w:ind w:left="4620"/>
        <w:spacing w:after="0" w:line="237" w:lineRule="auto"/>
        <w:rPr>
          <w:sz w:val="20"/>
          <w:szCs w:val="20"/>
          <w:color w:val="auto"/>
        </w:rPr>
      </w:pPr>
      <w:r>
        <w:rPr>
          <w:rFonts w:ascii="Courier New" w:cs="Courier New" w:eastAsia="Courier New" w:hAnsi="Courier New"/>
          <w:sz w:val="18"/>
          <w:szCs w:val="18"/>
          <w:color w:val="auto"/>
        </w:rPr>
        <w:t>0</w:t>
      </w:r>
    </w:p>
    <w:p>
      <w:pPr>
        <w:ind w:left="2840"/>
        <w:spacing w:after="0"/>
        <w:rPr>
          <w:sz w:val="20"/>
          <w:szCs w:val="20"/>
          <w:color w:val="auto"/>
        </w:rPr>
      </w:pPr>
      <w:r>
        <w:rPr>
          <w:rFonts w:ascii="Courier New" w:cs="Courier New" w:eastAsia="Courier New" w:hAnsi="Courier New"/>
          <w:sz w:val="18"/>
          <w:szCs w:val="18"/>
          <w:color w:val="auto"/>
        </w:rPr>
        <w:t>8,103,300</w:t>
      </w:r>
    </w:p>
    <w:p>
      <w:pPr>
        <w:ind w:left="4840"/>
        <w:spacing w:after="0" w:line="237" w:lineRule="auto"/>
        <w:rPr>
          <w:sz w:val="20"/>
          <w:szCs w:val="20"/>
          <w:color w:val="auto"/>
        </w:rPr>
      </w:pPr>
      <w:r>
        <w:rPr>
          <w:rFonts w:ascii="Courier New" w:cs="Courier New" w:eastAsia="Courier New" w:hAnsi="Courier New"/>
          <w:sz w:val="18"/>
          <w:szCs w:val="18"/>
          <w:color w:val="auto"/>
        </w:rPr>
        <w:t>0</w:t>
      </w:r>
    </w:p>
    <w:p>
      <w:pPr>
        <w:ind w:left="3160"/>
        <w:spacing w:after="0"/>
        <w:rPr>
          <w:sz w:val="20"/>
          <w:szCs w:val="20"/>
          <w:color w:val="auto"/>
        </w:rPr>
      </w:pPr>
      <w:r>
        <w:rPr>
          <w:rFonts w:ascii="Courier New" w:cs="Courier New" w:eastAsia="Courier New" w:hAnsi="Courier New"/>
          <w:sz w:val="18"/>
          <w:szCs w:val="18"/>
          <w:color w:val="auto"/>
        </w:rPr>
        <w:t>6,672,200</w:t>
      </w:r>
    </w:p>
    <w:p>
      <w:pPr>
        <w:ind w:left="3680"/>
        <w:spacing w:after="0" w:line="237" w:lineRule="auto"/>
        <w:rPr>
          <w:sz w:val="20"/>
          <w:szCs w:val="20"/>
          <w:color w:val="auto"/>
        </w:rPr>
      </w:pPr>
      <w:r>
        <w:rPr>
          <w:rFonts w:ascii="Courier New" w:cs="Courier New" w:eastAsia="Courier New" w:hAnsi="Courier New"/>
          <w:sz w:val="18"/>
          <w:szCs w:val="18"/>
          <w:color w:val="auto"/>
        </w:rPr>
        <w:t>0</w:t>
      </w:r>
    </w:p>
    <w:p>
      <w:pPr>
        <w:ind w:left="3160"/>
        <w:spacing w:after="0"/>
        <w:rPr>
          <w:sz w:val="20"/>
          <w:szCs w:val="20"/>
          <w:color w:val="auto"/>
        </w:rPr>
      </w:pPr>
      <w:r>
        <w:rPr>
          <w:rFonts w:ascii="Courier New" w:cs="Courier New" w:eastAsia="Courier New" w:hAnsi="Courier New"/>
          <w:sz w:val="18"/>
          <w:szCs w:val="18"/>
          <w:color w:val="auto"/>
        </w:rPr>
        <w:t>17,300</w:t>
      </w:r>
    </w:p>
    <w:p>
      <w:pPr>
        <w:ind w:left="2940"/>
        <w:spacing w:after="0" w:line="237" w:lineRule="auto"/>
        <w:rPr>
          <w:sz w:val="20"/>
          <w:szCs w:val="20"/>
          <w:color w:val="auto"/>
        </w:rPr>
      </w:pPr>
      <w:r>
        <w:rPr>
          <w:rFonts w:ascii="Courier New" w:cs="Courier New" w:eastAsia="Courier New" w:hAnsi="Courier New"/>
          <w:sz w:val="18"/>
          <w:szCs w:val="18"/>
          <w:color w:val="auto"/>
        </w:rPr>
        <w:t>25,600</w:t>
      </w:r>
    </w:p>
    <w:p>
      <w:pPr>
        <w:ind w:left="3160"/>
        <w:spacing w:after="0" w:line="238" w:lineRule="auto"/>
        <w:rPr>
          <w:sz w:val="20"/>
          <w:szCs w:val="20"/>
          <w:color w:val="auto"/>
        </w:rPr>
      </w:pPr>
      <w:r>
        <w:rPr>
          <w:rFonts w:ascii="Courier New" w:cs="Courier New" w:eastAsia="Courier New" w:hAnsi="Courier New"/>
          <w:sz w:val="18"/>
          <w:szCs w:val="18"/>
          <w:color w:val="auto"/>
        </w:rPr>
        <w:t>182,500</w:t>
      </w:r>
    </w:p>
    <w:p>
      <w:pPr>
        <w:ind w:left="3580"/>
        <w:spacing w:after="0"/>
        <w:rPr>
          <w:sz w:val="20"/>
          <w:szCs w:val="20"/>
          <w:color w:val="auto"/>
        </w:rPr>
      </w:pPr>
      <w:r>
        <w:rPr>
          <w:rFonts w:ascii="Courier New" w:cs="Courier New" w:eastAsia="Courier New" w:hAnsi="Courier New"/>
          <w:sz w:val="18"/>
          <w:szCs w:val="18"/>
          <w:color w:val="auto"/>
        </w:rPr>
        <w:t>64,800</w:t>
      </w:r>
    </w:p>
    <w:p>
      <w:pPr>
        <w:ind w:left="2740"/>
        <w:spacing w:after="0" w:line="237" w:lineRule="auto"/>
        <w:rPr>
          <w:sz w:val="20"/>
          <w:szCs w:val="20"/>
          <w:color w:val="auto"/>
        </w:rPr>
      </w:pPr>
      <w:r>
        <w:rPr>
          <w:rFonts w:ascii="Courier New" w:cs="Courier New" w:eastAsia="Courier New" w:hAnsi="Courier New"/>
          <w:sz w:val="18"/>
          <w:szCs w:val="18"/>
          <w:color w:val="auto"/>
        </w:rPr>
        <w:t>117,700</w:t>
      </w:r>
    </w:p>
    <w:p>
      <w:pPr>
        <w:ind w:left="3900"/>
        <w:spacing w:after="0"/>
        <w:rPr>
          <w:sz w:val="20"/>
          <w:szCs w:val="20"/>
          <w:color w:val="auto"/>
        </w:rPr>
      </w:pPr>
      <w:r>
        <w:rPr>
          <w:rFonts w:ascii="Courier New" w:cs="Courier New" w:eastAsia="Courier New" w:hAnsi="Courier New"/>
          <w:sz w:val="18"/>
          <w:szCs w:val="18"/>
          <w:color w:val="auto"/>
        </w:rPr>
        <w:t>0</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jc w:val="center"/>
        <w:ind w:right="59"/>
        <w:spacing w:after="0"/>
        <w:rPr>
          <w:sz w:val="20"/>
          <w:szCs w:val="20"/>
          <w:color w:val="auto"/>
        </w:rPr>
      </w:pPr>
      <w:r>
        <w:rPr>
          <w:rFonts w:ascii="Courier New" w:cs="Courier New" w:eastAsia="Courier New" w:hAnsi="Courier New"/>
          <w:sz w:val="18"/>
          <w:szCs w:val="18"/>
          <w:color w:val="auto"/>
        </w:rPr>
        <w:t>0</w:t>
      </w:r>
    </w:p>
    <w:p>
      <w:pPr>
        <w:ind w:left="3480"/>
        <w:spacing w:after="0" w:line="237" w:lineRule="auto"/>
        <w:rPr>
          <w:sz w:val="20"/>
          <w:szCs w:val="20"/>
          <w:color w:val="auto"/>
        </w:rPr>
      </w:pPr>
      <w:r>
        <w:rPr>
          <w:rFonts w:ascii="Courier New" w:cs="Courier New" w:eastAsia="Courier New" w:hAnsi="Courier New"/>
          <w:sz w:val="18"/>
          <w:szCs w:val="18"/>
          <w:color w:val="auto"/>
        </w:rPr>
        <w:t>117,700</w:t>
      </w:r>
    </w:p>
    <w:p>
      <w:pPr>
        <w:ind w:left="3680"/>
        <w:spacing w:after="0" w:line="238" w:lineRule="auto"/>
        <w:rPr>
          <w:sz w:val="20"/>
          <w:szCs w:val="20"/>
          <w:color w:val="auto"/>
        </w:rPr>
      </w:pPr>
      <w:r>
        <w:rPr>
          <w:rFonts w:ascii="Courier New" w:cs="Courier New" w:eastAsia="Courier New" w:hAnsi="Courier New"/>
          <w:sz w:val="18"/>
          <w:szCs w:val="18"/>
          <w:color w:val="auto"/>
        </w:rPr>
        <w:t>1.55</w:t>
      </w:r>
    </w:p>
    <w:p>
      <w:pPr>
        <w:ind w:left="3680"/>
        <w:spacing w:after="0"/>
        <w:rPr>
          <w:sz w:val="20"/>
          <w:szCs w:val="20"/>
          <w:color w:val="auto"/>
        </w:rPr>
      </w:pPr>
      <w:r>
        <w:rPr>
          <w:rFonts w:ascii="Courier New" w:cs="Courier New" w:eastAsia="Courier New" w:hAnsi="Courier New"/>
          <w:sz w:val="18"/>
          <w:szCs w:val="18"/>
          <w:color w:val="auto"/>
        </w:rPr>
        <w:t>1.52</w:t>
      </w:r>
    </w:p>
    <w:sectPr>
      <w:pgSz w:w="11900" w:h="16838" w:orient="portrait"/>
      <w:cols w:equalWidth="0" w:num="1">
        <w:col w:w="9019"/>
      </w:cols>
      <w:pgMar w:left="14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8"/>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2019-12-19T23:46:15Z</dcterms:created>
  <dcterms:modified xsi:type="dcterms:W3CDTF">2019-12-19T23:46:15Z</dcterms:modified>
</cp:coreProperties>
</file>