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4084955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-1762760</wp:posOffset>
            </wp:positionH>
            <wp:positionV relativeFrom="paragraph">
              <wp:posOffset>15875</wp:posOffset>
            </wp:positionV>
            <wp:extent cx="7325995" cy="4164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164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0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BURNS STEPHANIE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34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DOW CORNING CORPORATION P.O. BOX 994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9" w:right="740" w:firstLine="9"/>
        <w:spacing w:after="0" w:line="238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1"/>
        <w:spacing w:after="0"/>
        <w:tabs>
          <w:tab w:leader="none" w:pos="531" w:val="left"/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51"/>
        <w:spacing w:after="0"/>
        <w:tabs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MIDLAND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48686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633.0913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633.0913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47.515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904.1965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will be settled in shares of Manpower common stock on a 1 for 1 basis within 30 days after the reporting person's termination of service as a director.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2"/>
        <w:spacing w:after="0" w:line="25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2003 Equity Incentive Plan of Manpower Inc. (the "Plan") and the Terms and Conditions Regarding the Grant of Awards to Non-Employee Directors under the Plan (the "Terms and Conditions") in lieu of 50% of the Retainer (as defined in the Terms and Conditions) and dividends.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631.3796 shares of deferred stock in lieu of the Retainer plus 1.7117 shares of deferred stock in lieu of dividends.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J. VanHandel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-11430</wp:posOffset>
            </wp:positionV>
            <wp:extent cx="13760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 previously  01/04/2005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-15875</wp:posOffset>
            </wp:positionV>
            <wp:extent cx="1939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-15875</wp:posOffset>
            </wp:positionV>
            <wp:extent cx="231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709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2019-12-16T07:40:36Z</dcterms:created>
  <dcterms:modified xsi:type="dcterms:W3CDTF">2019-12-16T07:40:36Z</dcterms:modified>
</cp:coreProperties>
</file>