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5"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ind w:left="1140"/>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ind w:left="120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10, 2008</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9"/>
              </w:rPr>
              <w:t>1-10686</w:t>
            </w:r>
          </w:p>
        </w:tc>
        <w:tc>
          <w:tcPr>
            <w:tcW w:w="1180" w:type="dxa"/>
            <w:vAlign w:val="bottom"/>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gridSpan w:val="3"/>
          </w:tcPr>
          <w:p>
            <w:pPr>
              <w:jc w:val="center"/>
              <w:ind w:right="560"/>
              <w:spacing w:after="0"/>
              <w:rPr>
                <w:sz w:val="20"/>
                <w:szCs w:val="20"/>
                <w:color w:val="auto"/>
              </w:rPr>
            </w:pPr>
            <w:r>
              <w:rPr>
                <w:rFonts w:ascii="Arial" w:cs="Arial" w:eastAsia="Arial" w:hAnsi="Arial"/>
                <w:sz w:val="22"/>
                <w:szCs w:val="22"/>
                <w:color w:val="auto"/>
                <w:w w:val="90"/>
              </w:rPr>
              <w:t>(State or other jurisdiction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0"/>
              </w:rPr>
              <w:t>(Commission</w:t>
            </w:r>
          </w:p>
        </w:tc>
        <w:tc>
          <w:tcPr>
            <w:tcW w:w="14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2"/>
          </w:tcPr>
          <w:p>
            <w:pPr>
              <w:jc w:val="center"/>
              <w:ind w:right="660"/>
              <w:spacing w:after="0"/>
              <w:rPr>
                <w:sz w:val="20"/>
                <w:szCs w:val="20"/>
                <w:color w:val="auto"/>
              </w:rPr>
            </w:pPr>
            <w:r>
              <w:rPr>
                <w:rFonts w:ascii="Arial" w:cs="Arial" w:eastAsia="Arial" w:hAnsi="Arial"/>
                <w:sz w:val="22"/>
                <w:szCs w:val="22"/>
                <w:color w:val="auto"/>
                <w:w w:val="91"/>
              </w:rPr>
              <w:t>of incorporation)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1"/>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jc w:val="center"/>
              <w:ind w:left="172"/>
              <w:spacing w:after="0"/>
              <w:rPr>
                <w:sz w:val="20"/>
                <w:szCs w:val="20"/>
                <w:color w:val="auto"/>
              </w:rPr>
            </w:pPr>
            <w:r>
              <w:rPr>
                <w:rFonts w:ascii="Arial" w:cs="Arial" w:eastAsia="Arial" w:hAnsi="Arial"/>
                <w:sz w:val="22"/>
                <w:szCs w:val="22"/>
                <w:color w:val="auto"/>
                <w:w w:val="89"/>
              </w:rPr>
              <w:t>100 Manpower Place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jc w:val="center"/>
              <w:ind w:left="152"/>
              <w:spacing w:after="0" w:line="190" w:lineRule="exact"/>
              <w:rPr>
                <w:sz w:val="20"/>
                <w:szCs w:val="20"/>
                <w:color w:val="auto"/>
              </w:rPr>
            </w:pPr>
            <w:r>
              <w:rPr>
                <w:rFonts w:ascii="Arial" w:cs="Arial" w:eastAsia="Arial" w:hAnsi="Arial"/>
                <w:sz w:val="22"/>
                <w:szCs w:val="22"/>
                <w:color w:val="auto"/>
                <w:w w:val="91"/>
              </w:rPr>
              <w:t>Milwaukee, Wisconsin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720" w:type="dxa"/>
            <w:vAlign w:val="bottom"/>
            <w:gridSpan w:val="8"/>
          </w:tcPr>
          <w:p>
            <w:pPr>
              <w:jc w:val="center"/>
              <w:ind w:right="2300"/>
              <w:spacing w:after="0"/>
              <w:rPr>
                <w:sz w:val="20"/>
                <w:szCs w:val="20"/>
                <w:color w:val="auto"/>
              </w:rPr>
            </w:pPr>
            <w:r>
              <w:rPr>
                <w:rFonts w:ascii="Arial" w:cs="Arial" w:eastAsia="Arial" w:hAnsi="Arial"/>
                <w:sz w:val="22"/>
                <w:szCs w:val="22"/>
                <w:color w:val="auto"/>
                <w:w w:val="90"/>
              </w:rPr>
              <w:t>(Address of principal executive offices)</w:t>
            </w:r>
          </w:p>
        </w:tc>
        <w:tc>
          <w:tcPr>
            <w:tcW w:w="1700" w:type="dxa"/>
            <w:vAlign w:val="bottom"/>
            <w:gridSpan w:val="3"/>
          </w:tcPr>
          <w:p>
            <w:pPr>
              <w:jc w:val="center"/>
              <w:ind w:right="580"/>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ind w:right="187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321" w:lineRule="exact"/>
        <w:rPr>
          <w:rFonts w:ascii="Arial" w:cs="Arial" w:eastAsia="Arial" w:hAnsi="Arial"/>
          <w:sz w:val="19"/>
          <w:szCs w:val="19"/>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321" w:lineRule="exact"/>
        <w:rPr>
          <w:rFonts w:ascii="Arial" w:cs="Arial" w:eastAsia="Arial" w:hAnsi="Arial"/>
          <w:sz w:val="19"/>
          <w:szCs w:val="19"/>
          <w:color w:val="auto"/>
        </w:rPr>
      </w:pPr>
    </w:p>
    <w:p>
      <w:pPr>
        <w:ind w:left="360" w:right="187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rFonts w:ascii="Arial" w:cs="Arial" w:eastAsia="Arial" w:hAnsi="Arial"/>
          <w:sz w:val="22"/>
          <w:szCs w:val="22"/>
          <w:color w:val="auto"/>
        </w:rPr>
      </w:pPr>
    </w:p>
    <w:p>
      <w:pPr>
        <w:ind w:left="360" w:right="189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0219"/>
          </w:cols>
          <w:pgMar w:left="240" w:top="220" w:right="1440" w:bottom="1440" w:gutter="0" w:footer="0" w:header="0"/>
        </w:sectPr>
      </w:pPr>
    </w:p>
    <w:bookmarkStart w:id="1" w:name="page2"/>
    <w:bookmarkEnd w:id="1"/>
    <w:p>
      <w:pPr>
        <w:ind w:right="2479"/>
        <w:spacing w:after="0" w:line="335" w:lineRule="auto"/>
        <w:rPr>
          <w:sz w:val="20"/>
          <w:szCs w:val="20"/>
          <w:color w:val="auto"/>
        </w:rPr>
      </w:pPr>
      <w:r>
        <w:rPr>
          <w:rFonts w:ascii="Arial" w:cs="Arial" w:eastAsia="Arial" w:hAnsi="Arial"/>
          <w:sz w:val="19"/>
          <w:szCs w:val="19"/>
          <w:b w:val="1"/>
          <w:bCs w:val="1"/>
          <w:color w:val="auto"/>
        </w:rPr>
        <w:t>Item 5.02. Departure of Directors or Certain Officers; Election of Directors; Appointment of Certain Officers; Compensatory Arrangements of Certain Officers.</w:t>
      </w:r>
    </w:p>
    <w:p>
      <w:pPr>
        <w:spacing w:after="0" w:line="126" w:lineRule="exact"/>
        <w:rPr>
          <w:sz w:val="20"/>
          <w:szCs w:val="20"/>
          <w:color w:val="auto"/>
        </w:rPr>
      </w:pPr>
    </w:p>
    <w:p>
      <w:pPr>
        <w:ind w:right="1819" w:firstLine="378"/>
        <w:spacing w:after="0" w:line="274" w:lineRule="auto"/>
        <w:rPr>
          <w:sz w:val="20"/>
          <w:szCs w:val="20"/>
          <w:color w:val="auto"/>
        </w:rPr>
      </w:pPr>
      <w:r>
        <w:rPr>
          <w:rFonts w:ascii="Arial" w:cs="Arial" w:eastAsia="Arial" w:hAnsi="Arial"/>
          <w:sz w:val="21"/>
          <w:szCs w:val="21"/>
          <w:color w:val="auto"/>
        </w:rPr>
        <w:t>On November 10, 2008, Manpower Inc. (the “Company”) entered into amended and restated severance agreements which amended and restated the following agreements:</w:t>
      </w:r>
    </w:p>
    <w:p>
      <w:pPr>
        <w:spacing w:after="0" w:line="164" w:lineRule="exact"/>
        <w:rPr>
          <w:sz w:val="20"/>
          <w:szCs w:val="20"/>
          <w:color w:val="auto"/>
        </w:rPr>
      </w:pPr>
    </w:p>
    <w:p>
      <w:pPr>
        <w:ind w:left="720" w:hanging="334"/>
        <w:spacing w:after="0"/>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Severance Agreement, dated May 11, 2006 with Jonas Prising.</w:t>
      </w:r>
    </w:p>
    <w:p>
      <w:pPr>
        <w:spacing w:after="0" w:line="8" w:lineRule="exact"/>
        <w:rPr>
          <w:rFonts w:ascii="Arial" w:cs="Arial" w:eastAsia="Arial" w:hAnsi="Arial"/>
          <w:sz w:val="22"/>
          <w:szCs w:val="22"/>
          <w:color w:val="auto"/>
        </w:rPr>
      </w:pPr>
    </w:p>
    <w:p>
      <w:pPr>
        <w:ind w:left="720" w:hanging="334"/>
        <w:spacing w:after="0" w:line="217"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Severance Agreement, dated May 12, 2006 with Barbara Beck.</w:t>
      </w:r>
    </w:p>
    <w:p>
      <w:pPr>
        <w:ind w:left="720" w:hanging="334"/>
        <w:spacing w:after="0"/>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Severance Agreement, dated September 6, 2006 with Owen Sullivan.</w:t>
      </w:r>
    </w:p>
    <w:p>
      <w:pPr>
        <w:spacing w:after="0" w:line="215" w:lineRule="exact"/>
        <w:rPr>
          <w:sz w:val="20"/>
          <w:szCs w:val="20"/>
          <w:color w:val="auto"/>
        </w:rPr>
      </w:pPr>
    </w:p>
    <w:p>
      <w:pPr>
        <w:ind w:right="1799" w:firstLine="648"/>
        <w:spacing w:after="0" w:line="236" w:lineRule="auto"/>
        <w:rPr>
          <w:sz w:val="20"/>
          <w:szCs w:val="20"/>
          <w:color w:val="auto"/>
        </w:rPr>
      </w:pPr>
      <w:r>
        <w:rPr>
          <w:rFonts w:ascii="Arial" w:cs="Arial" w:eastAsia="Arial" w:hAnsi="Arial"/>
          <w:sz w:val="22"/>
          <w:szCs w:val="22"/>
          <w:color w:val="auto"/>
        </w:rPr>
        <w:t>The purpose of the amendments was to bring certain payments under such agreements into compliance with, or to secure certain exemptions from, Section 409A of the Internal Revenue Code of 1986, as amended (the “Code”), and the final and transitional guidance promulgated thereunder, and to take into account recent guidance issued under Section 162(m) of the Code.</w:t>
      </w:r>
    </w:p>
    <w:p>
      <w:pPr>
        <w:spacing w:after="0" w:line="188" w:lineRule="exact"/>
        <w:rPr>
          <w:sz w:val="20"/>
          <w:szCs w:val="20"/>
          <w:color w:val="auto"/>
        </w:rPr>
      </w:pPr>
    </w:p>
    <w:p>
      <w:pPr>
        <w:ind w:right="1859" w:firstLine="648"/>
        <w:spacing w:after="0" w:line="275" w:lineRule="auto"/>
        <w:rPr>
          <w:sz w:val="20"/>
          <w:szCs w:val="20"/>
          <w:color w:val="auto"/>
        </w:rPr>
      </w:pPr>
      <w:r>
        <w:rPr>
          <w:rFonts w:ascii="Arial" w:cs="Arial" w:eastAsia="Arial" w:hAnsi="Arial"/>
          <w:sz w:val="19"/>
          <w:szCs w:val="19"/>
          <w:color w:val="auto"/>
        </w:rPr>
        <w:t>In addition, the amendments modify the definition of “cause,” remove any section relating to the accelerated vesting of unvested stock options upon a change of control, and revise the section relating to potential payment cutbacks when amounts under the agreement would be subject to Section 4999 excise taxes upon a change of control. Finally, the amendments were made to provide consistent benefits for executive and senior officers, as compared to similar agreements entered into by the Company with other Company officers earlier this year, including, but not limited to, calculation of the prorated bonuses or bonuses used in determining the amount of severance payments upon certain terminations of employment.</w:t>
      </w:r>
    </w:p>
    <w:p>
      <w:pPr>
        <w:spacing w:after="0" w:line="185" w:lineRule="exact"/>
        <w:rPr>
          <w:sz w:val="20"/>
          <w:szCs w:val="20"/>
          <w:color w:val="auto"/>
        </w:rPr>
      </w:pPr>
    </w:p>
    <w:p>
      <w:pPr>
        <w:jc w:val="both"/>
        <w:ind w:right="1819" w:firstLine="648"/>
        <w:spacing w:after="0"/>
        <w:rPr>
          <w:sz w:val="20"/>
          <w:szCs w:val="20"/>
          <w:color w:val="auto"/>
        </w:rPr>
      </w:pPr>
      <w:r>
        <w:rPr>
          <w:rFonts w:ascii="Arial" w:cs="Arial" w:eastAsia="Arial" w:hAnsi="Arial"/>
          <w:sz w:val="22"/>
          <w:szCs w:val="22"/>
          <w:color w:val="auto"/>
        </w:rPr>
        <w:t>The foregoing brief description of the amendments is qualified in its entirety by reference to the amended and restated severance agreements filed therewith as exhibits 10.1, 10.2 and 10.3 which are incorporated by reference into this Item 5.02.</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Exhibits</w:t>
      </w:r>
    </w:p>
    <w:p>
      <w:pPr>
        <w:spacing w:after="0" w:line="247" w:lineRule="exact"/>
        <w:rPr>
          <w:sz w:val="20"/>
          <w:szCs w:val="20"/>
          <w:color w:val="auto"/>
        </w:rPr>
      </w:pPr>
    </w:p>
    <w:p>
      <w:pPr>
        <w:ind w:left="340"/>
        <w:spacing w:after="0"/>
        <w:tabs>
          <w:tab w:leader="none" w:pos="428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60" w:lineRule="exact"/>
        <w:rPr>
          <w:sz w:val="20"/>
          <w:szCs w:val="20"/>
          <w:color w:val="auto"/>
        </w:rPr>
      </w:pPr>
    </w:p>
    <w:p>
      <w:pPr>
        <w:ind w:left="1440" w:right="2519" w:hanging="782"/>
        <w:spacing w:after="0" w:line="245" w:lineRule="auto"/>
        <w:tabs>
          <w:tab w:leader="none" w:pos="14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Amended and Restated Severance Agreement dated November 10, 2008 between the Company and Jonas Prising</w:t>
      </w:r>
    </w:p>
    <w:p>
      <w:pPr>
        <w:spacing w:after="0" w:line="1" w:lineRule="exact"/>
        <w:rPr>
          <w:sz w:val="20"/>
          <w:szCs w:val="20"/>
          <w:color w:val="auto"/>
        </w:rPr>
      </w:pPr>
    </w:p>
    <w:p>
      <w:pPr>
        <w:ind w:left="1440" w:right="2519" w:hanging="782"/>
        <w:spacing w:after="0" w:line="243" w:lineRule="auto"/>
        <w:tabs>
          <w:tab w:leader="none" w:pos="14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color w:val="auto"/>
        </w:rPr>
        <w:t>Amended and Restated Severance Agreement dated November 10, 2008 between the Company and Barbara Beck</w:t>
      </w:r>
    </w:p>
    <w:p>
      <w:pPr>
        <w:spacing w:after="0" w:line="1" w:lineRule="exact"/>
        <w:rPr>
          <w:sz w:val="20"/>
          <w:szCs w:val="20"/>
          <w:color w:val="auto"/>
        </w:rPr>
      </w:pPr>
    </w:p>
    <w:p>
      <w:pPr>
        <w:ind w:left="1440" w:right="2519" w:hanging="782"/>
        <w:spacing w:after="0" w:line="246" w:lineRule="auto"/>
        <w:tabs>
          <w:tab w:leader="none" w:pos="142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color w:val="auto"/>
        </w:rPr>
        <w:t>Amended and Restated Severance Agreement dated November 10, 2008 between the Company and Owen Sullivan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111" w:right="1440" w:bottom="1440" w:gutter="0" w:footer="0" w:header="0"/>
        </w:sectPr>
      </w:pPr>
    </w:p>
    <w:bookmarkStart w:id="2" w:name="page3"/>
    <w:bookmarkEnd w:id="2"/>
    <w:p>
      <w:pPr>
        <w:jc w:val="center"/>
        <w:ind w:right="1759"/>
        <w:spacing w:after="0"/>
        <w:rPr>
          <w:sz w:val="20"/>
          <w:szCs w:val="20"/>
          <w:color w:val="auto"/>
        </w:rPr>
      </w:pPr>
      <w:r>
        <w:rPr>
          <w:rFonts w:ascii="Arial" w:cs="Arial" w:eastAsia="Arial" w:hAnsi="Arial"/>
          <w:sz w:val="22"/>
          <w:szCs w:val="22"/>
          <w:u w:val="single" w:color="auto"/>
          <w:color w:val="auto"/>
        </w:rPr>
        <w:t>SIGNATURES</w:t>
      </w:r>
    </w:p>
    <w:p>
      <w:pPr>
        <w:spacing w:after="0" w:line="234" w:lineRule="exact"/>
        <w:rPr>
          <w:sz w:val="20"/>
          <w:szCs w:val="20"/>
          <w:color w:val="auto"/>
        </w:rPr>
      </w:pPr>
    </w:p>
    <w:p>
      <w:pPr>
        <w:ind w:right="1979" w:firstLine="432"/>
        <w:spacing w:after="0" w:line="32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ind w:left="20"/>
        <w:spacing w:after="0"/>
        <w:tabs>
          <w:tab w:leader="none" w:pos="4200" w:val="left"/>
        </w:tabs>
        <w:rPr>
          <w:sz w:val="20"/>
          <w:szCs w:val="20"/>
          <w:color w:val="auto"/>
        </w:rPr>
      </w:pPr>
      <w:r>
        <w:rPr>
          <w:rFonts w:ascii="Arial" w:cs="Arial" w:eastAsia="Arial" w:hAnsi="Arial"/>
          <w:sz w:val="22"/>
          <w:szCs w:val="22"/>
          <w:color w:val="auto"/>
        </w:rPr>
        <w:t>Dated: November 17, 2008</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-17780</wp:posOffset>
            </wp:positionV>
            <wp:extent cx="21380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8045" cy="8890"/>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Michael J. Van Handel</w:t>
      </w:r>
    </w:p>
    <w:p>
      <w:pPr>
        <w:ind w:left="4520"/>
        <w:spacing w:after="0" w:line="234" w:lineRule="auto"/>
        <w:rPr>
          <w:sz w:val="20"/>
          <w:szCs w:val="20"/>
          <w:color w:val="auto"/>
        </w:rPr>
      </w:pPr>
      <w:r>
        <w:rPr>
          <w:rFonts w:ascii="Arial" w:cs="Arial" w:eastAsia="Arial" w:hAnsi="Arial"/>
          <w:sz w:val="22"/>
          <w:szCs w:val="22"/>
          <w:color w:val="auto"/>
        </w:rPr>
        <w:t>Executive Vice President and Chief</w:t>
      </w:r>
    </w:p>
    <w:p>
      <w:pPr>
        <w:ind w:left="452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3" w:name="page4"/>
    <w:bookmarkEnd w:id="3"/>
    <w:p>
      <w:pPr>
        <w:ind w:left="324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69" w:lineRule="exact"/>
        <w:rPr>
          <w:sz w:val="20"/>
          <w:szCs w:val="20"/>
          <w:color w:val="auto"/>
        </w:rPr>
      </w:pPr>
    </w:p>
    <w:p>
      <w:pPr>
        <w:spacing w:after="0"/>
        <w:tabs>
          <w:tab w:leader="none" w:pos="418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60" w:lineRule="exact"/>
        <w:rPr>
          <w:sz w:val="20"/>
          <w:szCs w:val="20"/>
          <w:color w:val="auto"/>
        </w:rPr>
      </w:pPr>
    </w:p>
    <w:p>
      <w:pPr>
        <w:ind w:left="1140" w:right="1899" w:hanging="823"/>
        <w:spacing w:after="0" w:line="245" w:lineRule="auto"/>
        <w:tabs>
          <w:tab w:leader="none" w:pos="11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Amended and Restated Severance Agreement dated November 10, 2008 between the Company and Jonas Prising</w:t>
      </w:r>
    </w:p>
    <w:p>
      <w:pPr>
        <w:spacing w:after="0" w:line="1" w:lineRule="exact"/>
        <w:rPr>
          <w:sz w:val="20"/>
          <w:szCs w:val="20"/>
          <w:color w:val="auto"/>
        </w:rPr>
      </w:pPr>
    </w:p>
    <w:p>
      <w:pPr>
        <w:ind w:left="1140" w:right="1899" w:hanging="823"/>
        <w:spacing w:after="0" w:line="243" w:lineRule="auto"/>
        <w:tabs>
          <w:tab w:leader="none" w:pos="11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color w:val="auto"/>
        </w:rPr>
        <w:t>Amended and Restated Severance Agreement dated November 10, 2008 between the Company and Barbara Beck</w:t>
      </w:r>
    </w:p>
    <w:p>
      <w:pPr>
        <w:spacing w:after="0" w:line="1" w:lineRule="exact"/>
        <w:rPr>
          <w:sz w:val="20"/>
          <w:szCs w:val="20"/>
          <w:color w:val="auto"/>
        </w:rPr>
      </w:pPr>
    </w:p>
    <w:p>
      <w:pPr>
        <w:ind w:left="1140" w:right="1899" w:hanging="823"/>
        <w:spacing w:after="0" w:line="246" w:lineRule="auto"/>
        <w:tabs>
          <w:tab w:leader="none" w:pos="112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color w:val="auto"/>
        </w:rPr>
        <w:t>Amended and Restated Severance Agreement dated November 10, 2008 between the Company and Owen Sullivan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079"/>
          </w:cols>
          <w:pgMar w:left="380" w:top="112" w:right="1440" w:bottom="1440" w:gutter="0" w:footer="0" w:header="0"/>
        </w:sectPr>
      </w:pPr>
    </w:p>
    <w:bookmarkStart w:id="4" w:name="page5"/>
    <w:bookmarkEnd w:id="4"/>
    <w:p>
      <w:pPr>
        <w:jc w:val="right"/>
        <w:ind w:right="1779"/>
        <w:spacing w:after="0"/>
        <w:rPr>
          <w:sz w:val="20"/>
          <w:szCs w:val="20"/>
          <w:color w:val="auto"/>
        </w:rPr>
      </w:pPr>
      <w:r>
        <w:rPr>
          <w:rFonts w:ascii="Arial" w:cs="Arial" w:eastAsia="Arial" w:hAnsi="Arial"/>
          <w:sz w:val="22"/>
          <w:szCs w:val="22"/>
          <w:u w:val="single" w:color="auto"/>
          <w:color w:val="auto"/>
        </w:rPr>
        <w:t>Exhibit 10.1</w:t>
      </w:r>
    </w:p>
    <w:p>
      <w:pPr>
        <w:jc w:val="center"/>
        <w:ind w:right="1779"/>
        <w:spacing w:after="0" w:line="238" w:lineRule="auto"/>
        <w:rPr>
          <w:sz w:val="20"/>
          <w:szCs w:val="20"/>
          <w:color w:val="auto"/>
        </w:rPr>
      </w:pPr>
      <w:r>
        <w:rPr>
          <w:rFonts w:ascii="Arial" w:cs="Arial" w:eastAsia="Arial" w:hAnsi="Arial"/>
          <w:sz w:val="22"/>
          <w:szCs w:val="22"/>
          <w:color w:val="auto"/>
        </w:rPr>
        <w:t>Manpower Inc.</w:t>
      </w:r>
    </w:p>
    <w:p>
      <w:pPr>
        <w:jc w:val="center"/>
        <w:ind w:right="1779"/>
        <w:spacing w:after="0" w:line="231"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Milwaukee, Wisconsin 53212</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Effective November 10, 2008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Jonas Prising</w:t>
      </w:r>
    </w:p>
    <w:p>
      <w:pPr>
        <w:spacing w:after="0" w:line="238" w:lineRule="auto"/>
        <w:rPr>
          <w:sz w:val="20"/>
          <w:szCs w:val="20"/>
          <w:color w:val="auto"/>
        </w:rPr>
      </w:pPr>
      <w:r>
        <w:rPr>
          <w:rFonts w:ascii="Arial" w:cs="Arial" w:eastAsia="Arial" w:hAnsi="Arial"/>
          <w:sz w:val="22"/>
          <w:szCs w:val="22"/>
          <w:color w:val="auto"/>
        </w:rPr>
        <w:t>President – United States and Canada</w:t>
      </w:r>
    </w:p>
    <w:p>
      <w:pPr>
        <w:spacing w:after="0" w:line="230" w:lineRule="auto"/>
        <w:rPr>
          <w:sz w:val="20"/>
          <w:szCs w:val="20"/>
          <w:color w:val="auto"/>
        </w:rPr>
      </w:pPr>
      <w:r>
        <w:rPr>
          <w:rFonts w:ascii="Arial" w:cs="Arial" w:eastAsia="Arial" w:hAnsi="Arial"/>
          <w:sz w:val="22"/>
          <w:szCs w:val="22"/>
          <w:color w:val="auto"/>
        </w:rPr>
        <w:t>Manpower Inc.</w:t>
      </w:r>
    </w:p>
    <w:p>
      <w:pPr>
        <w:spacing w:after="0" w:line="231"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Milwaukee, WI 53212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Jonas:</w:t>
      </w:r>
    </w:p>
    <w:p>
      <w:pPr>
        <w:spacing w:after="0" w:line="233" w:lineRule="exact"/>
        <w:rPr>
          <w:sz w:val="20"/>
          <w:szCs w:val="20"/>
          <w:color w:val="auto"/>
        </w:rPr>
      </w:pPr>
    </w:p>
    <w:p>
      <w:pPr>
        <w:ind w:right="1839" w:firstLine="648"/>
        <w:spacing w:after="0" w:line="244" w:lineRule="auto"/>
        <w:rPr>
          <w:sz w:val="20"/>
          <w:szCs w:val="20"/>
          <w:color w:val="auto"/>
        </w:rPr>
      </w:pPr>
      <w:r>
        <w:rPr>
          <w:rFonts w:ascii="Arial" w:cs="Arial" w:eastAsia="Arial" w:hAnsi="Arial"/>
          <w:sz w:val="21"/>
          <w:szCs w:val="21"/>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entered into an agreement with you as of May 11, 2006 regarding certain severance protections. Due to the requirements of Internal Revenue Code (the “Code”) Section 409A regarding deferred compensation and the potential application of Code Section 409A to that agreement, as well as the Corporation’s desire to provide consistent severance protection for executives of the Corporation who are members of the Executive Management Committee, we are amending and superseding that letter dated May 11, 2006 and have agreed as follows:</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w:t>
      </w:r>
    </w:p>
    <w:p>
      <w:pPr>
        <w:spacing w:after="0" w:line="233" w:lineRule="exact"/>
        <w:rPr>
          <w:rFonts w:ascii="Arial" w:cs="Arial" w:eastAsia="Arial" w:hAnsi="Arial"/>
          <w:sz w:val="22"/>
          <w:szCs w:val="22"/>
          <w:color w:val="auto"/>
        </w:rPr>
      </w:pPr>
    </w:p>
    <w:p>
      <w:pPr>
        <w:ind w:left="1300" w:right="1879" w:hanging="644"/>
        <w:spacing w:after="0" w:line="274" w:lineRule="auto"/>
        <w:tabs>
          <w:tab w:leader="none" w:pos="1300" w:val="left"/>
        </w:tabs>
        <w:numPr>
          <w:ilvl w:val="1"/>
          <w:numId w:val="4"/>
        </w:numPr>
        <w:rPr>
          <w:rFonts w:ascii="Arial" w:cs="Arial" w:eastAsia="Arial" w:hAnsi="Arial"/>
          <w:sz w:val="21"/>
          <w:szCs w:val="21"/>
          <w:color w:val="auto"/>
        </w:rPr>
      </w:pPr>
      <w:r>
        <w:rPr>
          <w:rFonts w:ascii="Arial" w:cs="Arial" w:eastAsia="Arial" w:hAnsi="Arial"/>
          <w:sz w:val="21"/>
          <w:szCs w:val="21"/>
          <w:u w:val="single" w:color="auto"/>
          <w:color w:val="auto"/>
        </w:rPr>
        <w:t>Benefit Plans</w:t>
      </w:r>
      <w:r>
        <w:rPr>
          <w:rFonts w:ascii="Arial" w:cs="Arial" w:eastAsia="Arial" w:hAnsi="Arial"/>
          <w:sz w:val="21"/>
          <w:szCs w:val="21"/>
          <w:color w:val="auto"/>
        </w:rPr>
        <w:t>. “Benefit Plans” means all benefits of employment generally made available to executives of the Corporation from time to time.</w:t>
      </w:r>
    </w:p>
    <w:p>
      <w:pPr>
        <w:spacing w:after="0" w:line="164" w:lineRule="exact"/>
        <w:rPr>
          <w:rFonts w:ascii="Arial" w:cs="Arial" w:eastAsia="Arial" w:hAnsi="Arial"/>
          <w:sz w:val="21"/>
          <w:szCs w:val="21"/>
          <w:color w:val="auto"/>
        </w:rPr>
      </w:pPr>
    </w:p>
    <w:p>
      <w:pPr>
        <w:ind w:left="1300" w:right="1799" w:hanging="644"/>
        <w:spacing w:after="0" w:line="271" w:lineRule="auto"/>
        <w:tabs>
          <w:tab w:leader="none" w:pos="1300"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 ial disloyalty involving the Manpower Group, (iv) any violation by you of a Manpower Group policy of material import, (v) any act by you of moral turpitude which is likely to result in discredit to or loss of business,</w:t>
      </w:r>
    </w:p>
    <w:p>
      <w:pPr>
        <w:sectPr>
          <w:pgSz w:w="11900" w:h="16838" w:orient="portrait"/>
          <w:cols w:equalWidth="0" w:num="1">
            <w:col w:w="10219"/>
          </w:cols>
          <w:pgMar w:left="240" w:top="118" w:right="1440" w:bottom="1440" w:gutter="0" w:footer="0" w:header="0"/>
        </w:sectPr>
      </w:pPr>
    </w:p>
    <w:bookmarkStart w:id="5" w:name="page6"/>
    <w:bookmarkEnd w:id="5"/>
    <w:p>
      <w:pPr>
        <w:ind w:left="644" w:right="1799"/>
        <w:spacing w:after="0" w:line="277" w:lineRule="auto"/>
        <w:rPr>
          <w:sz w:val="20"/>
          <w:szCs w:val="20"/>
          <w:color w:val="auto"/>
        </w:rPr>
      </w:pPr>
      <w:r>
        <w:rPr>
          <w:rFonts w:ascii="Arial" w:cs="Arial" w:eastAsia="Arial" w:hAnsi="Arial"/>
          <w:sz w:val="19"/>
          <w:szCs w:val="19"/>
          <w:color w:val="auto"/>
        </w:rPr>
        <w:t>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167" w:lineRule="exact"/>
        <w:rPr>
          <w:sz w:val="20"/>
          <w:szCs w:val="20"/>
          <w:color w:val="auto"/>
        </w:rPr>
      </w:pPr>
    </w:p>
    <w:p>
      <w:pPr>
        <w:ind w:left="644" w:right="2199" w:hanging="644"/>
        <w:spacing w:after="0" w:line="251" w:lineRule="auto"/>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00" w:lineRule="exact"/>
        <w:rPr>
          <w:rFonts w:ascii="Arial" w:cs="Arial" w:eastAsia="Arial" w:hAnsi="Arial"/>
          <w:sz w:val="22"/>
          <w:szCs w:val="22"/>
          <w:color w:val="auto"/>
        </w:rPr>
      </w:pPr>
    </w:p>
    <w:p>
      <w:pPr>
        <w:ind w:left="1304" w:right="1839" w:hanging="655"/>
        <w:spacing w:after="0" w:line="269" w:lineRule="auto"/>
        <w:tabs>
          <w:tab w:leader="none" w:pos="1304"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left="1304" w:right="1879" w:hanging="655"/>
        <w:spacing w:after="0" w:line="273" w:lineRule="auto"/>
        <w:tabs>
          <w:tab w:leader="none" w:pos="1304"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w:t>
      </w:r>
    </w:p>
    <w:p>
      <w:pPr>
        <w:spacing w:after="0" w:line="200" w:lineRule="exact"/>
        <w:rPr>
          <w:sz w:val="20"/>
          <w:szCs w:val="20"/>
          <w:color w:val="auto"/>
        </w:rPr>
      </w:pPr>
    </w:p>
    <w:p>
      <w:pPr>
        <w:spacing w:after="0" w:line="226"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563"/>
          </w:cols>
          <w:pgMar w:left="896" w:top="118" w:right="1440" w:bottom="1440" w:gutter="0" w:footer="0" w:header="0"/>
        </w:sectPr>
      </w:pPr>
    </w:p>
    <w:bookmarkStart w:id="6" w:name="page7"/>
    <w:bookmarkEnd w:id="6"/>
    <w:p>
      <w:pPr>
        <w:ind w:left="1960"/>
        <w:spacing w:after="0"/>
        <w:rPr>
          <w:sz w:val="20"/>
          <w:szCs w:val="20"/>
          <w:color w:val="auto"/>
        </w:rPr>
      </w:pPr>
      <w:r>
        <w:rPr>
          <w:rFonts w:ascii="Arial" w:cs="Arial" w:eastAsia="Arial" w:hAnsi="Arial"/>
          <w:sz w:val="22"/>
          <w:szCs w:val="22"/>
          <w:color w:val="auto"/>
        </w:rPr>
        <w:t>the case may be; or</w:t>
      </w:r>
    </w:p>
    <w:p>
      <w:pPr>
        <w:spacing w:after="0" w:line="220" w:lineRule="exact"/>
        <w:rPr>
          <w:sz w:val="20"/>
          <w:szCs w:val="20"/>
          <w:color w:val="auto"/>
        </w:rPr>
      </w:pPr>
    </w:p>
    <w:p>
      <w:pPr>
        <w:ind w:left="1960" w:right="1819" w:hanging="655"/>
        <w:spacing w:after="0"/>
        <w:tabs>
          <w:tab w:leader="none" w:pos="19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13" w:lineRule="exact"/>
        <w:rPr>
          <w:rFonts w:ascii="Arial" w:cs="Arial" w:eastAsia="Arial" w:hAnsi="Arial"/>
          <w:sz w:val="22"/>
          <w:szCs w:val="22"/>
          <w:color w:val="auto"/>
        </w:rPr>
      </w:pPr>
    </w:p>
    <w:p>
      <w:pPr>
        <w:ind w:left="1960" w:right="1799" w:hanging="655"/>
        <w:spacing w:after="0" w:line="272" w:lineRule="auto"/>
        <w:tabs>
          <w:tab w:leader="none" w:pos="196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75" w:lineRule="exact"/>
        <w:rPr>
          <w:rFonts w:ascii="Arial" w:cs="Arial" w:eastAsia="Arial" w:hAnsi="Arial"/>
          <w:sz w:val="19"/>
          <w:szCs w:val="19"/>
          <w:color w:val="auto"/>
        </w:rPr>
      </w:pPr>
    </w:p>
    <w:p>
      <w:pPr>
        <w:ind w:left="1960" w:right="1779" w:hanging="655"/>
        <w:spacing w:after="0" w:line="279" w:lineRule="auto"/>
        <w:tabs>
          <w:tab w:leader="none" w:pos="1960" w:val="left"/>
        </w:tabs>
        <w:numPr>
          <w:ilvl w:val="0"/>
          <w:numId w:val="6"/>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51" w:lineRule="exact"/>
        <w:rPr>
          <w:sz w:val="20"/>
          <w:szCs w:val="20"/>
          <w:color w:val="auto"/>
        </w:rPr>
      </w:pPr>
    </w:p>
    <w:p>
      <w:pPr>
        <w:ind w:right="1779" w:firstLine="648"/>
        <w:spacing w:after="0" w:line="236" w:lineRule="auto"/>
        <w:rPr>
          <w:sz w:val="20"/>
          <w:szCs w:val="20"/>
          <w:color w:val="auto"/>
        </w:rPr>
      </w:pPr>
      <w:r>
        <w:rPr>
          <w:rFonts w:ascii="Arial" w:cs="Arial" w:eastAsia="Arial" w:hAnsi="Arial"/>
          <w:sz w:val="22"/>
          <w:szCs w:val="22"/>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74" w:lineRule="exact"/>
        <w:rPr>
          <w:sz w:val="20"/>
          <w:szCs w:val="20"/>
          <w:color w:val="auto"/>
        </w:rPr>
      </w:pPr>
    </w:p>
    <w:p>
      <w:pPr>
        <w:ind w:left="1300" w:right="1999" w:hanging="644"/>
        <w:spacing w:after="0" w:line="251" w:lineRule="auto"/>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1"/>
          <w:numId w:val="7"/>
        </w:numPr>
        <w:rPr>
          <w:rFonts w:ascii="Arial" w:cs="Arial" w:eastAsia="Arial" w:hAnsi="Arial"/>
          <w:sz w:val="22"/>
          <w:szCs w:val="22"/>
          <w:color w:val="auto"/>
        </w:rPr>
      </w:pPr>
      <w:r>
        <w:rPr>
          <w:rFonts w:ascii="Arial" w:cs="Arial" w:eastAsia="Arial" w:hAnsi="Arial"/>
          <w:sz w:val="22"/>
          <w:szCs w:val="22"/>
          <w:color w:val="auto"/>
        </w:rPr>
        <w:t>a material dimunition in your authority, duties or responsibilities;</w:t>
      </w:r>
    </w:p>
    <w:p>
      <w:pPr>
        <w:spacing w:after="0" w:line="219" w:lineRule="exact"/>
        <w:rPr>
          <w:rFonts w:ascii="Arial" w:cs="Arial" w:eastAsia="Arial" w:hAnsi="Arial"/>
          <w:sz w:val="22"/>
          <w:szCs w:val="22"/>
          <w:color w:val="auto"/>
        </w:rPr>
      </w:pPr>
    </w:p>
    <w:p>
      <w:pPr>
        <w:jc w:val="both"/>
        <w:ind w:left="1960" w:right="2479" w:hanging="655"/>
        <w:spacing w:after="0" w:line="297" w:lineRule="auto"/>
        <w:tabs>
          <w:tab w:leader="none" w:pos="1960" w:val="left"/>
        </w:tabs>
        <w:numPr>
          <w:ilvl w:val="1"/>
          <w:numId w:val="7"/>
        </w:numPr>
        <w:rPr>
          <w:rFonts w:ascii="Arial" w:cs="Arial" w:eastAsia="Arial" w:hAnsi="Arial"/>
          <w:sz w:val="19"/>
          <w:szCs w:val="19"/>
          <w:color w:val="auto"/>
        </w:rPr>
      </w:pPr>
      <w:r>
        <w:rPr>
          <w:rFonts w:ascii="Arial" w:cs="Arial" w:eastAsia="Arial" w:hAnsi="Arial"/>
          <w:sz w:val="19"/>
          <w:szCs w:val="19"/>
          <w:color w:val="auto"/>
        </w:rPr>
        <w:t>any material breach of this agreement by the Corporation or of any material obligation of any member of the Manpower Group for the payment or provision of compensation or other benefits to you;</w:t>
      </w:r>
    </w:p>
    <w:p>
      <w:pPr>
        <w:spacing w:after="0" w:line="147" w:lineRule="exact"/>
        <w:rPr>
          <w:rFonts w:ascii="Arial" w:cs="Arial" w:eastAsia="Arial" w:hAnsi="Arial"/>
          <w:sz w:val="19"/>
          <w:szCs w:val="19"/>
          <w:color w:val="auto"/>
        </w:rPr>
      </w:pPr>
    </w:p>
    <w:p>
      <w:pPr>
        <w:ind w:left="1960" w:right="2039" w:hanging="655"/>
        <w:spacing w:after="0" w:line="238" w:lineRule="auto"/>
        <w:tabs>
          <w:tab w:leader="none" w:pos="1960" w:val="left"/>
        </w:tabs>
        <w:numPr>
          <w:ilvl w:val="1"/>
          <w:numId w:val="7"/>
        </w:numPr>
        <w:rPr>
          <w:rFonts w:ascii="Arial" w:cs="Arial" w:eastAsia="Arial" w:hAnsi="Arial"/>
          <w:sz w:val="22"/>
          <w:szCs w:val="22"/>
          <w:color w:val="auto"/>
        </w:rPr>
      </w:pPr>
      <w:r>
        <w:rPr>
          <w:rFonts w:ascii="Arial" w:cs="Arial" w:eastAsia="Arial" w:hAnsi="Arial"/>
          <w:sz w:val="22"/>
          <w:szCs w:val="22"/>
          <w:color w:val="auto"/>
        </w:rPr>
        <w:t>a material dimunition in your base salary or a failure by the Manpower Group to provide an arrangement for you for any fiscal year of the Manpower Group giving you the opportunity to earn an incentive bonus for such year; or</w:t>
      </w:r>
    </w:p>
    <w:p>
      <w:pPr>
        <w:spacing w:after="0" w:line="212" w:lineRule="exact"/>
        <w:rPr>
          <w:rFonts w:ascii="Arial" w:cs="Arial" w:eastAsia="Arial" w:hAnsi="Arial"/>
          <w:sz w:val="22"/>
          <w:szCs w:val="22"/>
          <w:color w:val="auto"/>
        </w:rPr>
      </w:pPr>
    </w:p>
    <w:p>
      <w:pPr>
        <w:ind w:left="4160" w:right="1939" w:hanging="2855"/>
        <w:spacing w:after="0" w:line="481" w:lineRule="auto"/>
        <w:tabs>
          <w:tab w:leader="none" w:pos="1945" w:val="left"/>
        </w:tabs>
        <w:numPr>
          <w:ilvl w:val="1"/>
          <w:numId w:val="7"/>
        </w:numPr>
        <w:rPr>
          <w:rFonts w:ascii="Arial" w:cs="Arial" w:eastAsia="Arial" w:hAnsi="Arial"/>
          <w:sz w:val="22"/>
          <w:szCs w:val="22"/>
          <w:color w:val="auto"/>
        </w:rPr>
      </w:pPr>
      <w:r>
        <w:rPr>
          <w:rFonts w:ascii="Arial" w:cs="Arial" w:eastAsia="Arial" w:hAnsi="Arial"/>
          <w:sz w:val="22"/>
          <w:szCs w:val="22"/>
          <w:color w:val="auto"/>
        </w:rPr>
        <w:t>a material dimunition in your annual target bonus opportunity for a given 3</w:t>
      </w:r>
    </w:p>
    <w:p>
      <w:pPr>
        <w:sectPr>
          <w:pgSz w:w="11900" w:h="16838" w:orient="portrait"/>
          <w:cols w:equalWidth="0" w:num="1">
            <w:col w:w="10219"/>
          </w:cols>
          <w:pgMar w:left="240" w:top="118" w:right="1440" w:bottom="1440" w:gutter="0" w:footer="0" w:header="0"/>
        </w:sectPr>
      </w:pPr>
    </w:p>
    <w:bookmarkStart w:id="7" w:name="page8"/>
    <w:bookmarkEnd w:id="7"/>
    <w:p>
      <w:pPr>
        <w:ind w:left="1960" w:right="1999"/>
        <w:spacing w:after="0" w:line="238" w:lineRule="auto"/>
        <w:rPr>
          <w:sz w:val="20"/>
          <w:szCs w:val="20"/>
          <w:color w:val="auto"/>
        </w:rPr>
      </w:pPr>
      <w:r>
        <w:rPr>
          <w:rFonts w:ascii="Arial" w:cs="Arial" w:eastAsia="Arial" w:hAnsi="Arial"/>
          <w:sz w:val="22"/>
          <w:szCs w:val="22"/>
          <w:color w:val="auto"/>
        </w:rPr>
        <w:t>fiscal year within two years after the occurrence of a Change of Control, as compared to the annual target bonus opportunity for the fiscal year immediately preceding the fiscal year in which a Change of Control occurred.</w:t>
      </w:r>
    </w:p>
    <w:p>
      <w:pPr>
        <w:spacing w:after="0" w:line="213" w:lineRule="exact"/>
        <w:rPr>
          <w:sz w:val="20"/>
          <w:szCs w:val="20"/>
          <w:color w:val="auto"/>
        </w:rPr>
      </w:pPr>
    </w:p>
    <w:p>
      <w:pPr>
        <w:ind w:right="1939" w:firstLine="648"/>
        <w:spacing w:after="0" w:line="270" w:lineRule="auto"/>
        <w:rPr>
          <w:sz w:val="20"/>
          <w:szCs w:val="20"/>
          <w:color w:val="auto"/>
        </w:rPr>
      </w:pPr>
      <w:r>
        <w:rPr>
          <w:rFonts w:ascii="Arial" w:cs="Arial" w:eastAsia="Arial" w:hAnsi="Arial"/>
          <w:sz w:val="19"/>
          <w:szCs w:val="19"/>
          <w:color w:val="auto"/>
        </w:rPr>
        <w:t>Notwithstanding Subsections 1(d)(i) – (iv) above, Good Reason does not exist unless (i) you object to any material dimunition or breach described above by written notice to the Corporation within twenty (20) business days after such dimunition or breach occurs, (ii) the Corporation fails to cure such dimunition or breach within thirty (30) days after such notice is given and (iii) your employment with the Manpower Group is terminated by you within ninety</w:t>
      </w:r>
    </w:p>
    <w:p>
      <w:pPr>
        <w:spacing w:after="0" w:line="4" w:lineRule="exact"/>
        <w:rPr>
          <w:sz w:val="20"/>
          <w:szCs w:val="20"/>
          <w:color w:val="auto"/>
        </w:rPr>
      </w:pPr>
    </w:p>
    <w:p>
      <w:pPr>
        <w:ind w:right="1879" w:firstLine="8"/>
        <w:spacing w:after="0" w:line="273" w:lineRule="auto"/>
        <w:tabs>
          <w:tab w:leader="none" w:pos="414" w:val="left"/>
        </w:tabs>
        <w:numPr>
          <w:ilvl w:val="0"/>
          <w:numId w:val="8"/>
        </w:numPr>
        <w:rPr>
          <w:rFonts w:ascii="Arial" w:cs="Arial" w:eastAsia="Arial" w:hAnsi="Arial"/>
          <w:sz w:val="19"/>
          <w:szCs w:val="19"/>
          <w:color w:val="auto"/>
        </w:rPr>
      </w:pPr>
      <w:r>
        <w:rPr>
          <w:rFonts w:ascii="Arial" w:cs="Arial" w:eastAsia="Arial" w:hAnsi="Arial"/>
          <w:sz w:val="19"/>
          <w:szCs w:val="19"/>
          <w:color w:val="auto"/>
        </w:rPr>
        <w:t>days after such dimunition or breach occurs. Further, notwithstanding Subsections 1(d)(i)-(iv),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 power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68" w:lineRule="exact"/>
        <w:rPr>
          <w:rFonts w:ascii="Arial" w:cs="Arial" w:eastAsia="Arial" w:hAnsi="Arial"/>
          <w:sz w:val="19"/>
          <w:szCs w:val="19"/>
          <w:color w:val="auto"/>
        </w:rPr>
      </w:pPr>
    </w:p>
    <w:p>
      <w:pPr>
        <w:ind w:left="1300" w:right="1999" w:hanging="644"/>
        <w:spacing w:after="0" w:line="275" w:lineRule="auto"/>
        <w:tabs>
          <w:tab w:leader="none" w:pos="1300"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85" w:lineRule="exact"/>
        <w:rPr>
          <w:rFonts w:ascii="Arial" w:cs="Arial" w:eastAsia="Arial" w:hAnsi="Arial"/>
          <w:sz w:val="19"/>
          <w:szCs w:val="19"/>
          <w:color w:val="auto"/>
        </w:rPr>
      </w:pPr>
    </w:p>
    <w:p>
      <w:pPr>
        <w:ind w:left="1300" w:right="1939" w:hanging="644"/>
        <w:spacing w:after="0" w:line="238" w:lineRule="auto"/>
        <w:tabs>
          <w:tab w:leader="none" w:pos="130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98" w:lineRule="exact"/>
        <w:rPr>
          <w:rFonts w:ascii="Arial" w:cs="Arial" w:eastAsia="Arial" w:hAnsi="Arial"/>
          <w:sz w:val="22"/>
          <w:szCs w:val="22"/>
          <w:color w:val="auto"/>
        </w:rPr>
      </w:pPr>
    </w:p>
    <w:p>
      <w:pPr>
        <w:ind w:left="1300" w:right="1919" w:hanging="644"/>
        <w:spacing w:after="0" w:line="251" w:lineRule="auto"/>
        <w:tabs>
          <w:tab w:leader="none" w:pos="130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Protected Period</w:t>
      </w:r>
      <w:r>
        <w:rPr>
          <w:rFonts w:ascii="Arial" w:cs="Arial" w:eastAsia="Arial" w:hAnsi="Arial"/>
          <w:sz w:val="22"/>
          <w:szCs w:val="22"/>
          <w:color w:val="auto"/>
        </w:rPr>
        <w:t>. The “Protected Period” shall be a period of time determined in accordance with the following:</w:t>
      </w:r>
    </w:p>
    <w:p>
      <w:pPr>
        <w:spacing w:after="0" w:line="186" w:lineRule="exact"/>
        <w:rPr>
          <w:rFonts w:ascii="Arial" w:cs="Arial" w:eastAsia="Arial" w:hAnsi="Arial"/>
          <w:sz w:val="22"/>
          <w:szCs w:val="22"/>
          <w:color w:val="auto"/>
        </w:rPr>
      </w:pPr>
    </w:p>
    <w:p>
      <w:pPr>
        <w:ind w:left="1960" w:right="1799" w:hanging="655"/>
        <w:spacing w:after="0" w:line="279" w:lineRule="auto"/>
        <w:tabs>
          <w:tab w:leader="none" w:pos="1960" w:val="left"/>
        </w:tabs>
        <w:numPr>
          <w:ilvl w:val="2"/>
          <w:numId w:val="8"/>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77" w:lineRule="exact"/>
        <w:rPr>
          <w:rFonts w:ascii="Arial" w:cs="Arial" w:eastAsia="Arial" w:hAnsi="Arial"/>
          <w:sz w:val="19"/>
          <w:szCs w:val="19"/>
          <w:color w:val="auto"/>
        </w:rPr>
      </w:pPr>
    </w:p>
    <w:p>
      <w:pPr>
        <w:ind w:left="1960" w:right="2079" w:hanging="655"/>
        <w:spacing w:after="0" w:line="297" w:lineRule="auto"/>
        <w:tabs>
          <w:tab w:leader="none" w:pos="1960" w:val="left"/>
        </w:tabs>
        <w:numPr>
          <w:ilvl w:val="2"/>
          <w:numId w:val="8"/>
        </w:numPr>
        <w:rPr>
          <w:rFonts w:ascii="Arial" w:cs="Arial" w:eastAsia="Arial" w:hAnsi="Arial"/>
          <w:sz w:val="19"/>
          <w:szCs w:val="19"/>
          <w:color w:val="auto"/>
        </w:rPr>
      </w:pPr>
      <w:r>
        <w:rPr>
          <w:rFonts w:ascii="Arial" w:cs="Arial" w:eastAsia="Arial" w:hAnsi="Arial"/>
          <w:sz w:val="19"/>
          <w:szCs w:val="19"/>
          <w:color w:val="auto"/>
        </w:rPr>
        <w:t>if a Change of Control is triggered by a merger or consolidation of the Corporation with any other corporation, the Protected Period shall commence on the date that serious and substantial discussions first take</w:t>
      </w: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118" w:right="1440" w:bottom="1440" w:gutter="0" w:footer="0" w:header="0"/>
        </w:sectPr>
      </w:pPr>
    </w:p>
    <w:bookmarkStart w:id="8" w:name="page9"/>
    <w:bookmarkEnd w:id="8"/>
    <w:p>
      <w:pPr>
        <w:ind w:left="1952" w:right="1899"/>
        <w:spacing w:after="0" w:line="252" w:lineRule="auto"/>
        <w:rPr>
          <w:sz w:val="20"/>
          <w:szCs w:val="20"/>
          <w:color w:val="auto"/>
        </w:rPr>
      </w:pPr>
      <w:r>
        <w:rPr>
          <w:rFonts w:ascii="Arial" w:cs="Arial" w:eastAsia="Arial" w:hAnsi="Arial"/>
          <w:sz w:val="21"/>
          <w:szCs w:val="21"/>
          <w:color w:val="auto"/>
        </w:rPr>
        <w:t>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88" w:lineRule="exact"/>
        <w:rPr>
          <w:sz w:val="20"/>
          <w:szCs w:val="20"/>
          <w:color w:val="auto"/>
        </w:rPr>
      </w:pPr>
    </w:p>
    <w:p>
      <w:pPr>
        <w:ind w:left="1952" w:right="1939" w:hanging="655"/>
        <w:spacing w:after="0" w:line="252" w:lineRule="auto"/>
        <w:tabs>
          <w:tab w:leader="none" w:pos="1952" w:val="left"/>
        </w:tabs>
        <w:numPr>
          <w:ilvl w:val="2"/>
          <w:numId w:val="9"/>
        </w:numPr>
        <w:rPr>
          <w:rFonts w:ascii="Arial" w:cs="Arial" w:eastAsia="Arial" w:hAnsi="Arial"/>
          <w:sz w:val="21"/>
          <w:szCs w:val="21"/>
          <w:color w:val="auto"/>
        </w:rPr>
      </w:pPr>
      <w:r>
        <w:rPr>
          <w:rFonts w:ascii="Arial" w:cs="Arial" w:eastAsia="Arial" w:hAnsi="Arial"/>
          <w:sz w:val="21"/>
          <w:szCs w:val="21"/>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1" w:lineRule="exact"/>
        <w:rPr>
          <w:rFonts w:ascii="Arial" w:cs="Arial" w:eastAsia="Arial" w:hAnsi="Arial"/>
          <w:sz w:val="21"/>
          <w:szCs w:val="21"/>
          <w:color w:val="auto"/>
        </w:rPr>
      </w:pPr>
    </w:p>
    <w:p>
      <w:pPr>
        <w:ind w:left="1292" w:right="2199" w:hanging="644"/>
        <w:spacing w:after="0" w:line="235" w:lineRule="auto"/>
        <w:tabs>
          <w:tab w:leader="none" w:pos="1292"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will be a period beginning on November 10, 2008 and ending on the first to occur of the following: (a) the date which is the two-year anniversary of the occurrence of a Change of Control; (b) the date which is the three-year anniversary of May 11, 2006 if no Change of Control occurs between November 10, 2008 and such three-year anniversary; or (c) the Date of Termination.</w:t>
      </w:r>
    </w:p>
    <w:p>
      <w:pPr>
        <w:spacing w:after="0" w:line="201" w:lineRule="exact"/>
        <w:rPr>
          <w:rFonts w:ascii="Arial" w:cs="Arial" w:eastAsia="Arial" w:hAnsi="Arial"/>
          <w:sz w:val="22"/>
          <w:szCs w:val="22"/>
          <w:color w:val="auto"/>
        </w:rPr>
      </w:pPr>
    </w:p>
    <w:p>
      <w:pPr>
        <w:ind w:left="652" w:hanging="652"/>
        <w:spacing w:after="0"/>
        <w:tabs>
          <w:tab w:leader="none" w:pos="652"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1819" w:hanging="644"/>
        <w:spacing w:after="0" w:line="245" w:lineRule="auto"/>
        <w:tabs>
          <w:tab w:leader="none" w:pos="1292" w:val="left"/>
        </w:tabs>
        <w:numPr>
          <w:ilvl w:val="1"/>
          <w:numId w:val="11"/>
        </w:numPr>
        <w:rPr>
          <w:rFonts w:ascii="Arial" w:cs="Arial" w:eastAsia="Arial" w:hAnsi="Arial"/>
          <w:sz w:val="21"/>
          <w:szCs w:val="21"/>
          <w:color w:val="auto"/>
        </w:rPr>
      </w:pPr>
      <w:r>
        <w:rPr>
          <w:rFonts w:ascii="Arial" w:cs="Arial" w:eastAsia="Arial" w:hAnsi="Arial"/>
          <w:sz w:val="21"/>
          <w:szCs w:val="21"/>
          <w:u w:val="single" w:color="auto"/>
          <w:color w:val="auto"/>
        </w:rPr>
        <w:t>Termination by the Manpower Group for Cause or by You Other Than for Good Reason</w:t>
      </w:r>
      <w:r>
        <w:rPr>
          <w:rFonts w:ascii="Arial" w:cs="Arial" w:eastAsia="Arial" w:hAnsi="Arial"/>
          <w:sz w:val="21"/>
          <w:szCs w:val="21"/>
          <w:color w:val="auto"/>
        </w:rPr>
        <w:t>. If your employment with the Manpower Group is terminated by the Manpower Group for Cause or by you other than for Good Reason, the Corporation will pay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208" w:lineRule="exact"/>
        <w:rPr>
          <w:rFonts w:ascii="Arial" w:cs="Arial" w:eastAsia="Arial" w:hAnsi="Arial"/>
          <w:sz w:val="21"/>
          <w:szCs w:val="21"/>
          <w:color w:val="auto"/>
        </w:rPr>
      </w:pPr>
    </w:p>
    <w:p>
      <w:pPr>
        <w:ind w:left="1292" w:right="1799" w:hanging="644"/>
        <w:spacing w:after="0" w:line="271" w:lineRule="auto"/>
        <w:tabs>
          <w:tab w:leader="none" w:pos="1292"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Manpower Group terminates during the Term by reason of 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5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1"/>
          </w:cols>
          <w:pgMar w:left="248" w:top="118" w:right="1440" w:bottom="1440" w:gutter="0" w:footer="0" w:header="0"/>
        </w:sectPr>
      </w:pPr>
    </w:p>
    <w:bookmarkStart w:id="9" w:name="page10"/>
    <w:bookmarkEnd w:id="9"/>
    <w:p>
      <w:pPr>
        <w:ind w:left="644" w:right="1859"/>
        <w:spacing w:after="0" w:line="236" w:lineRule="auto"/>
        <w:rPr>
          <w:sz w:val="20"/>
          <w:szCs w:val="20"/>
          <w:color w:val="auto"/>
        </w:rPr>
      </w:pPr>
      <w:r>
        <w:rPr>
          <w:rFonts w:ascii="Arial" w:cs="Arial" w:eastAsia="Arial" w:hAnsi="Arial"/>
          <w:sz w:val="22"/>
          <w:szCs w:val="22"/>
          <w:color w:val="auto"/>
        </w:rPr>
        <w:t>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202" w:lineRule="exact"/>
        <w:rPr>
          <w:sz w:val="20"/>
          <w:szCs w:val="20"/>
          <w:color w:val="auto"/>
        </w:rPr>
      </w:pPr>
    </w:p>
    <w:p>
      <w:pPr>
        <w:ind w:left="644" w:hanging="644"/>
        <w:spacing w:after="0"/>
        <w:tabs>
          <w:tab w:leader="none" w:pos="644"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4" w:right="1919" w:hanging="655"/>
        <w:spacing w:after="0" w:line="287" w:lineRule="auto"/>
        <w:tabs>
          <w:tab w:leader="none" w:pos="1304" w:val="left"/>
        </w:tabs>
        <w:numPr>
          <w:ilvl w:val="1"/>
          <w:numId w:val="12"/>
        </w:numPr>
        <w:rPr>
          <w:rFonts w:ascii="Arial" w:cs="Arial" w:eastAsia="Arial" w:hAnsi="Arial"/>
          <w:sz w:val="19"/>
          <w:szCs w:val="19"/>
          <w:color w:val="auto"/>
        </w:rPr>
      </w:pPr>
      <w:r>
        <w:rPr>
          <w:rFonts w:ascii="Arial" w:cs="Arial" w:eastAsia="Arial" w:hAnsi="Arial"/>
          <w:sz w:val="19"/>
          <w:szCs w:val="19"/>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56" w:lineRule="exact"/>
        <w:rPr>
          <w:rFonts w:ascii="Arial" w:cs="Arial" w:eastAsia="Arial" w:hAnsi="Arial"/>
          <w:sz w:val="19"/>
          <w:szCs w:val="19"/>
          <w:color w:val="auto"/>
        </w:rPr>
      </w:pPr>
    </w:p>
    <w:p>
      <w:pPr>
        <w:ind w:left="1944" w:right="2219" w:hanging="647"/>
        <w:spacing w:after="0"/>
        <w:tabs>
          <w:tab w:leader="none" w:pos="1944" w:val="left"/>
        </w:tabs>
        <w:numPr>
          <w:ilvl w:val="2"/>
          <w:numId w:val="12"/>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72" w:lineRule="exact"/>
        <w:rPr>
          <w:rFonts w:ascii="Arial" w:cs="Arial" w:eastAsia="Arial" w:hAnsi="Arial"/>
          <w:sz w:val="22"/>
          <w:szCs w:val="22"/>
          <w:color w:val="auto"/>
        </w:rPr>
      </w:pPr>
    </w:p>
    <w:p>
      <w:pPr>
        <w:ind w:left="1944" w:right="2099" w:hanging="647"/>
        <w:spacing w:after="0"/>
        <w:tabs>
          <w:tab w:leader="none" w:pos="1944" w:val="left"/>
        </w:tabs>
        <w:numPr>
          <w:ilvl w:val="2"/>
          <w:numId w:val="12"/>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86" w:lineRule="exact"/>
        <w:rPr>
          <w:rFonts w:ascii="Arial" w:cs="Arial" w:eastAsia="Arial" w:hAnsi="Arial"/>
          <w:sz w:val="22"/>
          <w:szCs w:val="22"/>
          <w:color w:val="auto"/>
        </w:rPr>
      </w:pPr>
    </w:p>
    <w:p>
      <w:pPr>
        <w:ind w:left="1944" w:right="2019" w:hanging="647"/>
        <w:spacing w:after="0" w:line="273" w:lineRule="auto"/>
        <w:tabs>
          <w:tab w:leader="none" w:pos="1944" w:val="left"/>
        </w:tabs>
        <w:numPr>
          <w:ilvl w:val="2"/>
          <w:numId w:val="12"/>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w:t>
      </w:r>
    </w:p>
    <w:p>
      <w:pPr>
        <w:spacing w:after="0" w:line="148" w:lineRule="exact"/>
        <w:rPr>
          <w:rFonts w:ascii="Arial" w:cs="Arial" w:eastAsia="Arial" w:hAnsi="Arial"/>
          <w:sz w:val="19"/>
          <w:szCs w:val="19"/>
          <w:color w:val="auto"/>
        </w:rPr>
      </w:pPr>
    </w:p>
    <w:p>
      <w:pPr>
        <w:ind w:left="1944" w:right="2019" w:hanging="647"/>
        <w:spacing w:after="0" w:line="273" w:lineRule="auto"/>
        <w:tabs>
          <w:tab w:leader="none" w:pos="1944" w:val="left"/>
        </w:tabs>
        <w:numPr>
          <w:ilvl w:val="2"/>
          <w:numId w:val="12"/>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Committee of the Board approves a bona fide target annual bonus for the fiscal year in which the Change of Control occurs, your target annual bonus for the fiscal year prior to the fiscal year in which the Change of Control occurs);</w:t>
      </w:r>
    </w:p>
    <w:p>
      <w:pPr>
        <w:spacing w:after="0" w:line="148" w:lineRule="exact"/>
        <w:rPr>
          <w:rFonts w:ascii="Arial" w:cs="Arial" w:eastAsia="Arial" w:hAnsi="Arial"/>
          <w:sz w:val="19"/>
          <w:szCs w:val="19"/>
          <w:color w:val="auto"/>
        </w:rPr>
      </w:pPr>
    </w:p>
    <w:p>
      <w:pPr>
        <w:ind w:left="1944" w:right="1979" w:hanging="647"/>
        <w:spacing w:after="0" w:line="287" w:lineRule="auto"/>
        <w:tabs>
          <w:tab w:leader="none" w:pos="1944" w:val="left"/>
        </w:tabs>
        <w:numPr>
          <w:ilvl w:val="2"/>
          <w:numId w:val="12"/>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 to provide you and your eligible dependents, at the Manpower Group’s expense, with Health Insurance Continuation (defined below), or other substantially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563"/>
          </w:cols>
          <w:pgMar w:left="896" w:top="118" w:right="1440" w:bottom="1440" w:gutter="0" w:footer="0" w:header="0"/>
        </w:sectPr>
      </w:pPr>
    </w:p>
    <w:bookmarkStart w:id="10" w:name="page11"/>
    <w:bookmarkEnd w:id="10"/>
    <w:p>
      <w:pPr>
        <w:ind w:left="1400" w:right="2019"/>
        <w:spacing w:after="0" w:line="272" w:lineRule="auto"/>
        <w:rPr>
          <w:sz w:val="20"/>
          <w:szCs w:val="20"/>
          <w:color w:val="auto"/>
        </w:rPr>
      </w:pPr>
      <w:r>
        <w:rPr>
          <w:rFonts w:ascii="Arial" w:cs="Arial" w:eastAsia="Arial" w:hAnsi="Arial"/>
          <w:sz w:val="19"/>
          <w:szCs w:val="19"/>
          <w:color w:val="auto"/>
        </w:rPr>
        <w:t>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200" w:lineRule="exact"/>
        <w:rPr>
          <w:sz w:val="20"/>
          <w:szCs w:val="20"/>
          <w:color w:val="auto"/>
        </w:rPr>
      </w:pPr>
    </w:p>
    <w:p>
      <w:pPr>
        <w:spacing w:after="0" w:line="210" w:lineRule="exact"/>
        <w:rPr>
          <w:sz w:val="20"/>
          <w:szCs w:val="20"/>
          <w:color w:val="auto"/>
        </w:rPr>
      </w:pPr>
    </w:p>
    <w:p>
      <w:pPr>
        <w:ind w:left="1400" w:right="1959"/>
        <w:spacing w:after="0" w:line="269" w:lineRule="auto"/>
        <w:rPr>
          <w:sz w:val="20"/>
          <w:szCs w:val="20"/>
          <w:color w:val="auto"/>
        </w:rPr>
      </w:pPr>
      <w:r>
        <w:rPr>
          <w:rFonts w:ascii="Arial" w:cs="Arial" w:eastAsia="Arial" w:hAnsi="Arial"/>
          <w:sz w:val="19"/>
          <w:szCs w:val="19"/>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 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149" w:lineRule="exact"/>
        <w:rPr>
          <w:sz w:val="20"/>
          <w:szCs w:val="20"/>
          <w:color w:val="auto"/>
        </w:rPr>
      </w:pPr>
    </w:p>
    <w:p>
      <w:pPr>
        <w:ind w:left="1400" w:right="1999" w:hanging="647"/>
        <w:spacing w:after="0" w:line="328" w:lineRule="auto"/>
        <w:tabs>
          <w:tab w:leader="none" w:pos="14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w:t>
      </w:r>
    </w:p>
    <w:p>
      <w:pPr>
        <w:spacing w:after="0" w:line="200" w:lineRule="exact"/>
        <w:rPr>
          <w:sz w:val="20"/>
          <w:szCs w:val="20"/>
          <w:color w:val="auto"/>
        </w:rPr>
      </w:pPr>
    </w:p>
    <w:p>
      <w:pPr>
        <w:spacing w:after="0" w:line="364"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019"/>
          </w:cols>
          <w:pgMar w:left="1440" w:top="118" w:right="1440" w:bottom="1440" w:gutter="0" w:footer="0" w:header="0"/>
        </w:sectPr>
      </w:pPr>
    </w:p>
    <w:bookmarkStart w:id="11" w:name="page12"/>
    <w:bookmarkEnd w:id="11"/>
    <w:p>
      <w:pPr>
        <w:ind w:left="1400" w:right="1979"/>
        <w:spacing w:after="0" w:line="244" w:lineRule="auto"/>
        <w:rPr>
          <w:sz w:val="20"/>
          <w:szCs w:val="20"/>
          <w:color w:val="auto"/>
        </w:rPr>
      </w:pPr>
      <w:r>
        <w:rPr>
          <w:rFonts w:ascii="Arial" w:cs="Arial" w:eastAsia="Arial" w:hAnsi="Arial"/>
          <w:sz w:val="21"/>
          <w:szCs w:val="21"/>
          <w:color w:val="auto"/>
        </w:rPr>
        <w:t>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177" w:lineRule="exact"/>
        <w:rPr>
          <w:sz w:val="20"/>
          <w:szCs w:val="20"/>
          <w:color w:val="auto"/>
        </w:rPr>
      </w:pPr>
    </w:p>
    <w:p>
      <w:pPr>
        <w:jc w:val="both"/>
        <w:ind w:left="760" w:right="2039" w:hanging="655"/>
        <w:spacing w:after="0" w:line="238" w:lineRule="auto"/>
        <w:tabs>
          <w:tab w:leader="none" w:pos="7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212" w:lineRule="exact"/>
        <w:rPr>
          <w:rFonts w:ascii="Arial" w:cs="Arial" w:eastAsia="Arial" w:hAnsi="Arial"/>
          <w:sz w:val="22"/>
          <w:szCs w:val="22"/>
          <w:color w:val="auto"/>
        </w:rPr>
      </w:pPr>
    </w:p>
    <w:p>
      <w:pPr>
        <w:ind w:left="1400" w:right="2219" w:hanging="647"/>
        <w:spacing w:after="0"/>
        <w:tabs>
          <w:tab w:leader="none" w:pos="14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72" w:lineRule="exact"/>
        <w:rPr>
          <w:rFonts w:ascii="Arial" w:cs="Arial" w:eastAsia="Arial" w:hAnsi="Arial"/>
          <w:sz w:val="22"/>
          <w:szCs w:val="22"/>
          <w:color w:val="auto"/>
        </w:rPr>
      </w:pPr>
    </w:p>
    <w:p>
      <w:pPr>
        <w:ind w:left="1400" w:right="2099" w:hanging="647"/>
        <w:spacing w:after="0"/>
        <w:tabs>
          <w:tab w:leader="none" w:pos="14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72" w:lineRule="exact"/>
        <w:rPr>
          <w:rFonts w:ascii="Arial" w:cs="Arial" w:eastAsia="Arial" w:hAnsi="Arial"/>
          <w:sz w:val="22"/>
          <w:szCs w:val="22"/>
          <w:color w:val="auto"/>
        </w:rPr>
      </w:pPr>
    </w:p>
    <w:p>
      <w:pPr>
        <w:ind w:left="1400" w:right="2099" w:hanging="647"/>
        <w:spacing w:after="0" w:line="273" w:lineRule="auto"/>
        <w:tabs>
          <w:tab w:leader="none" w:pos="1400"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61" w:lineRule="exact"/>
        <w:rPr>
          <w:rFonts w:ascii="Arial" w:cs="Arial" w:eastAsia="Arial" w:hAnsi="Arial"/>
          <w:sz w:val="19"/>
          <w:szCs w:val="19"/>
          <w:color w:val="auto"/>
        </w:rPr>
      </w:pPr>
    </w:p>
    <w:p>
      <w:pPr>
        <w:ind w:left="1400" w:right="1799" w:hanging="647"/>
        <w:spacing w:after="0" w:line="273" w:lineRule="auto"/>
        <w:tabs>
          <w:tab w:leader="none" w:pos="1400"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Committee of the Board approves a bona fide target annual bonus for you for the fiscal year in which the Date of Termination occurs, your target annual bonus for the fiscal year prior to the fiscal year in which the Date of Termination occurs);</w:t>
      </w:r>
    </w:p>
    <w:p>
      <w:pPr>
        <w:spacing w:after="0" w:line="200" w:lineRule="exact"/>
        <w:rPr>
          <w:sz w:val="20"/>
          <w:szCs w:val="20"/>
          <w:color w:val="auto"/>
        </w:rPr>
      </w:pPr>
    </w:p>
    <w:p>
      <w:pPr>
        <w:spacing w:after="0" w:line="232"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19"/>
          </w:cols>
          <w:pgMar w:left="1440" w:top="118" w:right="1440" w:bottom="1440" w:gutter="0" w:footer="0" w:header="0"/>
        </w:sectPr>
      </w:pPr>
    </w:p>
    <w:bookmarkStart w:id="12" w:name="page13"/>
    <w:bookmarkEnd w:id="12"/>
    <w:p>
      <w:pPr>
        <w:ind w:left="1400" w:right="1839" w:hanging="647"/>
        <w:spacing w:after="0" w:line="272" w:lineRule="auto"/>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1400" w:right="1779"/>
        <w:spacing w:after="0" w:line="269" w:lineRule="auto"/>
        <w:rPr>
          <w:rFonts w:ascii="Arial" w:cs="Arial" w:eastAsia="Arial" w:hAnsi="Arial"/>
          <w:sz w:val="19"/>
          <w:szCs w:val="19"/>
          <w:color w:val="auto"/>
        </w:rPr>
      </w:pPr>
      <w:r>
        <w:rPr>
          <w:rFonts w:ascii="Arial" w:cs="Arial" w:eastAsia="Arial" w:hAnsi="Arial"/>
          <w:sz w:val="19"/>
          <w:szCs w:val="19"/>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 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348" w:right="1440" w:bottom="1440" w:gutter="0" w:footer="0" w:header="0"/>
        </w:sectPr>
      </w:pPr>
    </w:p>
    <w:bookmarkStart w:id="13" w:name="page14"/>
    <w:bookmarkEnd w:id="13"/>
    <w:p>
      <w:pPr>
        <w:ind w:left="2600" w:right="1899"/>
        <w:spacing w:after="0" w:line="274" w:lineRule="auto"/>
        <w:rPr>
          <w:sz w:val="20"/>
          <w:szCs w:val="20"/>
          <w:color w:val="auto"/>
        </w:rPr>
      </w:pPr>
      <w:r>
        <w:rPr>
          <w:rFonts w:ascii="Arial" w:cs="Arial" w:eastAsia="Arial" w:hAnsi="Arial"/>
          <w:sz w:val="19"/>
          <w:szCs w:val="19"/>
          <w:color w:val="auto"/>
        </w:rPr>
        <w:t>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173" w:lineRule="exact"/>
        <w:rPr>
          <w:sz w:val="20"/>
          <w:szCs w:val="20"/>
          <w:color w:val="auto"/>
        </w:rPr>
      </w:pPr>
    </w:p>
    <w:p>
      <w:pPr>
        <w:ind w:left="2600" w:right="1839" w:hanging="647"/>
        <w:spacing w:after="0" w:line="268" w:lineRule="auto"/>
        <w:tabs>
          <w:tab w:leader="none" w:pos="26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w:t>
      </w:r>
    </w:p>
    <w:p>
      <w:pPr>
        <w:spacing w:after="0" w:line="7" w:lineRule="exact"/>
        <w:rPr>
          <w:rFonts w:ascii="Arial" w:cs="Arial" w:eastAsia="Arial" w:hAnsi="Arial"/>
          <w:sz w:val="19"/>
          <w:szCs w:val="19"/>
          <w:color w:val="auto"/>
        </w:rPr>
      </w:pPr>
    </w:p>
    <w:p>
      <w:pPr>
        <w:ind w:left="2600"/>
        <w:spacing w:after="0"/>
        <w:rPr>
          <w:rFonts w:ascii="Arial" w:cs="Arial" w:eastAsia="Arial" w:hAnsi="Arial"/>
          <w:sz w:val="19"/>
          <w:szCs w:val="19"/>
          <w:color w:val="auto"/>
        </w:rPr>
      </w:pPr>
      <w:r>
        <w:rPr>
          <w:rFonts w:ascii="Arial" w:cs="Arial" w:eastAsia="Arial" w:hAnsi="Arial"/>
          <w:sz w:val="22"/>
          <w:szCs w:val="22"/>
          <w:color w:val="auto"/>
        </w:rPr>
        <w:t>(F).</w:t>
      </w:r>
    </w:p>
    <w:p>
      <w:pPr>
        <w:spacing w:after="0" w:line="215" w:lineRule="exact"/>
        <w:rPr>
          <w:sz w:val="20"/>
          <w:szCs w:val="20"/>
          <w:color w:val="auto"/>
        </w:rPr>
      </w:pPr>
    </w:p>
    <w:p>
      <w:pPr>
        <w:ind w:right="2119" w:firstLine="648"/>
        <w:spacing w:after="0" w:line="270" w:lineRule="auto"/>
        <w:rPr>
          <w:sz w:val="20"/>
          <w:szCs w:val="20"/>
          <w:color w:val="auto"/>
        </w:rPr>
      </w:pPr>
      <w:r>
        <w:rPr>
          <w:rFonts w:ascii="Arial" w:cs="Arial" w:eastAsia="Arial" w:hAnsi="Arial"/>
          <w:sz w:val="19"/>
          <w:szCs w:val="19"/>
          <w:color w:val="auto"/>
        </w:rPr>
        <w:t>The amounts paid to you pursuant to Subsection 2(c)(i)(D) or 2(c)(ii)(D) will not be included as compensation for purposes of any qualified or nonqualified pension or welfare benefit plan of the Manpower 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 e the net after-tax proceeds to you, taking into account the excise tax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162" w:lineRule="exact"/>
        <w:rPr>
          <w:sz w:val="20"/>
          <w:szCs w:val="20"/>
          <w:color w:val="auto"/>
        </w:rPr>
      </w:pPr>
    </w:p>
    <w:p>
      <w:pPr>
        <w:ind w:left="1300" w:right="1839" w:hanging="644"/>
        <w:spacing w:after="0" w:line="328" w:lineRule="auto"/>
        <w:tabs>
          <w:tab w:leader="none" w:pos="130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The payments provided for in Subsection 2(c)(i)(A) or 2(c)(ii)(A), above, will be made no later than required by applicable law. The bonus payment</w:t>
      </w:r>
    </w:p>
    <w:p>
      <w:pPr>
        <w:spacing w:after="0" w:line="13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19"/>
          </w:cols>
          <w:pgMar w:left="240" w:top="118" w:right="1440" w:bottom="1440" w:gutter="0" w:footer="0" w:header="0"/>
        </w:sectPr>
      </w:pPr>
    </w:p>
    <w:bookmarkStart w:id="14" w:name="page15"/>
    <w:bookmarkEnd w:id="14"/>
    <w:p>
      <w:pPr>
        <w:ind w:left="644" w:right="1799"/>
        <w:spacing w:after="0" w:line="269" w:lineRule="auto"/>
        <w:rPr>
          <w:sz w:val="20"/>
          <w:szCs w:val="20"/>
          <w:color w:val="auto"/>
        </w:rPr>
      </w:pPr>
      <w:r>
        <w:rPr>
          <w:rFonts w:ascii="Arial" w:cs="Arial" w:eastAsia="Arial" w:hAnsi="Arial"/>
          <w:sz w:val="19"/>
          <w:szCs w:val="19"/>
          <w:color w:val="auto"/>
        </w:rPr>
        <w:t xml:space="preserve">provided for in Subsection 2(c)(i)(B) or 2(c)(ii)(B) will be made pursuant to the terms of the applicable bonus plan. The bonus payment provided for in Subsection 2(c)(i)(C) will be paid no later than thirty (30) days after the Date of Termination. The bonus payment provided for in Subsection 2(c)(ii)(C) will between January 1 and March 15 of the calendar year following the Date of Termination. The severance benefit provided for in Subsection 2(c)(i)(D) or 2(c) (ii)(D) will be paid in one lump sum no later than thirty (30) days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 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Midwest edition (or, if not so reported, as reported in</w:t>
      </w:r>
      <w:r>
        <w:rPr>
          <w:rFonts w:ascii="Arial" w:cs="Arial" w:eastAsia="Arial" w:hAnsi="Arial"/>
          <w:sz w:val="19"/>
          <w:szCs w:val="19"/>
          <w:i w:val="1"/>
          <w:iCs w:val="1"/>
          <w:color w:val="auto"/>
        </w:rPr>
        <w:t xml:space="preserve"> </w:t>
      </w:r>
      <w:r>
        <w:rPr>
          <w:rFonts w:ascii="Arial" w:cs="Arial" w:eastAsia="Arial" w:hAnsi="Arial"/>
          <w:sz w:val="19"/>
          <w:szCs w:val="19"/>
          <w:color w:val="auto"/>
        </w:rPr>
        <w:t>such other similar source(s) as the Corporation shall select).</w:t>
      </w:r>
    </w:p>
    <w:p>
      <w:pPr>
        <w:spacing w:after="0" w:line="200" w:lineRule="exact"/>
        <w:rPr>
          <w:sz w:val="20"/>
          <w:szCs w:val="20"/>
          <w:color w:val="auto"/>
        </w:rPr>
      </w:pPr>
    </w:p>
    <w:p>
      <w:pPr>
        <w:spacing w:after="0" w:line="234" w:lineRule="exact"/>
        <w:rPr>
          <w:sz w:val="20"/>
          <w:szCs w:val="20"/>
          <w:color w:val="auto"/>
        </w:rPr>
      </w:pPr>
    </w:p>
    <w:p>
      <w:pPr>
        <w:ind w:left="644" w:right="1919" w:hanging="644"/>
        <w:spacing w:after="0" w:line="276" w:lineRule="auto"/>
        <w:tabs>
          <w:tab w:leader="none" w:pos="644"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Notwithstanding the foregoing, you will have no right to receive any payment or benefit described in Subsections 2(c)(i)(C)-(F) or 2(c)(ii)</w:t>
      </w:r>
    </w:p>
    <w:p>
      <w:pPr>
        <w:spacing w:after="0" w:line="1" w:lineRule="exact"/>
        <w:rPr>
          <w:rFonts w:ascii="Arial" w:cs="Arial" w:eastAsia="Arial" w:hAnsi="Arial"/>
          <w:sz w:val="19"/>
          <w:szCs w:val="19"/>
          <w:color w:val="auto"/>
        </w:rPr>
      </w:pPr>
    </w:p>
    <w:p>
      <w:pPr>
        <w:ind w:left="644" w:right="1779"/>
        <w:spacing w:after="0" w:line="270" w:lineRule="auto"/>
        <w:rPr>
          <w:rFonts w:ascii="Arial" w:cs="Arial" w:eastAsia="Arial" w:hAnsi="Arial"/>
          <w:sz w:val="19"/>
          <w:szCs w:val="19"/>
          <w:color w:val="auto"/>
        </w:rPr>
      </w:pPr>
      <w:r>
        <w:rPr>
          <w:rFonts w:ascii="Arial" w:cs="Arial" w:eastAsia="Arial" w:hAnsi="Arial"/>
          <w:sz w:val="19"/>
          <w:szCs w:val="19"/>
          <w:color w:val="auto"/>
        </w:rPr>
        <w:t>(C)-(F),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w:t>
      </w:r>
    </w:p>
    <w:p>
      <w:pPr>
        <w:spacing w:after="0" w:line="192" w:lineRule="exact"/>
        <w:rPr>
          <w:rFonts w:ascii="Arial" w:cs="Arial" w:eastAsia="Arial" w:hAnsi="Arial"/>
          <w:sz w:val="19"/>
          <w:szCs w:val="19"/>
          <w:color w:val="auto"/>
        </w:rPr>
      </w:pPr>
    </w:p>
    <w:p>
      <w:pPr>
        <w:ind w:left="644" w:right="1799" w:hanging="644"/>
        <w:spacing w:after="0" w:line="279" w:lineRule="auto"/>
        <w:tabs>
          <w:tab w:leader="none" w:pos="644"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w:t>
      </w:r>
    </w:p>
    <w:p>
      <w:pPr>
        <w:spacing w:after="0" w:line="178" w:lineRule="exact"/>
        <w:rPr>
          <w:sz w:val="20"/>
          <w:szCs w:val="20"/>
          <w:color w:val="auto"/>
        </w:rPr>
      </w:pPr>
    </w:p>
    <w:p>
      <w:pPr>
        <w:ind w:left="34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563"/>
          </w:cols>
          <w:pgMar w:left="896" w:top="118" w:right="1440" w:bottom="1440" w:gutter="0" w:footer="0" w:header="0"/>
        </w:sectPr>
      </w:pPr>
    </w:p>
    <w:bookmarkStart w:id="15" w:name="page16"/>
    <w:bookmarkEnd w:id="15"/>
    <w:p>
      <w:pPr>
        <w:ind w:left="1292"/>
        <w:spacing w:after="0"/>
        <w:rPr>
          <w:sz w:val="20"/>
          <w:szCs w:val="20"/>
          <w:color w:val="auto"/>
        </w:rPr>
      </w:pPr>
      <w:r>
        <w:rPr>
          <w:rFonts w:ascii="Arial" w:cs="Arial" w:eastAsia="Arial" w:hAnsi="Arial"/>
          <w:sz w:val="22"/>
          <w:szCs w:val="22"/>
          <w:color w:val="auto"/>
        </w:rPr>
        <w:t>benefits.</w:t>
      </w:r>
    </w:p>
    <w:p>
      <w:pPr>
        <w:spacing w:after="0" w:line="220" w:lineRule="exact"/>
        <w:rPr>
          <w:sz w:val="20"/>
          <w:szCs w:val="20"/>
          <w:color w:val="auto"/>
        </w:rPr>
      </w:pPr>
    </w:p>
    <w:p>
      <w:pPr>
        <w:ind w:left="1292" w:right="1819" w:hanging="644"/>
        <w:spacing w:after="0" w:line="271" w:lineRule="auto"/>
        <w:tabs>
          <w:tab w:leader="none" w:pos="1292"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Relocation Expenses</w:t>
      </w:r>
      <w:r>
        <w:rPr>
          <w:rFonts w:ascii="Arial" w:cs="Arial" w:eastAsia="Arial" w:hAnsi="Arial"/>
          <w:sz w:val="19"/>
          <w:szCs w:val="19"/>
          <w:color w:val="auto"/>
        </w:rPr>
        <w:t>. If your employment with the Manpower Group is terminated during the Term and, at the time of such termination, you are assigned to and reside in a location outside of Sweden, the Corporation will reimburse you, pursuant to the Corporation's then existing relocation expense reimbursement policies, for reasonable expenses actually incurred by you in connection with the relocation of you and your family to Sweden; provided, however, that the Corporation shall have no obligation to pay such relocation expenses if your employment with the Manpower Group is terminated by the Manpower Group for Cause or by you other than for Good Reason. Notwithstanding the previous sentence to the contrary, any relocation expenses you incur that are subject to reimbursement must be incurred no later than the end of the second taxable year following the taxable year of your termination of employment and any reimburseme nt for relocation expenses under this Section 2(g) shall be paid to you no later than the end of your third taxable year following the taxable year of your termination of employment.</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652" w:hanging="652"/>
        <w:spacing w:after="0"/>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1779" w:hanging="644"/>
        <w:spacing w:after="0" w:line="269" w:lineRule="auto"/>
        <w:tabs>
          <w:tab w:leader="none" w:pos="1292" w:val="left"/>
        </w:tabs>
        <w:numPr>
          <w:ilvl w:val="1"/>
          <w:numId w:val="20"/>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Manpower Group, or during the two-year period following your termination, for whatever reason, of employment with the Manpower Group, use or possess for yourself or others or disclose to others except in the good faith performance of your duties for the Manpower 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 ation” shall mean all business information (whether or not in written form) 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rights of the Manpower Group to protect Confidential Information which constitute trade secrets under applicable trade secrets law or privileged information even after such two-year period.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11"/>
          </w:cols>
          <w:pgMar w:left="248" w:top="118" w:right="1440" w:bottom="1440" w:gutter="0" w:footer="0" w:header="0"/>
        </w:sectPr>
      </w:pPr>
    </w:p>
    <w:bookmarkStart w:id="16" w:name="page17"/>
    <w:bookmarkEnd w:id="16"/>
    <w:p>
      <w:pPr>
        <w:ind w:left="1292" w:right="1819" w:hanging="644"/>
        <w:spacing w:after="0" w:line="248" w:lineRule="auto"/>
        <w:tabs>
          <w:tab w:leader="none" w:pos="1292" w:val="left"/>
        </w:tabs>
        <w:numPr>
          <w:ilvl w:val="1"/>
          <w:numId w:val="21"/>
        </w:numPr>
        <w:rPr>
          <w:rFonts w:ascii="Arial" w:cs="Arial" w:eastAsia="Arial" w:hAnsi="Arial"/>
          <w:sz w:val="21"/>
          <w:szCs w:val="21"/>
          <w:color w:val="auto"/>
        </w:rPr>
      </w:pPr>
      <w:r>
        <w:rPr>
          <w:rFonts w:ascii="Arial" w:cs="Arial" w:eastAsia="Arial" w:hAnsi="Arial"/>
          <w:sz w:val="21"/>
          <w:szCs w:val="21"/>
          <w:color w:val="auto"/>
        </w:rPr>
        <w:t>Upon your termination, for whatever reason, of employment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204" w:lineRule="exact"/>
        <w:rPr>
          <w:rFonts w:ascii="Arial" w:cs="Arial" w:eastAsia="Arial" w:hAnsi="Arial"/>
          <w:sz w:val="21"/>
          <w:szCs w:val="21"/>
          <w:color w:val="auto"/>
        </w:rPr>
      </w:pPr>
    </w:p>
    <w:p>
      <w:pPr>
        <w:ind w:left="652" w:right="1799" w:hanging="652"/>
        <w:spacing w:after="0" w:line="273" w:lineRule="auto"/>
        <w:tabs>
          <w:tab w:leader="none" w:pos="65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175" w:lineRule="exact"/>
        <w:rPr>
          <w:rFonts w:ascii="Arial" w:cs="Arial" w:eastAsia="Arial" w:hAnsi="Arial"/>
          <w:sz w:val="19"/>
          <w:szCs w:val="19"/>
          <w:color w:val="auto"/>
        </w:rPr>
      </w:pPr>
    </w:p>
    <w:p>
      <w:pPr>
        <w:ind w:left="652" w:hanging="652"/>
        <w:spacing w:after="0"/>
        <w:tabs>
          <w:tab w:leader="none" w:pos="65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Customer Nonsolicitation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292" w:right="2139" w:hanging="644"/>
        <w:spacing w:after="0"/>
        <w:tabs>
          <w:tab w:leader="none" w:pos="1292" w:val="left"/>
        </w:tabs>
        <w:numPr>
          <w:ilvl w:val="1"/>
          <w:numId w:val="22"/>
        </w:numPr>
        <w:rPr>
          <w:rFonts w:ascii="Arial" w:cs="Arial" w:eastAsia="Arial" w:hAnsi="Arial"/>
          <w:sz w:val="22"/>
          <w:szCs w:val="22"/>
          <w:color w:val="auto"/>
        </w:rPr>
      </w:pPr>
      <w:r>
        <w:rPr>
          <w:rFonts w:ascii="Arial" w:cs="Arial" w:eastAsia="Arial" w:hAnsi="Arial"/>
          <w:sz w:val="22"/>
          <w:szCs w:val="22"/>
          <w:color w:val="auto"/>
        </w:rPr>
        <w:t>During the term of your employment with the Manpower Group, you will not assist any competitor of any company in the Manpower Group in any capacity anywhere the Manpower Group does business.</w:t>
      </w:r>
    </w:p>
    <w:p>
      <w:pPr>
        <w:spacing w:after="0" w:line="186" w:lineRule="exact"/>
        <w:rPr>
          <w:rFonts w:ascii="Arial" w:cs="Arial" w:eastAsia="Arial" w:hAnsi="Arial"/>
          <w:sz w:val="22"/>
          <w:szCs w:val="22"/>
          <w:color w:val="auto"/>
        </w:rPr>
      </w:pPr>
    </w:p>
    <w:p>
      <w:pPr>
        <w:ind w:left="1292" w:right="1939" w:hanging="644"/>
        <w:spacing w:after="0" w:line="245" w:lineRule="auto"/>
        <w:tabs>
          <w:tab w:leader="none" w:pos="1292" w:val="left"/>
        </w:tabs>
        <w:numPr>
          <w:ilvl w:val="1"/>
          <w:numId w:val="22"/>
        </w:numPr>
        <w:rPr>
          <w:rFonts w:ascii="Arial" w:cs="Arial" w:eastAsia="Arial" w:hAnsi="Arial"/>
          <w:sz w:val="21"/>
          <w:szCs w:val="21"/>
          <w:color w:val="auto"/>
        </w:rPr>
      </w:pPr>
      <w:r>
        <w:rPr>
          <w:rFonts w:ascii="Arial" w:cs="Arial" w:eastAsia="Arial" w:hAnsi="Arial"/>
          <w:sz w:val="21"/>
          <w:szCs w:val="21"/>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168" w:lineRule="exact"/>
        <w:rPr>
          <w:rFonts w:ascii="Arial" w:cs="Arial" w:eastAsia="Arial" w:hAnsi="Arial"/>
          <w:sz w:val="21"/>
          <w:szCs w:val="21"/>
          <w:color w:val="auto"/>
        </w:rPr>
      </w:pPr>
    </w:p>
    <w:p>
      <w:pPr>
        <w:ind w:left="652" w:right="1799" w:hanging="652"/>
        <w:spacing w:after="0" w:line="273" w:lineRule="auto"/>
        <w:tabs>
          <w:tab w:leader="none" w:pos="65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US $500,000,000 or (ii) engaged in the business of providing permanent placement, professional staffing or human resources consulting services anywhere in the United</w:t>
      </w:r>
    </w:p>
    <w:p>
      <w:pPr>
        <w:spacing w:after="0" w:line="200" w:lineRule="exact"/>
        <w:rPr>
          <w:sz w:val="20"/>
          <w:szCs w:val="20"/>
          <w:color w:val="auto"/>
        </w:rPr>
      </w:pPr>
    </w:p>
    <w:p>
      <w:pPr>
        <w:spacing w:after="0" w:line="232"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11"/>
          </w:cols>
          <w:pgMar w:left="248" w:top="348" w:right="1440" w:bottom="1440" w:gutter="0" w:footer="0" w:header="0"/>
        </w:sectPr>
      </w:pPr>
    </w:p>
    <w:bookmarkStart w:id="17" w:name="page18"/>
    <w:bookmarkEnd w:id="17"/>
    <w:p>
      <w:pPr>
        <w:ind w:left="652" w:right="1879"/>
        <w:spacing w:after="0" w:line="275" w:lineRule="auto"/>
        <w:rPr>
          <w:sz w:val="20"/>
          <w:szCs w:val="20"/>
          <w:color w:val="auto"/>
        </w:rPr>
      </w:pPr>
      <w:r>
        <w:rPr>
          <w:rFonts w:ascii="Arial" w:cs="Arial" w:eastAsia="Arial" w:hAnsi="Arial"/>
          <w:sz w:val="19"/>
          <w:szCs w:val="19"/>
          <w:color w:val="auto"/>
        </w:rPr>
        <w:t>States or any other country in which the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172" w:lineRule="exact"/>
        <w:rPr>
          <w:sz w:val="20"/>
          <w:szCs w:val="20"/>
          <w:color w:val="auto"/>
        </w:rPr>
      </w:pPr>
    </w:p>
    <w:p>
      <w:pPr>
        <w:ind w:left="652" w:hanging="652"/>
        <w:spacing w:after="0"/>
        <w:tabs>
          <w:tab w:leader="none" w:pos="65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292" w:right="1799" w:hanging="644"/>
        <w:spacing w:after="0" w:line="270" w:lineRule="auto"/>
        <w:tabs>
          <w:tab w:leader="none" w:pos="1292"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Manpower 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w:t>
      </w:r>
    </w:p>
    <w:p>
      <w:pPr>
        <w:spacing w:after="0" w:line="4" w:lineRule="exact"/>
        <w:rPr>
          <w:rFonts w:ascii="Arial" w:cs="Arial" w:eastAsia="Arial" w:hAnsi="Arial"/>
          <w:sz w:val="19"/>
          <w:szCs w:val="19"/>
          <w:color w:val="auto"/>
        </w:rPr>
      </w:pPr>
    </w:p>
    <w:p>
      <w:pPr>
        <w:ind w:left="1292" w:right="1939"/>
        <w:spacing w:after="0" w:line="273" w:lineRule="auto"/>
        <w:rPr>
          <w:rFonts w:ascii="Arial" w:cs="Arial" w:eastAsia="Arial" w:hAnsi="Arial"/>
          <w:sz w:val="19"/>
          <w:szCs w:val="19"/>
          <w:color w:val="auto"/>
        </w:rPr>
      </w:pPr>
      <w:r>
        <w:rPr>
          <w:rFonts w:ascii="Arial" w:cs="Arial" w:eastAsia="Arial" w:hAnsi="Arial"/>
          <w:sz w:val="19"/>
          <w:szCs w:val="19"/>
          <w:color w:val="auto"/>
        </w:rPr>
        <w:t>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 o is acting for you or in concert with you.</w:t>
      </w:r>
    </w:p>
    <w:p>
      <w:pPr>
        <w:spacing w:after="0" w:line="146" w:lineRule="exact"/>
        <w:rPr>
          <w:rFonts w:ascii="Arial" w:cs="Arial" w:eastAsia="Arial" w:hAnsi="Arial"/>
          <w:sz w:val="19"/>
          <w:szCs w:val="19"/>
          <w:color w:val="auto"/>
        </w:rPr>
      </w:pPr>
    </w:p>
    <w:p>
      <w:pPr>
        <w:ind w:left="1292" w:right="2039" w:hanging="644"/>
        <w:spacing w:after="0" w:line="328" w:lineRule="auto"/>
        <w:tabs>
          <w:tab w:leader="none" w:pos="1292"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Equitable Extension</w:t>
      </w:r>
      <w:r>
        <w:rPr>
          <w:rFonts w:ascii="Arial" w:cs="Arial" w:eastAsia="Arial" w:hAnsi="Arial"/>
          <w:sz w:val="19"/>
          <w:szCs w:val="19"/>
          <w:color w:val="auto"/>
        </w:rPr>
        <w:t>. The duration of any restriction in Section 3-6, above, will be extended by any period during which such restriction is violated by you.</w:t>
      </w:r>
    </w:p>
    <w:p>
      <w:pPr>
        <w:spacing w:after="0" w:line="91" w:lineRule="exact"/>
        <w:rPr>
          <w:rFonts w:ascii="Arial" w:cs="Arial" w:eastAsia="Arial" w:hAnsi="Arial"/>
          <w:sz w:val="19"/>
          <w:szCs w:val="19"/>
          <w:color w:val="auto"/>
        </w:rPr>
      </w:pPr>
    </w:p>
    <w:p>
      <w:pPr>
        <w:ind w:left="1292" w:right="2159" w:hanging="644"/>
        <w:spacing w:after="0" w:line="287" w:lineRule="auto"/>
        <w:tabs>
          <w:tab w:leader="none" w:pos="1292"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Nonapplication</w:t>
      </w:r>
      <w:r>
        <w:rPr>
          <w:rFonts w:ascii="Arial" w:cs="Arial" w:eastAsia="Arial" w:hAnsi="Arial"/>
          <w:sz w:val="19"/>
          <w:szCs w:val="19"/>
          <w:color w:val="auto"/>
        </w:rPr>
        <w:t>. Notwithstanding the above, Sections 5 and 6, above, will not apply if your employment with the Manpower Group is terminated by you for Good Reason or by the Corporation without Cause either during a Protected Period or within two years after the occurrence of a Change of Control.</w:t>
      </w:r>
    </w:p>
    <w:p>
      <w:pPr>
        <w:spacing w:after="0" w:line="170" w:lineRule="exact"/>
        <w:rPr>
          <w:rFonts w:ascii="Arial" w:cs="Arial" w:eastAsia="Arial" w:hAnsi="Arial"/>
          <w:sz w:val="19"/>
          <w:szCs w:val="19"/>
          <w:color w:val="auto"/>
        </w:rPr>
      </w:pPr>
    </w:p>
    <w:p>
      <w:pPr>
        <w:ind w:left="652" w:hanging="652"/>
        <w:spacing w:after="0"/>
        <w:tabs>
          <w:tab w:leader="none" w:pos="652"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Unemployment Compensation</w:t>
      </w:r>
      <w:r>
        <w:rPr>
          <w:rFonts w:ascii="Arial" w:cs="Arial" w:eastAsia="Arial" w:hAnsi="Arial"/>
          <w:sz w:val="19"/>
          <w:szCs w:val="19"/>
          <w:color w:val="auto"/>
        </w:rPr>
        <w:t>. The severance benefits provided for in Subsection 2(c)(i)</w:t>
      </w:r>
    </w:p>
    <w:p>
      <w:pPr>
        <w:spacing w:after="0" w:line="42" w:lineRule="exact"/>
        <w:rPr>
          <w:rFonts w:ascii="Arial" w:cs="Arial" w:eastAsia="Arial" w:hAnsi="Arial"/>
          <w:sz w:val="19"/>
          <w:szCs w:val="19"/>
          <w:color w:val="auto"/>
        </w:rPr>
      </w:pPr>
    </w:p>
    <w:p>
      <w:pPr>
        <w:ind w:left="652" w:right="1919"/>
        <w:spacing w:after="0" w:line="277" w:lineRule="auto"/>
        <w:rPr>
          <w:rFonts w:ascii="Arial" w:cs="Arial" w:eastAsia="Arial" w:hAnsi="Arial"/>
          <w:sz w:val="19"/>
          <w:szCs w:val="19"/>
          <w:color w:val="auto"/>
        </w:rPr>
      </w:pPr>
      <w:r>
        <w:rPr>
          <w:rFonts w:ascii="Arial" w:cs="Arial" w:eastAsia="Arial" w:hAnsi="Arial"/>
          <w:sz w:val="19"/>
          <w:szCs w:val="19"/>
          <w:color w:val="auto"/>
        </w:rPr>
        <w:t>(D)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139" w:lineRule="exact"/>
        <w:rPr>
          <w:rFonts w:ascii="Arial" w:cs="Arial" w:eastAsia="Arial" w:hAnsi="Arial"/>
          <w:sz w:val="19"/>
          <w:szCs w:val="19"/>
          <w:color w:val="auto"/>
        </w:rPr>
      </w:pPr>
    </w:p>
    <w:p>
      <w:pPr>
        <w:ind w:left="652" w:right="1779" w:hanging="652"/>
        <w:spacing w:after="0" w:line="277" w:lineRule="auto"/>
        <w:tabs>
          <w:tab w:leader="none" w:pos="652"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11"/>
          </w:cols>
          <w:pgMar w:left="248" w:top="118" w:right="1440" w:bottom="1440" w:gutter="0" w:footer="0" w:header="0"/>
        </w:sectPr>
      </w:pPr>
    </w:p>
    <w:bookmarkStart w:id="18" w:name="page19"/>
    <w:bookmarkEnd w:id="18"/>
    <w:p>
      <w:pPr>
        <w:ind w:left="652" w:right="1799"/>
        <w:spacing w:after="0" w:line="247" w:lineRule="auto"/>
        <w:rPr>
          <w:sz w:val="20"/>
          <w:szCs w:val="20"/>
          <w:color w:val="auto"/>
        </w:rPr>
      </w:pPr>
      <w:r>
        <w:rPr>
          <w:rFonts w:ascii="Arial" w:cs="Arial" w:eastAsia="Arial" w:hAnsi="Arial"/>
          <w:sz w:val="21"/>
          <w:szCs w:val="21"/>
          <w:color w:val="auto"/>
        </w:rPr>
        <w:t>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65" w:lineRule="exact"/>
        <w:rPr>
          <w:sz w:val="20"/>
          <w:szCs w:val="20"/>
          <w:color w:val="auto"/>
        </w:rPr>
      </w:pPr>
    </w:p>
    <w:p>
      <w:pPr>
        <w:ind w:left="652" w:right="1839" w:hanging="652"/>
        <w:spacing w:after="0"/>
        <w:tabs>
          <w:tab w:leader="none" w:pos="65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 This letter agreement will be binding on the Corporation and its successors and will inure to the benefit of and be enforceable by your personal or legal representatives, heirs and successors.</w:t>
      </w:r>
    </w:p>
    <w:p>
      <w:pPr>
        <w:spacing w:after="0" w:line="213" w:lineRule="exact"/>
        <w:rPr>
          <w:rFonts w:ascii="Arial" w:cs="Arial" w:eastAsia="Arial" w:hAnsi="Arial"/>
          <w:sz w:val="22"/>
          <w:szCs w:val="22"/>
          <w:color w:val="auto"/>
        </w:rPr>
      </w:pPr>
    </w:p>
    <w:p>
      <w:pPr>
        <w:ind w:left="652" w:right="1779" w:hanging="652"/>
        <w:spacing w:after="0" w:line="287" w:lineRule="auto"/>
        <w:tabs>
          <w:tab w:leader="none" w:pos="65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56" w:lineRule="exact"/>
        <w:rPr>
          <w:rFonts w:ascii="Arial" w:cs="Arial" w:eastAsia="Arial" w:hAnsi="Arial"/>
          <w:sz w:val="19"/>
          <w:szCs w:val="19"/>
          <w:color w:val="auto"/>
        </w:rPr>
      </w:pPr>
    </w:p>
    <w:p>
      <w:pPr>
        <w:ind w:left="652" w:right="1859" w:hanging="652"/>
        <w:spacing w:after="0" w:line="282" w:lineRule="auto"/>
        <w:tabs>
          <w:tab w:leader="none" w:pos="65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 Right to Remain Employed</w:t>
      </w:r>
      <w:r>
        <w:rPr>
          <w:rFonts w:ascii="Arial" w:cs="Arial" w:eastAsia="Arial" w:hAnsi="Arial"/>
          <w:sz w:val="19"/>
          <w:szCs w:val="19"/>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61" w:lineRule="exact"/>
        <w:rPr>
          <w:rFonts w:ascii="Arial" w:cs="Arial" w:eastAsia="Arial" w:hAnsi="Arial"/>
          <w:sz w:val="19"/>
          <w:szCs w:val="19"/>
          <w:color w:val="auto"/>
        </w:rPr>
      </w:pPr>
    </w:p>
    <w:p>
      <w:pPr>
        <w:ind w:left="652" w:right="1979" w:hanging="652"/>
        <w:spacing w:after="0"/>
        <w:tabs>
          <w:tab w:leader="none" w:pos="65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may be modified, waived or discharged unless such waiver, modification or discharge is agreed to in writing by you and the Corporation.</w:t>
      </w:r>
    </w:p>
    <w:p>
      <w:pPr>
        <w:spacing w:after="0" w:line="213" w:lineRule="exact"/>
        <w:rPr>
          <w:rFonts w:ascii="Arial" w:cs="Arial" w:eastAsia="Arial" w:hAnsi="Arial"/>
          <w:sz w:val="22"/>
          <w:szCs w:val="22"/>
          <w:color w:val="auto"/>
        </w:rPr>
      </w:pPr>
    </w:p>
    <w:p>
      <w:pPr>
        <w:jc w:val="both"/>
        <w:ind w:left="652" w:right="2119" w:hanging="652"/>
        <w:spacing w:after="0" w:line="297" w:lineRule="auto"/>
        <w:tabs>
          <w:tab w:leader="none" w:pos="65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47" w:lineRule="exact"/>
        <w:rPr>
          <w:rFonts w:ascii="Arial" w:cs="Arial" w:eastAsia="Arial" w:hAnsi="Arial"/>
          <w:sz w:val="19"/>
          <w:szCs w:val="19"/>
          <w:color w:val="auto"/>
        </w:rPr>
      </w:pPr>
    </w:p>
    <w:p>
      <w:pPr>
        <w:ind w:left="652" w:right="2039" w:hanging="652"/>
        <w:spacing w:after="0"/>
        <w:tabs>
          <w:tab w:leader="none" w:pos="65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interpreted in accordance with the laws of the State of New York, United States of America, without regard to its conflict of law provisions.</w:t>
      </w:r>
    </w:p>
    <w:p>
      <w:pPr>
        <w:spacing w:after="0" w:line="199" w:lineRule="exact"/>
        <w:rPr>
          <w:rFonts w:ascii="Arial" w:cs="Arial" w:eastAsia="Arial" w:hAnsi="Arial"/>
          <w:sz w:val="22"/>
          <w:szCs w:val="22"/>
          <w:color w:val="auto"/>
        </w:rPr>
      </w:pPr>
    </w:p>
    <w:p>
      <w:pPr>
        <w:ind w:left="652" w:right="1779" w:hanging="652"/>
        <w:spacing w:after="0" w:line="275" w:lineRule="auto"/>
        <w:tabs>
          <w:tab w:leader="none" w:pos="65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200" w:lineRule="exact"/>
        <w:rPr>
          <w:sz w:val="20"/>
          <w:szCs w:val="20"/>
          <w:color w:val="auto"/>
        </w:rPr>
      </w:pPr>
    </w:p>
    <w:p>
      <w:pPr>
        <w:spacing w:after="0" w:line="228"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211"/>
          </w:cols>
          <w:pgMar w:left="248" w:top="118" w:right="1440" w:bottom="1440" w:gutter="0" w:footer="0" w:header="0"/>
        </w:sectPr>
      </w:pPr>
    </w:p>
    <w:bookmarkStart w:id="19" w:name="page20"/>
    <w:bookmarkEnd w:id="19"/>
    <w:p>
      <w:pPr>
        <w:ind w:left="652" w:right="1779" w:hanging="652"/>
        <w:spacing w:after="0" w:line="244" w:lineRule="auto"/>
        <w:tabs>
          <w:tab w:leader="none" w:pos="652"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Previous Agreements</w:t>
      </w:r>
      <w:r>
        <w:rPr>
          <w:rFonts w:ascii="Arial" w:cs="Arial" w:eastAsia="Arial" w:hAnsi="Arial"/>
          <w:sz w:val="21"/>
          <w:szCs w:val="21"/>
          <w:color w:val="auto"/>
        </w:rPr>
        <w:t>. To the extent your Date of Termination does not occur prior to the effective date of this letter indicated above and you accept this letter with your signature below, this letter, upon its effective date indicated above, expressly supersedes any and all previous agreements or understandings relating to your employment by the Corporation or the Manpower Group, except for the letter from the Corporation to you dated December 16, 2005, regarding your assignment for the Corporation or the termination of such employment, and any such agreements or understandings shall, as of the date of your acceptance, have no further force or effect. For the sake of clarification, to the extent your Date of Termination occurs prior to the effective date of this letter indicated above, the provisions of the letter from the Corporation to you dated May 11, 2006 shall control instead of this letter.</w:t>
      </w:r>
    </w:p>
    <w:p>
      <w:pPr>
        <w:spacing w:after="0" w:line="216" w:lineRule="exact"/>
        <w:rPr>
          <w:rFonts w:ascii="Arial" w:cs="Arial" w:eastAsia="Arial" w:hAnsi="Arial"/>
          <w:sz w:val="21"/>
          <w:szCs w:val="21"/>
          <w:color w:val="auto"/>
        </w:rPr>
      </w:pPr>
    </w:p>
    <w:p>
      <w:pPr>
        <w:ind w:left="652" w:right="1799" w:hanging="652"/>
        <w:spacing w:after="0" w:line="277" w:lineRule="auto"/>
        <w:tabs>
          <w:tab w:leader="none" w:pos="652"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Section 7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1292" w:right="1859" w:hanging="644"/>
        <w:spacing w:after="0" w:line="270" w:lineRule="auto"/>
        <w:tabs>
          <w:tab w:leader="none" w:pos="1292" w:val="left"/>
        </w:tabs>
        <w:numPr>
          <w:ilvl w:val="1"/>
          <w:numId w:val="25"/>
        </w:numPr>
        <w:rPr>
          <w:rFonts w:ascii="Arial" w:cs="Arial" w:eastAsia="Arial" w:hAnsi="Arial"/>
          <w:sz w:val="19"/>
          <w:szCs w:val="19"/>
          <w:color w:val="auto"/>
        </w:rPr>
      </w:pPr>
      <w:r>
        <w:rPr>
          <w:rFonts w:ascii="Arial" w:cs="Arial" w:eastAsia="Arial" w:hAnsi="Arial"/>
          <w:sz w:val="19"/>
          <w:szCs w:val="19"/>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 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292" w:right="2139" w:hanging="644"/>
        <w:spacing w:after="0" w:line="328" w:lineRule="auto"/>
        <w:tabs>
          <w:tab w:leader="none" w:pos="1292" w:val="left"/>
        </w:tabs>
        <w:numPr>
          <w:ilvl w:val="1"/>
          <w:numId w:val="25"/>
        </w:numPr>
        <w:rPr>
          <w:rFonts w:ascii="Arial" w:cs="Arial" w:eastAsia="Arial" w:hAnsi="Arial"/>
          <w:sz w:val="19"/>
          <w:szCs w:val="19"/>
          <w:color w:val="auto"/>
        </w:rPr>
      </w:pPr>
      <w:r>
        <w:rPr>
          <w:rFonts w:ascii="Arial" w:cs="Arial" w:eastAsia="Arial" w:hAnsi="Arial"/>
          <w:sz w:val="19"/>
          <w:szCs w:val="19"/>
          <w:color w:val="auto"/>
        </w:rPr>
        <w:t>If your principal place of employment with the Manpower Group is within the United States, any dispute arising out of or relating to this letter agreement,</w:t>
      </w:r>
    </w:p>
    <w:p>
      <w:pPr>
        <w:spacing w:after="0" w:line="375"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1"/>
          </w:cols>
          <w:pgMar w:left="248" w:top="348" w:right="1440" w:bottom="1440" w:gutter="0" w:footer="0" w:header="0"/>
        </w:sectPr>
      </w:pPr>
    </w:p>
    <w:bookmarkStart w:id="20" w:name="page21"/>
    <w:bookmarkEnd w:id="20"/>
    <w:p>
      <w:pPr>
        <w:ind w:left="1292" w:right="1819"/>
        <w:spacing w:after="0" w:line="270" w:lineRule="auto"/>
        <w:rPr>
          <w:sz w:val="20"/>
          <w:szCs w:val="20"/>
          <w:color w:val="auto"/>
        </w:rPr>
      </w:pPr>
      <w:r>
        <w:rPr>
          <w:rFonts w:ascii="Arial" w:cs="Arial" w:eastAsia="Arial" w:hAnsi="Arial"/>
          <w:sz w:val="19"/>
          <w:szCs w:val="19"/>
          <w:color w:val="auto"/>
        </w:rPr>
        <w:t xml:space="preserve">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1" w:lineRule="exact"/>
        <w:rPr>
          <w:sz w:val="20"/>
          <w:szCs w:val="20"/>
          <w:color w:val="auto"/>
        </w:rPr>
      </w:pPr>
    </w:p>
    <w:p>
      <w:pPr>
        <w:jc w:val="both"/>
        <w:ind w:left="652" w:right="1779" w:hanging="652"/>
        <w:spacing w:after="0" w:line="258" w:lineRule="auto"/>
        <w:tabs>
          <w:tab w:leader="none" w:pos="652"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obligations imposed by Paragraphs 3-7, above, of this agreement are severable and should be construed independently of each other. The invalidity of one such provision shall not affect the validity of any other such provision.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11"/>
          </w:cols>
          <w:pgMar w:left="248" w:top="118" w:right="1440" w:bottom="1440" w:gutter="0" w:footer="0" w:header="0"/>
        </w:sectPr>
      </w:pPr>
    </w:p>
    <w:bookmarkStart w:id="21" w:name="page22"/>
    <w:bookmarkEnd w:id="21"/>
    <w:p>
      <w:pPr>
        <w:ind w:right="1959" w:firstLine="648"/>
        <w:spacing w:after="0" w:line="274" w:lineRule="auto"/>
        <w:rPr>
          <w:sz w:val="20"/>
          <w:szCs w:val="20"/>
          <w:color w:val="auto"/>
        </w:rPr>
      </w:pPr>
      <w:r>
        <w:rPr>
          <w:rFonts w:ascii="Arial" w:cs="Arial" w:eastAsia="Arial" w:hAnsi="Arial"/>
          <w:sz w:val="21"/>
          <w:szCs w:val="21"/>
          <w:color w:val="auto"/>
        </w:rPr>
        <w:t>If you are in agreement with the foregoing, please sign and return one copy of this letter which will constitute our agreement with respect to the subject matter of this letter.</w:t>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2162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2175" cy="8890"/>
                    </a:xfrm>
                    <a:prstGeom prst="rect">
                      <a:avLst/>
                    </a:prstGeom>
                    <a:noFill/>
                  </pic:spPr>
                </pic:pic>
              </a:graphicData>
            </a:graphic>
          </wp:anchor>
        </w:drawing>
      </w:r>
    </w:p>
    <w:p>
      <w:pPr>
        <w:ind w:left="4220"/>
        <w:spacing w:after="0" w:line="238" w:lineRule="auto"/>
        <w:rPr>
          <w:sz w:val="20"/>
          <w:szCs w:val="20"/>
          <w:color w:val="auto"/>
        </w:rPr>
      </w:pPr>
      <w:r>
        <w:rPr>
          <w:rFonts w:ascii="Arial" w:cs="Arial" w:eastAsia="Arial" w:hAnsi="Arial"/>
          <w:sz w:val="22"/>
          <w:szCs w:val="22"/>
          <w:color w:val="auto"/>
        </w:rPr>
        <w:t>Jeffrey A. Joerres, President and</w:t>
      </w:r>
    </w:p>
    <w:p>
      <w:pPr>
        <w:ind w:left="42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10th day of November, 2008.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38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Jonas Prising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219"/>
          </w:cols>
          <w:pgMar w:left="240" w:top="118" w:right="1440" w:bottom="1440" w:gutter="0" w:footer="0" w:header="0"/>
        </w:sectPr>
      </w:pPr>
    </w:p>
    <w:bookmarkStart w:id="22" w:name="page23"/>
    <w:bookmarkEnd w:id="22"/>
    <w:p>
      <w:pPr>
        <w:jc w:val="right"/>
        <w:ind w:right="1779"/>
        <w:spacing w:after="0"/>
        <w:rPr>
          <w:sz w:val="20"/>
          <w:szCs w:val="20"/>
          <w:color w:val="auto"/>
        </w:rPr>
      </w:pPr>
      <w:r>
        <w:rPr>
          <w:rFonts w:ascii="Arial" w:cs="Arial" w:eastAsia="Arial" w:hAnsi="Arial"/>
          <w:sz w:val="22"/>
          <w:szCs w:val="22"/>
          <w:u w:val="single" w:color="auto"/>
          <w:color w:val="auto"/>
        </w:rPr>
        <w:t>Exhibit 10.2</w:t>
      </w:r>
    </w:p>
    <w:p>
      <w:pPr>
        <w:jc w:val="center"/>
        <w:ind w:right="1779"/>
        <w:spacing w:after="0" w:line="238" w:lineRule="auto"/>
        <w:rPr>
          <w:sz w:val="20"/>
          <w:szCs w:val="20"/>
          <w:color w:val="auto"/>
        </w:rPr>
      </w:pPr>
      <w:r>
        <w:rPr>
          <w:rFonts w:ascii="Arial" w:cs="Arial" w:eastAsia="Arial" w:hAnsi="Arial"/>
          <w:sz w:val="22"/>
          <w:szCs w:val="22"/>
          <w:color w:val="auto"/>
        </w:rPr>
        <w:t>Manpower Inc.</w:t>
      </w:r>
    </w:p>
    <w:p>
      <w:pPr>
        <w:jc w:val="center"/>
        <w:ind w:right="1779"/>
        <w:spacing w:after="0" w:line="231" w:lineRule="auto"/>
        <w:rPr>
          <w:sz w:val="20"/>
          <w:szCs w:val="20"/>
          <w:color w:val="auto"/>
        </w:rPr>
      </w:pPr>
      <w:r>
        <w:rPr>
          <w:rFonts w:ascii="Arial" w:cs="Arial" w:eastAsia="Arial" w:hAnsi="Arial"/>
          <w:sz w:val="22"/>
          <w:szCs w:val="22"/>
          <w:color w:val="auto"/>
        </w:rPr>
        <w:t>100 Manpower Place</w:t>
      </w:r>
    </w:p>
    <w:p>
      <w:pPr>
        <w:jc w:val="center"/>
        <w:ind w:right="1779"/>
        <w:spacing w:after="0"/>
        <w:rPr>
          <w:sz w:val="20"/>
          <w:szCs w:val="20"/>
          <w:color w:val="auto"/>
        </w:rPr>
      </w:pPr>
      <w:r>
        <w:rPr>
          <w:rFonts w:ascii="Arial" w:cs="Arial" w:eastAsia="Arial" w:hAnsi="Arial"/>
          <w:sz w:val="22"/>
          <w:szCs w:val="22"/>
          <w:color w:val="auto"/>
        </w:rPr>
        <w:t>Milwaukee, Wisconsin 53212</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Effective November 10, 2008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Barbara Beck</w:t>
      </w:r>
    </w:p>
    <w:p>
      <w:pPr>
        <w:spacing w:after="0" w:line="238" w:lineRule="auto"/>
        <w:rPr>
          <w:sz w:val="20"/>
          <w:szCs w:val="20"/>
          <w:color w:val="auto"/>
        </w:rPr>
      </w:pPr>
      <w:r>
        <w:rPr>
          <w:rFonts w:ascii="Arial" w:cs="Arial" w:eastAsia="Arial" w:hAnsi="Arial"/>
          <w:sz w:val="22"/>
          <w:szCs w:val="22"/>
          <w:color w:val="auto"/>
        </w:rPr>
        <w:t>President – Europe, Middle East and Africa</w:t>
      </w:r>
    </w:p>
    <w:p>
      <w:pPr>
        <w:spacing w:after="0" w:line="230" w:lineRule="auto"/>
        <w:rPr>
          <w:sz w:val="20"/>
          <w:szCs w:val="20"/>
          <w:color w:val="auto"/>
        </w:rPr>
      </w:pPr>
      <w:r>
        <w:rPr>
          <w:rFonts w:ascii="Arial" w:cs="Arial" w:eastAsia="Arial" w:hAnsi="Arial"/>
          <w:sz w:val="22"/>
          <w:szCs w:val="22"/>
          <w:color w:val="auto"/>
        </w:rPr>
        <w:t>Manpower Inc.</w:t>
      </w:r>
    </w:p>
    <w:p>
      <w:pPr>
        <w:spacing w:after="0" w:line="231"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Milwaukee, WI 53212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Barbara:</w:t>
      </w:r>
    </w:p>
    <w:p>
      <w:pPr>
        <w:spacing w:after="0" w:line="233" w:lineRule="exact"/>
        <w:rPr>
          <w:sz w:val="20"/>
          <w:szCs w:val="20"/>
          <w:color w:val="auto"/>
        </w:rPr>
      </w:pPr>
    </w:p>
    <w:p>
      <w:pPr>
        <w:ind w:right="1839" w:firstLine="648"/>
        <w:spacing w:after="0" w:line="273" w:lineRule="auto"/>
        <w:rPr>
          <w:sz w:val="20"/>
          <w:szCs w:val="20"/>
          <w:color w:val="auto"/>
        </w:rPr>
      </w:pPr>
      <w:r>
        <w:rPr>
          <w:rFonts w:ascii="Arial" w:cs="Arial" w:eastAsia="Arial" w:hAnsi="Arial"/>
          <w:sz w:val="19"/>
          <w:szCs w:val="19"/>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entered into an agreement with you as of May 12, 2006 regarding certain severance protections. Due to the requirements of Internal Revenue Code (the “Code”) Section 409A regarding deferred compensation and the potential application of Code Section 409A to that agreement, as well as the Corporation’s desire to provide consistent severance protection for executives of the Corporation who are members of the Executive Management Committee, we are amending and superseding that letter dated May 12, 2006 &lt; B&gt; and have agreed as follows:</w:t>
      </w:r>
    </w:p>
    <w:p>
      <w:pPr>
        <w:spacing w:after="0" w:line="200" w:lineRule="exact"/>
        <w:rPr>
          <w:sz w:val="20"/>
          <w:szCs w:val="20"/>
          <w:color w:val="auto"/>
        </w:rPr>
      </w:pPr>
    </w:p>
    <w:p>
      <w:pPr>
        <w:spacing w:after="0" w:line="21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w:t>
      </w:r>
    </w:p>
    <w:p>
      <w:pPr>
        <w:spacing w:after="0" w:line="233" w:lineRule="exact"/>
        <w:rPr>
          <w:rFonts w:ascii="Arial" w:cs="Arial" w:eastAsia="Arial" w:hAnsi="Arial"/>
          <w:sz w:val="22"/>
          <w:szCs w:val="22"/>
          <w:color w:val="auto"/>
        </w:rPr>
      </w:pPr>
    </w:p>
    <w:p>
      <w:pPr>
        <w:ind w:left="1300" w:right="1879" w:hanging="644"/>
        <w:spacing w:after="0" w:line="274" w:lineRule="auto"/>
        <w:tabs>
          <w:tab w:leader="none" w:pos="1300"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Benefit Plans</w:t>
      </w:r>
      <w:r>
        <w:rPr>
          <w:rFonts w:ascii="Arial" w:cs="Arial" w:eastAsia="Arial" w:hAnsi="Arial"/>
          <w:sz w:val="21"/>
          <w:szCs w:val="21"/>
          <w:color w:val="auto"/>
        </w:rPr>
        <w:t>. “Benefit Plans” means all benefits of employment generally made available to executives of the Corporation from time to time.</w:t>
      </w:r>
    </w:p>
    <w:p>
      <w:pPr>
        <w:spacing w:after="0" w:line="164" w:lineRule="exact"/>
        <w:rPr>
          <w:rFonts w:ascii="Arial" w:cs="Arial" w:eastAsia="Arial" w:hAnsi="Arial"/>
          <w:sz w:val="21"/>
          <w:szCs w:val="21"/>
          <w:color w:val="auto"/>
        </w:rPr>
      </w:pPr>
    </w:p>
    <w:p>
      <w:pPr>
        <w:ind w:left="1300" w:right="1799" w:hanging="644"/>
        <w:spacing w:after="0" w:line="271" w:lineRule="auto"/>
        <w:tabs>
          <w:tab w:leader="none" w:pos="130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 ial disloyalty involving the Manpower Group, (iv) any violation by you of a Manpower Group policy of material import, (v) any act by you of moral turpitude which is likely to result in discredit to or loss of business,</w:t>
      </w:r>
    </w:p>
    <w:p>
      <w:pPr>
        <w:sectPr>
          <w:pgSz w:w="11900" w:h="16838" w:orient="portrait"/>
          <w:cols w:equalWidth="0" w:num="1">
            <w:col w:w="10219"/>
          </w:cols>
          <w:pgMar w:left="240" w:top="118" w:right="1440" w:bottom="1440" w:gutter="0" w:footer="0" w:header="0"/>
        </w:sectPr>
      </w:pPr>
    </w:p>
    <w:bookmarkStart w:id="23" w:name="page24"/>
    <w:bookmarkEnd w:id="23"/>
    <w:p>
      <w:pPr>
        <w:ind w:left="644" w:right="1799"/>
        <w:spacing w:after="0" w:line="277" w:lineRule="auto"/>
        <w:rPr>
          <w:sz w:val="20"/>
          <w:szCs w:val="20"/>
          <w:color w:val="auto"/>
        </w:rPr>
      </w:pPr>
      <w:r>
        <w:rPr>
          <w:rFonts w:ascii="Arial" w:cs="Arial" w:eastAsia="Arial" w:hAnsi="Arial"/>
          <w:sz w:val="19"/>
          <w:szCs w:val="19"/>
          <w:color w:val="auto"/>
        </w:rPr>
        <w:t>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167" w:lineRule="exact"/>
        <w:rPr>
          <w:sz w:val="20"/>
          <w:szCs w:val="20"/>
          <w:color w:val="auto"/>
        </w:rPr>
      </w:pPr>
    </w:p>
    <w:p>
      <w:pPr>
        <w:ind w:left="644" w:right="2199" w:hanging="644"/>
        <w:spacing w:after="0" w:line="251"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00" w:lineRule="exact"/>
        <w:rPr>
          <w:rFonts w:ascii="Arial" w:cs="Arial" w:eastAsia="Arial" w:hAnsi="Arial"/>
          <w:sz w:val="22"/>
          <w:szCs w:val="22"/>
          <w:color w:val="auto"/>
        </w:rPr>
      </w:pPr>
    </w:p>
    <w:p>
      <w:pPr>
        <w:ind w:left="1304" w:right="1839" w:hanging="655"/>
        <w:spacing w:after="0" w:line="269" w:lineRule="auto"/>
        <w:tabs>
          <w:tab w:leader="none" w:pos="1304"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left="1304" w:right="1879" w:hanging="655"/>
        <w:spacing w:after="0" w:line="273" w:lineRule="auto"/>
        <w:tabs>
          <w:tab w:leader="none" w:pos="1304"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w:t>
      </w:r>
    </w:p>
    <w:p>
      <w:pPr>
        <w:spacing w:after="0" w:line="200" w:lineRule="exact"/>
        <w:rPr>
          <w:sz w:val="20"/>
          <w:szCs w:val="20"/>
          <w:color w:val="auto"/>
        </w:rPr>
      </w:pPr>
    </w:p>
    <w:p>
      <w:pPr>
        <w:spacing w:after="0" w:line="226"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563"/>
          </w:cols>
          <w:pgMar w:left="896" w:top="118" w:right="1440" w:bottom="1440" w:gutter="0" w:footer="0" w:header="0"/>
        </w:sectPr>
      </w:pPr>
    </w:p>
    <w:bookmarkStart w:id="24" w:name="page25"/>
    <w:bookmarkEnd w:id="24"/>
    <w:p>
      <w:pPr>
        <w:ind w:left="1960"/>
        <w:spacing w:after="0"/>
        <w:rPr>
          <w:sz w:val="20"/>
          <w:szCs w:val="20"/>
          <w:color w:val="auto"/>
        </w:rPr>
      </w:pPr>
      <w:r>
        <w:rPr>
          <w:rFonts w:ascii="Arial" w:cs="Arial" w:eastAsia="Arial" w:hAnsi="Arial"/>
          <w:sz w:val="22"/>
          <w:szCs w:val="22"/>
          <w:color w:val="auto"/>
        </w:rPr>
        <w:t>the case may be; or</w:t>
      </w:r>
    </w:p>
    <w:p>
      <w:pPr>
        <w:spacing w:after="0" w:line="220" w:lineRule="exact"/>
        <w:rPr>
          <w:sz w:val="20"/>
          <w:szCs w:val="20"/>
          <w:color w:val="auto"/>
        </w:rPr>
      </w:pPr>
    </w:p>
    <w:p>
      <w:pPr>
        <w:ind w:left="1960" w:right="1819" w:hanging="655"/>
        <w:spacing w:after="0"/>
        <w:tabs>
          <w:tab w:leader="none" w:pos="19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13" w:lineRule="exact"/>
        <w:rPr>
          <w:rFonts w:ascii="Arial" w:cs="Arial" w:eastAsia="Arial" w:hAnsi="Arial"/>
          <w:sz w:val="22"/>
          <w:szCs w:val="22"/>
          <w:color w:val="auto"/>
        </w:rPr>
      </w:pPr>
    </w:p>
    <w:p>
      <w:pPr>
        <w:ind w:left="1960" w:right="1799" w:hanging="655"/>
        <w:spacing w:after="0" w:line="272" w:lineRule="auto"/>
        <w:tabs>
          <w:tab w:leader="none" w:pos="19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75" w:lineRule="exact"/>
        <w:rPr>
          <w:rFonts w:ascii="Arial" w:cs="Arial" w:eastAsia="Arial" w:hAnsi="Arial"/>
          <w:sz w:val="19"/>
          <w:szCs w:val="19"/>
          <w:color w:val="auto"/>
        </w:rPr>
      </w:pPr>
    </w:p>
    <w:p>
      <w:pPr>
        <w:ind w:left="1960" w:right="1779" w:hanging="655"/>
        <w:spacing w:after="0" w:line="279" w:lineRule="auto"/>
        <w:tabs>
          <w:tab w:leader="none" w:pos="19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51" w:lineRule="exact"/>
        <w:rPr>
          <w:sz w:val="20"/>
          <w:szCs w:val="20"/>
          <w:color w:val="auto"/>
        </w:rPr>
      </w:pPr>
    </w:p>
    <w:p>
      <w:pPr>
        <w:ind w:right="1779" w:firstLine="648"/>
        <w:spacing w:after="0" w:line="236" w:lineRule="auto"/>
        <w:rPr>
          <w:sz w:val="20"/>
          <w:szCs w:val="20"/>
          <w:color w:val="auto"/>
        </w:rPr>
      </w:pPr>
      <w:r>
        <w:rPr>
          <w:rFonts w:ascii="Arial" w:cs="Arial" w:eastAsia="Arial" w:hAnsi="Arial"/>
          <w:sz w:val="22"/>
          <w:szCs w:val="22"/>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74" w:lineRule="exact"/>
        <w:rPr>
          <w:sz w:val="20"/>
          <w:szCs w:val="20"/>
          <w:color w:val="auto"/>
        </w:rPr>
      </w:pPr>
    </w:p>
    <w:p>
      <w:pPr>
        <w:ind w:left="1300" w:right="1999" w:hanging="644"/>
        <w:spacing w:after="0" w:line="251" w:lineRule="auto"/>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a material dimunition in your authority, duties or responsibilities;</w:t>
      </w:r>
    </w:p>
    <w:p>
      <w:pPr>
        <w:spacing w:after="0" w:line="219" w:lineRule="exact"/>
        <w:rPr>
          <w:rFonts w:ascii="Arial" w:cs="Arial" w:eastAsia="Arial" w:hAnsi="Arial"/>
          <w:sz w:val="22"/>
          <w:szCs w:val="22"/>
          <w:color w:val="auto"/>
        </w:rPr>
      </w:pPr>
    </w:p>
    <w:p>
      <w:pPr>
        <w:jc w:val="both"/>
        <w:ind w:left="1960" w:right="2479" w:hanging="655"/>
        <w:spacing w:after="0" w:line="297" w:lineRule="auto"/>
        <w:tabs>
          <w:tab w:leader="none" w:pos="19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any material breach of this agreement by the Corporation or of any material obligation of any member of the Manpower Group for the payment or provision of compensation or other benefits to you;</w:t>
      </w:r>
    </w:p>
    <w:p>
      <w:pPr>
        <w:spacing w:after="0" w:line="147" w:lineRule="exact"/>
        <w:rPr>
          <w:rFonts w:ascii="Arial" w:cs="Arial" w:eastAsia="Arial" w:hAnsi="Arial"/>
          <w:sz w:val="19"/>
          <w:szCs w:val="19"/>
          <w:color w:val="auto"/>
        </w:rPr>
      </w:pPr>
    </w:p>
    <w:p>
      <w:pPr>
        <w:ind w:left="1960" w:right="2039" w:hanging="655"/>
        <w:spacing w:after="0" w:line="238" w:lineRule="auto"/>
        <w:tabs>
          <w:tab w:leader="none" w:pos="19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a material dimunition in your base salary or a failure by the Manpower Group to provide an arrangement for you for any fiscal year of the Manpower Group giving you the opportunity to earn an incentive bonus for such year; or</w:t>
      </w:r>
    </w:p>
    <w:p>
      <w:pPr>
        <w:spacing w:after="0" w:line="200" w:lineRule="exact"/>
        <w:rPr>
          <w:sz w:val="20"/>
          <w:szCs w:val="20"/>
          <w:color w:val="auto"/>
        </w:rPr>
      </w:pPr>
    </w:p>
    <w:p>
      <w:pPr>
        <w:spacing w:after="0" w:line="25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25" w:name="page26"/>
    <w:bookmarkEnd w:id="25"/>
    <w:p>
      <w:pPr>
        <w:ind w:left="1300" w:right="1939" w:firstLine="5"/>
        <w:spacing w:after="0" w:line="287" w:lineRule="auto"/>
        <w:tabs>
          <w:tab w:leader="none" w:pos="1948"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material dimunition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171" w:lineRule="exact"/>
        <w:rPr>
          <w:sz w:val="20"/>
          <w:szCs w:val="20"/>
          <w:color w:val="auto"/>
        </w:rPr>
      </w:pPr>
    </w:p>
    <w:p>
      <w:pPr>
        <w:ind w:right="1939" w:firstLine="648"/>
        <w:spacing w:after="0" w:line="270" w:lineRule="auto"/>
        <w:rPr>
          <w:sz w:val="20"/>
          <w:szCs w:val="20"/>
          <w:color w:val="auto"/>
        </w:rPr>
      </w:pPr>
      <w:r>
        <w:rPr>
          <w:rFonts w:ascii="Arial" w:cs="Arial" w:eastAsia="Arial" w:hAnsi="Arial"/>
          <w:sz w:val="19"/>
          <w:szCs w:val="19"/>
          <w:color w:val="auto"/>
        </w:rPr>
        <w:t>Notwithstanding Subsections 1(d)(i) – (iv) above, Good Reason does not exist unless (i) you object to any material dimunition or breach described above by written notice to the Corporation within twenty (20) business days after such dimunition or breach occurs, (ii) the Corporation fails to cure such dimunition or breach within thirty (30) days after such notice is given and (iii) your employment with the Manpower Group is terminated by you within ninety</w:t>
      </w:r>
    </w:p>
    <w:p>
      <w:pPr>
        <w:spacing w:after="0" w:line="4" w:lineRule="exact"/>
        <w:rPr>
          <w:sz w:val="20"/>
          <w:szCs w:val="20"/>
          <w:color w:val="auto"/>
        </w:rPr>
      </w:pPr>
    </w:p>
    <w:p>
      <w:pPr>
        <w:ind w:right="1879" w:firstLine="8"/>
        <w:spacing w:after="0" w:line="273" w:lineRule="auto"/>
        <w:tabs>
          <w:tab w:leader="none" w:pos="414" w:val="left"/>
        </w:tabs>
        <w:numPr>
          <w:ilvl w:val="0"/>
          <w:numId w:val="32"/>
        </w:numPr>
        <w:rPr>
          <w:rFonts w:ascii="Arial" w:cs="Arial" w:eastAsia="Arial" w:hAnsi="Arial"/>
          <w:sz w:val="19"/>
          <w:szCs w:val="19"/>
          <w:color w:val="auto"/>
        </w:rPr>
      </w:pPr>
      <w:r>
        <w:rPr>
          <w:rFonts w:ascii="Arial" w:cs="Arial" w:eastAsia="Arial" w:hAnsi="Arial"/>
          <w:sz w:val="19"/>
          <w:szCs w:val="19"/>
          <w:color w:val="auto"/>
        </w:rPr>
        <w:t>days after such dimunition or breach occurs. Further, notwithstanding Subsections 1(d)(i)-(iv),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 power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68" w:lineRule="exact"/>
        <w:rPr>
          <w:rFonts w:ascii="Arial" w:cs="Arial" w:eastAsia="Arial" w:hAnsi="Arial"/>
          <w:sz w:val="19"/>
          <w:szCs w:val="19"/>
          <w:color w:val="auto"/>
        </w:rPr>
      </w:pPr>
    </w:p>
    <w:p>
      <w:pPr>
        <w:ind w:left="1300" w:right="1999" w:hanging="644"/>
        <w:spacing w:after="0" w:line="275" w:lineRule="auto"/>
        <w:tabs>
          <w:tab w:leader="none" w:pos="130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85" w:lineRule="exact"/>
        <w:rPr>
          <w:rFonts w:ascii="Arial" w:cs="Arial" w:eastAsia="Arial" w:hAnsi="Arial"/>
          <w:sz w:val="19"/>
          <w:szCs w:val="19"/>
          <w:color w:val="auto"/>
        </w:rPr>
      </w:pPr>
    </w:p>
    <w:p>
      <w:pPr>
        <w:ind w:left="1300" w:right="1939" w:hanging="644"/>
        <w:spacing w:after="0" w:line="238"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98" w:lineRule="exact"/>
        <w:rPr>
          <w:rFonts w:ascii="Arial" w:cs="Arial" w:eastAsia="Arial" w:hAnsi="Arial"/>
          <w:sz w:val="22"/>
          <w:szCs w:val="22"/>
          <w:color w:val="auto"/>
        </w:rPr>
      </w:pPr>
    </w:p>
    <w:p>
      <w:pPr>
        <w:ind w:left="1300" w:right="1919" w:hanging="644"/>
        <w:spacing w:after="0" w:line="251"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Protected Period</w:t>
      </w:r>
      <w:r>
        <w:rPr>
          <w:rFonts w:ascii="Arial" w:cs="Arial" w:eastAsia="Arial" w:hAnsi="Arial"/>
          <w:sz w:val="22"/>
          <w:szCs w:val="22"/>
          <w:color w:val="auto"/>
        </w:rPr>
        <w:t>. The “Protected Period” shall be a period of time determined in accordance with the following:</w:t>
      </w:r>
    </w:p>
    <w:p>
      <w:pPr>
        <w:spacing w:after="0" w:line="186" w:lineRule="exact"/>
        <w:rPr>
          <w:rFonts w:ascii="Arial" w:cs="Arial" w:eastAsia="Arial" w:hAnsi="Arial"/>
          <w:sz w:val="22"/>
          <w:szCs w:val="22"/>
          <w:color w:val="auto"/>
        </w:rPr>
      </w:pPr>
    </w:p>
    <w:p>
      <w:pPr>
        <w:ind w:left="1960" w:right="1799" w:hanging="655"/>
        <w:spacing w:after="0" w:line="279" w:lineRule="auto"/>
        <w:tabs>
          <w:tab w:leader="none" w:pos="1960" w:val="left"/>
        </w:tabs>
        <w:numPr>
          <w:ilvl w:val="2"/>
          <w:numId w:val="32"/>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77" w:lineRule="exact"/>
        <w:rPr>
          <w:rFonts w:ascii="Arial" w:cs="Arial" w:eastAsia="Arial" w:hAnsi="Arial"/>
          <w:sz w:val="19"/>
          <w:szCs w:val="19"/>
          <w:color w:val="auto"/>
        </w:rPr>
      </w:pPr>
    </w:p>
    <w:p>
      <w:pPr>
        <w:ind w:left="1960" w:right="2199" w:hanging="655"/>
        <w:spacing w:after="0" w:line="328" w:lineRule="auto"/>
        <w:tabs>
          <w:tab w:leader="none" w:pos="1960" w:val="left"/>
        </w:tabs>
        <w:numPr>
          <w:ilvl w:val="2"/>
          <w:numId w:val="32"/>
        </w:numPr>
        <w:rPr>
          <w:rFonts w:ascii="Arial" w:cs="Arial" w:eastAsia="Arial" w:hAnsi="Arial"/>
          <w:sz w:val="19"/>
          <w:szCs w:val="19"/>
          <w:color w:val="auto"/>
        </w:rPr>
      </w:pPr>
      <w:r>
        <w:rPr>
          <w:rFonts w:ascii="Arial" w:cs="Arial" w:eastAsia="Arial" w:hAnsi="Arial"/>
          <w:sz w:val="19"/>
          <w:szCs w:val="19"/>
          <w:color w:val="auto"/>
        </w:rPr>
        <w:t>if a Change of Control is triggered by a merger or consolidation of the Corporation with any other corporation, the Protected Period shall</w:t>
      </w:r>
    </w:p>
    <w:p>
      <w:pPr>
        <w:spacing w:after="0" w:line="37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118" w:right="1440" w:bottom="1440" w:gutter="0" w:footer="0" w:header="0"/>
        </w:sectPr>
      </w:pPr>
    </w:p>
    <w:bookmarkStart w:id="26" w:name="page27"/>
    <w:bookmarkEnd w:id="26"/>
    <w:p>
      <w:pPr>
        <w:ind w:left="1952" w:right="1899"/>
        <w:spacing w:after="0" w:line="249" w:lineRule="auto"/>
        <w:rPr>
          <w:sz w:val="20"/>
          <w:szCs w:val="20"/>
          <w:color w:val="auto"/>
        </w:rPr>
      </w:pPr>
      <w:r>
        <w:rPr>
          <w:rFonts w:ascii="Arial" w:cs="Arial" w:eastAsia="Arial" w:hAnsi="Arial"/>
          <w:sz w:val="21"/>
          <w:szCs w:val="21"/>
          <w:color w:val="auto"/>
        </w:rPr>
        <w:t>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93" w:lineRule="exact"/>
        <w:rPr>
          <w:sz w:val="20"/>
          <w:szCs w:val="20"/>
          <w:color w:val="auto"/>
        </w:rPr>
      </w:pPr>
    </w:p>
    <w:p>
      <w:pPr>
        <w:ind w:left="1952" w:right="1939" w:hanging="655"/>
        <w:spacing w:after="0" w:line="252" w:lineRule="auto"/>
        <w:tabs>
          <w:tab w:leader="none" w:pos="1952" w:val="left"/>
        </w:tabs>
        <w:numPr>
          <w:ilvl w:val="2"/>
          <w:numId w:val="33"/>
        </w:numPr>
        <w:rPr>
          <w:rFonts w:ascii="Arial" w:cs="Arial" w:eastAsia="Arial" w:hAnsi="Arial"/>
          <w:sz w:val="21"/>
          <w:szCs w:val="21"/>
          <w:color w:val="auto"/>
        </w:rPr>
      </w:pPr>
      <w:r>
        <w:rPr>
          <w:rFonts w:ascii="Arial" w:cs="Arial" w:eastAsia="Arial" w:hAnsi="Arial"/>
          <w:sz w:val="21"/>
          <w:szCs w:val="21"/>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1" w:lineRule="exact"/>
        <w:rPr>
          <w:rFonts w:ascii="Arial" w:cs="Arial" w:eastAsia="Arial" w:hAnsi="Arial"/>
          <w:sz w:val="21"/>
          <w:szCs w:val="21"/>
          <w:color w:val="auto"/>
        </w:rPr>
      </w:pPr>
    </w:p>
    <w:p>
      <w:pPr>
        <w:ind w:left="1292" w:right="2199" w:hanging="644"/>
        <w:spacing w:after="0" w:line="235" w:lineRule="auto"/>
        <w:tabs>
          <w:tab w:leader="none" w:pos="1292"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will be a period beginning on November 10, 2008 and ending on the first to occur of the following: (a) the date which is the two-year anniversary of the occurrence of a Change of Control; (b) the date which is the three-year anniversary of May 12, 2006 if no Change of Control occurs between November 10, 2008 and such three-year anniversary; or (c) the Date of Termination.</w:t>
      </w:r>
    </w:p>
    <w:p>
      <w:pPr>
        <w:spacing w:after="0" w:line="201" w:lineRule="exact"/>
        <w:rPr>
          <w:rFonts w:ascii="Arial" w:cs="Arial" w:eastAsia="Arial" w:hAnsi="Arial"/>
          <w:sz w:val="22"/>
          <w:szCs w:val="22"/>
          <w:color w:val="auto"/>
        </w:rPr>
      </w:pPr>
    </w:p>
    <w:p>
      <w:pPr>
        <w:ind w:left="652" w:hanging="652"/>
        <w:spacing w:after="0"/>
        <w:tabs>
          <w:tab w:leader="none" w:pos="652"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1819" w:hanging="644"/>
        <w:spacing w:after="0" w:line="245" w:lineRule="auto"/>
        <w:tabs>
          <w:tab w:leader="none" w:pos="1292"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Termination by the Manpower Group for Cause or by You Other Than for Good Reason</w:t>
      </w:r>
      <w:r>
        <w:rPr>
          <w:rFonts w:ascii="Arial" w:cs="Arial" w:eastAsia="Arial" w:hAnsi="Arial"/>
          <w:sz w:val="21"/>
          <w:szCs w:val="21"/>
          <w:color w:val="auto"/>
        </w:rPr>
        <w:t>. If your employment with the Manpower Group is terminated by the Manpower Group for Cause or by you other than for Good Reason, the Corporation will pay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208" w:lineRule="exact"/>
        <w:rPr>
          <w:rFonts w:ascii="Arial" w:cs="Arial" w:eastAsia="Arial" w:hAnsi="Arial"/>
          <w:sz w:val="21"/>
          <w:szCs w:val="21"/>
          <w:color w:val="auto"/>
        </w:rPr>
      </w:pPr>
    </w:p>
    <w:p>
      <w:pPr>
        <w:ind w:left="1292" w:right="1799" w:hanging="644"/>
        <w:spacing w:after="0" w:line="271" w:lineRule="auto"/>
        <w:tabs>
          <w:tab w:leader="none" w:pos="1292"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Manpower Group terminates during the Term by reason of 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w:t>
      </w:r>
    </w:p>
    <w:p>
      <w:pPr>
        <w:spacing w:after="0" w:line="200" w:lineRule="exact"/>
        <w:rPr>
          <w:sz w:val="20"/>
          <w:szCs w:val="20"/>
          <w:color w:val="auto"/>
        </w:rPr>
      </w:pPr>
    </w:p>
    <w:p>
      <w:pPr>
        <w:spacing w:after="0" w:line="232" w:lineRule="exact"/>
        <w:rPr>
          <w:sz w:val="20"/>
          <w:szCs w:val="20"/>
          <w:color w:val="auto"/>
        </w:rPr>
      </w:pPr>
    </w:p>
    <w:p>
      <w:pPr>
        <w:ind w:left="415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1"/>
          </w:cols>
          <w:pgMar w:left="248" w:top="118" w:right="1440" w:bottom="1440" w:gutter="0" w:footer="0" w:header="0"/>
        </w:sectPr>
      </w:pPr>
    </w:p>
    <w:bookmarkStart w:id="27" w:name="page28"/>
    <w:bookmarkEnd w:id="27"/>
    <w:p>
      <w:pPr>
        <w:ind w:left="644" w:right="1859"/>
        <w:spacing w:after="0" w:line="235" w:lineRule="auto"/>
        <w:rPr>
          <w:sz w:val="20"/>
          <w:szCs w:val="20"/>
          <w:color w:val="auto"/>
        </w:rPr>
      </w:pPr>
      <w:r>
        <w:rPr>
          <w:rFonts w:ascii="Arial" w:cs="Arial" w:eastAsia="Arial" w:hAnsi="Arial"/>
          <w:sz w:val="22"/>
          <w:szCs w:val="22"/>
          <w:color w:val="auto"/>
        </w:rPr>
        <w:t>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203" w:lineRule="exact"/>
        <w:rPr>
          <w:sz w:val="20"/>
          <w:szCs w:val="20"/>
          <w:color w:val="auto"/>
        </w:rPr>
      </w:pPr>
    </w:p>
    <w:p>
      <w:pPr>
        <w:ind w:left="644" w:hanging="644"/>
        <w:spacing w:after="0"/>
        <w:tabs>
          <w:tab w:leader="none" w:pos="64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4" w:right="1919" w:hanging="655"/>
        <w:spacing w:after="0" w:line="287" w:lineRule="auto"/>
        <w:tabs>
          <w:tab w:leader="none" w:pos="1304" w:val="left"/>
        </w:tabs>
        <w:numPr>
          <w:ilvl w:val="1"/>
          <w:numId w:val="36"/>
        </w:numPr>
        <w:rPr>
          <w:rFonts w:ascii="Arial" w:cs="Arial" w:eastAsia="Arial" w:hAnsi="Arial"/>
          <w:sz w:val="19"/>
          <w:szCs w:val="19"/>
          <w:color w:val="auto"/>
        </w:rPr>
      </w:pPr>
      <w:r>
        <w:rPr>
          <w:rFonts w:ascii="Arial" w:cs="Arial" w:eastAsia="Arial" w:hAnsi="Arial"/>
          <w:sz w:val="19"/>
          <w:szCs w:val="19"/>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56" w:lineRule="exact"/>
        <w:rPr>
          <w:rFonts w:ascii="Arial" w:cs="Arial" w:eastAsia="Arial" w:hAnsi="Arial"/>
          <w:sz w:val="19"/>
          <w:szCs w:val="19"/>
          <w:color w:val="auto"/>
        </w:rPr>
      </w:pPr>
    </w:p>
    <w:p>
      <w:pPr>
        <w:ind w:left="1944" w:right="2219" w:hanging="647"/>
        <w:spacing w:after="0"/>
        <w:tabs>
          <w:tab w:leader="none" w:pos="1944"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72" w:lineRule="exact"/>
        <w:rPr>
          <w:rFonts w:ascii="Arial" w:cs="Arial" w:eastAsia="Arial" w:hAnsi="Arial"/>
          <w:sz w:val="22"/>
          <w:szCs w:val="22"/>
          <w:color w:val="auto"/>
        </w:rPr>
      </w:pPr>
    </w:p>
    <w:p>
      <w:pPr>
        <w:ind w:left="1944" w:right="2099" w:hanging="647"/>
        <w:spacing w:after="0"/>
        <w:tabs>
          <w:tab w:leader="none" w:pos="1944"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86" w:lineRule="exact"/>
        <w:rPr>
          <w:rFonts w:ascii="Arial" w:cs="Arial" w:eastAsia="Arial" w:hAnsi="Arial"/>
          <w:sz w:val="22"/>
          <w:szCs w:val="22"/>
          <w:color w:val="auto"/>
        </w:rPr>
      </w:pPr>
    </w:p>
    <w:p>
      <w:pPr>
        <w:ind w:left="1944" w:right="2019" w:hanging="647"/>
        <w:spacing w:after="0" w:line="273" w:lineRule="auto"/>
        <w:tabs>
          <w:tab w:leader="none" w:pos="1944" w:val="left"/>
        </w:tabs>
        <w:numPr>
          <w:ilvl w:val="2"/>
          <w:numId w:val="36"/>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w:t>
      </w:r>
    </w:p>
    <w:p>
      <w:pPr>
        <w:spacing w:after="0" w:line="148" w:lineRule="exact"/>
        <w:rPr>
          <w:rFonts w:ascii="Arial" w:cs="Arial" w:eastAsia="Arial" w:hAnsi="Arial"/>
          <w:sz w:val="19"/>
          <w:szCs w:val="19"/>
          <w:color w:val="auto"/>
        </w:rPr>
      </w:pPr>
    </w:p>
    <w:p>
      <w:pPr>
        <w:ind w:left="1944" w:right="2019" w:hanging="647"/>
        <w:spacing w:after="0" w:line="273" w:lineRule="auto"/>
        <w:tabs>
          <w:tab w:leader="none" w:pos="1944" w:val="left"/>
        </w:tabs>
        <w:numPr>
          <w:ilvl w:val="2"/>
          <w:numId w:val="36"/>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Committee of the Board approves a bona fide target annual bonus for the fiscal year in which the Change of Control occurs, your target annual bonus for the fiscal year prior to the fiscal year in which the Change of Control occurs);</w:t>
      </w:r>
    </w:p>
    <w:p>
      <w:pPr>
        <w:spacing w:after="0" w:line="148" w:lineRule="exact"/>
        <w:rPr>
          <w:rFonts w:ascii="Arial" w:cs="Arial" w:eastAsia="Arial" w:hAnsi="Arial"/>
          <w:sz w:val="19"/>
          <w:szCs w:val="19"/>
          <w:color w:val="auto"/>
        </w:rPr>
      </w:pPr>
    </w:p>
    <w:p>
      <w:pPr>
        <w:ind w:left="1944" w:right="1979" w:hanging="647"/>
        <w:spacing w:after="0" w:line="297" w:lineRule="auto"/>
        <w:tabs>
          <w:tab w:leader="none" w:pos="1944" w:val="left"/>
        </w:tabs>
        <w:numPr>
          <w:ilvl w:val="2"/>
          <w:numId w:val="36"/>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 to provide you and your eligible dependents, at the Manpower Group’s expense, with Health</w:t>
      </w:r>
    </w:p>
    <w:p>
      <w:pPr>
        <w:spacing w:after="0" w:line="377"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563"/>
          </w:cols>
          <w:pgMar w:left="896" w:top="118" w:right="1440" w:bottom="1440" w:gutter="0" w:footer="0" w:header="0"/>
        </w:sectPr>
      </w:pPr>
    </w:p>
    <w:bookmarkStart w:id="28" w:name="page29"/>
    <w:bookmarkEnd w:id="28"/>
    <w:p>
      <w:pPr>
        <w:ind w:left="1400" w:right="2019"/>
        <w:spacing w:after="0" w:line="272" w:lineRule="auto"/>
        <w:rPr>
          <w:sz w:val="20"/>
          <w:szCs w:val="20"/>
          <w:color w:val="auto"/>
        </w:rPr>
      </w:pPr>
      <w:r>
        <w:rPr>
          <w:rFonts w:ascii="Arial" w:cs="Arial" w:eastAsia="Arial" w:hAnsi="Arial"/>
          <w:sz w:val="19"/>
          <w:szCs w:val="19"/>
          <w:color w:val="auto"/>
        </w:rPr>
        <w:t>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200" w:lineRule="exact"/>
        <w:rPr>
          <w:sz w:val="20"/>
          <w:szCs w:val="20"/>
          <w:color w:val="auto"/>
        </w:rPr>
      </w:pPr>
    </w:p>
    <w:p>
      <w:pPr>
        <w:spacing w:after="0" w:line="205" w:lineRule="exact"/>
        <w:rPr>
          <w:sz w:val="20"/>
          <w:szCs w:val="20"/>
          <w:color w:val="auto"/>
        </w:rPr>
      </w:pPr>
    </w:p>
    <w:p>
      <w:pPr>
        <w:ind w:left="1400" w:right="1959"/>
        <w:spacing w:after="0" w:line="269" w:lineRule="auto"/>
        <w:rPr>
          <w:sz w:val="20"/>
          <w:szCs w:val="20"/>
          <w:color w:val="auto"/>
        </w:rPr>
      </w:pPr>
      <w:r>
        <w:rPr>
          <w:rFonts w:ascii="Arial" w:cs="Arial" w:eastAsia="Arial" w:hAnsi="Arial"/>
          <w:sz w:val="19"/>
          <w:szCs w:val="19"/>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 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019"/>
          </w:cols>
          <w:pgMar w:left="1440" w:top="118" w:right="1440" w:bottom="1440" w:gutter="0" w:footer="0" w:header="0"/>
        </w:sectPr>
      </w:pPr>
    </w:p>
    <w:bookmarkStart w:id="29" w:name="page30"/>
    <w:bookmarkEnd w:id="29"/>
    <w:p>
      <w:pPr>
        <w:ind w:left="1400" w:right="1979" w:hanging="647"/>
        <w:spacing w:after="0" w:line="272" w:lineRule="auto"/>
        <w:tabs>
          <w:tab w:leader="none" w:pos="14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391" w:lineRule="exact"/>
        <w:rPr>
          <w:rFonts w:ascii="Arial" w:cs="Arial" w:eastAsia="Arial" w:hAnsi="Arial"/>
          <w:sz w:val="19"/>
          <w:szCs w:val="19"/>
          <w:color w:val="auto"/>
        </w:rPr>
      </w:pPr>
    </w:p>
    <w:p>
      <w:pPr>
        <w:jc w:val="both"/>
        <w:ind w:left="760" w:right="2039" w:hanging="655"/>
        <w:spacing w:after="0" w:line="238" w:lineRule="auto"/>
        <w:tabs>
          <w:tab w:leader="none" w:pos="7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212" w:lineRule="exact"/>
        <w:rPr>
          <w:rFonts w:ascii="Arial" w:cs="Arial" w:eastAsia="Arial" w:hAnsi="Arial"/>
          <w:sz w:val="22"/>
          <w:szCs w:val="22"/>
          <w:color w:val="auto"/>
        </w:rPr>
      </w:pPr>
    </w:p>
    <w:p>
      <w:pPr>
        <w:ind w:left="1400" w:right="2219" w:hanging="647"/>
        <w:spacing w:after="0"/>
        <w:tabs>
          <w:tab w:leader="none" w:pos="14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72" w:lineRule="exact"/>
        <w:rPr>
          <w:rFonts w:ascii="Arial" w:cs="Arial" w:eastAsia="Arial" w:hAnsi="Arial"/>
          <w:sz w:val="22"/>
          <w:szCs w:val="22"/>
          <w:color w:val="auto"/>
        </w:rPr>
      </w:pPr>
    </w:p>
    <w:p>
      <w:pPr>
        <w:ind w:left="1400" w:right="2099" w:hanging="647"/>
        <w:spacing w:after="0"/>
        <w:tabs>
          <w:tab w:leader="none" w:pos="14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72" w:lineRule="exact"/>
        <w:rPr>
          <w:rFonts w:ascii="Arial" w:cs="Arial" w:eastAsia="Arial" w:hAnsi="Arial"/>
          <w:sz w:val="22"/>
          <w:szCs w:val="22"/>
          <w:color w:val="auto"/>
        </w:rPr>
      </w:pPr>
    </w:p>
    <w:p>
      <w:pPr>
        <w:ind w:left="1400" w:right="2099" w:hanging="647"/>
        <w:spacing w:after="0" w:line="273" w:lineRule="auto"/>
        <w:tabs>
          <w:tab w:leader="none" w:pos="140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61" w:lineRule="exact"/>
        <w:rPr>
          <w:rFonts w:ascii="Arial" w:cs="Arial" w:eastAsia="Arial" w:hAnsi="Arial"/>
          <w:sz w:val="19"/>
          <w:szCs w:val="19"/>
          <w:color w:val="auto"/>
        </w:rPr>
      </w:pPr>
    </w:p>
    <w:p>
      <w:pPr>
        <w:ind w:left="1400" w:right="1799" w:hanging="647"/>
        <w:spacing w:after="0" w:line="274" w:lineRule="auto"/>
        <w:tabs>
          <w:tab w:leader="none" w:pos="140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Committee of the Board approves a bona fide target annual bonus for you for the fiscal year in which the Date of Termination occurs, your target annual bonus for the fiscal year prior to the fiscal year in which the Date of</w:t>
      </w:r>
    </w:p>
    <w:p>
      <w:pPr>
        <w:spacing w:after="0" w:line="200" w:lineRule="exact"/>
        <w:rPr>
          <w:sz w:val="20"/>
          <w:szCs w:val="20"/>
          <w:color w:val="auto"/>
        </w:rPr>
      </w:pPr>
    </w:p>
    <w:p>
      <w:pPr>
        <w:spacing w:after="0" w:line="202"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19"/>
          </w:cols>
          <w:pgMar w:left="1440" w:top="118" w:right="1440" w:bottom="1440" w:gutter="0" w:footer="0" w:header="0"/>
        </w:sectPr>
      </w:pPr>
    </w:p>
    <w:bookmarkStart w:id="30" w:name="page31"/>
    <w:bookmarkEnd w:id="30"/>
    <w:p>
      <w:pPr>
        <w:ind w:left="1400"/>
        <w:spacing w:after="0"/>
        <w:rPr>
          <w:sz w:val="20"/>
          <w:szCs w:val="20"/>
          <w:color w:val="auto"/>
        </w:rPr>
      </w:pPr>
      <w:r>
        <w:rPr>
          <w:rFonts w:ascii="Arial" w:cs="Arial" w:eastAsia="Arial" w:hAnsi="Arial"/>
          <w:sz w:val="22"/>
          <w:szCs w:val="22"/>
          <w:color w:val="auto"/>
        </w:rPr>
        <w:t>Termination occurs);</w:t>
      </w:r>
    </w:p>
    <w:p>
      <w:pPr>
        <w:spacing w:after="0" w:line="220" w:lineRule="exact"/>
        <w:rPr>
          <w:sz w:val="20"/>
          <w:szCs w:val="20"/>
          <w:color w:val="auto"/>
        </w:rPr>
      </w:pPr>
    </w:p>
    <w:p>
      <w:pPr>
        <w:ind w:left="1400" w:right="1839" w:hanging="647"/>
        <w:spacing w:after="0" w:line="272" w:lineRule="auto"/>
        <w:tabs>
          <w:tab w:leader="none" w:pos="14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1400" w:right="1779"/>
        <w:spacing w:after="0" w:line="269" w:lineRule="auto"/>
        <w:rPr>
          <w:rFonts w:ascii="Arial" w:cs="Arial" w:eastAsia="Arial" w:hAnsi="Arial"/>
          <w:sz w:val="19"/>
          <w:szCs w:val="19"/>
          <w:color w:val="auto"/>
        </w:rPr>
      </w:pPr>
      <w:r>
        <w:rPr>
          <w:rFonts w:ascii="Arial" w:cs="Arial" w:eastAsia="Arial" w:hAnsi="Arial"/>
          <w:sz w:val="19"/>
          <w:szCs w:val="19"/>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 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118" w:right="1440" w:bottom="1440" w:gutter="0" w:footer="0" w:header="0"/>
        </w:sectPr>
      </w:pPr>
    </w:p>
    <w:bookmarkStart w:id="31" w:name="page32"/>
    <w:bookmarkEnd w:id="31"/>
    <w:p>
      <w:pPr>
        <w:ind w:left="2600" w:right="1899"/>
        <w:spacing w:after="0" w:line="273" w:lineRule="auto"/>
        <w:rPr>
          <w:sz w:val="20"/>
          <w:szCs w:val="20"/>
          <w:color w:val="auto"/>
        </w:rPr>
      </w:pPr>
      <w:r>
        <w:rPr>
          <w:rFonts w:ascii="Arial" w:cs="Arial" w:eastAsia="Arial" w:hAnsi="Arial"/>
          <w:sz w:val="19"/>
          <w:szCs w:val="19"/>
          <w:color w:val="auto"/>
        </w:rPr>
        <w:t>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176" w:lineRule="exact"/>
        <w:rPr>
          <w:sz w:val="20"/>
          <w:szCs w:val="20"/>
          <w:color w:val="auto"/>
        </w:rPr>
      </w:pPr>
    </w:p>
    <w:p>
      <w:pPr>
        <w:ind w:left="2600" w:right="1839" w:hanging="647"/>
        <w:spacing w:after="0" w:line="268" w:lineRule="auto"/>
        <w:tabs>
          <w:tab w:leader="none" w:pos="26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w:t>
      </w:r>
    </w:p>
    <w:p>
      <w:pPr>
        <w:spacing w:after="0" w:line="7" w:lineRule="exact"/>
        <w:rPr>
          <w:rFonts w:ascii="Arial" w:cs="Arial" w:eastAsia="Arial" w:hAnsi="Arial"/>
          <w:sz w:val="19"/>
          <w:szCs w:val="19"/>
          <w:color w:val="auto"/>
        </w:rPr>
      </w:pPr>
    </w:p>
    <w:p>
      <w:pPr>
        <w:ind w:left="2600"/>
        <w:spacing w:after="0"/>
        <w:rPr>
          <w:rFonts w:ascii="Arial" w:cs="Arial" w:eastAsia="Arial" w:hAnsi="Arial"/>
          <w:sz w:val="19"/>
          <w:szCs w:val="19"/>
          <w:color w:val="auto"/>
        </w:rPr>
      </w:pPr>
      <w:r>
        <w:rPr>
          <w:rFonts w:ascii="Arial" w:cs="Arial" w:eastAsia="Arial" w:hAnsi="Arial"/>
          <w:sz w:val="22"/>
          <w:szCs w:val="22"/>
          <w:color w:val="auto"/>
        </w:rPr>
        <w:t>(F).</w:t>
      </w:r>
    </w:p>
    <w:p>
      <w:pPr>
        <w:spacing w:after="0" w:line="215" w:lineRule="exact"/>
        <w:rPr>
          <w:sz w:val="20"/>
          <w:szCs w:val="20"/>
          <w:color w:val="auto"/>
        </w:rPr>
      </w:pPr>
    </w:p>
    <w:p>
      <w:pPr>
        <w:ind w:right="2119" w:firstLine="648"/>
        <w:spacing w:after="0" w:line="270" w:lineRule="auto"/>
        <w:rPr>
          <w:sz w:val="20"/>
          <w:szCs w:val="20"/>
          <w:color w:val="auto"/>
        </w:rPr>
      </w:pPr>
      <w:r>
        <w:rPr>
          <w:rFonts w:ascii="Arial" w:cs="Arial" w:eastAsia="Arial" w:hAnsi="Arial"/>
          <w:sz w:val="19"/>
          <w:szCs w:val="19"/>
          <w:color w:val="auto"/>
        </w:rPr>
        <w:t>The amounts paid to you pursuant to Subsection 2(c)(i)(D) or 2(c)(ii)(D) will not be included as compensation for purposes of any qualified or nonqualified pension or welfare benefit plan of the Manpower 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 eeds to you, taking into account the excise tax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19"/>
          </w:cols>
          <w:pgMar w:left="240" w:top="118" w:right="1440" w:bottom="1440" w:gutter="0" w:footer="0" w:header="0"/>
        </w:sectPr>
      </w:pPr>
    </w:p>
    <w:bookmarkStart w:id="32" w:name="page33"/>
    <w:bookmarkEnd w:id="32"/>
    <w:p>
      <w:pPr>
        <w:ind w:left="644" w:right="2119" w:hanging="644"/>
        <w:spacing w:after="0" w:line="269" w:lineRule="auto"/>
        <w:tabs>
          <w:tab w:leader="none" w:pos="644"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no later than thirty (30) days after the Date of Termination. The bonus payment provided for in Subsection 2(c)(ii)(C) will between January 1 and March 15 of the calendar year following the Date of Termination. The severance benefit provided for in Subsection 2(c)(i)(D) or 2(c)(ii)(D) will be paid in one lump sum no later than thirty (30) days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9"/>
          <w:szCs w:val="19"/>
          <w:i w:val="1"/>
          <w:iCs w:val="1"/>
          <w:color w:val="auto"/>
        </w:rPr>
        <w:t>The Wal l Street Journal</w:t>
      </w:r>
      <w:r>
        <w:rPr>
          <w:rFonts w:ascii="Arial" w:cs="Arial" w:eastAsia="Arial" w:hAnsi="Arial"/>
          <w:sz w:val="19"/>
          <w:szCs w:val="19"/>
          <w:color w:val="auto"/>
        </w:rPr>
        <w:t>, Midwest edition (or, if not so reported, as reported in</w:t>
      </w:r>
      <w:r>
        <w:rPr>
          <w:rFonts w:ascii="Arial" w:cs="Arial" w:eastAsia="Arial" w:hAnsi="Arial"/>
          <w:sz w:val="19"/>
          <w:szCs w:val="19"/>
          <w:i w:val="1"/>
          <w:iCs w:val="1"/>
          <w:color w:val="auto"/>
        </w:rPr>
        <w:t xml:space="preserve"> </w:t>
      </w:r>
      <w:r>
        <w:rPr>
          <w:rFonts w:ascii="Arial" w:cs="Arial" w:eastAsia="Arial" w:hAnsi="Arial"/>
          <w:sz w:val="19"/>
          <w:szCs w:val="19"/>
          <w:color w:val="auto"/>
        </w:rPr>
        <w:t>such other similar source(s) as the Corporation shall select).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ind w:left="644" w:right="1919" w:hanging="644"/>
        <w:spacing w:after="0" w:line="276" w:lineRule="auto"/>
        <w:tabs>
          <w:tab w:leader="none" w:pos="644"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Notwithstanding the foregoing, you will have no right to receive any payment or benefit described in Subsections 2(c)(i)(C)-(F) or 2(c)(ii)</w:t>
      </w:r>
    </w:p>
    <w:p>
      <w:pPr>
        <w:spacing w:after="0" w:line="1" w:lineRule="exact"/>
        <w:rPr>
          <w:rFonts w:ascii="Arial" w:cs="Arial" w:eastAsia="Arial" w:hAnsi="Arial"/>
          <w:sz w:val="19"/>
          <w:szCs w:val="19"/>
          <w:color w:val="auto"/>
        </w:rPr>
      </w:pPr>
    </w:p>
    <w:p>
      <w:pPr>
        <w:ind w:left="644" w:right="1779"/>
        <w:spacing w:after="0" w:line="270" w:lineRule="auto"/>
        <w:rPr>
          <w:rFonts w:ascii="Arial" w:cs="Arial" w:eastAsia="Arial" w:hAnsi="Arial"/>
          <w:sz w:val="19"/>
          <w:szCs w:val="19"/>
          <w:color w:val="auto"/>
        </w:rPr>
      </w:pPr>
      <w:r>
        <w:rPr>
          <w:rFonts w:ascii="Arial" w:cs="Arial" w:eastAsia="Arial" w:hAnsi="Arial"/>
          <w:sz w:val="19"/>
          <w:szCs w:val="19"/>
          <w:color w:val="auto"/>
        </w:rPr>
        <w:t>(C)-(F),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w:t>
      </w:r>
    </w:p>
    <w:p>
      <w:pPr>
        <w:spacing w:after="0" w:line="192" w:lineRule="exact"/>
        <w:rPr>
          <w:rFonts w:ascii="Arial" w:cs="Arial" w:eastAsia="Arial" w:hAnsi="Arial"/>
          <w:sz w:val="19"/>
          <w:szCs w:val="19"/>
          <w:color w:val="auto"/>
        </w:rPr>
      </w:pPr>
    </w:p>
    <w:p>
      <w:pPr>
        <w:ind w:left="644" w:right="1799" w:hanging="644"/>
        <w:spacing w:after="0" w:line="287" w:lineRule="auto"/>
        <w:tabs>
          <w:tab w:leader="none" w:pos="644"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w:t>
      </w:r>
    </w:p>
    <w:p>
      <w:pPr>
        <w:spacing w:after="0" w:line="386" w:lineRule="exact"/>
        <w:rPr>
          <w:sz w:val="20"/>
          <w:szCs w:val="20"/>
          <w:color w:val="auto"/>
        </w:rPr>
      </w:pPr>
    </w:p>
    <w:p>
      <w:pPr>
        <w:ind w:left="34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563"/>
          </w:cols>
          <w:pgMar w:left="896" w:top="118" w:right="1440" w:bottom="1440" w:gutter="0" w:footer="0" w:header="0"/>
        </w:sectPr>
      </w:pPr>
    </w:p>
    <w:bookmarkStart w:id="33" w:name="page34"/>
    <w:bookmarkEnd w:id="33"/>
    <w:p>
      <w:pPr>
        <w:ind w:left="1292" w:right="2099"/>
        <w:spacing w:after="0" w:line="241" w:lineRule="auto"/>
        <w:rPr>
          <w:sz w:val="20"/>
          <w:szCs w:val="20"/>
          <w:color w:val="auto"/>
        </w:rPr>
      </w:pPr>
      <w:r>
        <w:rPr>
          <w:rFonts w:ascii="Arial" w:cs="Arial" w:eastAsia="Arial" w:hAnsi="Arial"/>
          <w:sz w:val="22"/>
          <w:szCs w:val="22"/>
          <w:color w:val="auto"/>
        </w:rPr>
        <w:t>will immediately return to the Corporation the amount of such payments and benefits and you will no longer have any right to receive any such payments or benefits.</w:t>
      </w:r>
    </w:p>
    <w:p>
      <w:pPr>
        <w:spacing w:after="0" w:line="197" w:lineRule="exact"/>
        <w:rPr>
          <w:sz w:val="20"/>
          <w:szCs w:val="20"/>
          <w:color w:val="auto"/>
        </w:rPr>
      </w:pPr>
    </w:p>
    <w:p>
      <w:pPr>
        <w:ind w:left="652" w:hanging="652"/>
        <w:spacing w:after="0"/>
        <w:tabs>
          <w:tab w:leader="none" w:pos="652"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92" w:right="1779" w:hanging="644"/>
        <w:spacing w:after="0" w:line="269" w:lineRule="auto"/>
        <w:tabs>
          <w:tab w:leader="none" w:pos="1292" w:val="left"/>
        </w:tabs>
        <w:numPr>
          <w:ilvl w:val="1"/>
          <w:numId w:val="42"/>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Manpower Group, or during the two-year period following your termination, for whatever reason, of employment with the Manpower Group, use or possess for yourself or others or disclose to others except in the good faith performance of your duties for the Manpower 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 ation” shall mean all business information (whether or not in written form) 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rights of the Manpower Group to protect Confidential Information which constitute trade secrets under applicable trade secrets law or privileged information even after such two-year period.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1292" w:right="1819" w:hanging="644"/>
        <w:spacing w:after="0" w:line="248" w:lineRule="auto"/>
        <w:tabs>
          <w:tab w:leader="none" w:pos="1292" w:val="left"/>
        </w:tabs>
        <w:numPr>
          <w:ilvl w:val="1"/>
          <w:numId w:val="42"/>
        </w:numPr>
        <w:rPr>
          <w:rFonts w:ascii="Arial" w:cs="Arial" w:eastAsia="Arial" w:hAnsi="Arial"/>
          <w:sz w:val="21"/>
          <w:szCs w:val="21"/>
          <w:color w:val="auto"/>
        </w:rPr>
      </w:pPr>
      <w:r>
        <w:rPr>
          <w:rFonts w:ascii="Arial" w:cs="Arial" w:eastAsia="Arial" w:hAnsi="Arial"/>
          <w:sz w:val="21"/>
          <w:szCs w:val="21"/>
          <w:color w:val="auto"/>
        </w:rPr>
        <w:t>Upon your termination, for whatever reason, of employment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190" w:lineRule="exact"/>
        <w:rPr>
          <w:rFonts w:ascii="Arial" w:cs="Arial" w:eastAsia="Arial" w:hAnsi="Arial"/>
          <w:sz w:val="21"/>
          <w:szCs w:val="21"/>
          <w:color w:val="auto"/>
        </w:rPr>
      </w:pPr>
    </w:p>
    <w:p>
      <w:pPr>
        <w:ind w:left="652" w:right="1799" w:hanging="652"/>
        <w:spacing w:after="0" w:line="275" w:lineRule="auto"/>
        <w:tabs>
          <w:tab w:leader="none" w:pos="652"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w:t>
      </w:r>
    </w:p>
    <w:p>
      <w:pPr>
        <w:spacing w:after="0" w:line="200" w:lineRule="exact"/>
        <w:rPr>
          <w:sz w:val="20"/>
          <w:szCs w:val="20"/>
          <w:color w:val="auto"/>
        </w:rPr>
      </w:pPr>
    </w:p>
    <w:p>
      <w:pPr>
        <w:spacing w:after="0" w:line="201"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11"/>
          </w:cols>
          <w:pgMar w:left="248" w:top="118" w:right="1440" w:bottom="1440" w:gutter="0" w:footer="0" w:header="0"/>
        </w:sectPr>
      </w:pPr>
    </w:p>
    <w:bookmarkStart w:id="34" w:name="page35"/>
    <w:bookmarkEnd w:id="34"/>
    <w:p>
      <w:pPr>
        <w:ind w:left="652" w:right="1979"/>
        <w:spacing w:after="0" w:line="329" w:lineRule="auto"/>
        <w:rPr>
          <w:sz w:val="20"/>
          <w:szCs w:val="20"/>
          <w:color w:val="auto"/>
        </w:rPr>
      </w:pPr>
      <w:r>
        <w:rPr>
          <w:rFonts w:ascii="Arial" w:cs="Arial" w:eastAsia="Arial" w:hAnsi="Arial"/>
          <w:sz w:val="19"/>
          <w:szCs w:val="19"/>
          <w:color w:val="auto"/>
        </w:rPr>
        <w:t>or her employment with the Manpower Group so as to accept employment elsewhere or to diminish or curtail the services such person provides to the Manpower Group.</w:t>
      </w:r>
    </w:p>
    <w:p>
      <w:pPr>
        <w:spacing w:after="0" w:line="117" w:lineRule="exact"/>
        <w:rPr>
          <w:sz w:val="20"/>
          <w:szCs w:val="20"/>
          <w:color w:val="auto"/>
        </w:rPr>
      </w:pPr>
    </w:p>
    <w:p>
      <w:pPr>
        <w:ind w:left="652" w:hanging="652"/>
        <w:spacing w:after="0"/>
        <w:tabs>
          <w:tab w:leader="none" w:pos="65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Customer Nonsolicitation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292" w:right="2139" w:hanging="644"/>
        <w:spacing w:after="0"/>
        <w:tabs>
          <w:tab w:leader="none" w:pos="1292" w:val="left"/>
        </w:tabs>
        <w:numPr>
          <w:ilvl w:val="1"/>
          <w:numId w:val="43"/>
        </w:numPr>
        <w:rPr>
          <w:rFonts w:ascii="Arial" w:cs="Arial" w:eastAsia="Arial" w:hAnsi="Arial"/>
          <w:sz w:val="22"/>
          <w:szCs w:val="22"/>
          <w:color w:val="auto"/>
        </w:rPr>
      </w:pPr>
      <w:r>
        <w:rPr>
          <w:rFonts w:ascii="Arial" w:cs="Arial" w:eastAsia="Arial" w:hAnsi="Arial"/>
          <w:sz w:val="22"/>
          <w:szCs w:val="22"/>
          <w:color w:val="auto"/>
        </w:rPr>
        <w:t>During the term of your employment with the Manpower Group, you will not assist any competitor of any company in the Manpower Group in any capacity anywhere the Manpower Group does business.</w:t>
      </w:r>
    </w:p>
    <w:p>
      <w:pPr>
        <w:spacing w:after="0" w:line="172" w:lineRule="exact"/>
        <w:rPr>
          <w:rFonts w:ascii="Arial" w:cs="Arial" w:eastAsia="Arial" w:hAnsi="Arial"/>
          <w:sz w:val="22"/>
          <w:szCs w:val="22"/>
          <w:color w:val="auto"/>
        </w:rPr>
      </w:pPr>
    </w:p>
    <w:p>
      <w:pPr>
        <w:ind w:left="1292" w:right="1939" w:hanging="644"/>
        <w:spacing w:after="0" w:line="245" w:lineRule="auto"/>
        <w:tabs>
          <w:tab w:leader="none" w:pos="1292" w:val="left"/>
        </w:tabs>
        <w:numPr>
          <w:ilvl w:val="1"/>
          <w:numId w:val="43"/>
        </w:numPr>
        <w:rPr>
          <w:rFonts w:ascii="Arial" w:cs="Arial" w:eastAsia="Arial" w:hAnsi="Arial"/>
          <w:sz w:val="21"/>
          <w:szCs w:val="21"/>
          <w:color w:val="auto"/>
        </w:rPr>
      </w:pPr>
      <w:r>
        <w:rPr>
          <w:rFonts w:ascii="Arial" w:cs="Arial" w:eastAsia="Arial" w:hAnsi="Arial"/>
          <w:sz w:val="21"/>
          <w:szCs w:val="21"/>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168" w:lineRule="exact"/>
        <w:rPr>
          <w:rFonts w:ascii="Arial" w:cs="Arial" w:eastAsia="Arial" w:hAnsi="Arial"/>
          <w:sz w:val="21"/>
          <w:szCs w:val="21"/>
          <w:color w:val="auto"/>
        </w:rPr>
      </w:pPr>
    </w:p>
    <w:p>
      <w:pPr>
        <w:ind w:left="652" w:right="1799" w:hanging="652"/>
        <w:spacing w:after="0" w:line="270" w:lineRule="auto"/>
        <w:tabs>
          <w:tab w:leader="none" w:pos="652"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US $500,000,000 or (ii) engaged in the business of providing permanent placement, professional staffing or human resources consulting services anywhere in the United States or any other country in which the Manpower Group conducts business as of the Date of Termi 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652" w:hanging="652"/>
        <w:spacing w:after="0"/>
        <w:tabs>
          <w:tab w:leader="none" w:pos="65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1292" w:right="1799" w:hanging="644"/>
        <w:spacing w:after="0" w:line="279" w:lineRule="auto"/>
        <w:tabs>
          <w:tab w:leader="none" w:pos="1292"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Manpower 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2(f), above (which the parties agree would not be an adequate remedy), and any</w:t>
      </w:r>
    </w:p>
    <w:p>
      <w:pPr>
        <w:spacing w:after="0" w:line="394"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11"/>
          </w:cols>
          <w:pgMar w:left="248" w:top="118" w:right="1440" w:bottom="1440" w:gutter="0" w:footer="0" w:header="0"/>
        </w:sectPr>
      </w:pPr>
    </w:p>
    <w:bookmarkStart w:id="35" w:name="page36"/>
    <w:bookmarkEnd w:id="35"/>
    <w:p>
      <w:pPr>
        <w:ind w:left="1292" w:right="1939"/>
        <w:spacing w:after="0" w:line="279" w:lineRule="auto"/>
        <w:rPr>
          <w:sz w:val="20"/>
          <w:szCs w:val="20"/>
          <w:color w:val="auto"/>
        </w:rPr>
      </w:pPr>
      <w:r>
        <w:rPr>
          <w:rFonts w:ascii="Arial" w:cs="Arial" w:eastAsia="Arial" w:hAnsi="Arial"/>
          <w:sz w:val="19"/>
          <w:szCs w:val="19"/>
          <w:color w:val="auto"/>
        </w:rPr>
        <w:t>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38" w:lineRule="exact"/>
        <w:rPr>
          <w:sz w:val="20"/>
          <w:szCs w:val="20"/>
          <w:color w:val="auto"/>
        </w:rPr>
      </w:pPr>
    </w:p>
    <w:p>
      <w:pPr>
        <w:ind w:left="1292" w:right="2039" w:hanging="644"/>
        <w:spacing w:after="0" w:line="328" w:lineRule="auto"/>
        <w:tabs>
          <w:tab w:leader="none" w:pos="1292"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Equitable Extension</w:t>
      </w:r>
      <w:r>
        <w:rPr>
          <w:rFonts w:ascii="Arial" w:cs="Arial" w:eastAsia="Arial" w:hAnsi="Arial"/>
          <w:sz w:val="19"/>
          <w:szCs w:val="19"/>
          <w:color w:val="auto"/>
        </w:rPr>
        <w:t>. The duration of any restriction in Section 3-6, above, will be extended by any period during which such restriction is violated by you.</w:t>
      </w:r>
    </w:p>
    <w:p>
      <w:pPr>
        <w:spacing w:after="0" w:line="105" w:lineRule="exact"/>
        <w:rPr>
          <w:rFonts w:ascii="Arial" w:cs="Arial" w:eastAsia="Arial" w:hAnsi="Arial"/>
          <w:sz w:val="19"/>
          <w:szCs w:val="19"/>
          <w:color w:val="auto"/>
        </w:rPr>
      </w:pPr>
    </w:p>
    <w:p>
      <w:pPr>
        <w:ind w:left="1292" w:right="2159" w:hanging="644"/>
        <w:spacing w:after="0" w:line="287" w:lineRule="auto"/>
        <w:tabs>
          <w:tab w:leader="none" w:pos="1292"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Nonapplication</w:t>
      </w:r>
      <w:r>
        <w:rPr>
          <w:rFonts w:ascii="Arial" w:cs="Arial" w:eastAsia="Arial" w:hAnsi="Arial"/>
          <w:sz w:val="19"/>
          <w:szCs w:val="19"/>
          <w:color w:val="auto"/>
        </w:rPr>
        <w:t>. Notwithstanding the above, Sections 5 and 6, above, will not apply if your employment with the Manpower Group is terminated by you for Good Reason or by the Corporation without Cause either during a Protected Period or within two years after the occurrence of a Change of Control.</w:t>
      </w:r>
    </w:p>
    <w:p>
      <w:pPr>
        <w:spacing w:after="0" w:line="156" w:lineRule="exact"/>
        <w:rPr>
          <w:rFonts w:ascii="Arial" w:cs="Arial" w:eastAsia="Arial" w:hAnsi="Arial"/>
          <w:sz w:val="19"/>
          <w:szCs w:val="19"/>
          <w:color w:val="auto"/>
        </w:rPr>
      </w:pPr>
    </w:p>
    <w:p>
      <w:pPr>
        <w:ind w:left="652" w:hanging="652"/>
        <w:spacing w:after="0"/>
        <w:tabs>
          <w:tab w:leader="none" w:pos="65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Unemployment Compensation</w:t>
      </w:r>
      <w:r>
        <w:rPr>
          <w:rFonts w:ascii="Arial" w:cs="Arial" w:eastAsia="Arial" w:hAnsi="Arial"/>
          <w:sz w:val="19"/>
          <w:szCs w:val="19"/>
          <w:color w:val="auto"/>
        </w:rPr>
        <w:t>. The severance benefits provided for in Subsection 2(c)(i)</w:t>
      </w:r>
    </w:p>
    <w:p>
      <w:pPr>
        <w:spacing w:after="0" w:line="42" w:lineRule="exact"/>
        <w:rPr>
          <w:rFonts w:ascii="Arial" w:cs="Arial" w:eastAsia="Arial" w:hAnsi="Arial"/>
          <w:sz w:val="19"/>
          <w:szCs w:val="19"/>
          <w:color w:val="auto"/>
        </w:rPr>
      </w:pPr>
    </w:p>
    <w:p>
      <w:pPr>
        <w:ind w:left="652" w:right="1919"/>
        <w:spacing w:after="0" w:line="277" w:lineRule="auto"/>
        <w:rPr>
          <w:rFonts w:ascii="Arial" w:cs="Arial" w:eastAsia="Arial" w:hAnsi="Arial"/>
          <w:sz w:val="19"/>
          <w:szCs w:val="19"/>
          <w:color w:val="auto"/>
        </w:rPr>
      </w:pPr>
      <w:r>
        <w:rPr>
          <w:rFonts w:ascii="Arial" w:cs="Arial" w:eastAsia="Arial" w:hAnsi="Arial"/>
          <w:sz w:val="19"/>
          <w:szCs w:val="19"/>
          <w:color w:val="auto"/>
        </w:rPr>
        <w:t>(D)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139" w:lineRule="exact"/>
        <w:rPr>
          <w:rFonts w:ascii="Arial" w:cs="Arial" w:eastAsia="Arial" w:hAnsi="Arial"/>
          <w:sz w:val="19"/>
          <w:szCs w:val="19"/>
          <w:color w:val="auto"/>
        </w:rPr>
      </w:pPr>
    </w:p>
    <w:p>
      <w:pPr>
        <w:ind w:left="652" w:right="1779" w:hanging="652"/>
        <w:spacing w:after="0" w:line="271" w:lineRule="auto"/>
        <w:tabs>
          <w:tab w:leader="none" w:pos="65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 d will not preclude either party from providing truthful testimony pursuant to subpoena or other legal process or in the course of any proceeding that may be commenced for purposes of enforcing this letter agreement.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652" w:right="1839" w:hanging="652"/>
        <w:spacing w:after="0"/>
        <w:tabs>
          <w:tab w:leader="none" w:pos="652"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 This letter agreement will be binding on the Corporation and its successors and will inure to the benefit of and be enforceable by your personal or legal representatives, heirs and successors.</w:t>
      </w:r>
    </w:p>
    <w:p>
      <w:pPr>
        <w:spacing w:after="0" w:line="199" w:lineRule="exact"/>
        <w:rPr>
          <w:rFonts w:ascii="Arial" w:cs="Arial" w:eastAsia="Arial" w:hAnsi="Arial"/>
          <w:sz w:val="22"/>
          <w:szCs w:val="22"/>
          <w:color w:val="auto"/>
        </w:rPr>
      </w:pPr>
    </w:p>
    <w:p>
      <w:pPr>
        <w:ind w:left="652" w:right="1779" w:hanging="652"/>
        <w:spacing w:after="0" w:line="287" w:lineRule="auto"/>
        <w:tabs>
          <w:tab w:leader="none" w:pos="65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0" w:lineRule="exact"/>
        <w:rPr>
          <w:sz w:val="20"/>
          <w:szCs w:val="20"/>
          <w:color w:val="auto"/>
        </w:rPr>
      </w:pPr>
    </w:p>
    <w:p>
      <w:pPr>
        <w:spacing w:after="0" w:line="213"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11"/>
          </w:cols>
          <w:pgMar w:left="248" w:top="118" w:right="1440" w:bottom="1440" w:gutter="0" w:footer="0" w:header="0"/>
        </w:sectPr>
      </w:pPr>
    </w:p>
    <w:bookmarkStart w:id="36" w:name="page37"/>
    <w:bookmarkEnd w:id="36"/>
    <w:p>
      <w:pPr>
        <w:ind w:left="652" w:right="1859" w:hanging="652"/>
        <w:spacing w:after="0" w:line="282"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 Right to Remain Employed</w:t>
      </w:r>
      <w:r>
        <w:rPr>
          <w:rFonts w:ascii="Arial" w:cs="Arial" w:eastAsia="Arial" w:hAnsi="Arial"/>
          <w:sz w:val="19"/>
          <w:szCs w:val="19"/>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61" w:lineRule="exact"/>
        <w:rPr>
          <w:rFonts w:ascii="Arial" w:cs="Arial" w:eastAsia="Arial" w:hAnsi="Arial"/>
          <w:sz w:val="19"/>
          <w:szCs w:val="19"/>
          <w:color w:val="auto"/>
        </w:rPr>
      </w:pPr>
    </w:p>
    <w:p>
      <w:pPr>
        <w:ind w:left="652" w:right="1979" w:hanging="652"/>
        <w:spacing w:after="0"/>
        <w:tabs>
          <w:tab w:leader="none" w:pos="65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may be modified, waived or discharged unless such waiver, modification or discharge is agreed to in writing by you and the Corporation.</w:t>
      </w:r>
    </w:p>
    <w:p>
      <w:pPr>
        <w:spacing w:after="0" w:line="213" w:lineRule="exact"/>
        <w:rPr>
          <w:rFonts w:ascii="Arial" w:cs="Arial" w:eastAsia="Arial" w:hAnsi="Arial"/>
          <w:sz w:val="22"/>
          <w:szCs w:val="22"/>
          <w:color w:val="auto"/>
        </w:rPr>
      </w:pPr>
    </w:p>
    <w:p>
      <w:pPr>
        <w:jc w:val="both"/>
        <w:ind w:left="652" w:right="2119" w:hanging="652"/>
        <w:spacing w:after="0" w:line="297"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47" w:lineRule="exact"/>
        <w:rPr>
          <w:rFonts w:ascii="Arial" w:cs="Arial" w:eastAsia="Arial" w:hAnsi="Arial"/>
          <w:sz w:val="19"/>
          <w:szCs w:val="19"/>
          <w:color w:val="auto"/>
        </w:rPr>
      </w:pPr>
    </w:p>
    <w:p>
      <w:pPr>
        <w:ind w:left="652" w:right="2039" w:hanging="652"/>
        <w:spacing w:after="0"/>
        <w:tabs>
          <w:tab w:leader="none" w:pos="65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interpreted in accordance with the laws of the State of New York, United States of America, without regard to its conflict of law provisions.</w:t>
      </w:r>
    </w:p>
    <w:p>
      <w:pPr>
        <w:spacing w:after="0" w:line="199" w:lineRule="exact"/>
        <w:rPr>
          <w:rFonts w:ascii="Arial" w:cs="Arial" w:eastAsia="Arial" w:hAnsi="Arial"/>
          <w:sz w:val="22"/>
          <w:szCs w:val="22"/>
          <w:color w:val="auto"/>
        </w:rPr>
      </w:pPr>
    </w:p>
    <w:p>
      <w:pPr>
        <w:ind w:left="652" w:right="1779" w:hanging="652"/>
        <w:spacing w:after="0" w:line="275"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200" w:lineRule="exact"/>
        <w:rPr>
          <w:sz w:val="20"/>
          <w:szCs w:val="20"/>
          <w:color w:val="auto"/>
        </w:rPr>
      </w:pPr>
    </w:p>
    <w:p>
      <w:pPr>
        <w:spacing w:after="0" w:line="228"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211"/>
          </w:cols>
          <w:pgMar w:left="248" w:top="118" w:right="1440" w:bottom="1440" w:gutter="0" w:footer="0" w:header="0"/>
        </w:sectPr>
      </w:pPr>
    </w:p>
    <w:bookmarkStart w:id="37" w:name="page38"/>
    <w:bookmarkEnd w:id="37"/>
    <w:p>
      <w:pPr>
        <w:ind w:left="652" w:right="1779" w:hanging="652"/>
        <w:spacing w:after="0" w:line="272" w:lineRule="auto"/>
        <w:tabs>
          <w:tab w:leader="none" w:pos="65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Previous Agreements</w:t>
      </w:r>
      <w:r>
        <w:rPr>
          <w:rFonts w:ascii="Arial" w:cs="Arial" w:eastAsia="Arial" w:hAnsi="Arial"/>
          <w:sz w:val="19"/>
          <w:szCs w:val="19"/>
          <w:color w:val="auto"/>
        </w:rPr>
        <w:t>. To the extent your Date of Termination does not occur prior to the effective date of this letter indicated above and you accept this letter with your signature below, this letter, upon its effective date indicated above, expressly supersedes any and all previous agreements or understandings relating to your employment by the Corporation or the Manpower Group, except for (i) the letter from the Corporation to you, dated December 20, 2005, regarding your assignment for the Corporation and (ii) the subsequent letter from the Corporation to you, effective April 1, 2008, regarding your employment relocation, or the termination of such employment, and any such agreements or understandings shall, as of the date of your acceptance, have no further force or effect. For the sake of clarification, to the extent your Date of Termination occurs prior to the effective date of this letter indicated above, the provisions of the letter from the Corporation to you dated May 12, 2006 shall control instead of this letter.</w:t>
      </w:r>
    </w:p>
    <w:p>
      <w:pPr>
        <w:spacing w:after="0" w:line="175" w:lineRule="exact"/>
        <w:rPr>
          <w:rFonts w:ascii="Arial" w:cs="Arial" w:eastAsia="Arial" w:hAnsi="Arial"/>
          <w:sz w:val="19"/>
          <w:szCs w:val="19"/>
          <w:color w:val="auto"/>
        </w:rPr>
      </w:pPr>
    </w:p>
    <w:p>
      <w:pPr>
        <w:ind w:left="652" w:right="1799" w:hanging="652"/>
        <w:spacing w:after="0" w:line="277" w:lineRule="auto"/>
        <w:tabs>
          <w:tab w:leader="none" w:pos="65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Section 7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79" w:lineRule="exact"/>
        <w:rPr>
          <w:rFonts w:ascii="Arial" w:cs="Arial" w:eastAsia="Arial" w:hAnsi="Arial"/>
          <w:sz w:val="19"/>
          <w:szCs w:val="19"/>
          <w:color w:val="auto"/>
        </w:rPr>
      </w:pPr>
    </w:p>
    <w:p>
      <w:pPr>
        <w:ind w:left="1292" w:right="1859" w:hanging="644"/>
        <w:spacing w:after="0" w:line="270" w:lineRule="auto"/>
        <w:tabs>
          <w:tab w:leader="none" w:pos="1292" w:val="left"/>
        </w:tabs>
        <w:numPr>
          <w:ilvl w:val="1"/>
          <w:numId w:val="47"/>
        </w:numPr>
        <w:rPr>
          <w:rFonts w:ascii="Arial" w:cs="Arial" w:eastAsia="Arial" w:hAnsi="Arial"/>
          <w:sz w:val="19"/>
          <w:szCs w:val="19"/>
          <w:color w:val="auto"/>
        </w:rPr>
      </w:pPr>
      <w:r>
        <w:rPr>
          <w:rFonts w:ascii="Arial" w:cs="Arial" w:eastAsia="Arial" w:hAnsi="Arial"/>
          <w:sz w:val="19"/>
          <w:szCs w:val="19"/>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 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292" w:right="2139" w:hanging="644"/>
        <w:spacing w:after="0" w:line="328" w:lineRule="auto"/>
        <w:tabs>
          <w:tab w:leader="none" w:pos="1292" w:val="left"/>
        </w:tabs>
        <w:numPr>
          <w:ilvl w:val="1"/>
          <w:numId w:val="47"/>
        </w:numPr>
        <w:rPr>
          <w:rFonts w:ascii="Arial" w:cs="Arial" w:eastAsia="Arial" w:hAnsi="Arial"/>
          <w:sz w:val="19"/>
          <w:szCs w:val="19"/>
          <w:color w:val="auto"/>
        </w:rPr>
      </w:pPr>
      <w:r>
        <w:rPr>
          <w:rFonts w:ascii="Arial" w:cs="Arial" w:eastAsia="Arial" w:hAnsi="Arial"/>
          <w:sz w:val="19"/>
          <w:szCs w:val="19"/>
          <w:color w:val="auto"/>
        </w:rPr>
        <w:t>If your principal place of employment with the Manpower Group is within the United States, any dispute arising out of or relating to this letter agreement,</w:t>
      </w:r>
    </w:p>
    <w:p>
      <w:pPr>
        <w:spacing w:after="0" w:line="375"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1"/>
          </w:cols>
          <w:pgMar w:left="248" w:top="118" w:right="1440" w:bottom="1440" w:gutter="0" w:footer="0" w:header="0"/>
        </w:sectPr>
      </w:pPr>
    </w:p>
    <w:bookmarkStart w:id="38" w:name="page39"/>
    <w:bookmarkEnd w:id="38"/>
    <w:p>
      <w:pPr>
        <w:ind w:left="1292" w:right="1819"/>
        <w:spacing w:after="0" w:line="270" w:lineRule="auto"/>
        <w:rPr>
          <w:sz w:val="20"/>
          <w:szCs w:val="20"/>
          <w:color w:val="auto"/>
        </w:rPr>
      </w:pPr>
      <w:r>
        <w:rPr>
          <w:rFonts w:ascii="Arial" w:cs="Arial" w:eastAsia="Arial" w:hAnsi="Arial"/>
          <w:sz w:val="19"/>
          <w:szCs w:val="19"/>
          <w:color w:val="auto"/>
        </w:rPr>
        <w:t xml:space="preserve">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1" w:lineRule="exact"/>
        <w:rPr>
          <w:sz w:val="20"/>
          <w:szCs w:val="20"/>
          <w:color w:val="auto"/>
        </w:rPr>
      </w:pPr>
    </w:p>
    <w:p>
      <w:pPr>
        <w:jc w:val="both"/>
        <w:ind w:left="652" w:right="1779" w:hanging="652"/>
        <w:spacing w:after="0" w:line="258" w:lineRule="auto"/>
        <w:tabs>
          <w:tab w:leader="none" w:pos="652"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obligations imposed by Paragraphs 3-7, above, of this agreement are severable and should be construed independently of each other. The invalidity of one such provision shall not affect the validity of any other such provision.</w:t>
      </w:r>
    </w:p>
    <w:p>
      <w:pPr>
        <w:spacing w:after="0" w:line="200" w:lineRule="exact"/>
        <w:rPr>
          <w:sz w:val="20"/>
          <w:szCs w:val="20"/>
          <w:color w:val="auto"/>
        </w:rPr>
      </w:pPr>
    </w:p>
    <w:p>
      <w:pPr>
        <w:spacing w:after="0" w:line="237"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11"/>
          </w:cols>
          <w:pgMar w:left="248" w:top="118" w:right="1440" w:bottom="1440" w:gutter="0" w:footer="0" w:header="0"/>
        </w:sectPr>
      </w:pPr>
    </w:p>
    <w:bookmarkStart w:id="39" w:name="page40"/>
    <w:bookmarkEnd w:id="39"/>
    <w:p>
      <w:pPr>
        <w:ind w:right="1959" w:firstLine="648"/>
        <w:spacing w:after="0" w:line="274" w:lineRule="auto"/>
        <w:rPr>
          <w:sz w:val="20"/>
          <w:szCs w:val="20"/>
          <w:color w:val="auto"/>
        </w:rPr>
      </w:pPr>
      <w:r>
        <w:rPr>
          <w:rFonts w:ascii="Arial" w:cs="Arial" w:eastAsia="Arial" w:hAnsi="Arial"/>
          <w:sz w:val="21"/>
          <w:szCs w:val="21"/>
          <w:color w:val="auto"/>
        </w:rPr>
        <w:t>If you are in agreement with the foregoing, please sign and return one copy of this letter which will constitute our agreement with respect to the subject matter of this letter.</w:t>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2436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6495" cy="8890"/>
                    </a:xfrm>
                    <a:prstGeom prst="rect">
                      <a:avLst/>
                    </a:prstGeom>
                    <a:noFill/>
                  </pic:spPr>
                </pic:pic>
              </a:graphicData>
            </a:graphic>
          </wp:anchor>
        </w:drawing>
      </w:r>
    </w:p>
    <w:p>
      <w:pPr>
        <w:ind w:left="4220"/>
        <w:spacing w:after="0" w:line="238" w:lineRule="auto"/>
        <w:rPr>
          <w:sz w:val="20"/>
          <w:szCs w:val="20"/>
          <w:color w:val="auto"/>
        </w:rPr>
      </w:pPr>
      <w:r>
        <w:rPr>
          <w:rFonts w:ascii="Arial" w:cs="Arial" w:eastAsia="Arial" w:hAnsi="Arial"/>
          <w:sz w:val="22"/>
          <w:szCs w:val="22"/>
          <w:color w:val="auto"/>
        </w:rPr>
        <w:t>Jeffrey A. Joerres, President and</w:t>
      </w:r>
    </w:p>
    <w:p>
      <w:pPr>
        <w:ind w:left="42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10th day of November, 2008.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Barbara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26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66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Barbara Beck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219"/>
          </w:cols>
          <w:pgMar w:left="240" w:top="118" w:right="1440" w:bottom="1440" w:gutter="0" w:footer="0" w:header="0"/>
        </w:sectPr>
      </w:pPr>
    </w:p>
    <w:bookmarkStart w:id="40" w:name="page41"/>
    <w:bookmarkEnd w:id="40"/>
    <w:p>
      <w:pPr>
        <w:jc w:val="right"/>
        <w:ind w:right="1779"/>
        <w:spacing w:after="0"/>
        <w:rPr>
          <w:sz w:val="20"/>
          <w:szCs w:val="20"/>
          <w:color w:val="auto"/>
        </w:rPr>
      </w:pPr>
      <w:r>
        <w:rPr>
          <w:rFonts w:ascii="Arial" w:cs="Arial" w:eastAsia="Arial" w:hAnsi="Arial"/>
          <w:sz w:val="22"/>
          <w:szCs w:val="22"/>
          <w:u w:val="single" w:color="auto"/>
          <w:color w:val="auto"/>
        </w:rPr>
        <w:t>Exhibit 10.3</w:t>
      </w:r>
    </w:p>
    <w:p>
      <w:pPr>
        <w:jc w:val="center"/>
        <w:ind w:right="1779"/>
        <w:spacing w:after="0" w:line="238" w:lineRule="auto"/>
        <w:rPr>
          <w:sz w:val="20"/>
          <w:szCs w:val="20"/>
          <w:color w:val="auto"/>
        </w:rPr>
      </w:pPr>
      <w:r>
        <w:rPr>
          <w:rFonts w:ascii="Arial" w:cs="Arial" w:eastAsia="Arial" w:hAnsi="Arial"/>
          <w:sz w:val="22"/>
          <w:szCs w:val="22"/>
          <w:color w:val="auto"/>
        </w:rPr>
        <w:t>Manpower Inc.</w:t>
      </w:r>
    </w:p>
    <w:p>
      <w:pPr>
        <w:jc w:val="center"/>
        <w:ind w:right="1779"/>
        <w:spacing w:after="0" w:line="231"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Milwaukee, Wisconsin 53212</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Effective November 10, 2008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Owen Sullivan</w:t>
      </w:r>
    </w:p>
    <w:p>
      <w:pPr>
        <w:spacing w:after="0" w:line="238" w:lineRule="auto"/>
        <w:rPr>
          <w:sz w:val="20"/>
          <w:szCs w:val="20"/>
          <w:color w:val="auto"/>
        </w:rPr>
      </w:pPr>
      <w:r>
        <w:rPr>
          <w:rFonts w:ascii="Arial" w:cs="Arial" w:eastAsia="Arial" w:hAnsi="Arial"/>
          <w:sz w:val="22"/>
          <w:szCs w:val="22"/>
          <w:color w:val="auto"/>
        </w:rPr>
        <w:t>Executive Vice President – Manpower Inc.</w:t>
      </w:r>
    </w:p>
    <w:p>
      <w:pPr>
        <w:spacing w:after="0" w:line="230" w:lineRule="auto"/>
        <w:rPr>
          <w:sz w:val="20"/>
          <w:szCs w:val="20"/>
          <w:color w:val="auto"/>
        </w:rPr>
      </w:pPr>
      <w:r>
        <w:rPr>
          <w:rFonts w:ascii="Arial" w:cs="Arial" w:eastAsia="Arial" w:hAnsi="Arial"/>
          <w:sz w:val="22"/>
          <w:szCs w:val="22"/>
          <w:color w:val="auto"/>
        </w:rPr>
        <w:t>CEO – Right Management Consultants</w:t>
      </w:r>
    </w:p>
    <w:p>
      <w:pPr>
        <w:spacing w:after="0" w:line="231" w:lineRule="auto"/>
        <w:rPr>
          <w:sz w:val="20"/>
          <w:szCs w:val="20"/>
          <w:color w:val="auto"/>
        </w:rPr>
      </w:pPr>
      <w:r>
        <w:rPr>
          <w:rFonts w:ascii="Arial" w:cs="Arial" w:eastAsia="Arial" w:hAnsi="Arial"/>
          <w:sz w:val="22"/>
          <w:szCs w:val="22"/>
          <w:color w:val="auto"/>
        </w:rPr>
        <w:t>CEO – Jefferson Wells International</w:t>
      </w:r>
    </w:p>
    <w:p>
      <w:pPr>
        <w:spacing w:after="0" w:line="231" w:lineRule="auto"/>
        <w:rPr>
          <w:sz w:val="20"/>
          <w:szCs w:val="20"/>
          <w:color w:val="auto"/>
        </w:rPr>
      </w:pPr>
      <w:r>
        <w:rPr>
          <w:rFonts w:ascii="Arial" w:cs="Arial" w:eastAsia="Arial" w:hAnsi="Arial"/>
          <w:sz w:val="22"/>
          <w:szCs w:val="22"/>
          <w:color w:val="auto"/>
        </w:rPr>
        <w:t>100 Manpower Place</w:t>
      </w:r>
    </w:p>
    <w:p>
      <w:pPr>
        <w:spacing w:after="0"/>
        <w:rPr>
          <w:sz w:val="20"/>
          <w:szCs w:val="20"/>
          <w:color w:val="auto"/>
        </w:rPr>
      </w:pPr>
      <w:r>
        <w:rPr>
          <w:rFonts w:ascii="Arial" w:cs="Arial" w:eastAsia="Arial" w:hAnsi="Arial"/>
          <w:sz w:val="22"/>
          <w:szCs w:val="22"/>
          <w:color w:val="auto"/>
        </w:rPr>
        <w:t>Milwaukee, WI 53212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Owen:</w:t>
      </w:r>
    </w:p>
    <w:p>
      <w:pPr>
        <w:spacing w:after="0" w:line="233" w:lineRule="exact"/>
        <w:rPr>
          <w:sz w:val="20"/>
          <w:szCs w:val="20"/>
          <w:color w:val="auto"/>
        </w:rPr>
      </w:pPr>
    </w:p>
    <w:p>
      <w:pPr>
        <w:ind w:right="1839" w:firstLine="648"/>
        <w:spacing w:after="0" w:line="270" w:lineRule="auto"/>
        <w:rPr>
          <w:sz w:val="20"/>
          <w:szCs w:val="20"/>
          <w:color w:val="auto"/>
        </w:rPr>
      </w:pPr>
      <w:r>
        <w:rPr>
          <w:rFonts w:ascii="Arial" w:cs="Arial" w:eastAsia="Arial" w:hAnsi="Arial"/>
          <w:sz w:val="19"/>
          <w:szCs w:val="19"/>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entered into an agreement with you as of September 6,</w:t>
      </w:r>
    </w:p>
    <w:p>
      <w:pPr>
        <w:spacing w:after="0" w:line="4" w:lineRule="exact"/>
        <w:rPr>
          <w:sz w:val="20"/>
          <w:szCs w:val="20"/>
          <w:color w:val="auto"/>
        </w:rPr>
      </w:pPr>
    </w:p>
    <w:p>
      <w:pPr>
        <w:ind w:right="1819"/>
        <w:spacing w:after="0" w:line="244" w:lineRule="auto"/>
        <w:rPr>
          <w:sz w:val="20"/>
          <w:szCs w:val="20"/>
          <w:color w:val="auto"/>
        </w:rPr>
      </w:pPr>
      <w:r>
        <w:rPr>
          <w:rFonts w:ascii="Arial" w:cs="Arial" w:eastAsia="Arial" w:hAnsi="Arial"/>
          <w:sz w:val="21"/>
          <w:szCs w:val="21"/>
          <w:color w:val="auto"/>
        </w:rPr>
        <w:t>2006 regarding certain severance protections. Due to the requirements of Internal Revenue Code (the “Code”) Section 409A regarding deferred compensation and the potential application of Code Section 409A to that agreement, as well as the Corporation’s desire to provide consistent severance protection for executives of the Corporation who are members of the Executive Management Committee, we are amending and superseding that letter dated September 6, 2006 and have agreed as follows:</w:t>
      </w:r>
    </w:p>
    <w:p>
      <w:pPr>
        <w:spacing w:after="0" w:line="19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w:t>
      </w:r>
    </w:p>
    <w:p>
      <w:pPr>
        <w:spacing w:after="0" w:line="233" w:lineRule="exact"/>
        <w:rPr>
          <w:rFonts w:ascii="Arial" w:cs="Arial" w:eastAsia="Arial" w:hAnsi="Arial"/>
          <w:sz w:val="22"/>
          <w:szCs w:val="22"/>
          <w:color w:val="auto"/>
        </w:rPr>
      </w:pPr>
    </w:p>
    <w:p>
      <w:pPr>
        <w:ind w:left="1300" w:right="1879" w:hanging="644"/>
        <w:spacing w:after="0" w:line="274" w:lineRule="auto"/>
        <w:tabs>
          <w:tab w:leader="none" w:pos="1300"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Benefit Plans</w:t>
      </w:r>
      <w:r>
        <w:rPr>
          <w:rFonts w:ascii="Arial" w:cs="Arial" w:eastAsia="Arial" w:hAnsi="Arial"/>
          <w:sz w:val="21"/>
          <w:szCs w:val="21"/>
          <w:color w:val="auto"/>
        </w:rPr>
        <w:t>. “Benefit Plans” means all benefits of employment generally made available to executives of the Corporation from time to time.</w:t>
      </w:r>
    </w:p>
    <w:p>
      <w:pPr>
        <w:spacing w:after="0" w:line="164" w:lineRule="exact"/>
        <w:rPr>
          <w:rFonts w:ascii="Arial" w:cs="Arial" w:eastAsia="Arial" w:hAnsi="Arial"/>
          <w:sz w:val="21"/>
          <w:szCs w:val="21"/>
          <w:color w:val="auto"/>
        </w:rPr>
      </w:pPr>
    </w:p>
    <w:p>
      <w:pPr>
        <w:ind w:left="1300" w:right="1799" w:hanging="644"/>
        <w:spacing w:after="0" w:line="272" w:lineRule="auto"/>
        <w:tabs>
          <w:tab w:leader="none" w:pos="1300"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 ial disloyalty involving the Manpower Group, (iv) any violation by you of a Manpower Group policy of material import, (v) any act by</w:t>
      </w:r>
    </w:p>
    <w:p>
      <w:pPr>
        <w:sectPr>
          <w:pgSz w:w="11900" w:h="16838" w:orient="portrait"/>
          <w:cols w:equalWidth="0" w:num="1">
            <w:col w:w="10219"/>
          </w:cols>
          <w:pgMar w:left="240" w:top="118" w:right="1440" w:bottom="1440" w:gutter="0" w:footer="0" w:header="0"/>
        </w:sectPr>
      </w:pPr>
    </w:p>
    <w:bookmarkStart w:id="41" w:name="page42"/>
    <w:bookmarkEnd w:id="41"/>
    <w:p>
      <w:pPr>
        <w:ind w:left="644" w:right="1799"/>
        <w:spacing w:after="0" w:line="275" w:lineRule="auto"/>
        <w:rPr>
          <w:sz w:val="20"/>
          <w:szCs w:val="20"/>
          <w:color w:val="auto"/>
        </w:rPr>
      </w:pPr>
      <w:r>
        <w:rPr>
          <w:rFonts w:ascii="Arial" w:cs="Arial" w:eastAsia="Arial" w:hAnsi="Arial"/>
          <w:sz w:val="19"/>
          <w:szCs w:val="19"/>
          <w:color w:val="auto"/>
        </w:rPr>
        <w:t>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172" w:lineRule="exact"/>
        <w:rPr>
          <w:sz w:val="20"/>
          <w:szCs w:val="20"/>
          <w:color w:val="auto"/>
        </w:rPr>
      </w:pPr>
    </w:p>
    <w:p>
      <w:pPr>
        <w:ind w:left="644" w:right="2199" w:hanging="644"/>
        <w:spacing w:after="0" w:line="251" w:lineRule="auto"/>
        <w:tabs>
          <w:tab w:leader="none" w:pos="644"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00" w:lineRule="exact"/>
        <w:rPr>
          <w:rFonts w:ascii="Arial" w:cs="Arial" w:eastAsia="Arial" w:hAnsi="Arial"/>
          <w:sz w:val="22"/>
          <w:szCs w:val="22"/>
          <w:color w:val="auto"/>
        </w:rPr>
      </w:pPr>
    </w:p>
    <w:p>
      <w:pPr>
        <w:ind w:left="1304" w:right="1839" w:hanging="655"/>
        <w:spacing w:after="0" w:line="269" w:lineRule="auto"/>
        <w:tabs>
          <w:tab w:leader="none" w:pos="1304"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left="1304" w:right="1879" w:hanging="655"/>
        <w:spacing w:after="0" w:line="273" w:lineRule="auto"/>
        <w:tabs>
          <w:tab w:leader="none" w:pos="1304"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w:t>
      </w:r>
    </w:p>
    <w:p>
      <w:pPr>
        <w:spacing w:after="0" w:line="200" w:lineRule="exact"/>
        <w:rPr>
          <w:sz w:val="20"/>
          <w:szCs w:val="20"/>
          <w:color w:val="auto"/>
        </w:rPr>
      </w:pPr>
    </w:p>
    <w:p>
      <w:pPr>
        <w:spacing w:after="0" w:line="232"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563"/>
          </w:cols>
          <w:pgMar w:left="896" w:top="118" w:right="1440" w:bottom="1440" w:gutter="0" w:footer="0" w:header="0"/>
        </w:sectPr>
      </w:pPr>
    </w:p>
    <w:bookmarkStart w:id="42" w:name="page43"/>
    <w:bookmarkEnd w:id="42"/>
    <w:p>
      <w:pPr>
        <w:ind w:left="1960" w:right="2019"/>
        <w:spacing w:after="0" w:line="251" w:lineRule="auto"/>
        <w:rPr>
          <w:sz w:val="20"/>
          <w:szCs w:val="20"/>
          <w:color w:val="auto"/>
        </w:rPr>
      </w:pPr>
      <w:r>
        <w:rPr>
          <w:rFonts w:ascii="Arial" w:cs="Arial" w:eastAsia="Arial" w:hAnsi="Arial"/>
          <w:sz w:val="22"/>
          <w:szCs w:val="22"/>
          <w:color w:val="auto"/>
        </w:rPr>
        <w:t>then outstanding common stock or then outstanding voting securities, as the case may be; or</w:t>
      </w:r>
    </w:p>
    <w:p>
      <w:pPr>
        <w:spacing w:after="0" w:line="187" w:lineRule="exact"/>
        <w:rPr>
          <w:sz w:val="20"/>
          <w:szCs w:val="20"/>
          <w:color w:val="auto"/>
        </w:rPr>
      </w:pPr>
    </w:p>
    <w:p>
      <w:pPr>
        <w:ind w:left="1960" w:right="1819" w:hanging="655"/>
        <w:spacing w:after="0"/>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13" w:lineRule="exact"/>
        <w:rPr>
          <w:rFonts w:ascii="Arial" w:cs="Arial" w:eastAsia="Arial" w:hAnsi="Arial"/>
          <w:sz w:val="22"/>
          <w:szCs w:val="22"/>
          <w:color w:val="auto"/>
        </w:rPr>
      </w:pPr>
    </w:p>
    <w:p>
      <w:pPr>
        <w:ind w:left="1960" w:right="1799" w:hanging="655"/>
        <w:spacing w:after="0" w:line="272" w:lineRule="auto"/>
        <w:tabs>
          <w:tab w:leader="none" w:pos="19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75" w:lineRule="exact"/>
        <w:rPr>
          <w:rFonts w:ascii="Arial" w:cs="Arial" w:eastAsia="Arial" w:hAnsi="Arial"/>
          <w:sz w:val="19"/>
          <w:szCs w:val="19"/>
          <w:color w:val="auto"/>
        </w:rPr>
      </w:pPr>
    </w:p>
    <w:p>
      <w:pPr>
        <w:ind w:left="1960" w:right="1779" w:hanging="655"/>
        <w:spacing w:after="0" w:line="279" w:lineRule="auto"/>
        <w:tabs>
          <w:tab w:leader="none" w:pos="19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51" w:lineRule="exact"/>
        <w:rPr>
          <w:sz w:val="20"/>
          <w:szCs w:val="20"/>
          <w:color w:val="auto"/>
        </w:rPr>
      </w:pPr>
    </w:p>
    <w:p>
      <w:pPr>
        <w:ind w:right="1779" w:firstLine="648"/>
        <w:spacing w:after="0" w:line="236" w:lineRule="auto"/>
        <w:rPr>
          <w:sz w:val="20"/>
          <w:szCs w:val="20"/>
          <w:color w:val="auto"/>
        </w:rPr>
      </w:pPr>
      <w:r>
        <w:rPr>
          <w:rFonts w:ascii="Arial" w:cs="Arial" w:eastAsia="Arial" w:hAnsi="Arial"/>
          <w:sz w:val="22"/>
          <w:szCs w:val="22"/>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74" w:lineRule="exact"/>
        <w:rPr>
          <w:sz w:val="20"/>
          <w:szCs w:val="20"/>
          <w:color w:val="auto"/>
        </w:rPr>
      </w:pPr>
    </w:p>
    <w:p>
      <w:pPr>
        <w:ind w:left="1300" w:right="1999" w:hanging="644"/>
        <w:spacing w:after="0" w:line="251" w:lineRule="auto"/>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 material dimunition in your authority, duties or responsibilities;</w:t>
      </w:r>
    </w:p>
    <w:p>
      <w:pPr>
        <w:spacing w:after="0" w:line="219" w:lineRule="exact"/>
        <w:rPr>
          <w:rFonts w:ascii="Arial" w:cs="Arial" w:eastAsia="Arial" w:hAnsi="Arial"/>
          <w:sz w:val="22"/>
          <w:szCs w:val="22"/>
          <w:color w:val="auto"/>
        </w:rPr>
      </w:pPr>
    </w:p>
    <w:p>
      <w:pPr>
        <w:jc w:val="both"/>
        <w:ind w:left="1960" w:right="2479" w:hanging="655"/>
        <w:spacing w:after="0" w:line="297" w:lineRule="auto"/>
        <w:tabs>
          <w:tab w:leader="none" w:pos="1960" w:val="left"/>
        </w:tabs>
        <w:numPr>
          <w:ilvl w:val="1"/>
          <w:numId w:val="52"/>
        </w:numPr>
        <w:rPr>
          <w:rFonts w:ascii="Arial" w:cs="Arial" w:eastAsia="Arial" w:hAnsi="Arial"/>
          <w:sz w:val="19"/>
          <w:szCs w:val="19"/>
          <w:color w:val="auto"/>
        </w:rPr>
      </w:pPr>
      <w:r>
        <w:rPr>
          <w:rFonts w:ascii="Arial" w:cs="Arial" w:eastAsia="Arial" w:hAnsi="Arial"/>
          <w:sz w:val="19"/>
          <w:szCs w:val="19"/>
          <w:color w:val="auto"/>
        </w:rPr>
        <w:t>any material breach of this agreement by the Corporation or of any material obligation of any member of the Manpower Group for the payment or provision of compensation or other benefits to you;</w:t>
      </w:r>
    </w:p>
    <w:p>
      <w:pPr>
        <w:spacing w:after="0" w:line="147" w:lineRule="exact"/>
        <w:rPr>
          <w:rFonts w:ascii="Arial" w:cs="Arial" w:eastAsia="Arial" w:hAnsi="Arial"/>
          <w:sz w:val="19"/>
          <w:szCs w:val="19"/>
          <w:color w:val="auto"/>
        </w:rPr>
      </w:pPr>
    </w:p>
    <w:p>
      <w:pPr>
        <w:ind w:left="1960" w:right="2039" w:hanging="655"/>
        <w:spacing w:after="0" w:line="238" w:lineRule="auto"/>
        <w:tabs>
          <w:tab w:leader="none" w:pos="19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 material dimunition in your base salary or a failure by the Manpower Group to provide an arrangement for you for any fiscal year of the Manpower Group giving you the opportunity to earn an incentive bonus for such year;</w:t>
      </w:r>
    </w:p>
    <w:p>
      <w:pPr>
        <w:spacing w:after="0" w:line="200" w:lineRule="exact"/>
        <w:rPr>
          <w:sz w:val="20"/>
          <w:szCs w:val="20"/>
          <w:color w:val="auto"/>
        </w:rPr>
      </w:pPr>
    </w:p>
    <w:p>
      <w:pPr>
        <w:spacing w:after="0" w:line="25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43" w:name="page44"/>
    <w:bookmarkEnd w:id="43"/>
    <w:p>
      <w:pPr>
        <w:ind w:left="1960" w:right="1979" w:hanging="655"/>
        <w:spacing w:after="0" w:line="238" w:lineRule="auto"/>
        <w:tabs>
          <w:tab w:leader="none" w:pos="19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your being required by the Corporation to materially change the location of your principal office; provided such new location is one in excess of fifty miles from the location of your principal office before such change; or</w:t>
      </w:r>
    </w:p>
    <w:p>
      <w:pPr>
        <w:spacing w:after="0" w:line="199" w:lineRule="exact"/>
        <w:rPr>
          <w:rFonts w:ascii="Arial" w:cs="Arial" w:eastAsia="Arial" w:hAnsi="Arial"/>
          <w:sz w:val="22"/>
          <w:szCs w:val="22"/>
          <w:color w:val="auto"/>
        </w:rPr>
      </w:pPr>
    </w:p>
    <w:p>
      <w:pPr>
        <w:ind w:left="1960" w:right="1939" w:hanging="655"/>
        <w:spacing w:after="0" w:line="236" w:lineRule="auto"/>
        <w:tabs>
          <w:tab w:leader="none" w:pos="19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material dimunition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15" w:lineRule="exact"/>
        <w:rPr>
          <w:sz w:val="20"/>
          <w:szCs w:val="20"/>
          <w:color w:val="auto"/>
        </w:rPr>
      </w:pPr>
    </w:p>
    <w:p>
      <w:pPr>
        <w:ind w:right="1999" w:firstLine="648"/>
        <w:spacing w:after="0" w:line="270" w:lineRule="auto"/>
        <w:rPr>
          <w:sz w:val="20"/>
          <w:szCs w:val="20"/>
          <w:color w:val="auto"/>
        </w:rPr>
      </w:pPr>
      <w:r>
        <w:rPr>
          <w:rFonts w:ascii="Arial" w:cs="Arial" w:eastAsia="Arial" w:hAnsi="Arial"/>
          <w:sz w:val="19"/>
          <w:szCs w:val="19"/>
          <w:color w:val="auto"/>
        </w:rPr>
        <w:t>Notwithstanding Subsections 1(d)(i) – (v) above, Good Reason does not exist unless (i) you object to any material dimunition or breach described above by written notice to the Corporation within twenty (20) business days after such dimunition or breach occurs, (ii) the Corporation fails to cure such dimunition or breach within thirty (30) days after such notice is given and (iii) your employment with the Manpower Group is terminated by you within ninety</w:t>
      </w:r>
    </w:p>
    <w:p>
      <w:pPr>
        <w:spacing w:after="0" w:line="4" w:lineRule="exact"/>
        <w:rPr>
          <w:sz w:val="20"/>
          <w:szCs w:val="20"/>
          <w:color w:val="auto"/>
        </w:rPr>
      </w:pPr>
    </w:p>
    <w:p>
      <w:pPr>
        <w:ind w:right="1879" w:firstLine="8"/>
        <w:spacing w:after="0" w:line="273" w:lineRule="auto"/>
        <w:tabs>
          <w:tab w:leader="none" w:pos="414" w:val="left"/>
        </w:tabs>
        <w:numPr>
          <w:ilvl w:val="0"/>
          <w:numId w:val="54"/>
        </w:numPr>
        <w:rPr>
          <w:rFonts w:ascii="Arial" w:cs="Arial" w:eastAsia="Arial" w:hAnsi="Arial"/>
          <w:sz w:val="19"/>
          <w:szCs w:val="19"/>
          <w:color w:val="auto"/>
        </w:rPr>
      </w:pPr>
      <w:r>
        <w:rPr>
          <w:rFonts w:ascii="Arial" w:cs="Arial" w:eastAsia="Arial" w:hAnsi="Arial"/>
          <w:sz w:val="19"/>
          <w:szCs w:val="19"/>
          <w:color w:val="auto"/>
        </w:rPr>
        <w:t>days after such dimunition or breach occurs. Further, notwithstanding Subsections 1(d)(i)-(v),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Manpo 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81" w:lineRule="exact"/>
        <w:rPr>
          <w:rFonts w:ascii="Arial" w:cs="Arial" w:eastAsia="Arial" w:hAnsi="Arial"/>
          <w:sz w:val="19"/>
          <w:szCs w:val="19"/>
          <w:color w:val="auto"/>
        </w:rPr>
      </w:pPr>
    </w:p>
    <w:p>
      <w:pPr>
        <w:ind w:left="1300" w:right="1999" w:hanging="644"/>
        <w:spacing w:after="0" w:line="275" w:lineRule="auto"/>
        <w:tabs>
          <w:tab w:leader="none" w:pos="1300"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71" w:lineRule="exact"/>
        <w:rPr>
          <w:rFonts w:ascii="Arial" w:cs="Arial" w:eastAsia="Arial" w:hAnsi="Arial"/>
          <w:sz w:val="19"/>
          <w:szCs w:val="19"/>
          <w:color w:val="auto"/>
        </w:rPr>
      </w:pPr>
    </w:p>
    <w:p>
      <w:pPr>
        <w:ind w:left="1300" w:right="1939" w:hanging="644"/>
        <w:spacing w:after="0" w:line="238" w:lineRule="auto"/>
        <w:tabs>
          <w:tab w:leader="none" w:pos="130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98" w:lineRule="exact"/>
        <w:rPr>
          <w:rFonts w:ascii="Arial" w:cs="Arial" w:eastAsia="Arial" w:hAnsi="Arial"/>
          <w:sz w:val="22"/>
          <w:szCs w:val="22"/>
          <w:color w:val="auto"/>
        </w:rPr>
      </w:pPr>
    </w:p>
    <w:p>
      <w:pPr>
        <w:ind w:left="1300" w:right="1919" w:hanging="644"/>
        <w:spacing w:after="0" w:line="251" w:lineRule="auto"/>
        <w:tabs>
          <w:tab w:leader="none" w:pos="130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Protected Period</w:t>
      </w:r>
      <w:r>
        <w:rPr>
          <w:rFonts w:ascii="Arial" w:cs="Arial" w:eastAsia="Arial" w:hAnsi="Arial"/>
          <w:sz w:val="22"/>
          <w:szCs w:val="22"/>
          <w:color w:val="auto"/>
        </w:rPr>
        <w:t>. The “Protected Period” shall be a period of time determined in accordance with the following:</w:t>
      </w:r>
    </w:p>
    <w:p>
      <w:pPr>
        <w:spacing w:after="0" w:line="200" w:lineRule="exact"/>
        <w:rPr>
          <w:rFonts w:ascii="Arial" w:cs="Arial" w:eastAsia="Arial" w:hAnsi="Arial"/>
          <w:sz w:val="22"/>
          <w:szCs w:val="22"/>
          <w:color w:val="auto"/>
        </w:rPr>
      </w:pPr>
    </w:p>
    <w:p>
      <w:pPr>
        <w:ind w:left="1960" w:right="1879" w:hanging="655"/>
        <w:spacing w:after="0" w:line="287" w:lineRule="auto"/>
        <w:tabs>
          <w:tab w:leader="none" w:pos="1960" w:val="left"/>
        </w:tabs>
        <w:numPr>
          <w:ilvl w:val="2"/>
          <w:numId w:val="54"/>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w:t>
      </w:r>
    </w:p>
    <w:p>
      <w:pPr>
        <w:spacing w:after="0" w:line="200" w:lineRule="exact"/>
        <w:rPr>
          <w:sz w:val="20"/>
          <w:szCs w:val="20"/>
          <w:color w:val="auto"/>
        </w:rPr>
      </w:pPr>
    </w:p>
    <w:p>
      <w:pPr>
        <w:spacing w:after="0" w:line="21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118" w:right="1440" w:bottom="1440" w:gutter="0" w:footer="0" w:header="0"/>
        </w:sectPr>
      </w:pPr>
    </w:p>
    <w:bookmarkStart w:id="44" w:name="page45"/>
    <w:bookmarkEnd w:id="44"/>
    <w:p>
      <w:pPr>
        <w:ind w:left="1952" w:right="1799"/>
        <w:spacing w:after="0" w:line="251" w:lineRule="auto"/>
        <w:rPr>
          <w:sz w:val="20"/>
          <w:szCs w:val="20"/>
          <w:color w:val="auto"/>
        </w:rPr>
      </w:pPr>
      <w:r>
        <w:rPr>
          <w:rFonts w:ascii="Arial" w:cs="Arial" w:eastAsia="Arial" w:hAnsi="Arial"/>
          <w:sz w:val="22"/>
          <w:szCs w:val="22"/>
          <w:color w:val="auto"/>
        </w:rPr>
        <w:t>no case will the Protected Period commence earlier than the date that is six months prior to the Change of Control;</w:t>
      </w:r>
    </w:p>
    <w:p>
      <w:pPr>
        <w:spacing w:after="0" w:line="187" w:lineRule="exact"/>
        <w:rPr>
          <w:sz w:val="20"/>
          <w:szCs w:val="20"/>
          <w:color w:val="auto"/>
        </w:rPr>
      </w:pPr>
    </w:p>
    <w:p>
      <w:pPr>
        <w:ind w:left="1952" w:right="1899" w:hanging="655"/>
        <w:spacing w:after="0" w:line="277" w:lineRule="auto"/>
        <w:tabs>
          <w:tab w:leader="none" w:pos="1952" w:val="left"/>
        </w:tabs>
        <w:numPr>
          <w:ilvl w:val="2"/>
          <w:numId w:val="55"/>
        </w:numPr>
        <w:rPr>
          <w:rFonts w:ascii="Arial" w:cs="Arial" w:eastAsia="Arial" w:hAnsi="Arial"/>
          <w:sz w:val="19"/>
          <w:szCs w:val="19"/>
          <w:color w:val="auto"/>
        </w:rPr>
      </w:pPr>
      <w:r>
        <w:rPr>
          <w:rFonts w:ascii="Arial" w:cs="Arial" w:eastAsia="Arial" w:hAnsi="Arial"/>
          <w:sz w:val="19"/>
          <w:szCs w:val="19"/>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79" w:lineRule="exact"/>
        <w:rPr>
          <w:rFonts w:ascii="Arial" w:cs="Arial" w:eastAsia="Arial" w:hAnsi="Arial"/>
          <w:sz w:val="19"/>
          <w:szCs w:val="19"/>
          <w:color w:val="auto"/>
        </w:rPr>
      </w:pPr>
    </w:p>
    <w:p>
      <w:pPr>
        <w:ind w:left="1952" w:right="1939" w:hanging="655"/>
        <w:spacing w:after="0" w:line="252" w:lineRule="auto"/>
        <w:tabs>
          <w:tab w:leader="none" w:pos="1952" w:val="left"/>
        </w:tabs>
        <w:numPr>
          <w:ilvl w:val="2"/>
          <w:numId w:val="55"/>
        </w:numPr>
        <w:rPr>
          <w:rFonts w:ascii="Arial" w:cs="Arial" w:eastAsia="Arial" w:hAnsi="Arial"/>
          <w:sz w:val="21"/>
          <w:szCs w:val="21"/>
          <w:color w:val="auto"/>
        </w:rPr>
      </w:pPr>
      <w:r>
        <w:rPr>
          <w:rFonts w:ascii="Arial" w:cs="Arial" w:eastAsia="Arial" w:hAnsi="Arial"/>
          <w:sz w:val="21"/>
          <w:szCs w:val="21"/>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87" w:lineRule="exact"/>
        <w:rPr>
          <w:rFonts w:ascii="Arial" w:cs="Arial" w:eastAsia="Arial" w:hAnsi="Arial"/>
          <w:sz w:val="21"/>
          <w:szCs w:val="21"/>
          <w:color w:val="auto"/>
        </w:rPr>
      </w:pPr>
    </w:p>
    <w:p>
      <w:pPr>
        <w:ind w:left="1292" w:right="2199" w:hanging="644"/>
        <w:spacing w:after="0" w:line="235" w:lineRule="auto"/>
        <w:tabs>
          <w:tab w:leader="none" w:pos="1292"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will be a period beginning on November 10, 2008 and ending on the first to occur of the following: (a) the date which is the two-year anniversary of the occurrence of a Change of Control; (b) the date which is the three-year anniversary of September 6, 2006 if no Change of Control occurs between November 10, 2008 and such three-year anniversary; or (c) the Date of Termination.</w:t>
      </w:r>
    </w:p>
    <w:p>
      <w:pPr>
        <w:spacing w:after="0" w:line="201" w:lineRule="exact"/>
        <w:rPr>
          <w:rFonts w:ascii="Arial" w:cs="Arial" w:eastAsia="Arial" w:hAnsi="Arial"/>
          <w:sz w:val="22"/>
          <w:szCs w:val="22"/>
          <w:color w:val="auto"/>
        </w:rPr>
      </w:pPr>
    </w:p>
    <w:p>
      <w:pPr>
        <w:ind w:left="652" w:hanging="652"/>
        <w:spacing w:after="0"/>
        <w:tabs>
          <w:tab w:leader="none" w:pos="65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92" w:right="1819" w:hanging="644"/>
        <w:spacing w:after="0" w:line="245" w:lineRule="auto"/>
        <w:tabs>
          <w:tab w:leader="none" w:pos="1292"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Termination by the Manpower Group for Cause or by You Other Than for Good Reason</w:t>
      </w:r>
      <w:r>
        <w:rPr>
          <w:rFonts w:ascii="Arial" w:cs="Arial" w:eastAsia="Arial" w:hAnsi="Arial"/>
          <w:sz w:val="21"/>
          <w:szCs w:val="21"/>
          <w:color w:val="auto"/>
        </w:rPr>
        <w:t>. If your employment with the Manpower Group is terminated by the Manpower Group for Cause or by you other than for Good Reason, the Corporation will pay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195" w:lineRule="exact"/>
        <w:rPr>
          <w:rFonts w:ascii="Arial" w:cs="Arial" w:eastAsia="Arial" w:hAnsi="Arial"/>
          <w:sz w:val="21"/>
          <w:szCs w:val="21"/>
          <w:color w:val="auto"/>
        </w:rPr>
      </w:pPr>
    </w:p>
    <w:p>
      <w:pPr>
        <w:ind w:left="1292" w:right="1799" w:hanging="644"/>
        <w:spacing w:after="0" w:line="273" w:lineRule="auto"/>
        <w:tabs>
          <w:tab w:leader="none" w:pos="1292"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Manpower Group terminates during the Term by reason of 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w:t>
      </w:r>
    </w:p>
    <w:p>
      <w:pPr>
        <w:spacing w:after="0" w:line="200" w:lineRule="exact"/>
        <w:rPr>
          <w:sz w:val="20"/>
          <w:szCs w:val="20"/>
          <w:color w:val="auto"/>
        </w:rPr>
      </w:pPr>
    </w:p>
    <w:p>
      <w:pPr>
        <w:spacing w:after="0" w:line="232" w:lineRule="exact"/>
        <w:rPr>
          <w:sz w:val="20"/>
          <w:szCs w:val="20"/>
          <w:color w:val="auto"/>
        </w:rPr>
      </w:pPr>
    </w:p>
    <w:p>
      <w:pPr>
        <w:ind w:left="415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1"/>
          </w:cols>
          <w:pgMar w:left="248" w:top="118" w:right="1440" w:bottom="1440" w:gutter="0" w:footer="0" w:header="0"/>
        </w:sectPr>
      </w:pPr>
    </w:p>
    <w:bookmarkStart w:id="45" w:name="page46"/>
    <w:bookmarkEnd w:id="45"/>
    <w:p>
      <w:pPr>
        <w:ind w:left="644" w:right="1859"/>
        <w:spacing w:after="0" w:line="273" w:lineRule="auto"/>
        <w:rPr>
          <w:sz w:val="20"/>
          <w:szCs w:val="20"/>
          <w:color w:val="auto"/>
        </w:rPr>
      </w:pPr>
      <w:r>
        <w:rPr>
          <w:rFonts w:ascii="Arial" w:cs="Arial" w:eastAsia="Arial" w:hAnsi="Arial"/>
          <w:sz w:val="19"/>
          <w:szCs w:val="19"/>
          <w:color w:val="auto"/>
        </w:rPr>
        <w:t>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200" w:lineRule="exact"/>
        <w:rPr>
          <w:sz w:val="20"/>
          <w:szCs w:val="20"/>
          <w:color w:val="auto"/>
        </w:rPr>
      </w:pPr>
    </w:p>
    <w:p>
      <w:pPr>
        <w:spacing w:after="0" w:line="219" w:lineRule="exact"/>
        <w:rPr>
          <w:sz w:val="20"/>
          <w:szCs w:val="20"/>
          <w:color w:val="auto"/>
        </w:rPr>
      </w:pPr>
    </w:p>
    <w:p>
      <w:pPr>
        <w:ind w:left="644" w:hanging="644"/>
        <w:spacing w:after="0"/>
        <w:tabs>
          <w:tab w:leader="none" w:pos="644"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4" w:right="1919" w:hanging="655"/>
        <w:spacing w:after="0" w:line="287" w:lineRule="auto"/>
        <w:tabs>
          <w:tab w:leader="none" w:pos="1304" w:val="left"/>
        </w:tabs>
        <w:numPr>
          <w:ilvl w:val="1"/>
          <w:numId w:val="58"/>
        </w:numPr>
        <w:rPr>
          <w:rFonts w:ascii="Arial" w:cs="Arial" w:eastAsia="Arial" w:hAnsi="Arial"/>
          <w:sz w:val="19"/>
          <w:szCs w:val="19"/>
          <w:color w:val="auto"/>
        </w:rPr>
      </w:pPr>
      <w:r>
        <w:rPr>
          <w:rFonts w:ascii="Arial" w:cs="Arial" w:eastAsia="Arial" w:hAnsi="Arial"/>
          <w:sz w:val="19"/>
          <w:szCs w:val="19"/>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56" w:lineRule="exact"/>
        <w:rPr>
          <w:rFonts w:ascii="Arial" w:cs="Arial" w:eastAsia="Arial" w:hAnsi="Arial"/>
          <w:sz w:val="19"/>
          <w:szCs w:val="19"/>
          <w:color w:val="auto"/>
        </w:rPr>
      </w:pPr>
    </w:p>
    <w:p>
      <w:pPr>
        <w:ind w:left="1944" w:right="2219" w:hanging="647"/>
        <w:spacing w:after="0"/>
        <w:tabs>
          <w:tab w:leader="none" w:pos="1944" w:val="left"/>
        </w:tabs>
        <w:numPr>
          <w:ilvl w:val="2"/>
          <w:numId w:val="58"/>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72" w:lineRule="exact"/>
        <w:rPr>
          <w:rFonts w:ascii="Arial" w:cs="Arial" w:eastAsia="Arial" w:hAnsi="Arial"/>
          <w:sz w:val="22"/>
          <w:szCs w:val="22"/>
          <w:color w:val="auto"/>
        </w:rPr>
      </w:pPr>
    </w:p>
    <w:p>
      <w:pPr>
        <w:ind w:left="1944" w:right="2099" w:hanging="647"/>
        <w:spacing w:after="0"/>
        <w:tabs>
          <w:tab w:leader="none" w:pos="1944" w:val="left"/>
        </w:tabs>
        <w:numPr>
          <w:ilvl w:val="2"/>
          <w:numId w:val="58"/>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86" w:lineRule="exact"/>
        <w:rPr>
          <w:rFonts w:ascii="Arial" w:cs="Arial" w:eastAsia="Arial" w:hAnsi="Arial"/>
          <w:sz w:val="22"/>
          <w:szCs w:val="22"/>
          <w:color w:val="auto"/>
        </w:rPr>
      </w:pPr>
    </w:p>
    <w:p>
      <w:pPr>
        <w:ind w:left="1944" w:right="2019" w:hanging="647"/>
        <w:spacing w:after="0" w:line="273" w:lineRule="auto"/>
        <w:tabs>
          <w:tab w:leader="none" w:pos="1944" w:val="left"/>
        </w:tabs>
        <w:numPr>
          <w:ilvl w:val="2"/>
          <w:numId w:val="58"/>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w:t>
      </w:r>
    </w:p>
    <w:p>
      <w:pPr>
        <w:spacing w:after="0" w:line="148" w:lineRule="exact"/>
        <w:rPr>
          <w:rFonts w:ascii="Arial" w:cs="Arial" w:eastAsia="Arial" w:hAnsi="Arial"/>
          <w:sz w:val="19"/>
          <w:szCs w:val="19"/>
          <w:color w:val="auto"/>
        </w:rPr>
      </w:pPr>
    </w:p>
    <w:p>
      <w:pPr>
        <w:ind w:left="1944" w:right="2019" w:hanging="647"/>
        <w:spacing w:after="0" w:line="275" w:lineRule="auto"/>
        <w:tabs>
          <w:tab w:leader="none" w:pos="1944" w:val="left"/>
        </w:tabs>
        <w:numPr>
          <w:ilvl w:val="2"/>
          <w:numId w:val="58"/>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Committee of the Board approves a bona fide target annual bonus for the fiscal year in which the Change of Control occurs,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563"/>
          </w:cols>
          <w:pgMar w:left="896" w:top="118" w:right="1440" w:bottom="1440" w:gutter="0" w:footer="0" w:header="0"/>
        </w:sectPr>
      </w:pPr>
    </w:p>
    <w:bookmarkStart w:id="46" w:name="page47"/>
    <w:bookmarkEnd w:id="46"/>
    <w:p>
      <w:pPr>
        <w:ind w:left="1400" w:right="2379"/>
        <w:spacing w:after="0" w:line="275" w:lineRule="auto"/>
        <w:rPr>
          <w:sz w:val="20"/>
          <w:szCs w:val="20"/>
          <w:color w:val="auto"/>
        </w:rPr>
      </w:pPr>
      <w:r>
        <w:rPr>
          <w:rFonts w:ascii="Arial" w:cs="Arial" w:eastAsia="Arial" w:hAnsi="Arial"/>
          <w:sz w:val="21"/>
          <w:szCs w:val="21"/>
          <w:color w:val="auto"/>
        </w:rPr>
        <w:t>your target annual bonus for the fiscal year prior to the fiscal year in which the Change of Control occurs);</w:t>
      </w:r>
    </w:p>
    <w:p>
      <w:pPr>
        <w:spacing w:after="0" w:line="136" w:lineRule="exact"/>
        <w:rPr>
          <w:sz w:val="20"/>
          <w:szCs w:val="20"/>
          <w:color w:val="auto"/>
        </w:rPr>
      </w:pPr>
    </w:p>
    <w:p>
      <w:pPr>
        <w:ind w:left="1400" w:right="1979" w:hanging="647"/>
        <w:spacing w:after="0" w:line="271" w:lineRule="auto"/>
        <w:tabs>
          <w:tab w:leader="none" w:pos="14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 to provide you and your eligible dependents, at the Manpower Group’s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400" w:right="1959"/>
        <w:spacing w:after="0" w:line="269" w:lineRule="auto"/>
        <w:rPr>
          <w:rFonts w:ascii="Arial" w:cs="Arial" w:eastAsia="Arial" w:hAnsi="Arial"/>
          <w:sz w:val="19"/>
          <w:szCs w:val="19"/>
          <w:color w:val="auto"/>
        </w:rPr>
      </w:pPr>
      <w:r>
        <w:rPr>
          <w:rFonts w:ascii="Arial" w:cs="Arial" w:eastAsia="Arial" w:hAnsi="Arial"/>
          <w:sz w:val="19"/>
          <w:szCs w:val="19"/>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 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w:t>
      </w:r>
    </w:p>
    <w:p>
      <w:pPr>
        <w:spacing w:after="0" w:line="200" w:lineRule="exact"/>
        <w:rPr>
          <w:sz w:val="20"/>
          <w:szCs w:val="20"/>
          <w:color w:val="auto"/>
        </w:rPr>
      </w:pPr>
    </w:p>
    <w:p>
      <w:pPr>
        <w:spacing w:after="0" w:line="240"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019"/>
          </w:cols>
          <w:pgMar w:left="1440" w:top="118" w:right="1440" w:bottom="1440" w:gutter="0" w:footer="0" w:header="0"/>
        </w:sectPr>
      </w:pPr>
    </w:p>
    <w:bookmarkStart w:id="47" w:name="page48"/>
    <w:bookmarkEnd w:id="47"/>
    <w:p>
      <w:pPr>
        <w:jc w:val="both"/>
        <w:ind w:left="1400" w:right="2119"/>
        <w:spacing w:after="0" w:line="238" w:lineRule="auto"/>
        <w:rPr>
          <w:sz w:val="20"/>
          <w:szCs w:val="20"/>
          <w:color w:val="auto"/>
        </w:rPr>
      </w:pPr>
      <w:r>
        <w:rPr>
          <w:rFonts w:ascii="Arial" w:cs="Arial" w:eastAsia="Arial" w:hAnsi="Arial"/>
          <w:sz w:val="22"/>
          <w:szCs w:val="22"/>
          <w:color w:val="auto"/>
        </w:rPr>
        <w:t>taxable, the payments will be grossed-up so that the net amount received by you, after subtraction of all taxes applicable to the payments plus the gross-up amount, will equal the cost of such COBRA coverage; and</w:t>
      </w:r>
    </w:p>
    <w:p>
      <w:pPr>
        <w:spacing w:after="0" w:line="199" w:lineRule="exact"/>
        <w:rPr>
          <w:sz w:val="20"/>
          <w:szCs w:val="20"/>
          <w:color w:val="auto"/>
        </w:rPr>
      </w:pPr>
    </w:p>
    <w:p>
      <w:pPr>
        <w:ind w:left="1400" w:right="1979" w:hanging="647"/>
        <w:spacing w:after="0" w:line="272" w:lineRule="auto"/>
        <w:tabs>
          <w:tab w:leader="none" w:pos="14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760" w:right="2039" w:hanging="655"/>
        <w:spacing w:after="0" w:line="238" w:lineRule="auto"/>
        <w:tabs>
          <w:tab w:leader="none" w:pos="7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198" w:lineRule="exact"/>
        <w:rPr>
          <w:rFonts w:ascii="Arial" w:cs="Arial" w:eastAsia="Arial" w:hAnsi="Arial"/>
          <w:sz w:val="22"/>
          <w:szCs w:val="22"/>
          <w:color w:val="auto"/>
        </w:rPr>
      </w:pPr>
    </w:p>
    <w:p>
      <w:pPr>
        <w:ind w:left="1400" w:right="2219" w:hanging="647"/>
        <w:spacing w:after="0"/>
        <w:tabs>
          <w:tab w:leader="none" w:pos="14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72" w:lineRule="exact"/>
        <w:rPr>
          <w:rFonts w:ascii="Arial" w:cs="Arial" w:eastAsia="Arial" w:hAnsi="Arial"/>
          <w:sz w:val="22"/>
          <w:szCs w:val="22"/>
          <w:color w:val="auto"/>
        </w:rPr>
      </w:pPr>
    </w:p>
    <w:p>
      <w:pPr>
        <w:ind w:left="1400" w:right="2099" w:hanging="647"/>
        <w:spacing w:after="0"/>
        <w:tabs>
          <w:tab w:leader="none" w:pos="14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86" w:lineRule="exact"/>
        <w:rPr>
          <w:rFonts w:ascii="Arial" w:cs="Arial" w:eastAsia="Arial" w:hAnsi="Arial"/>
          <w:sz w:val="22"/>
          <w:szCs w:val="22"/>
          <w:color w:val="auto"/>
        </w:rPr>
      </w:pPr>
    </w:p>
    <w:p>
      <w:pPr>
        <w:ind w:left="1400" w:right="2099" w:hanging="647"/>
        <w:spacing w:after="0" w:line="273" w:lineRule="auto"/>
        <w:tabs>
          <w:tab w:leader="none" w:pos="14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48" w:lineRule="exact"/>
        <w:rPr>
          <w:rFonts w:ascii="Arial" w:cs="Arial" w:eastAsia="Arial" w:hAnsi="Arial"/>
          <w:sz w:val="19"/>
          <w:szCs w:val="19"/>
          <w:color w:val="auto"/>
        </w:rPr>
      </w:pPr>
    </w:p>
    <w:p>
      <w:pPr>
        <w:ind w:left="1400" w:right="1799" w:hanging="647"/>
        <w:spacing w:after="0" w:line="287" w:lineRule="auto"/>
        <w:tabs>
          <w:tab w:leader="none" w:pos="14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170"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19"/>
          </w:cols>
          <w:pgMar w:left="1440" w:top="118" w:right="1440" w:bottom="1440" w:gutter="0" w:footer="0" w:header="0"/>
        </w:sectPr>
      </w:pPr>
    </w:p>
    <w:bookmarkStart w:id="48" w:name="page49"/>
    <w:bookmarkEnd w:id="48"/>
    <w:p>
      <w:pPr>
        <w:ind w:left="1400" w:right="1819"/>
        <w:spacing w:after="0" w:line="235" w:lineRule="auto"/>
        <w:rPr>
          <w:sz w:val="20"/>
          <w:szCs w:val="20"/>
          <w:color w:val="auto"/>
        </w:rPr>
      </w:pPr>
      <w:r>
        <w:rPr>
          <w:rFonts w:ascii="Arial" w:cs="Arial" w:eastAsia="Arial" w:hAnsi="Arial"/>
          <w:sz w:val="22"/>
          <w:szCs w:val="22"/>
          <w:color w:val="auto"/>
        </w:rPr>
        <w:t>(or, to the extent the Date of Termination occurs prior to the date on which the Executive Compensation Committee of the Board approves a bona fide target annual bonus for you for the fiscal year in which the Date of Termination occurs, your target annual bonus for the fiscal year prior to the fiscal year in which the Date of Termination occurs);</w:t>
      </w:r>
    </w:p>
    <w:p>
      <w:pPr>
        <w:spacing w:after="0" w:line="203" w:lineRule="exact"/>
        <w:rPr>
          <w:sz w:val="20"/>
          <w:szCs w:val="20"/>
          <w:color w:val="auto"/>
        </w:rPr>
      </w:pPr>
    </w:p>
    <w:p>
      <w:pPr>
        <w:ind w:left="1400" w:right="1839" w:hanging="647"/>
        <w:spacing w:after="0" w:line="272" w:lineRule="auto"/>
        <w:tabs>
          <w:tab w:leader="none" w:pos="14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1400" w:right="1779"/>
        <w:spacing w:after="0" w:line="269" w:lineRule="auto"/>
        <w:rPr>
          <w:rFonts w:ascii="Arial" w:cs="Arial" w:eastAsia="Arial" w:hAnsi="Arial"/>
          <w:sz w:val="19"/>
          <w:szCs w:val="19"/>
          <w:color w:val="auto"/>
        </w:rPr>
      </w:pPr>
      <w:r>
        <w:rPr>
          <w:rFonts w:ascii="Arial" w:cs="Arial" w:eastAsia="Arial" w:hAnsi="Arial"/>
          <w:sz w:val="19"/>
          <w:szCs w:val="19"/>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 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w:t>
      </w:r>
    </w:p>
    <w:p>
      <w:pPr>
        <w:spacing w:after="0" w:line="200" w:lineRule="exact"/>
        <w:rPr>
          <w:sz w:val="20"/>
          <w:szCs w:val="20"/>
          <w:color w:val="auto"/>
        </w:rPr>
      </w:pPr>
    </w:p>
    <w:p>
      <w:pPr>
        <w:spacing w:after="0" w:line="240"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118" w:right="1440" w:bottom="1440" w:gutter="0" w:footer="0" w:header="0"/>
        </w:sectPr>
      </w:pPr>
    </w:p>
    <w:bookmarkStart w:id="49" w:name="page50"/>
    <w:bookmarkEnd w:id="49"/>
    <w:p>
      <w:pPr>
        <w:ind w:left="2600" w:right="1899"/>
        <w:spacing w:after="0" w:line="271" w:lineRule="auto"/>
        <w:rPr>
          <w:sz w:val="20"/>
          <w:szCs w:val="20"/>
          <w:color w:val="auto"/>
        </w:rPr>
      </w:pPr>
      <w:r>
        <w:rPr>
          <w:rFonts w:ascii="Arial" w:cs="Arial" w:eastAsia="Arial" w:hAnsi="Arial"/>
          <w:sz w:val="19"/>
          <w:szCs w:val="19"/>
          <w:color w:val="auto"/>
        </w:rPr>
        <w:t>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200" w:lineRule="exact"/>
        <w:rPr>
          <w:sz w:val="20"/>
          <w:szCs w:val="20"/>
          <w:color w:val="auto"/>
        </w:rPr>
      </w:pPr>
    </w:p>
    <w:p>
      <w:pPr>
        <w:spacing w:after="0" w:line="223" w:lineRule="exact"/>
        <w:rPr>
          <w:sz w:val="20"/>
          <w:szCs w:val="20"/>
          <w:color w:val="auto"/>
        </w:rPr>
      </w:pPr>
    </w:p>
    <w:p>
      <w:pPr>
        <w:ind w:left="2600" w:right="1839" w:hanging="647"/>
        <w:spacing w:after="0" w:line="268" w:lineRule="auto"/>
        <w:tabs>
          <w:tab w:leader="none" w:pos="26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w:t>
      </w:r>
    </w:p>
    <w:p>
      <w:pPr>
        <w:spacing w:after="0" w:line="7" w:lineRule="exact"/>
        <w:rPr>
          <w:rFonts w:ascii="Arial" w:cs="Arial" w:eastAsia="Arial" w:hAnsi="Arial"/>
          <w:sz w:val="19"/>
          <w:szCs w:val="19"/>
          <w:color w:val="auto"/>
        </w:rPr>
      </w:pPr>
    </w:p>
    <w:p>
      <w:pPr>
        <w:ind w:left="2600"/>
        <w:spacing w:after="0"/>
        <w:rPr>
          <w:rFonts w:ascii="Arial" w:cs="Arial" w:eastAsia="Arial" w:hAnsi="Arial"/>
          <w:sz w:val="19"/>
          <w:szCs w:val="19"/>
          <w:color w:val="auto"/>
        </w:rPr>
      </w:pPr>
      <w:r>
        <w:rPr>
          <w:rFonts w:ascii="Arial" w:cs="Arial" w:eastAsia="Arial" w:hAnsi="Arial"/>
          <w:sz w:val="22"/>
          <w:szCs w:val="22"/>
          <w:color w:val="auto"/>
        </w:rPr>
        <w:t>(F).</w:t>
      </w:r>
    </w:p>
    <w:p>
      <w:pPr>
        <w:spacing w:after="0" w:line="215" w:lineRule="exact"/>
        <w:rPr>
          <w:sz w:val="20"/>
          <w:szCs w:val="20"/>
          <w:color w:val="auto"/>
        </w:rPr>
      </w:pPr>
    </w:p>
    <w:p>
      <w:pPr>
        <w:ind w:right="2119" w:firstLine="648"/>
        <w:spacing w:after="0" w:line="271" w:lineRule="auto"/>
        <w:rPr>
          <w:sz w:val="20"/>
          <w:szCs w:val="20"/>
          <w:color w:val="auto"/>
        </w:rPr>
      </w:pPr>
      <w:r>
        <w:rPr>
          <w:rFonts w:ascii="Arial" w:cs="Arial" w:eastAsia="Arial" w:hAnsi="Arial"/>
          <w:sz w:val="19"/>
          <w:szCs w:val="19"/>
          <w:color w:val="auto"/>
        </w:rPr>
        <w:t>The amounts paid to you pursuant to Subsection 2(c)(i)(D) or 2(c)(ii)(D) will not be included as compensation for purposes of any qualified or nonqualified pension or welfare benefit plan of the Manpower 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 e the net after-tax proceeds to you, taking into account the excise tax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19"/>
          </w:cols>
          <w:pgMar w:left="240" w:top="118" w:right="1440" w:bottom="1440" w:gutter="0" w:footer="0" w:header="0"/>
        </w:sectPr>
      </w:pPr>
    </w:p>
    <w:bookmarkStart w:id="50" w:name="page51"/>
    <w:bookmarkEnd w:id="50"/>
    <w:p>
      <w:pPr>
        <w:jc w:val="both"/>
        <w:ind w:right="2119"/>
        <w:spacing w:after="0" w:line="287" w:lineRule="auto"/>
        <w:rPr>
          <w:sz w:val="20"/>
          <w:szCs w:val="20"/>
          <w:color w:val="auto"/>
        </w:rPr>
      </w:pPr>
      <w:r>
        <w:rPr>
          <w:rFonts w:ascii="Arial" w:cs="Arial" w:eastAsia="Arial" w:hAnsi="Arial"/>
          <w:sz w:val="19"/>
          <w:szCs w:val="19"/>
          <w:color w:val="auto"/>
        </w:rPr>
        <w:t>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130" w:lineRule="exact"/>
        <w:rPr>
          <w:sz w:val="20"/>
          <w:szCs w:val="20"/>
          <w:color w:val="auto"/>
        </w:rPr>
      </w:pPr>
    </w:p>
    <w:p>
      <w:pPr>
        <w:ind w:left="1300" w:right="1799" w:hanging="644"/>
        <w:spacing w:after="0" w:line="269" w:lineRule="auto"/>
        <w:tabs>
          <w:tab w:leader="none" w:pos="130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no later than thirty (30) days after the Date of Termination. The bonus payment provided for in Subsection 2(c)(ii)(C) will between January 1 and March 15 of the calendar year following the Date of Termination. The severance benefit provided for in Subsection 2(c)(i)(D) or 2(c) (ii)(D) will be paid in one lump sum no later than thirty (30) days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Midwest edition (or, i f not so reported, as reported in</w:t>
      </w:r>
      <w:r>
        <w:rPr>
          <w:rFonts w:ascii="Arial" w:cs="Arial" w:eastAsia="Arial" w:hAnsi="Arial"/>
          <w:sz w:val="19"/>
          <w:szCs w:val="19"/>
          <w:i w:val="1"/>
          <w:iCs w:val="1"/>
          <w:color w:val="auto"/>
        </w:rPr>
        <w:t xml:space="preserve"> </w:t>
      </w:r>
      <w:r>
        <w:rPr>
          <w:rFonts w:ascii="Arial" w:cs="Arial" w:eastAsia="Arial" w:hAnsi="Arial"/>
          <w:sz w:val="19"/>
          <w:szCs w:val="19"/>
          <w:color w:val="auto"/>
        </w:rPr>
        <w:t>such other similar source(s) as the Corporation shall select).</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ind w:left="1300" w:right="1919" w:hanging="644"/>
        <w:spacing w:after="0" w:line="276" w:lineRule="auto"/>
        <w:tabs>
          <w:tab w:leader="none" w:pos="130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Notwithstanding the foregoing, you will have no right to receive any payment or benefit described in Subsections 2(c)(i)(C)-(F) or 2(c)(ii)</w:t>
      </w:r>
    </w:p>
    <w:p>
      <w:pPr>
        <w:spacing w:after="0" w:line="1" w:lineRule="exact"/>
        <w:rPr>
          <w:rFonts w:ascii="Arial" w:cs="Arial" w:eastAsia="Arial" w:hAnsi="Arial"/>
          <w:sz w:val="19"/>
          <w:szCs w:val="19"/>
          <w:color w:val="auto"/>
        </w:rPr>
      </w:pPr>
    </w:p>
    <w:p>
      <w:pPr>
        <w:ind w:left="1300" w:right="1779"/>
        <w:spacing w:after="0" w:line="270" w:lineRule="auto"/>
        <w:rPr>
          <w:rFonts w:ascii="Arial" w:cs="Arial" w:eastAsia="Arial" w:hAnsi="Arial"/>
          <w:sz w:val="19"/>
          <w:szCs w:val="19"/>
          <w:color w:val="auto"/>
        </w:rPr>
      </w:pPr>
      <w:r>
        <w:rPr>
          <w:rFonts w:ascii="Arial" w:cs="Arial" w:eastAsia="Arial" w:hAnsi="Arial"/>
          <w:sz w:val="19"/>
          <w:szCs w:val="19"/>
          <w:color w:val="auto"/>
        </w:rPr>
        <w:t>(C)-(F),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w:t>
      </w:r>
    </w:p>
    <w:p>
      <w:pPr>
        <w:spacing w:after="0" w:line="200" w:lineRule="exact"/>
        <w:rPr>
          <w:sz w:val="20"/>
          <w:szCs w:val="20"/>
          <w:color w:val="auto"/>
        </w:rPr>
      </w:pPr>
    </w:p>
    <w:p>
      <w:pPr>
        <w:spacing w:after="0" w:line="23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19"/>
          </w:cols>
          <w:pgMar w:left="240" w:top="118" w:right="1440" w:bottom="1440" w:gutter="0" w:footer="0" w:header="0"/>
        </w:sectPr>
      </w:pPr>
    </w:p>
    <w:bookmarkStart w:id="51" w:name="page52"/>
    <w:bookmarkEnd w:id="51"/>
    <w:p>
      <w:pPr>
        <w:ind w:left="1292" w:right="1799" w:hanging="644"/>
        <w:spacing w:after="0" w:line="234" w:lineRule="auto"/>
        <w:tabs>
          <w:tab w:leader="none" w:pos="1292"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05" w:lineRule="exact"/>
        <w:rPr>
          <w:rFonts w:ascii="Arial" w:cs="Arial" w:eastAsia="Arial" w:hAnsi="Arial"/>
          <w:sz w:val="22"/>
          <w:szCs w:val="22"/>
          <w:color w:val="auto"/>
        </w:rPr>
      </w:pPr>
    </w:p>
    <w:p>
      <w:pPr>
        <w:ind w:left="652" w:hanging="652"/>
        <w:spacing w:after="0"/>
        <w:tabs>
          <w:tab w:leader="none" w:pos="652"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92" w:right="1779" w:hanging="644"/>
        <w:spacing w:after="0" w:line="269" w:lineRule="auto"/>
        <w:tabs>
          <w:tab w:leader="none" w:pos="1292" w:val="left"/>
        </w:tabs>
        <w:numPr>
          <w:ilvl w:val="1"/>
          <w:numId w:val="66"/>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Manpower Group, or during the two-year period following your termination, for whatever reason, of employment with the Manpower Group, use or possess for yourself or others or disclose to others except in the good faith performance of your duties for the Manpower 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 ation” shall mean all business information (whether or not in written form) 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rights of the Manpower Group to protect Confidential Information which constitute trade secrets under applicable trade secrets law or privileged information even after such two-year period.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1292" w:right="1819" w:hanging="644"/>
        <w:spacing w:after="0" w:line="248" w:lineRule="auto"/>
        <w:tabs>
          <w:tab w:leader="none" w:pos="1292" w:val="left"/>
        </w:tabs>
        <w:numPr>
          <w:ilvl w:val="1"/>
          <w:numId w:val="66"/>
        </w:numPr>
        <w:rPr>
          <w:rFonts w:ascii="Arial" w:cs="Arial" w:eastAsia="Arial" w:hAnsi="Arial"/>
          <w:sz w:val="21"/>
          <w:szCs w:val="21"/>
          <w:color w:val="auto"/>
        </w:rPr>
      </w:pPr>
      <w:r>
        <w:rPr>
          <w:rFonts w:ascii="Arial" w:cs="Arial" w:eastAsia="Arial" w:hAnsi="Arial"/>
          <w:sz w:val="21"/>
          <w:szCs w:val="21"/>
          <w:color w:val="auto"/>
        </w:rPr>
        <w:t>Upon your termination, for whatever reason, of employment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190" w:lineRule="exact"/>
        <w:rPr>
          <w:rFonts w:ascii="Arial" w:cs="Arial" w:eastAsia="Arial" w:hAnsi="Arial"/>
          <w:sz w:val="21"/>
          <w:szCs w:val="21"/>
          <w:color w:val="auto"/>
        </w:rPr>
      </w:pPr>
    </w:p>
    <w:p>
      <w:pPr>
        <w:ind w:left="652" w:right="1799" w:hanging="652"/>
        <w:spacing w:after="0" w:line="287" w:lineRule="auto"/>
        <w:tabs>
          <w:tab w:leader="none" w:pos="652"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w:t>
      </w:r>
    </w:p>
    <w:p>
      <w:pPr>
        <w:spacing w:after="0" w:line="200" w:lineRule="exact"/>
        <w:rPr>
          <w:sz w:val="20"/>
          <w:szCs w:val="20"/>
          <w:color w:val="auto"/>
        </w:rPr>
      </w:pPr>
    </w:p>
    <w:p>
      <w:pPr>
        <w:spacing w:after="0" w:line="213"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11"/>
          </w:cols>
          <w:pgMar w:left="248" w:top="118" w:right="1440" w:bottom="1440" w:gutter="0" w:footer="0" w:header="0"/>
        </w:sectPr>
      </w:pPr>
    </w:p>
    <w:bookmarkStart w:id="52" w:name="page53"/>
    <w:bookmarkEnd w:id="52"/>
    <w:p>
      <w:pPr>
        <w:ind w:left="652" w:right="1819"/>
        <w:spacing w:after="0" w:line="279" w:lineRule="auto"/>
        <w:rPr>
          <w:sz w:val="20"/>
          <w:szCs w:val="20"/>
          <w:color w:val="auto"/>
        </w:rPr>
      </w:pPr>
      <w:r>
        <w:rPr>
          <w:rFonts w:ascii="Arial" w:cs="Arial" w:eastAsia="Arial" w:hAnsi="Arial"/>
          <w:sz w:val="19"/>
          <w:szCs w:val="19"/>
          <w:color w:val="auto"/>
        </w:rPr>
        <w:t>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165" w:lineRule="exact"/>
        <w:rPr>
          <w:sz w:val="20"/>
          <w:szCs w:val="20"/>
          <w:color w:val="auto"/>
        </w:rPr>
      </w:pPr>
    </w:p>
    <w:p>
      <w:pPr>
        <w:ind w:left="652" w:hanging="652"/>
        <w:spacing w:after="0"/>
        <w:tabs>
          <w:tab w:leader="none" w:pos="652"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Customer Nonsolicitation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292" w:right="2139" w:hanging="644"/>
        <w:spacing w:after="0"/>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During the term of your employment with the Manpower Group, you will not assist any competitor of any company in the Manpower Group in any capacity anywhere the Manpower Group does business.</w:t>
      </w:r>
    </w:p>
    <w:p>
      <w:pPr>
        <w:spacing w:after="0" w:line="172" w:lineRule="exact"/>
        <w:rPr>
          <w:rFonts w:ascii="Arial" w:cs="Arial" w:eastAsia="Arial" w:hAnsi="Arial"/>
          <w:sz w:val="22"/>
          <w:szCs w:val="22"/>
          <w:color w:val="auto"/>
        </w:rPr>
      </w:pPr>
    </w:p>
    <w:p>
      <w:pPr>
        <w:ind w:left="1292" w:right="1939" w:hanging="644"/>
        <w:spacing w:after="0" w:line="245" w:lineRule="auto"/>
        <w:tabs>
          <w:tab w:leader="none" w:pos="1292" w:val="left"/>
        </w:tabs>
        <w:numPr>
          <w:ilvl w:val="1"/>
          <w:numId w:val="67"/>
        </w:numPr>
        <w:rPr>
          <w:rFonts w:ascii="Arial" w:cs="Arial" w:eastAsia="Arial" w:hAnsi="Arial"/>
          <w:sz w:val="21"/>
          <w:szCs w:val="21"/>
          <w:color w:val="auto"/>
        </w:rPr>
      </w:pPr>
      <w:r>
        <w:rPr>
          <w:rFonts w:ascii="Arial" w:cs="Arial" w:eastAsia="Arial" w:hAnsi="Arial"/>
          <w:sz w:val="21"/>
          <w:szCs w:val="21"/>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168" w:lineRule="exact"/>
        <w:rPr>
          <w:rFonts w:ascii="Arial" w:cs="Arial" w:eastAsia="Arial" w:hAnsi="Arial"/>
          <w:sz w:val="21"/>
          <w:szCs w:val="21"/>
          <w:color w:val="auto"/>
        </w:rPr>
      </w:pPr>
    </w:p>
    <w:p>
      <w:pPr>
        <w:ind w:left="652" w:right="1799" w:hanging="652"/>
        <w:spacing w:after="0" w:line="270" w:lineRule="auto"/>
        <w:tabs>
          <w:tab w:leader="none" w:pos="652"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US $500,000,000 or (ii) engaged in the business of providing permanent placement, professional staffing, outplacement or human resources consulting services anywhere in the United States or any other country in which the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652" w:hanging="652"/>
        <w:spacing w:after="0"/>
        <w:tabs>
          <w:tab w:leader="none" w:pos="652"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1292" w:right="1799" w:hanging="644"/>
        <w:spacing w:after="0" w:line="328" w:lineRule="auto"/>
        <w:tabs>
          <w:tab w:leader="none" w:pos="1292"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Manpower Group and its businesses and properties in the event of your breach</w:t>
      </w:r>
    </w:p>
    <w:p>
      <w:pPr>
        <w:spacing w:after="0" w:line="200" w:lineRule="exact"/>
        <w:rPr>
          <w:sz w:val="20"/>
          <w:szCs w:val="20"/>
          <w:color w:val="auto"/>
        </w:rPr>
      </w:pPr>
    </w:p>
    <w:p>
      <w:pPr>
        <w:spacing w:after="0" w:line="364"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11"/>
          </w:cols>
          <w:pgMar w:left="248" w:top="118" w:right="1440" w:bottom="1440" w:gutter="0" w:footer="0" w:header="0"/>
        </w:sectPr>
      </w:pPr>
    </w:p>
    <w:bookmarkStart w:id="53" w:name="page54"/>
    <w:bookmarkEnd w:id="53"/>
    <w:p>
      <w:pPr>
        <w:ind w:left="1292" w:right="1939"/>
        <w:spacing w:after="0" w:line="273" w:lineRule="auto"/>
        <w:rPr>
          <w:sz w:val="20"/>
          <w:szCs w:val="20"/>
          <w:color w:val="auto"/>
        </w:rPr>
      </w:pPr>
      <w:r>
        <w:rPr>
          <w:rFonts w:ascii="Arial" w:cs="Arial" w:eastAsia="Arial" w:hAnsi="Arial"/>
          <w:sz w:val="19"/>
          <w:szCs w:val="19"/>
          <w:color w:val="auto"/>
        </w:rPr>
        <w:t>of any of the restrictions imposed by Sections 3-6,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49" w:lineRule="exact"/>
        <w:rPr>
          <w:sz w:val="20"/>
          <w:szCs w:val="20"/>
          <w:color w:val="auto"/>
        </w:rPr>
      </w:pPr>
    </w:p>
    <w:p>
      <w:pPr>
        <w:ind w:left="1292" w:right="2039" w:hanging="644"/>
        <w:spacing w:after="0" w:line="328" w:lineRule="auto"/>
        <w:tabs>
          <w:tab w:leader="none" w:pos="1292"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Equitable Extension</w:t>
      </w:r>
      <w:r>
        <w:rPr>
          <w:rFonts w:ascii="Arial" w:cs="Arial" w:eastAsia="Arial" w:hAnsi="Arial"/>
          <w:sz w:val="19"/>
          <w:szCs w:val="19"/>
          <w:color w:val="auto"/>
        </w:rPr>
        <w:t>. The duration of any restriction in Section 3-6, above, will be extended by any period during which such restriction is violated by you.</w:t>
      </w:r>
    </w:p>
    <w:p>
      <w:pPr>
        <w:spacing w:after="0" w:line="105" w:lineRule="exact"/>
        <w:rPr>
          <w:rFonts w:ascii="Arial" w:cs="Arial" w:eastAsia="Arial" w:hAnsi="Arial"/>
          <w:sz w:val="19"/>
          <w:szCs w:val="19"/>
          <w:color w:val="auto"/>
        </w:rPr>
      </w:pPr>
    </w:p>
    <w:p>
      <w:pPr>
        <w:ind w:left="1292" w:right="2159" w:hanging="644"/>
        <w:spacing w:after="0" w:line="287" w:lineRule="auto"/>
        <w:tabs>
          <w:tab w:leader="none" w:pos="1292"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Nonapplication</w:t>
      </w:r>
      <w:r>
        <w:rPr>
          <w:rFonts w:ascii="Arial" w:cs="Arial" w:eastAsia="Arial" w:hAnsi="Arial"/>
          <w:sz w:val="19"/>
          <w:szCs w:val="19"/>
          <w:color w:val="auto"/>
        </w:rPr>
        <w:t>. Notwithstanding the above, Sections 5 and 6, above, will not apply if your employment with the Manpower Group is terminated by you for Good Reason or by the Corporation without Cause either during a Protected Period or within two years after the occurrence of a Change of Control.</w:t>
      </w:r>
    </w:p>
    <w:p>
      <w:pPr>
        <w:spacing w:after="0" w:line="156" w:lineRule="exact"/>
        <w:rPr>
          <w:rFonts w:ascii="Arial" w:cs="Arial" w:eastAsia="Arial" w:hAnsi="Arial"/>
          <w:sz w:val="19"/>
          <w:szCs w:val="19"/>
          <w:color w:val="auto"/>
        </w:rPr>
      </w:pPr>
    </w:p>
    <w:p>
      <w:pPr>
        <w:ind w:left="652" w:hanging="652"/>
        <w:spacing w:after="0"/>
        <w:tabs>
          <w:tab w:leader="none" w:pos="65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Unemployment Compensation</w:t>
      </w:r>
      <w:r>
        <w:rPr>
          <w:rFonts w:ascii="Arial" w:cs="Arial" w:eastAsia="Arial" w:hAnsi="Arial"/>
          <w:sz w:val="19"/>
          <w:szCs w:val="19"/>
          <w:color w:val="auto"/>
        </w:rPr>
        <w:t>. The severance benefits provided for in Subsection 2(c)(i)</w:t>
      </w:r>
    </w:p>
    <w:p>
      <w:pPr>
        <w:spacing w:after="0" w:line="42" w:lineRule="exact"/>
        <w:rPr>
          <w:rFonts w:ascii="Arial" w:cs="Arial" w:eastAsia="Arial" w:hAnsi="Arial"/>
          <w:sz w:val="19"/>
          <w:szCs w:val="19"/>
          <w:color w:val="auto"/>
        </w:rPr>
      </w:pPr>
    </w:p>
    <w:p>
      <w:pPr>
        <w:ind w:left="652" w:right="1919"/>
        <w:spacing w:after="0" w:line="277" w:lineRule="auto"/>
        <w:rPr>
          <w:rFonts w:ascii="Arial" w:cs="Arial" w:eastAsia="Arial" w:hAnsi="Arial"/>
          <w:sz w:val="19"/>
          <w:szCs w:val="19"/>
          <w:color w:val="auto"/>
        </w:rPr>
      </w:pPr>
      <w:r>
        <w:rPr>
          <w:rFonts w:ascii="Arial" w:cs="Arial" w:eastAsia="Arial" w:hAnsi="Arial"/>
          <w:sz w:val="19"/>
          <w:szCs w:val="19"/>
          <w:color w:val="auto"/>
        </w:rPr>
        <w:t>(D)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139" w:lineRule="exact"/>
        <w:rPr>
          <w:rFonts w:ascii="Arial" w:cs="Arial" w:eastAsia="Arial" w:hAnsi="Arial"/>
          <w:sz w:val="19"/>
          <w:szCs w:val="19"/>
          <w:color w:val="auto"/>
        </w:rPr>
      </w:pPr>
    </w:p>
    <w:p>
      <w:pPr>
        <w:ind w:left="652" w:right="1779" w:hanging="652"/>
        <w:spacing w:after="0" w:line="271" w:lineRule="auto"/>
        <w:tabs>
          <w:tab w:leader="none" w:pos="65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 d will not preclude either party from providing truthful testimony pursuant to subpoena or other legal process or in the course of any proceeding that may be commenced for purposes of enforcing this letter agreement.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652" w:right="1839" w:hanging="652"/>
        <w:spacing w:after="0"/>
        <w:tabs>
          <w:tab w:leader="none" w:pos="65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 This letter agreement will be binding on the Corporation and its successors and will inure to the benefit of and be enforceable by your personal or legal representatives, heirs and successors.</w:t>
      </w:r>
    </w:p>
    <w:p>
      <w:pPr>
        <w:spacing w:after="0" w:line="199" w:lineRule="exact"/>
        <w:rPr>
          <w:rFonts w:ascii="Arial" w:cs="Arial" w:eastAsia="Arial" w:hAnsi="Arial"/>
          <w:sz w:val="22"/>
          <w:szCs w:val="22"/>
          <w:color w:val="auto"/>
        </w:rPr>
      </w:pPr>
    </w:p>
    <w:p>
      <w:pPr>
        <w:ind w:left="4112" w:right="1779" w:hanging="4112"/>
        <w:spacing w:after="0" w:line="481" w:lineRule="auto"/>
        <w:tabs>
          <w:tab w:leader="none" w:pos="655"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Notices and all other communications provided for in this letter will be in writing 14</w:t>
      </w:r>
    </w:p>
    <w:p>
      <w:pPr>
        <w:sectPr>
          <w:pgSz w:w="11900" w:h="16838" w:orient="portrait"/>
          <w:cols w:equalWidth="0" w:num="1">
            <w:col w:w="10211"/>
          </w:cols>
          <w:pgMar w:left="248" w:top="118" w:right="1440" w:bottom="1440" w:gutter="0" w:footer="0" w:header="0"/>
        </w:sectPr>
      </w:pPr>
    </w:p>
    <w:bookmarkStart w:id="54" w:name="page55"/>
    <w:bookmarkEnd w:id="54"/>
    <w:p>
      <w:pPr>
        <w:ind w:left="652" w:right="1979"/>
        <w:spacing w:after="0" w:line="298" w:lineRule="auto"/>
        <w:rPr>
          <w:sz w:val="20"/>
          <w:szCs w:val="20"/>
          <w:color w:val="auto"/>
        </w:rPr>
      </w:pPr>
      <w:r>
        <w:rPr>
          <w:rFonts w:ascii="Arial" w:cs="Arial" w:eastAsia="Arial" w:hAnsi="Arial"/>
          <w:sz w:val="19"/>
          <w:szCs w:val="19"/>
          <w:color w:val="auto"/>
        </w:rPr>
        <w:t>and will be deemed to have been duly given when delivered in person, sent by telecopy, or two days after mailed by United States registered or certified mail, return receipt requested, postage prepaid, and properly addressed to the other party.</w:t>
      </w:r>
    </w:p>
    <w:p>
      <w:pPr>
        <w:spacing w:after="0" w:line="146" w:lineRule="exact"/>
        <w:rPr>
          <w:sz w:val="20"/>
          <w:szCs w:val="20"/>
          <w:color w:val="auto"/>
        </w:rPr>
      </w:pPr>
    </w:p>
    <w:p>
      <w:pPr>
        <w:ind w:left="652" w:right="1859" w:hanging="652"/>
        <w:spacing w:after="0" w:line="282" w:lineRule="auto"/>
        <w:tabs>
          <w:tab w:leader="none" w:pos="65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 Right to Remain Employed</w:t>
      </w:r>
      <w:r>
        <w:rPr>
          <w:rFonts w:ascii="Arial" w:cs="Arial" w:eastAsia="Arial" w:hAnsi="Arial"/>
          <w:sz w:val="19"/>
          <w:szCs w:val="19"/>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74" w:lineRule="exact"/>
        <w:rPr>
          <w:rFonts w:ascii="Arial" w:cs="Arial" w:eastAsia="Arial" w:hAnsi="Arial"/>
          <w:sz w:val="19"/>
          <w:szCs w:val="19"/>
          <w:color w:val="auto"/>
        </w:rPr>
      </w:pPr>
    </w:p>
    <w:p>
      <w:pPr>
        <w:ind w:left="652" w:right="1979" w:hanging="652"/>
        <w:spacing w:after="0"/>
        <w:tabs>
          <w:tab w:leader="none" w:pos="65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may be modified, waived or discharged unless such waiver, modification or discharge is agreed to in writing by you and the Corporation.</w:t>
      </w:r>
    </w:p>
    <w:p>
      <w:pPr>
        <w:spacing w:after="0" w:line="199" w:lineRule="exact"/>
        <w:rPr>
          <w:rFonts w:ascii="Arial" w:cs="Arial" w:eastAsia="Arial" w:hAnsi="Arial"/>
          <w:sz w:val="22"/>
          <w:szCs w:val="22"/>
          <w:color w:val="auto"/>
        </w:rPr>
      </w:pPr>
    </w:p>
    <w:p>
      <w:pPr>
        <w:jc w:val="both"/>
        <w:ind w:left="652" w:right="2119" w:hanging="652"/>
        <w:spacing w:after="0" w:line="297" w:lineRule="auto"/>
        <w:tabs>
          <w:tab w:leader="none" w:pos="65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47" w:lineRule="exact"/>
        <w:rPr>
          <w:rFonts w:ascii="Arial" w:cs="Arial" w:eastAsia="Arial" w:hAnsi="Arial"/>
          <w:sz w:val="19"/>
          <w:szCs w:val="19"/>
          <w:color w:val="auto"/>
        </w:rPr>
      </w:pPr>
    </w:p>
    <w:p>
      <w:pPr>
        <w:ind w:left="652" w:right="2039" w:hanging="652"/>
        <w:spacing w:after="0"/>
        <w:tabs>
          <w:tab w:leader="none" w:pos="65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interpreted in accordance with the laws of the State of New York, United States of America, without regard to its conflict of law provisions.</w:t>
      </w:r>
    </w:p>
    <w:p>
      <w:pPr>
        <w:spacing w:after="0" w:line="213" w:lineRule="exact"/>
        <w:rPr>
          <w:rFonts w:ascii="Arial" w:cs="Arial" w:eastAsia="Arial" w:hAnsi="Arial"/>
          <w:sz w:val="22"/>
          <w:szCs w:val="22"/>
          <w:color w:val="auto"/>
        </w:rPr>
      </w:pPr>
    </w:p>
    <w:p>
      <w:pPr>
        <w:ind w:left="652" w:right="1779" w:hanging="652"/>
        <w:spacing w:after="0" w:line="275" w:lineRule="auto"/>
        <w:tabs>
          <w:tab w:leader="none" w:pos="65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200" w:lineRule="exact"/>
        <w:rPr>
          <w:sz w:val="20"/>
          <w:szCs w:val="20"/>
          <w:color w:val="auto"/>
        </w:rPr>
      </w:pPr>
    </w:p>
    <w:p>
      <w:pPr>
        <w:spacing w:after="0" w:line="228"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211"/>
          </w:cols>
          <w:pgMar w:left="248" w:top="118" w:right="1440" w:bottom="1440" w:gutter="0" w:footer="0" w:header="0"/>
        </w:sectPr>
      </w:pPr>
    </w:p>
    <w:bookmarkStart w:id="55" w:name="page56"/>
    <w:bookmarkEnd w:id="55"/>
    <w:p>
      <w:pPr>
        <w:ind w:left="652" w:right="1779" w:hanging="652"/>
        <w:spacing w:after="0" w:line="274" w:lineRule="auto"/>
        <w:tabs>
          <w:tab w:leader="none" w:pos="65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Previous Agreements</w:t>
      </w:r>
      <w:r>
        <w:rPr>
          <w:rFonts w:ascii="Arial" w:cs="Arial" w:eastAsia="Arial" w:hAnsi="Arial"/>
          <w:sz w:val="19"/>
          <w:szCs w:val="19"/>
          <w:color w:val="auto"/>
        </w:rPr>
        <w:t>. To the extent your Date of Termination does not occur prior to the effective date of this letter indicated above and you accept this letter with your signature below, this letter, upon its effective date indicated above, expressly supersedes any and all previous agreements or understandings relating to your employment by the Corporation or the Manpower Group or the termination of such employment, and any such agreements or understandings shall, as of the date of your acceptance, have no further force or effect. For the sake of clarification, to the extent your Date of Termination occurs prior to the effective date of this letter indicated above, the provisions of the letter from the Corporation to you dated September 6, 2006 shall control instead of this letter.</w:t>
      </w:r>
    </w:p>
    <w:p>
      <w:pPr>
        <w:spacing w:after="0" w:line="172" w:lineRule="exact"/>
        <w:rPr>
          <w:rFonts w:ascii="Arial" w:cs="Arial" w:eastAsia="Arial" w:hAnsi="Arial"/>
          <w:sz w:val="19"/>
          <w:szCs w:val="19"/>
          <w:color w:val="auto"/>
        </w:rPr>
      </w:pPr>
    </w:p>
    <w:p>
      <w:pPr>
        <w:ind w:left="652" w:right="1799" w:hanging="652"/>
        <w:spacing w:after="0" w:line="277" w:lineRule="auto"/>
        <w:tabs>
          <w:tab w:leader="none" w:pos="65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Section 7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79" w:lineRule="exact"/>
        <w:rPr>
          <w:rFonts w:ascii="Arial" w:cs="Arial" w:eastAsia="Arial" w:hAnsi="Arial"/>
          <w:sz w:val="19"/>
          <w:szCs w:val="19"/>
          <w:color w:val="auto"/>
        </w:rPr>
      </w:pPr>
    </w:p>
    <w:p>
      <w:pPr>
        <w:ind w:left="1292" w:right="1859" w:hanging="644"/>
        <w:spacing w:after="0" w:line="270" w:lineRule="auto"/>
        <w:tabs>
          <w:tab w:leader="none" w:pos="1292" w:val="left"/>
        </w:tabs>
        <w:numPr>
          <w:ilvl w:val="1"/>
          <w:numId w:val="71"/>
        </w:numPr>
        <w:rPr>
          <w:rFonts w:ascii="Arial" w:cs="Arial" w:eastAsia="Arial" w:hAnsi="Arial"/>
          <w:sz w:val="19"/>
          <w:szCs w:val="19"/>
          <w:color w:val="auto"/>
        </w:rPr>
      </w:pPr>
      <w:r>
        <w:rPr>
          <w:rFonts w:ascii="Arial" w:cs="Arial" w:eastAsia="Arial" w:hAnsi="Arial"/>
          <w:sz w:val="19"/>
          <w:szCs w:val="19"/>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 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292" w:right="1979" w:hanging="644"/>
        <w:spacing w:after="0" w:line="287" w:lineRule="auto"/>
        <w:tabs>
          <w:tab w:leader="none" w:pos="1292" w:val="left"/>
        </w:tabs>
        <w:numPr>
          <w:ilvl w:val="1"/>
          <w:numId w:val="71"/>
        </w:numPr>
        <w:rPr>
          <w:rFonts w:ascii="Arial" w:cs="Arial" w:eastAsia="Arial" w:hAnsi="Arial"/>
          <w:sz w:val="19"/>
          <w:szCs w:val="19"/>
          <w:color w:val="auto"/>
        </w:rPr>
      </w:pPr>
      <w:r>
        <w:rPr>
          <w:rFonts w:ascii="Arial" w:cs="Arial" w:eastAsia="Arial" w:hAnsi="Arial"/>
          <w:sz w:val="19"/>
          <w:szCs w:val="19"/>
          <w:color w:val="auto"/>
        </w:rPr>
        <w:t>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w:t>
      </w:r>
    </w:p>
    <w:p>
      <w:pPr>
        <w:spacing w:after="0" w:line="200" w:lineRule="exact"/>
        <w:rPr>
          <w:sz w:val="20"/>
          <w:szCs w:val="20"/>
          <w:color w:val="auto"/>
        </w:rPr>
      </w:pPr>
    </w:p>
    <w:p>
      <w:pPr>
        <w:spacing w:after="0" w:line="213"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1"/>
          </w:cols>
          <w:pgMar w:left="248" w:top="118" w:right="1440" w:bottom="1440" w:gutter="0" w:footer="0" w:header="0"/>
        </w:sectPr>
      </w:pPr>
    </w:p>
    <w:bookmarkStart w:id="56" w:name="page57"/>
    <w:bookmarkEnd w:id="56"/>
    <w:p>
      <w:pPr>
        <w:ind w:left="1292" w:right="1819"/>
        <w:spacing w:after="0" w:line="271" w:lineRule="auto"/>
        <w:rPr>
          <w:sz w:val="20"/>
          <w:szCs w:val="20"/>
          <w:color w:val="auto"/>
        </w:rPr>
      </w:pPr>
      <w:r>
        <w:rPr>
          <w:rFonts w:ascii="Arial" w:cs="Arial" w:eastAsia="Arial" w:hAnsi="Arial"/>
          <w:sz w:val="19"/>
          <w:szCs w:val="19"/>
          <w:color w:val="auto"/>
        </w:rPr>
        <w:t xml:space="preserve">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 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72" w:lineRule="exact"/>
        <w:rPr>
          <w:sz w:val="20"/>
          <w:szCs w:val="20"/>
          <w:color w:val="auto"/>
        </w:rPr>
      </w:pPr>
    </w:p>
    <w:p>
      <w:pPr>
        <w:jc w:val="both"/>
        <w:ind w:left="652" w:right="1779" w:hanging="652"/>
        <w:spacing w:after="0" w:line="258" w:lineRule="auto"/>
        <w:tabs>
          <w:tab w:leader="none" w:pos="652"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obligations imposed by Paragraphs 3-7, above, of this agreement are severable and should be construed independently of each other. The invalidity of one such provision shall not affect the validity of any other such provision.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11"/>
          </w:cols>
          <w:pgMar w:left="248" w:top="118" w:right="1440" w:bottom="1440" w:gutter="0" w:footer="0" w:header="0"/>
        </w:sectPr>
      </w:pPr>
    </w:p>
    <w:bookmarkStart w:id="57" w:name="page58"/>
    <w:bookmarkEnd w:id="57"/>
    <w:p>
      <w:pPr>
        <w:ind w:right="1959" w:firstLine="648"/>
        <w:spacing w:after="0" w:line="274" w:lineRule="auto"/>
        <w:rPr>
          <w:sz w:val="20"/>
          <w:szCs w:val="20"/>
          <w:color w:val="auto"/>
        </w:rPr>
      </w:pPr>
      <w:r>
        <w:rPr>
          <w:rFonts w:ascii="Arial" w:cs="Arial" w:eastAsia="Arial" w:hAnsi="Arial"/>
          <w:sz w:val="21"/>
          <w:szCs w:val="21"/>
          <w:color w:val="auto"/>
        </w:rPr>
        <w:t>If you are in agreement with the foregoing, please sign and return one copy of this letter which will constitute our agreement with respect to the subject matter of this letter.</w:t>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2196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6465" cy="8890"/>
                    </a:xfrm>
                    <a:prstGeom prst="rect">
                      <a:avLst/>
                    </a:prstGeom>
                    <a:noFill/>
                  </pic:spPr>
                </pic:pic>
              </a:graphicData>
            </a:graphic>
          </wp:anchor>
        </w:drawing>
      </w:r>
    </w:p>
    <w:p>
      <w:pPr>
        <w:ind w:left="4220"/>
        <w:spacing w:after="0" w:line="238" w:lineRule="auto"/>
        <w:rPr>
          <w:sz w:val="20"/>
          <w:szCs w:val="20"/>
          <w:color w:val="auto"/>
        </w:rPr>
      </w:pPr>
      <w:r>
        <w:rPr>
          <w:rFonts w:ascii="Arial" w:cs="Arial" w:eastAsia="Arial" w:hAnsi="Arial"/>
          <w:sz w:val="22"/>
          <w:szCs w:val="22"/>
          <w:color w:val="auto"/>
        </w:rPr>
        <w:t>Jeffrey A. Joerres, President and</w:t>
      </w:r>
    </w:p>
    <w:p>
      <w:pPr>
        <w:ind w:left="42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13th day of November, 2008.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Owen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60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095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Owen Sullivan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18</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o"/>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lowerLetter"/>
      <w:start w:val="4"/>
    </w:lvl>
  </w:abstractNum>
  <w:abstractNum w:abstractNumId="3">
    <w:nsid w:val="5C482A97"/>
    <w:multiLevelType w:val="hybridMultilevel"/>
    <w:lvl w:ilvl="0">
      <w:lvlJc w:val="left"/>
      <w:lvlText w:val="%1."/>
      <w:numFmt w:val="decimal"/>
      <w:start w:val="1"/>
    </w:lvl>
    <w:lvl w:ilvl="1">
      <w:lvlJc w:val="left"/>
      <w:lvlText w:val="(%2)"/>
      <w:numFmt w:val="lowerLetter"/>
      <w:start w:val="1"/>
    </w:lvl>
  </w:abstractNum>
  <w:abstractNum w:abstractNumId="4">
    <w:nsid w:val="2463B9EA"/>
    <w:multiLevelType w:val="hybridMultilevel"/>
    <w:lvl w:ilvl="0">
      <w:lvlJc w:val="left"/>
      <w:lvlText w:val="(%1)"/>
      <w:numFmt w:val="lowerLetter"/>
      <w:start w:val="3"/>
    </w:lvl>
    <w:lvl w:ilvl="1">
      <w:lvlJc w:val="left"/>
      <w:lvlText w:val="(%2)"/>
      <w:numFmt w:val="lowerRoman"/>
      <w:start w:val="1"/>
    </w:lvl>
  </w:abstractNum>
  <w:abstractNum w:abstractNumId="5">
    <w:nsid w:val="5E884ADC"/>
    <w:multiLevelType w:val="hybridMultilevel"/>
    <w:lvl w:ilvl="0">
      <w:lvlJc w:val="left"/>
      <w:lvlText w:val="(%1)"/>
      <w:numFmt w:val="lowerRoman"/>
      <w:start w:val="3"/>
    </w:lvl>
  </w:abstractNum>
  <w:abstractNum w:abstractNumId="6">
    <w:nsid w:val="51EAD36B"/>
    <w:multiLevelType w:val="hybridMultilevel"/>
    <w:lvl w:ilvl="0">
      <w:lvlJc w:val="left"/>
      <w:lvlText w:val="(%1)"/>
      <w:numFmt w:val="lowerLetter"/>
      <w:start w:val="4"/>
    </w:lvl>
    <w:lvl w:ilvl="1">
      <w:lvlJc w:val="left"/>
      <w:lvlText w:val="(%2)"/>
      <w:numFmt w:val="lowerRoman"/>
      <w:start w:val="1"/>
    </w:lvl>
  </w:abstractNum>
  <w:abstractNum w:abstractNumId="7">
    <w:nsid w:val="2D517796"/>
    <w:multiLevelType w:val="hybridMultilevel"/>
    <w:lvl w:ilvl="0">
      <w:lvlJc w:val="left"/>
      <w:lvlText w:val="(%1)"/>
      <w:numFmt w:val="decimal"/>
      <w:start w:val="90"/>
    </w:lvl>
    <w:lvl w:ilvl="1">
      <w:lvlJc w:val="left"/>
      <w:lvlText w:val="(%2)"/>
      <w:numFmt w:val="lowerLetter"/>
      <w:start w:val="5"/>
    </w:lvl>
    <w:lvl w:ilvl="2">
      <w:lvlJc w:val="left"/>
      <w:lvlText w:val="(%3)"/>
      <w:numFmt w:val="lowerRoman"/>
      <w:start w:val="1"/>
    </w:lvl>
  </w:abstractNum>
  <w:abstractNum w:abstractNumId="8">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9">
    <w:nsid w:val="153EA438"/>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0">
    <w:nsid w:val="3855585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1">
    <w:nsid w:val="70A64E2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
    <w:nsid w:val="6A2342EC"/>
    <w:multiLevelType w:val="hybridMultilevel"/>
    <w:lvl w:ilvl="0">
      <w:lvlJc w:val="left"/>
      <w:lvlText w:val="(%1)"/>
      <w:numFmt w:val="upperLetter"/>
      <w:start w:val="6"/>
    </w:lvl>
  </w:abstractNum>
  <w:abstractNum w:abstractNumId="13">
    <w:nsid w:val="2A487CB0"/>
    <w:multiLevelType w:val="hybridMultilevel"/>
    <w:lvl w:ilvl="0">
      <w:lvlJc w:val="left"/>
      <w:lvlText w:val="(%1)"/>
      <w:numFmt w:val="lowerRoman"/>
      <w:start w:val="2"/>
    </w:lvl>
    <w:lvl w:ilvl="1">
      <w:lvlJc w:val="left"/>
      <w:lvlText w:val="(%2)"/>
      <w:numFmt w:val="upperLetter"/>
      <w:start w:val="1"/>
    </w:lvl>
  </w:abstractNum>
  <w:abstractNum w:abstractNumId="14">
    <w:nsid w:val="1D4ED43B"/>
    <w:multiLevelType w:val="hybridMultilevel"/>
    <w:lvl w:ilvl="0">
      <w:lvlJc w:val="left"/>
      <w:lvlText w:val="(%1)"/>
      <w:numFmt w:val="upperLetter"/>
      <w:start w:val="5"/>
    </w:lvl>
  </w:abstractNum>
  <w:abstractNum w:abstractNumId="15">
    <w:nsid w:val="725A06FB"/>
    <w:multiLevelType w:val="hybridMultilevel"/>
    <w:lvl w:ilvl="0">
      <w:lvlJc w:val="left"/>
      <w:lvlText w:val="(%1)"/>
      <w:numFmt w:val="upperLetter"/>
      <w:start w:val="6"/>
    </w:lvl>
  </w:abstractNum>
  <w:abstractNum w:abstractNumId="16">
    <w:nsid w:val="2CD89A32"/>
    <w:multiLevelType w:val="hybridMultilevel"/>
    <w:lvl w:ilvl="0">
      <w:lvlJc w:val="left"/>
      <w:lvlText w:val="(%1)"/>
      <w:numFmt w:val="lowerLetter"/>
      <w:start w:val="4"/>
    </w:lvl>
  </w:abstractNum>
  <w:abstractNum w:abstractNumId="17">
    <w:nsid w:val="57E4CCAF"/>
    <w:multiLevelType w:val="hybridMultilevel"/>
    <w:lvl w:ilvl="0">
      <w:lvlJc w:val="left"/>
      <w:lvlText w:val="(%1)"/>
      <w:numFmt w:val="lowerLetter"/>
      <w:start w:val="5"/>
    </w:lvl>
  </w:abstractNum>
  <w:abstractNum w:abstractNumId="18">
    <w:nsid w:val="7A6D8D3C"/>
    <w:multiLevelType w:val="hybridMultilevel"/>
    <w:lvl w:ilvl="0">
      <w:lvlJc w:val="left"/>
      <w:lvlText w:val="%1"/>
      <w:numFmt w:val="decimal"/>
      <w:start w:val="1"/>
    </w:lvl>
    <w:lvl w:ilvl="1">
      <w:lvlJc w:val="left"/>
      <w:lvlText w:val="(%2)"/>
      <w:numFmt w:val="lowerLetter"/>
      <w:start w:val="7"/>
    </w:lvl>
  </w:abstractNum>
  <w:abstractNum w:abstractNumId="19">
    <w:nsid w:val="4B588F54"/>
    <w:multiLevelType w:val="hybridMultilevel"/>
    <w:lvl w:ilvl="0">
      <w:lvlJc w:val="left"/>
      <w:lvlText w:val="%1."/>
      <w:numFmt w:val="decimal"/>
      <w:start w:val="3"/>
    </w:lvl>
    <w:lvl w:ilvl="1">
      <w:lvlJc w:val="left"/>
      <w:lvlText w:val="(%2)"/>
      <w:numFmt w:val="lowerLetter"/>
      <w:start w:val="1"/>
    </w:lvl>
  </w:abstractNum>
  <w:abstractNum w:abstractNumId="20">
    <w:nsid w:val="542289EC"/>
    <w:multiLevelType w:val="hybridMultilevel"/>
    <w:lvl w:ilvl="0">
      <w:lvlJc w:val="left"/>
      <w:lvlText w:val="%1"/>
      <w:numFmt w:val="decimal"/>
      <w:start w:val="1"/>
    </w:lvl>
    <w:lvl w:ilvl="1">
      <w:lvlJc w:val="left"/>
      <w:lvlText w:val="(%2)"/>
      <w:numFmt w:val="lowerLetter"/>
      <w:start w:val="2"/>
    </w:lvl>
  </w:abstractNum>
  <w:abstractNum w:abstractNumId="21">
    <w:nsid w:val="6DE91B18"/>
    <w:multiLevelType w:val="hybridMultilevel"/>
    <w:lvl w:ilvl="0">
      <w:lvlJc w:val="left"/>
      <w:lvlText w:val="%1."/>
      <w:numFmt w:val="decimal"/>
      <w:start w:val="4"/>
    </w:lvl>
    <w:lvl w:ilvl="1">
      <w:lvlJc w:val="left"/>
      <w:lvlText w:val="(%2)"/>
      <w:numFmt w:val="lowerLetter"/>
      <w:start w:val="1"/>
    </w:lvl>
  </w:abstractNum>
  <w:abstractNum w:abstractNumId="22">
    <w:nsid w:val="38437FDB"/>
    <w:multiLevelType w:val="hybridMultilevel"/>
    <w:lvl w:ilvl="0">
      <w:lvlJc w:val="left"/>
      <w:lvlText w:val="%1."/>
      <w:numFmt w:val="decimal"/>
      <w:start w:val="7"/>
    </w:lvl>
    <w:lvl w:ilvl="1">
      <w:lvlJc w:val="left"/>
      <w:lvlText w:val="(%2)"/>
      <w:numFmt w:val="lowerLetter"/>
      <w:start w:val="1"/>
    </w:lvl>
  </w:abstractNum>
  <w:abstractNum w:abstractNumId="23">
    <w:nsid w:val="7644A45C"/>
    <w:multiLevelType w:val="hybridMultilevel"/>
    <w:lvl w:ilvl="0">
      <w:lvlJc w:val="left"/>
      <w:lvlText w:val="%1."/>
      <w:numFmt w:val="decimal"/>
      <w:start w:val="10"/>
    </w:lvl>
  </w:abstractNum>
  <w:abstractNum w:abstractNumId="24">
    <w:nsid w:val="32FFF902"/>
    <w:multiLevelType w:val="hybridMultilevel"/>
    <w:lvl w:ilvl="0">
      <w:lvlJc w:val="left"/>
      <w:lvlText w:val="%1."/>
      <w:numFmt w:val="decimal"/>
      <w:start w:val="17"/>
    </w:lvl>
    <w:lvl w:ilvl="1">
      <w:lvlJc w:val="left"/>
      <w:lvlText w:val="(%2)"/>
      <w:numFmt w:val="lowerLetter"/>
      <w:start w:val="1"/>
    </w:lvl>
  </w:abstractNum>
  <w:abstractNum w:abstractNumId="25">
    <w:nsid w:val="684A481A"/>
    <w:multiLevelType w:val="hybridMultilevel"/>
    <w:lvl w:ilvl="0">
      <w:lvlJc w:val="left"/>
      <w:lvlText w:val="%1."/>
      <w:numFmt w:val="decimal"/>
      <w:start w:val="19"/>
    </w:lvl>
  </w:abstractNum>
  <w:abstractNum w:abstractNumId="26">
    <w:nsid w:val="579478FE"/>
    <w:multiLevelType w:val="hybridMultilevel"/>
    <w:lvl w:ilvl="0">
      <w:lvlJc w:val="left"/>
      <w:lvlText w:val="%1."/>
      <w:numFmt w:val="decimal"/>
      <w:start w:val="1"/>
    </w:lvl>
    <w:lvl w:ilvl="1">
      <w:lvlJc w:val="left"/>
      <w:lvlText w:val="(%2)"/>
      <w:numFmt w:val="lowerLetter"/>
      <w:start w:val="1"/>
    </w:lvl>
  </w:abstractNum>
  <w:abstractNum w:abstractNumId="27">
    <w:nsid w:val="749ABB43"/>
    <w:multiLevelType w:val="hybridMultilevel"/>
    <w:lvl w:ilvl="0">
      <w:lvlJc w:val="left"/>
      <w:lvlText w:val="(%1)"/>
      <w:numFmt w:val="lowerLetter"/>
      <w:start w:val="3"/>
    </w:lvl>
    <w:lvl w:ilvl="1">
      <w:lvlJc w:val="left"/>
      <w:lvlText w:val="(%2)"/>
      <w:numFmt w:val="lowerRoman"/>
      <w:start w:val="1"/>
    </w:lvl>
  </w:abstractNum>
  <w:abstractNum w:abstractNumId="28">
    <w:nsid w:val="3DC240FB"/>
    <w:multiLevelType w:val="hybridMultilevel"/>
    <w:lvl w:ilvl="0">
      <w:lvlJc w:val="left"/>
      <w:lvlText w:val="(%1)"/>
      <w:numFmt w:val="lowerRoman"/>
      <w:start w:val="3"/>
    </w:lvl>
  </w:abstractNum>
  <w:abstractNum w:abstractNumId="29">
    <w:nsid w:val="1BA026FA"/>
    <w:multiLevelType w:val="hybridMultilevel"/>
    <w:lvl w:ilvl="0">
      <w:lvlJc w:val="left"/>
      <w:lvlText w:val="(%1)"/>
      <w:numFmt w:val="lowerLetter"/>
      <w:start w:val="4"/>
    </w:lvl>
    <w:lvl w:ilvl="1">
      <w:lvlJc w:val="left"/>
      <w:lvlText w:val="(%2)"/>
      <w:numFmt w:val="lowerRoman"/>
      <w:start w:val="1"/>
    </w:lvl>
  </w:abstractNum>
  <w:abstractNum w:abstractNumId="30">
    <w:nsid w:val="79A1DEAA"/>
    <w:multiLevelType w:val="hybridMultilevel"/>
    <w:lvl w:ilvl="0">
      <w:lvlJc w:val="left"/>
      <w:lvlText w:val="(%1)"/>
      <w:numFmt w:val="lowerRoman"/>
      <w:start w:val="4"/>
    </w:lvl>
  </w:abstractNum>
  <w:abstractNum w:abstractNumId="31">
    <w:nsid w:val="75C6C33A"/>
    <w:multiLevelType w:val="hybridMultilevel"/>
    <w:lvl w:ilvl="0">
      <w:lvlJc w:val="left"/>
      <w:lvlText w:val="(%1)"/>
      <w:numFmt w:val="decimal"/>
      <w:start w:val="90"/>
    </w:lvl>
    <w:lvl w:ilvl="1">
      <w:lvlJc w:val="left"/>
      <w:lvlText w:val="(%2)"/>
      <w:numFmt w:val="lowerLetter"/>
      <w:start w:val="5"/>
    </w:lvl>
    <w:lvl w:ilvl="2">
      <w:lvlJc w:val="left"/>
      <w:lvlText w:val="(%3)"/>
      <w:numFmt w:val="lowerRoman"/>
      <w:start w:val="1"/>
    </w:lvl>
  </w:abstractNum>
  <w:abstractNum w:abstractNumId="32">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3">
    <w:nsid w:val="70C6A529"/>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34">
    <w:nsid w:val="520EEDD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5">
    <w:nsid w:val="374A3FE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6">
    <w:nsid w:val="4F4EF005"/>
    <w:multiLevelType w:val="hybridMultilevel"/>
    <w:lvl w:ilvl="0">
      <w:lvlJc w:val="left"/>
      <w:lvlText w:val="%1"/>
      <w:numFmt w:val="lowerRoman"/>
      <w:start w:val="1"/>
    </w:lvl>
    <w:lvl w:ilvl="1">
      <w:lvlJc w:val="left"/>
      <w:lvlText w:val="(%2)"/>
      <w:numFmt w:val="upperLetter"/>
      <w:start w:val="6"/>
    </w:lvl>
  </w:abstractNum>
  <w:abstractNum w:abstractNumId="37">
    <w:nsid w:val="23F9C13C"/>
    <w:multiLevelType w:val="hybridMultilevel"/>
    <w:lvl w:ilvl="0">
      <w:lvlJc w:val="left"/>
      <w:lvlText w:val="(%1)"/>
      <w:numFmt w:val="lowerRoman"/>
      <w:start w:val="2"/>
    </w:lvl>
    <w:lvl w:ilvl="1">
      <w:lvlJc w:val="left"/>
      <w:lvlText w:val="(%2)"/>
      <w:numFmt w:val="upperLetter"/>
      <w:start w:val="1"/>
    </w:lvl>
  </w:abstractNum>
  <w:abstractNum w:abstractNumId="38">
    <w:nsid w:val="649BB77C"/>
    <w:multiLevelType w:val="hybridMultilevel"/>
    <w:lvl w:ilvl="0">
      <w:lvlJc w:val="left"/>
      <w:lvlText w:val="(%1)"/>
      <w:numFmt w:val="upperLetter"/>
      <w:start w:val="5"/>
    </w:lvl>
  </w:abstractNum>
  <w:abstractNum w:abstractNumId="39">
    <w:nsid w:val="275AC794"/>
    <w:multiLevelType w:val="hybridMultilevel"/>
    <w:lvl w:ilvl="0">
      <w:lvlJc w:val="left"/>
      <w:lvlText w:val="(%1)"/>
      <w:numFmt w:val="upperLetter"/>
      <w:start w:val="6"/>
    </w:lvl>
  </w:abstractNum>
  <w:abstractNum w:abstractNumId="40">
    <w:nsid w:val="39386575"/>
    <w:multiLevelType w:val="hybridMultilevel"/>
    <w:lvl w:ilvl="0">
      <w:lvlJc w:val="left"/>
      <w:lvlText w:val="(%1)"/>
      <w:numFmt w:val="lowerLetter"/>
      <w:start w:val="4"/>
    </w:lvl>
  </w:abstractNum>
  <w:abstractNum w:abstractNumId="41">
    <w:nsid w:val="1CF10FD8"/>
    <w:multiLevelType w:val="hybridMultilevel"/>
    <w:lvl w:ilvl="0">
      <w:lvlJc w:val="left"/>
      <w:lvlText w:val="%1."/>
      <w:numFmt w:val="decimal"/>
      <w:start w:val="3"/>
    </w:lvl>
    <w:lvl w:ilvl="1">
      <w:lvlJc w:val="left"/>
      <w:lvlText w:val="(%2)"/>
      <w:numFmt w:val="lowerLetter"/>
      <w:start w:val="1"/>
    </w:lvl>
  </w:abstractNum>
  <w:abstractNum w:abstractNumId="42">
    <w:nsid w:val="180115BE"/>
    <w:multiLevelType w:val="hybridMultilevel"/>
    <w:lvl w:ilvl="0">
      <w:lvlJc w:val="left"/>
      <w:lvlText w:val="%1."/>
      <w:numFmt w:val="decimal"/>
      <w:start w:val="5"/>
    </w:lvl>
    <w:lvl w:ilvl="1">
      <w:lvlJc w:val="left"/>
      <w:lvlText w:val="(%2)"/>
      <w:numFmt w:val="lowerLetter"/>
      <w:start w:val="1"/>
    </w:lvl>
  </w:abstractNum>
  <w:abstractNum w:abstractNumId="43">
    <w:nsid w:val="235BA861"/>
    <w:multiLevelType w:val="hybridMultilevel"/>
    <w:lvl w:ilvl="0">
      <w:lvlJc w:val="left"/>
      <w:lvlText w:val="%1"/>
      <w:numFmt w:val="decimal"/>
      <w:start w:val="1"/>
    </w:lvl>
    <w:lvl w:ilvl="1">
      <w:lvlJc w:val="left"/>
      <w:lvlText w:val="(%2)"/>
      <w:numFmt w:val="lowerLetter"/>
      <w:start w:val="2"/>
    </w:lvl>
  </w:abstractNum>
  <w:abstractNum w:abstractNumId="44">
    <w:nsid w:val="47398C89"/>
    <w:multiLevelType w:val="hybridMultilevel"/>
    <w:lvl w:ilvl="0">
      <w:lvlJc w:val="left"/>
      <w:lvlText w:val="%1."/>
      <w:numFmt w:val="decimal"/>
      <w:start w:val="8"/>
    </w:lvl>
    <w:lvl w:ilvl="1">
      <w:lvlJc w:val="left"/>
      <w:lvlText w:val="%2"/>
      <w:numFmt w:val="lowerLetter"/>
      <w:start w:val="1"/>
    </w:lvl>
  </w:abstractNum>
  <w:abstractNum w:abstractNumId="45">
    <w:nsid w:val="354FE9F9"/>
    <w:multiLevelType w:val="hybridMultilevel"/>
    <w:lvl w:ilvl="0">
      <w:lvlJc w:val="left"/>
      <w:lvlText w:val="%1."/>
      <w:numFmt w:val="decimal"/>
      <w:start w:val="12"/>
    </w:lvl>
  </w:abstractNum>
  <w:abstractNum w:abstractNumId="46">
    <w:nsid w:val="15B5AF5C"/>
    <w:multiLevelType w:val="hybridMultilevel"/>
    <w:lvl w:ilvl="0">
      <w:lvlJc w:val="left"/>
      <w:lvlText w:val="%1."/>
      <w:numFmt w:val="decimal"/>
      <w:start w:val="17"/>
    </w:lvl>
    <w:lvl w:ilvl="1">
      <w:lvlJc w:val="left"/>
      <w:lvlText w:val="(%2)"/>
      <w:numFmt w:val="lowerLetter"/>
      <w:start w:val="1"/>
    </w:lvl>
  </w:abstractNum>
  <w:abstractNum w:abstractNumId="47">
    <w:nsid w:val="741226BB"/>
    <w:multiLevelType w:val="hybridMultilevel"/>
    <w:lvl w:ilvl="0">
      <w:lvlJc w:val="left"/>
      <w:lvlText w:val="%1."/>
      <w:numFmt w:val="decimal"/>
      <w:start w:val="19"/>
    </w:lvl>
  </w:abstractNum>
  <w:abstractNum w:abstractNumId="48">
    <w:nsid w:val="D34B6A8"/>
    <w:multiLevelType w:val="hybridMultilevel"/>
    <w:lvl w:ilvl="0">
      <w:lvlJc w:val="left"/>
      <w:lvlText w:val="%1."/>
      <w:numFmt w:val="decimal"/>
      <w:start w:val="1"/>
    </w:lvl>
    <w:lvl w:ilvl="1">
      <w:lvlJc w:val="left"/>
      <w:lvlText w:val="(%2)"/>
      <w:numFmt w:val="lowerLetter"/>
      <w:start w:val="1"/>
    </w:lvl>
  </w:abstractNum>
  <w:abstractNum w:abstractNumId="49">
    <w:nsid w:val="10233C99"/>
    <w:multiLevelType w:val="hybridMultilevel"/>
    <w:lvl w:ilvl="0">
      <w:lvlJc w:val="left"/>
      <w:lvlText w:val="(%1)"/>
      <w:numFmt w:val="lowerLetter"/>
      <w:start w:val="3"/>
    </w:lvl>
    <w:lvl w:ilvl="1">
      <w:lvlJc w:val="left"/>
      <w:lvlText w:val="(%2)"/>
      <w:numFmt w:val="lowerRoman"/>
      <w:start w:val="1"/>
    </w:lvl>
  </w:abstractNum>
  <w:abstractNum w:abstractNumId="50">
    <w:nsid w:val="3F6AB60F"/>
    <w:multiLevelType w:val="hybridMultilevel"/>
    <w:lvl w:ilvl="0">
      <w:lvlJc w:val="left"/>
      <w:lvlText w:val="(%1)"/>
      <w:numFmt w:val="lowerRoman"/>
      <w:start w:val="3"/>
    </w:lvl>
  </w:abstractNum>
  <w:abstractNum w:abstractNumId="51">
    <w:nsid w:val="61574095"/>
    <w:multiLevelType w:val="hybridMultilevel"/>
    <w:lvl w:ilvl="0">
      <w:lvlJc w:val="left"/>
      <w:lvlText w:val="(%1)"/>
      <w:numFmt w:val="lowerLetter"/>
      <w:start w:val="4"/>
    </w:lvl>
    <w:lvl w:ilvl="1">
      <w:lvlJc w:val="left"/>
      <w:lvlText w:val="(%2)"/>
      <w:numFmt w:val="lowerRoman"/>
      <w:start w:val="1"/>
    </w:lvl>
  </w:abstractNum>
  <w:abstractNum w:abstractNumId="52">
    <w:nsid w:val="7E0C57B1"/>
    <w:multiLevelType w:val="hybridMultilevel"/>
    <w:lvl w:ilvl="0">
      <w:lvlJc w:val="left"/>
      <w:lvlText w:val="(%1)"/>
      <w:numFmt w:val="lowerRoman"/>
      <w:start w:val="4"/>
    </w:lvl>
  </w:abstractNum>
  <w:abstractNum w:abstractNumId="53">
    <w:nsid w:val="77AE35EB"/>
    <w:multiLevelType w:val="hybridMultilevel"/>
    <w:lvl w:ilvl="0">
      <w:lvlJc w:val="left"/>
      <w:lvlText w:val="(%1)"/>
      <w:numFmt w:val="decimal"/>
      <w:start w:val="90"/>
    </w:lvl>
    <w:lvl w:ilvl="1">
      <w:lvlJc w:val="left"/>
      <w:lvlText w:val="(%2)"/>
      <w:numFmt w:val="lowerLetter"/>
      <w:start w:val="5"/>
    </w:lvl>
    <w:lvl w:ilvl="2">
      <w:lvlJc w:val="left"/>
      <w:lvlText w:val="(%3)"/>
      <w:numFmt w:val="lowerRoman"/>
      <w:start w:val="1"/>
    </w:lvl>
  </w:abstractNum>
  <w:abstractNum w:abstractNumId="54">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5">
    <w:nsid w:val="310C50B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6">
    <w:nsid w:val="5FF87E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7">
    <w:nsid w:val="2F305DE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8">
    <w:nsid w:val="25A70BF7"/>
    <w:multiLevelType w:val="hybridMultilevel"/>
    <w:lvl w:ilvl="0">
      <w:lvlJc w:val="left"/>
      <w:lvlText w:val="(%1)"/>
      <w:numFmt w:val="upperLetter"/>
      <w:start w:val="5"/>
    </w:lvl>
  </w:abstractNum>
  <w:abstractNum w:abstractNumId="59">
    <w:nsid w:val="1DBABF00"/>
    <w:multiLevelType w:val="hybridMultilevel"/>
    <w:lvl w:ilvl="0">
      <w:lvlJc w:val="left"/>
      <w:lvlText w:val="%1"/>
      <w:numFmt w:val="lowerRoman"/>
      <w:start w:val="1"/>
    </w:lvl>
    <w:lvl w:ilvl="1">
      <w:lvlJc w:val="left"/>
      <w:lvlText w:val="(%2)"/>
      <w:numFmt w:val="upperLetter"/>
      <w:start w:val="6"/>
    </w:lvl>
  </w:abstractNum>
  <w:abstractNum w:abstractNumId="60">
    <w:nsid w:val="4AD084E9"/>
    <w:multiLevelType w:val="hybridMultilevel"/>
    <w:lvl w:ilvl="0">
      <w:lvlJc w:val="left"/>
      <w:lvlText w:val="(%1)"/>
      <w:numFmt w:val="lowerRoman"/>
      <w:start w:val="2"/>
    </w:lvl>
    <w:lvl w:ilvl="1">
      <w:lvlJc w:val="left"/>
      <w:lvlText w:val="(%2)"/>
      <w:numFmt w:val="upperLetter"/>
      <w:start w:val="1"/>
    </w:lvl>
  </w:abstractNum>
  <w:abstractNum w:abstractNumId="61">
    <w:nsid w:val="1F48EAA1"/>
    <w:multiLevelType w:val="hybridMultilevel"/>
    <w:lvl w:ilvl="0">
      <w:lvlJc w:val="left"/>
      <w:lvlText w:val="(%1)"/>
      <w:numFmt w:val="upperLetter"/>
      <w:start w:val="5"/>
    </w:lvl>
  </w:abstractNum>
  <w:abstractNum w:abstractNumId="62">
    <w:nsid w:val="1381823A"/>
    <w:multiLevelType w:val="hybridMultilevel"/>
    <w:lvl w:ilvl="0">
      <w:lvlJc w:val="left"/>
      <w:lvlText w:val="(%1)"/>
      <w:numFmt w:val="upperLetter"/>
      <w:start w:val="6"/>
    </w:lvl>
  </w:abstractNum>
  <w:abstractNum w:abstractNumId="63">
    <w:nsid w:val="5DB70AE5"/>
    <w:multiLevelType w:val="hybridMultilevel"/>
    <w:lvl w:ilvl="0">
      <w:lvlJc w:val="left"/>
      <w:lvlText w:val="(%1)"/>
      <w:numFmt w:val="lowerLetter"/>
      <w:start w:val="4"/>
    </w:lvl>
  </w:abstractNum>
  <w:abstractNum w:abstractNumId="64">
    <w:nsid w:val="100F8FCA"/>
    <w:multiLevelType w:val="hybridMultilevel"/>
    <w:lvl w:ilvl="0">
      <w:lvlJc w:val="left"/>
      <w:lvlText w:val="%1"/>
      <w:numFmt w:val="decimal"/>
      <w:start w:val="1"/>
    </w:lvl>
    <w:lvl w:ilvl="1">
      <w:lvlJc w:val="left"/>
      <w:lvlText w:val="(%2)"/>
      <w:numFmt w:val="lowerLetter"/>
      <w:start w:val="6"/>
    </w:lvl>
  </w:abstractNum>
  <w:abstractNum w:abstractNumId="65">
    <w:nsid w:val="6590700B"/>
    <w:multiLevelType w:val="hybridMultilevel"/>
    <w:lvl w:ilvl="0">
      <w:lvlJc w:val="left"/>
      <w:lvlText w:val="%1."/>
      <w:numFmt w:val="decimal"/>
      <w:start w:val="3"/>
    </w:lvl>
    <w:lvl w:ilvl="1">
      <w:lvlJc w:val="left"/>
      <w:lvlText w:val="(%2)"/>
      <w:numFmt w:val="lowerLetter"/>
      <w:start w:val="1"/>
    </w:lvl>
  </w:abstractNum>
  <w:abstractNum w:abstractNumId="66">
    <w:nsid w:val="15014ACB"/>
    <w:multiLevelType w:val="hybridMultilevel"/>
    <w:lvl w:ilvl="0">
      <w:lvlJc w:val="left"/>
      <w:lvlText w:val="%1."/>
      <w:numFmt w:val="decimal"/>
      <w:start w:val="5"/>
    </w:lvl>
    <w:lvl w:ilvl="1">
      <w:lvlJc w:val="left"/>
      <w:lvlText w:val="(%2)"/>
      <w:numFmt w:val="lowerLetter"/>
      <w:start w:val="1"/>
    </w:lvl>
  </w:abstractNum>
  <w:abstractNum w:abstractNumId="67">
    <w:nsid w:val="5F5E7FD0"/>
    <w:multiLevelType w:val="hybridMultilevel"/>
    <w:lvl w:ilvl="0">
      <w:lvlJc w:val="left"/>
      <w:lvlText w:val="%1"/>
      <w:numFmt w:val="decimal"/>
      <w:start w:val="1"/>
    </w:lvl>
    <w:lvl w:ilvl="1">
      <w:lvlJc w:val="left"/>
      <w:lvlText w:val="(%2)"/>
      <w:numFmt w:val="lowerLetter"/>
      <w:start w:val="2"/>
    </w:lvl>
  </w:abstractNum>
  <w:abstractNum w:abstractNumId="68">
    <w:nsid w:val="98A3148"/>
    <w:multiLevelType w:val="hybridMultilevel"/>
    <w:lvl w:ilvl="0">
      <w:lvlJc w:val="left"/>
      <w:lvlText w:val="%1."/>
      <w:numFmt w:val="decimal"/>
      <w:start w:val="8"/>
    </w:lvl>
    <w:lvl w:ilvl="1">
      <w:lvlJc w:val="left"/>
      <w:lvlText w:val="%2"/>
      <w:numFmt w:val="lowerLetter"/>
      <w:start w:val="1"/>
    </w:lvl>
  </w:abstractNum>
  <w:abstractNum w:abstractNumId="69">
    <w:nsid w:val="799D0247"/>
    <w:multiLevelType w:val="hybridMultilevel"/>
    <w:lvl w:ilvl="0">
      <w:lvlJc w:val="left"/>
      <w:lvlText w:val="%1."/>
      <w:numFmt w:val="decimal"/>
      <w:start w:val="12"/>
    </w:lvl>
  </w:abstractNum>
  <w:abstractNum w:abstractNumId="70">
    <w:nsid w:val="6B94764"/>
    <w:multiLevelType w:val="hybridMultilevel"/>
    <w:lvl w:ilvl="0">
      <w:lvlJc w:val="left"/>
      <w:lvlText w:val="%1."/>
      <w:numFmt w:val="decimal"/>
      <w:start w:val="17"/>
    </w:lvl>
    <w:lvl w:ilvl="1">
      <w:lvlJc w:val="left"/>
      <w:lvlText w:val="(%2)"/>
      <w:numFmt w:val="lowerLetter"/>
      <w:start w:val="1"/>
    </w:lvl>
  </w:abstractNum>
  <w:abstractNum w:abstractNumId="71">
    <w:nsid w:val="42C296BD"/>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2019-12-19T23:50:58Z</dcterms:created>
  <dcterms:modified xsi:type="dcterms:W3CDTF">2019-12-19T23:50:58Z</dcterms:modified>
</cp:coreProperties>
</file>